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A1" w:rsidRPr="00AE40CC" w:rsidRDefault="001667A1" w:rsidP="001667A1">
      <w:pPr>
        <w:spacing w:after="0"/>
        <w:jc w:val="right"/>
        <w:rPr>
          <w:rFonts w:ascii="Times New Roman" w:hAnsi="Times New Roman"/>
          <w:bCs/>
          <w:sz w:val="20"/>
          <w:szCs w:val="20"/>
        </w:rPr>
      </w:pPr>
      <w:r w:rsidRPr="00AE40CC">
        <w:rPr>
          <w:rFonts w:ascii="Times New Roman" w:hAnsi="Times New Roman"/>
          <w:bCs/>
          <w:sz w:val="20"/>
          <w:szCs w:val="20"/>
        </w:rPr>
        <w:t>Pielikums</w:t>
      </w:r>
    </w:p>
    <w:p w:rsidR="001667A1" w:rsidRPr="00AE40CC" w:rsidRDefault="001667A1" w:rsidP="001667A1">
      <w:pPr>
        <w:spacing w:after="0"/>
        <w:jc w:val="right"/>
        <w:rPr>
          <w:rFonts w:ascii="Times New Roman" w:hAnsi="Times New Roman"/>
          <w:bCs/>
          <w:sz w:val="20"/>
          <w:szCs w:val="20"/>
        </w:rPr>
      </w:pPr>
      <w:r w:rsidRPr="00AE40CC">
        <w:rPr>
          <w:rFonts w:ascii="Times New Roman" w:hAnsi="Times New Roman"/>
          <w:bCs/>
          <w:sz w:val="20"/>
          <w:szCs w:val="20"/>
        </w:rPr>
        <w:t>Ministru kabineta</w:t>
      </w:r>
    </w:p>
    <w:p w:rsidR="001667A1" w:rsidRPr="00AE40CC" w:rsidRDefault="001667A1" w:rsidP="001667A1">
      <w:pPr>
        <w:spacing w:after="0"/>
        <w:jc w:val="right"/>
        <w:rPr>
          <w:rFonts w:ascii="Times New Roman" w:hAnsi="Times New Roman"/>
          <w:bCs/>
          <w:sz w:val="20"/>
          <w:szCs w:val="20"/>
        </w:rPr>
      </w:pPr>
      <w:r w:rsidRPr="00AE40CC">
        <w:rPr>
          <w:rFonts w:ascii="Times New Roman" w:hAnsi="Times New Roman"/>
          <w:bCs/>
          <w:sz w:val="20"/>
          <w:szCs w:val="20"/>
        </w:rPr>
        <w:t>2012. gada ..................</w:t>
      </w:r>
    </w:p>
    <w:p w:rsidR="001667A1" w:rsidRPr="00AE40CC" w:rsidRDefault="001667A1" w:rsidP="001667A1">
      <w:pPr>
        <w:spacing w:after="0"/>
        <w:jc w:val="right"/>
        <w:rPr>
          <w:rFonts w:ascii="Times New Roman" w:hAnsi="Times New Roman"/>
          <w:bCs/>
          <w:sz w:val="20"/>
          <w:szCs w:val="20"/>
        </w:rPr>
      </w:pPr>
      <w:smartTag w:uri="schemas-tilde-lv/tildestengine" w:element="veidnes">
        <w:smartTagPr>
          <w:attr w:name="baseform" w:val="rīkojum|s"/>
          <w:attr w:name="id" w:val="-1"/>
          <w:attr w:name="text" w:val="rīkojumam"/>
        </w:smartTagPr>
        <w:r w:rsidRPr="00AE40CC">
          <w:rPr>
            <w:rFonts w:ascii="Times New Roman" w:hAnsi="Times New Roman"/>
            <w:bCs/>
            <w:sz w:val="20"/>
            <w:szCs w:val="20"/>
          </w:rPr>
          <w:t>rīkojumam</w:t>
        </w:r>
      </w:smartTag>
      <w:r w:rsidRPr="00AE40CC">
        <w:rPr>
          <w:rFonts w:ascii="Times New Roman" w:hAnsi="Times New Roman"/>
          <w:bCs/>
          <w:sz w:val="20"/>
          <w:szCs w:val="20"/>
        </w:rPr>
        <w:t xml:space="preserve"> Nr. ...........</w:t>
      </w:r>
    </w:p>
    <w:p w:rsidR="00871E63" w:rsidRPr="00AE40CC" w:rsidRDefault="00871E63" w:rsidP="00A9482F">
      <w:pPr>
        <w:autoSpaceDE w:val="0"/>
        <w:autoSpaceDN w:val="0"/>
        <w:adjustRightInd w:val="0"/>
        <w:spacing w:after="0"/>
        <w:jc w:val="center"/>
        <w:rPr>
          <w:rFonts w:ascii="Times New Roman" w:hAnsi="Times New Roman"/>
          <w:color w:val="000000"/>
          <w:sz w:val="24"/>
          <w:szCs w:val="24"/>
          <w:lang w:val="lv-LV"/>
        </w:rPr>
      </w:pPr>
    </w:p>
    <w:p w:rsidR="001667A1" w:rsidRPr="00AE40CC" w:rsidRDefault="001667A1" w:rsidP="001667A1">
      <w:pPr>
        <w:spacing w:after="0"/>
        <w:jc w:val="center"/>
        <w:rPr>
          <w:rFonts w:ascii="Times New Roman" w:hAnsi="Times New Roman"/>
          <w:b/>
          <w:color w:val="000000"/>
          <w:sz w:val="24"/>
          <w:szCs w:val="24"/>
          <w:lang w:val="lv-LV"/>
        </w:rPr>
      </w:pPr>
      <w:r w:rsidRPr="00AE40CC">
        <w:rPr>
          <w:rFonts w:ascii="Times New Roman" w:hAnsi="Times New Roman"/>
          <w:b/>
          <w:color w:val="000000"/>
          <w:sz w:val="24"/>
          <w:szCs w:val="24"/>
          <w:lang w:val="lv-LV"/>
        </w:rPr>
        <w:t>Norvēģijas finanšu instrumenta 2009.-2014.gada programmas „Inovācijas „zaļās” ražošanas jomā”</w:t>
      </w:r>
      <w:r w:rsidRPr="00AE40CC">
        <w:rPr>
          <w:rFonts w:ascii="Times New Roman" w:hAnsi="Times New Roman"/>
          <w:b/>
          <w:sz w:val="24"/>
          <w:szCs w:val="24"/>
          <w:lang w:val="lv-LV"/>
        </w:rPr>
        <w:t xml:space="preserve"> </w:t>
      </w:r>
      <w:r w:rsidRPr="00AE40CC">
        <w:rPr>
          <w:rFonts w:ascii="Times New Roman" w:hAnsi="Times New Roman"/>
          <w:b/>
          <w:color w:val="000000"/>
          <w:sz w:val="24"/>
          <w:szCs w:val="24"/>
          <w:lang w:val="lv-LV"/>
        </w:rPr>
        <w:t>iesnieguma projekts</w:t>
      </w:r>
    </w:p>
    <w:p w:rsidR="00A9482F" w:rsidRPr="00AE40CC" w:rsidRDefault="00D858BE" w:rsidP="003B2F08">
      <w:pPr>
        <w:pStyle w:val="Heading1"/>
        <w:spacing w:before="240"/>
        <w:ind w:left="431" w:hanging="431"/>
        <w:rPr>
          <w:rFonts w:ascii="Times New Roman" w:hAnsi="Times New Roman"/>
          <w:sz w:val="22"/>
          <w:szCs w:val="22"/>
          <w:lang w:val="lv-LV"/>
        </w:rPr>
      </w:pPr>
      <w:r w:rsidRPr="00AE40CC">
        <w:rPr>
          <w:rFonts w:ascii="Times New Roman" w:hAnsi="Times New Roman"/>
          <w:sz w:val="22"/>
          <w:szCs w:val="22"/>
          <w:lang w:val="lv-LV"/>
        </w:rPr>
        <w:t>Ievads</w:t>
      </w:r>
    </w:p>
    <w:p w:rsidR="001667A1" w:rsidRPr="00AE40CC" w:rsidRDefault="001667A1" w:rsidP="001667A1">
      <w:pPr>
        <w:spacing w:after="0"/>
        <w:jc w:val="both"/>
        <w:rPr>
          <w:rFonts w:ascii="Times New Roman" w:hAnsi="Times New Roman"/>
          <w:lang w:val="lv-LV"/>
        </w:rPr>
      </w:pPr>
      <w:r w:rsidRPr="00AE40CC">
        <w:rPr>
          <w:rFonts w:ascii="Times New Roman" w:hAnsi="Times New Roman"/>
          <w:lang w:val="lv-LV"/>
        </w:rPr>
        <w:t xml:space="preserve">EEZ un Norvēģijas finanšu instrumenta programmas atbilst Programmu jomām, kas apstiprinātas attiecīgās valsts Saprašanās memorandā. Programmu iesniegumi tiek pieņemti, ja tos ir iesniegusi iestāde, ko ir apstiprinājusi Finanšu instrumentu komiteja vai Norvēģijas Ārlietu ministrija no vienas puses un vadošā iestāde no otras puses.  </w:t>
      </w:r>
    </w:p>
    <w:p w:rsidR="001667A1" w:rsidRPr="00AE40CC" w:rsidRDefault="001667A1" w:rsidP="001667A1">
      <w:pPr>
        <w:spacing w:after="0"/>
        <w:jc w:val="both"/>
        <w:rPr>
          <w:rFonts w:ascii="Times New Roman" w:hAnsi="Times New Roman"/>
          <w:lang w:val="lv-LV"/>
        </w:rPr>
      </w:pPr>
      <w:r w:rsidRPr="00AE40CC">
        <w:rPr>
          <w:rFonts w:ascii="Times New Roman" w:hAnsi="Times New Roman"/>
          <w:lang w:val="lv-LV"/>
        </w:rPr>
        <w:t xml:space="preserve">Programmas iesniegumu paraksta iesniegumu iesniedzošās iestādes pilnvarots pārstāvis. Turklāt katru iesnieguma lappusi un katru iesnieguma Pielikumu lappusi paraksta tas pats pārstāvis. Iesniegumu paraksta arī vadošā iestāde un kāds no Programmas īstenošanā iesaistītajiem Programmas partneriem.  </w:t>
      </w:r>
    </w:p>
    <w:p w:rsidR="001667A1" w:rsidRPr="00AE40CC" w:rsidRDefault="001667A1" w:rsidP="001667A1">
      <w:pPr>
        <w:spacing w:after="0"/>
        <w:jc w:val="both"/>
        <w:rPr>
          <w:rFonts w:ascii="Times New Roman" w:hAnsi="Times New Roman"/>
          <w:lang w:val="lv-LV"/>
        </w:rPr>
      </w:pPr>
      <w:r w:rsidRPr="00AE40CC">
        <w:rPr>
          <w:rFonts w:ascii="Times New Roman" w:hAnsi="Times New Roman"/>
          <w:lang w:val="lv-LV"/>
        </w:rPr>
        <w:t>Programmas iesniegums nedrīkst būt garāk</w:t>
      </w:r>
      <w:r w:rsidR="00273567" w:rsidRPr="00AE40CC">
        <w:rPr>
          <w:rFonts w:ascii="Times New Roman" w:hAnsi="Times New Roman"/>
          <w:lang w:val="lv-LV"/>
        </w:rPr>
        <w:t>s</w:t>
      </w:r>
      <w:r w:rsidRPr="00AE40CC">
        <w:rPr>
          <w:rFonts w:ascii="Times New Roman" w:hAnsi="Times New Roman"/>
          <w:lang w:val="lv-LV"/>
        </w:rPr>
        <w:t xml:space="preserve"> par 30 lappusēm, bez Pielikumiem un Statistikas pielikuma. </w:t>
      </w:r>
    </w:p>
    <w:p w:rsidR="001667A1" w:rsidRPr="00AE40CC" w:rsidRDefault="001667A1" w:rsidP="001667A1">
      <w:pPr>
        <w:spacing w:after="0"/>
        <w:jc w:val="both"/>
        <w:rPr>
          <w:rFonts w:ascii="Times New Roman" w:hAnsi="Times New Roman"/>
          <w:lang w:val="lv-LV"/>
        </w:rPr>
      </w:pPr>
      <w:r w:rsidRPr="00AE40CC">
        <w:rPr>
          <w:rFonts w:ascii="Times New Roman" w:hAnsi="Times New Roman"/>
          <w:lang w:val="lv-LV"/>
        </w:rPr>
        <w:t xml:space="preserve">Statistikas pielikums sastāv no Excel tabulas, kas ieviesta iesniegumu iesniegšanai, jo uz internetu bāzēts risinājums būs pieejams tikai 2011.gada otrajā pusgadā. Statistikas pielikuma mērķis ir veicināt noteiktu datu ielādēšanu, kas nepieciešami programmas vadībai izvērtēšanas un ieviešanas laikā. Lūdzam nemainīt Statistikas pielikuma formātu un iestatījumus, jo izmaiņu dēļ nebūs iespējama datu pārsūtīšana un tā rezultātā var tikt lūgts atkārtoti iesniegt iesniegumu atbilstošā formātā.  </w:t>
      </w:r>
    </w:p>
    <w:p w:rsidR="001667A1" w:rsidRPr="00AE40CC" w:rsidRDefault="001667A1" w:rsidP="001667A1">
      <w:pPr>
        <w:spacing w:after="0"/>
        <w:jc w:val="both"/>
        <w:rPr>
          <w:rFonts w:ascii="Times New Roman" w:hAnsi="Times New Roman"/>
          <w:lang w:val="lv-LV"/>
        </w:rPr>
      </w:pPr>
      <w:r w:rsidRPr="00AE40CC">
        <w:rPr>
          <w:rFonts w:ascii="Times New Roman" w:hAnsi="Times New Roman"/>
          <w:lang w:val="lv-LV"/>
        </w:rPr>
        <w:t>Organizācija, kas iesniedz Programmas iesniegumu, ir atbildīga par to, lai identisks teksts un skaitļi tiktu atspoguļoti tad, kad Programmas iesnieguma veidlapā un Statistikas pielikumā ir jānorāda līdzīgi dati.</w:t>
      </w:r>
    </w:p>
    <w:p w:rsidR="001667A1" w:rsidRPr="00AE40CC" w:rsidRDefault="001667A1" w:rsidP="001667A1">
      <w:pPr>
        <w:spacing w:after="0"/>
        <w:jc w:val="both"/>
        <w:rPr>
          <w:rFonts w:ascii="Times New Roman" w:hAnsi="Times New Roman"/>
          <w:lang w:val="lv-LV"/>
        </w:rPr>
      </w:pPr>
      <w:r w:rsidRPr="00AE40CC">
        <w:rPr>
          <w:rFonts w:ascii="Times New Roman" w:hAnsi="Times New Roman"/>
          <w:lang w:val="lv-LV"/>
        </w:rPr>
        <w:t xml:space="preserve">Pārliecinieties, vai Programmas iesniegums ir sagatavots pienācīgā angļu valodā. Iesniegumi , kuri būs sagatavoti angļu valodā, kas var izraisīt pārpratumus, tiks atdoti atpakaļ labojumu veikšanai. </w:t>
      </w:r>
    </w:p>
    <w:p w:rsidR="001667A1" w:rsidRPr="00AE40CC" w:rsidRDefault="001667A1" w:rsidP="001667A1">
      <w:pPr>
        <w:spacing w:after="0"/>
        <w:jc w:val="both"/>
        <w:rPr>
          <w:rFonts w:ascii="Times New Roman" w:hAnsi="Times New Roman"/>
          <w:lang w:val="lv-LV"/>
        </w:rPr>
      </w:pPr>
      <w:r w:rsidRPr="00AE40CC">
        <w:rPr>
          <w:rFonts w:ascii="Times New Roman" w:hAnsi="Times New Roman"/>
          <w:lang w:val="lv-LV"/>
        </w:rPr>
        <w:t xml:space="preserve">Parakstot un iesniedzot Programmas iesniegumu, Programmas apsaimniekotājs piekrīt, ka FIB var publicēt iesnieguma kopsavilkumu savā </w:t>
      </w:r>
      <w:r w:rsidR="006C4D3E" w:rsidRPr="00AE40CC">
        <w:rPr>
          <w:rFonts w:ascii="Times New Roman" w:hAnsi="Times New Roman"/>
          <w:lang w:val="lv-LV"/>
        </w:rPr>
        <w:t>tīmekļa vietnē</w:t>
      </w:r>
      <w:r w:rsidRPr="00AE40CC">
        <w:rPr>
          <w:rFonts w:ascii="Times New Roman" w:hAnsi="Times New Roman"/>
          <w:lang w:val="lv-LV"/>
        </w:rPr>
        <w:t xml:space="preserve"> un ka iesniegums var tikt atklāts saskaņā ar EEZ EBTA valstu Informācijas atklātības likumiem.  </w:t>
      </w:r>
    </w:p>
    <w:p w:rsidR="001667A1" w:rsidRPr="00AE40CC" w:rsidRDefault="001667A1" w:rsidP="001667A1">
      <w:pPr>
        <w:rPr>
          <w:lang w:val="lv-LV"/>
        </w:rPr>
      </w:pPr>
      <w:r w:rsidRPr="00AE40CC">
        <w:rPr>
          <w:rFonts w:ascii="Times New Roman" w:hAnsi="Times New Roman"/>
          <w:lang w:val="lv-LV"/>
        </w:rPr>
        <w:t xml:space="preserve">Par jebkurām tehniskām problēmām un kļūdām Statistikas pielikumā ir jāziņo nekavējoties FIB, nosūtot e-pastu uz: </w:t>
      </w:r>
      <w:hyperlink r:id="rId8" w:history="1">
        <w:r w:rsidRPr="00AE40CC">
          <w:rPr>
            <w:rStyle w:val="Hyperlink"/>
            <w:rFonts w:ascii="Times New Roman" w:eastAsia="Calibri" w:hAnsi="Times New Roman"/>
            <w:lang w:val="lv-LV"/>
          </w:rPr>
          <w:t>reporting@efta.int</w:t>
        </w:r>
      </w:hyperlink>
      <w:r w:rsidRPr="00AE40CC">
        <w:rPr>
          <w:rFonts w:ascii="Times New Roman" w:hAnsi="Times New Roman"/>
          <w:lang w:val="lv-LV"/>
        </w:rPr>
        <w:t>.</w:t>
      </w:r>
    </w:p>
    <w:p w:rsidR="00A9482F" w:rsidRPr="00AE40CC" w:rsidRDefault="00D858BE" w:rsidP="00A9482F">
      <w:pPr>
        <w:pStyle w:val="Heading1"/>
        <w:spacing w:before="0"/>
        <w:rPr>
          <w:rFonts w:ascii="Times New Roman" w:hAnsi="Times New Roman"/>
          <w:sz w:val="22"/>
          <w:szCs w:val="22"/>
          <w:lang w:val="lv-LV"/>
        </w:rPr>
      </w:pPr>
      <w:r w:rsidRPr="00AE40CC">
        <w:rPr>
          <w:rFonts w:ascii="Times New Roman" w:hAnsi="Times New Roman"/>
          <w:sz w:val="22"/>
          <w:szCs w:val="22"/>
          <w:lang w:val="lv-LV"/>
        </w:rPr>
        <w:t>Juridiskais ietvars</w:t>
      </w:r>
    </w:p>
    <w:p w:rsidR="001667A1" w:rsidRPr="00AE40CC" w:rsidRDefault="001667A1" w:rsidP="001667A1">
      <w:pPr>
        <w:jc w:val="both"/>
        <w:rPr>
          <w:rFonts w:ascii="Times New Roman" w:hAnsi="Times New Roman"/>
          <w:lang w:val="lv-LV"/>
        </w:rPr>
      </w:pPr>
      <w:r w:rsidRPr="00AE40CC">
        <w:rPr>
          <w:rFonts w:ascii="Times New Roman" w:hAnsi="Times New Roman"/>
          <w:lang w:val="lv-LV"/>
        </w:rPr>
        <w:t xml:space="preserve">Programmas iesniegums atbilst EEZ līguma 38.b protokolam par EEZ Finanšu instrumentu, Noteikumiem par EEZ finanšu instrumenta ieviešanu 2009. – 2014. gadā vai Noteikumiem par Norvēģijas finanšu instrumenta ieviešanu 2009. – 2014. gadā un Saprašanās memorandam starp </w:t>
      </w:r>
      <w:proofErr w:type="spellStart"/>
      <w:r w:rsidRPr="00AE40CC">
        <w:rPr>
          <w:rFonts w:ascii="Times New Roman" w:hAnsi="Times New Roman"/>
          <w:lang w:val="lv-LV"/>
        </w:rPr>
        <w:t>Donorvalstīm</w:t>
      </w:r>
      <w:proofErr w:type="spellEnd"/>
      <w:r w:rsidRPr="00AE40CC">
        <w:rPr>
          <w:rFonts w:ascii="Times New Roman" w:hAnsi="Times New Roman"/>
          <w:lang w:val="lv-LV"/>
        </w:rPr>
        <w:t xml:space="preserve"> un Saņēmējvalsti.  </w:t>
      </w:r>
    </w:p>
    <w:p w:rsidR="001667A1" w:rsidRPr="00AE40CC" w:rsidRDefault="001667A1" w:rsidP="001667A1">
      <w:pPr>
        <w:jc w:val="both"/>
        <w:rPr>
          <w:lang w:val="lv-LV"/>
        </w:rPr>
      </w:pPr>
      <w:r w:rsidRPr="00AE40CC">
        <w:rPr>
          <w:rFonts w:ascii="Times New Roman" w:hAnsi="Times New Roman"/>
          <w:lang w:val="lv-LV"/>
        </w:rPr>
        <w:t>Detalizētu informāciju par katru Programmas iesnieguma sadaļas aizpildīšanu var atrast Programmas apsaimniekotāja rokasgrāmatas (PAR) trešajā sadaļā. Virsraksti Programmas iesniegumā atbilst virsrakstiem PAR.</w:t>
      </w:r>
    </w:p>
    <w:p w:rsidR="00A9482F" w:rsidRPr="00AE40CC" w:rsidRDefault="00D858BE" w:rsidP="00A9482F">
      <w:pPr>
        <w:pStyle w:val="Heading1"/>
        <w:spacing w:before="0"/>
        <w:rPr>
          <w:rFonts w:ascii="Times New Roman" w:hAnsi="Times New Roman"/>
          <w:sz w:val="22"/>
          <w:szCs w:val="22"/>
          <w:lang w:val="lv-LV"/>
        </w:rPr>
      </w:pPr>
      <w:bookmarkStart w:id="0" w:name="_Toc258487849"/>
      <w:bookmarkStart w:id="1" w:name="_Toc258489896"/>
      <w:bookmarkStart w:id="2" w:name="_Toc258491167"/>
      <w:bookmarkStart w:id="3" w:name="_Toc258496056"/>
      <w:bookmarkStart w:id="4" w:name="_Toc258498723"/>
      <w:bookmarkStart w:id="5" w:name="_Toc258499834"/>
      <w:bookmarkStart w:id="6" w:name="_Toc258503635"/>
      <w:bookmarkStart w:id="7" w:name="_Toc258504813"/>
      <w:bookmarkStart w:id="8" w:name="_Toc262213645"/>
      <w:r w:rsidRPr="00AE40CC">
        <w:rPr>
          <w:rFonts w:ascii="Times New Roman" w:hAnsi="Times New Roman"/>
          <w:sz w:val="22"/>
          <w:szCs w:val="22"/>
          <w:lang w:val="lv-LV"/>
        </w:rPr>
        <w:t>Programmas iesniegums</w:t>
      </w:r>
    </w:p>
    <w:bookmarkEnd w:id="0"/>
    <w:bookmarkEnd w:id="1"/>
    <w:bookmarkEnd w:id="2"/>
    <w:bookmarkEnd w:id="3"/>
    <w:bookmarkEnd w:id="4"/>
    <w:bookmarkEnd w:id="5"/>
    <w:bookmarkEnd w:id="6"/>
    <w:bookmarkEnd w:id="7"/>
    <w:bookmarkEnd w:id="8"/>
    <w:p w:rsidR="00A9482F" w:rsidRPr="00AE40CC" w:rsidRDefault="00A263DD" w:rsidP="006C41D1">
      <w:pPr>
        <w:pStyle w:val="Heading2"/>
        <w:spacing w:before="0"/>
        <w:rPr>
          <w:rFonts w:ascii="Times New Roman" w:hAnsi="Times New Roman"/>
          <w:sz w:val="22"/>
          <w:szCs w:val="22"/>
          <w:lang w:val="lv-LV"/>
        </w:rPr>
      </w:pPr>
      <w:r w:rsidRPr="00AE40CC">
        <w:rPr>
          <w:rFonts w:ascii="Times New Roman" w:hAnsi="Times New Roman"/>
          <w:sz w:val="22"/>
          <w:szCs w:val="22"/>
          <w:lang w:val="lv-LV"/>
        </w:rPr>
        <w:t>Kopsavilkums</w:t>
      </w:r>
      <w:r w:rsidR="00A9482F" w:rsidRPr="00AE40CC">
        <w:rPr>
          <w:rFonts w:ascii="Times New Roman" w:hAnsi="Times New Roman"/>
          <w:sz w:val="22"/>
          <w:szCs w:val="22"/>
          <w:lang w:val="lv-LV"/>
        </w:rPr>
        <w:t xml:space="preserve"> </w:t>
      </w:r>
    </w:p>
    <w:p w:rsidR="00A9482F" w:rsidRPr="00AE40CC" w:rsidRDefault="005D17D1" w:rsidP="00A9482F">
      <w:pPr>
        <w:spacing w:after="0"/>
        <w:rPr>
          <w:rFonts w:ascii="Times New Roman" w:hAnsi="Times New Roman"/>
          <w:b/>
          <w:i/>
          <w:color w:val="339966"/>
          <w:lang w:val="lv-LV"/>
        </w:rPr>
      </w:pPr>
      <w:r w:rsidRPr="00AE40CC">
        <w:rPr>
          <w:rFonts w:ascii="Times New Roman" w:hAnsi="Times New Roman"/>
          <w:b/>
          <w:lang w:val="lv-LV"/>
        </w:rPr>
        <w:t>Šajā sadaļā tiek sniegts Programmas iesnieguma kopsavilkums.</w:t>
      </w:r>
      <w:r w:rsidR="00A9482F" w:rsidRPr="00AE40CC">
        <w:rPr>
          <w:rFonts w:ascii="Times New Roman" w:hAnsi="Times New Roman"/>
          <w:b/>
          <w:i/>
          <w:color w:val="339966"/>
          <w:lang w:val="lv-LV"/>
        </w:rPr>
        <w:t xml:space="preserve"> </w:t>
      </w:r>
    </w:p>
    <w:p w:rsidR="004455DB" w:rsidRPr="00AE40CC" w:rsidRDefault="004455DB" w:rsidP="00112270">
      <w:pPr>
        <w:pStyle w:val="NoSpacing"/>
        <w:ind w:firstLine="567"/>
        <w:jc w:val="both"/>
        <w:rPr>
          <w:rFonts w:ascii="Times New Roman" w:hAnsi="Times New Roman"/>
          <w:lang w:val="lv-LV"/>
        </w:rPr>
      </w:pPr>
    </w:p>
    <w:p w:rsidR="004455DB" w:rsidRPr="00AE40CC" w:rsidRDefault="004455DB" w:rsidP="00112270">
      <w:pPr>
        <w:pStyle w:val="NoSpacing"/>
        <w:ind w:firstLine="567"/>
        <w:jc w:val="both"/>
        <w:rPr>
          <w:rFonts w:ascii="Times New Roman" w:hAnsi="Times New Roman"/>
          <w:lang w:val="lv-LV"/>
        </w:rPr>
      </w:pPr>
      <w:r w:rsidRPr="00AE40CC">
        <w:rPr>
          <w:rFonts w:ascii="Times New Roman" w:hAnsi="Times New Roman"/>
          <w:lang w:val="lv-LV"/>
        </w:rPr>
        <w:lastRenderedPageBreak/>
        <w:t xml:space="preserve">Programmas „Inovācijas „zaļās” ražošanas jomā” (turpmāk tekstā – Programma, 1.Pielikums (Saīsinājumu saraksts)) vispārējais mērķis – </w:t>
      </w:r>
      <w:r w:rsidRPr="00AE40CC">
        <w:rPr>
          <w:rFonts w:ascii="Times New Roman" w:hAnsi="Times New Roman"/>
          <w:bCs/>
          <w:kern w:val="36"/>
          <w:lang w:val="lv-LV" w:eastAsia="lv-LV"/>
        </w:rPr>
        <w:t xml:space="preserve">palielināta „zaļo” </w:t>
      </w:r>
      <w:r w:rsidR="006C4D3E" w:rsidRPr="00AE40CC">
        <w:rPr>
          <w:rFonts w:ascii="Times New Roman" w:hAnsi="Times New Roman"/>
          <w:bCs/>
          <w:kern w:val="36"/>
          <w:lang w:val="lv-LV" w:eastAsia="lv-LV"/>
        </w:rPr>
        <w:t>komersantu</w:t>
      </w:r>
      <w:r w:rsidRPr="00AE40CC">
        <w:rPr>
          <w:rFonts w:ascii="Times New Roman" w:hAnsi="Times New Roman"/>
          <w:bCs/>
          <w:kern w:val="36"/>
          <w:lang w:val="lv-LV" w:eastAsia="lv-LV"/>
        </w:rPr>
        <w:t xml:space="preserve"> konkurētspēja, tostarp nekaitīguma veicināšana esošajās nozarēs, „zaļās” inovācijas un „zaļā” uzņēmējdarbība</w:t>
      </w:r>
      <w:r w:rsidRPr="00AE40CC">
        <w:rPr>
          <w:rFonts w:ascii="Times New Roman" w:hAnsi="Times New Roman"/>
          <w:lang w:val="lv-LV"/>
        </w:rPr>
        <w:t>.</w:t>
      </w:r>
    </w:p>
    <w:p w:rsidR="00854652" w:rsidRPr="00AE40CC" w:rsidRDefault="008A13F2" w:rsidP="00112270">
      <w:pPr>
        <w:pStyle w:val="NoSpacing"/>
        <w:ind w:firstLine="567"/>
        <w:jc w:val="both"/>
        <w:rPr>
          <w:rFonts w:ascii="Times New Roman" w:hAnsi="Times New Roman"/>
          <w:lang w:val="lv-LV"/>
        </w:rPr>
      </w:pPr>
      <w:r w:rsidRPr="00AE40CC">
        <w:rPr>
          <w:rFonts w:ascii="Times New Roman" w:hAnsi="Times New Roman"/>
          <w:lang w:val="lv-LV"/>
        </w:rPr>
        <w:t xml:space="preserve">Programmas iesniegumu </w:t>
      </w:r>
      <w:r w:rsidR="0044212E" w:rsidRPr="00AE40CC">
        <w:rPr>
          <w:rFonts w:ascii="Times New Roman" w:hAnsi="Times New Roman"/>
          <w:lang w:val="lv-LV"/>
        </w:rPr>
        <w:t xml:space="preserve">ir </w:t>
      </w:r>
      <w:r w:rsidRPr="00AE40CC">
        <w:rPr>
          <w:rFonts w:ascii="Times New Roman" w:hAnsi="Times New Roman"/>
          <w:lang w:val="lv-LV"/>
        </w:rPr>
        <w:t>sagatavoj</w:t>
      </w:r>
      <w:r w:rsidR="0044212E" w:rsidRPr="00AE40CC">
        <w:rPr>
          <w:rFonts w:ascii="Times New Roman" w:hAnsi="Times New Roman"/>
          <w:lang w:val="lv-LV"/>
        </w:rPr>
        <w:t>is</w:t>
      </w:r>
      <w:r w:rsidRPr="00AE40CC">
        <w:rPr>
          <w:rFonts w:ascii="Times New Roman" w:hAnsi="Times New Roman"/>
          <w:lang w:val="lv-LV"/>
        </w:rPr>
        <w:t xml:space="preserve"> programmas apsaimniekotājs – Ekonomikas ministrija (</w:t>
      </w:r>
      <w:r w:rsidR="00985BF1" w:rsidRPr="00AE40CC">
        <w:rPr>
          <w:rFonts w:ascii="Times New Roman" w:hAnsi="Times New Roman"/>
          <w:lang w:val="lv-LV"/>
        </w:rPr>
        <w:t xml:space="preserve">turpmāk tekstā - </w:t>
      </w:r>
      <w:r w:rsidRPr="00AE40CC">
        <w:rPr>
          <w:rFonts w:ascii="Times New Roman" w:hAnsi="Times New Roman"/>
          <w:lang w:val="lv-LV"/>
        </w:rPr>
        <w:t xml:space="preserve">EM) sadarbībā ar </w:t>
      </w:r>
      <w:r w:rsidR="009E00D1" w:rsidRPr="00AE40CC">
        <w:rPr>
          <w:rFonts w:ascii="Times New Roman" w:hAnsi="Times New Roman"/>
          <w:lang w:val="lv-LV"/>
        </w:rPr>
        <w:t>donorvalsts programmas partneri</w:t>
      </w:r>
      <w:r w:rsidRPr="00AE40CC">
        <w:rPr>
          <w:rFonts w:ascii="Times New Roman" w:hAnsi="Times New Roman"/>
          <w:lang w:val="lv-LV"/>
        </w:rPr>
        <w:t xml:space="preserve"> </w:t>
      </w:r>
      <w:r w:rsidR="00FF2370" w:rsidRPr="00AE40CC">
        <w:rPr>
          <w:rFonts w:ascii="Times New Roman" w:hAnsi="Times New Roman"/>
          <w:lang w:val="lv-LV"/>
        </w:rPr>
        <w:t xml:space="preserve">(turpmāk tekstā – </w:t>
      </w:r>
      <w:r w:rsidRPr="00AE40CC">
        <w:rPr>
          <w:rFonts w:ascii="Times New Roman" w:hAnsi="Times New Roman"/>
          <w:lang w:val="lv-LV"/>
        </w:rPr>
        <w:t xml:space="preserve">DPP) (Norvēģijas </w:t>
      </w:r>
      <w:r w:rsidR="00BA5A40" w:rsidRPr="00AE40CC">
        <w:rPr>
          <w:rFonts w:ascii="Times New Roman" w:hAnsi="Times New Roman"/>
          <w:lang w:val="lv-LV"/>
        </w:rPr>
        <w:t>I</w:t>
      </w:r>
      <w:r w:rsidRPr="00AE40CC">
        <w:rPr>
          <w:rFonts w:ascii="Times New Roman" w:hAnsi="Times New Roman"/>
          <w:lang w:val="lv-LV"/>
        </w:rPr>
        <w:t>novāciju aģentūra).</w:t>
      </w:r>
      <w:r w:rsidR="00854652" w:rsidRPr="00AE40CC">
        <w:rPr>
          <w:rFonts w:ascii="Times New Roman" w:hAnsi="Times New Roman"/>
          <w:lang w:val="lv-LV"/>
        </w:rPr>
        <w:t xml:space="preserve"> EM ieviesīs Programmu sadarbībā ar </w:t>
      </w:r>
      <w:r w:rsidR="001B127A">
        <w:rPr>
          <w:rFonts w:ascii="Times New Roman" w:hAnsi="Times New Roman"/>
          <w:lang w:val="lv-LV"/>
        </w:rPr>
        <w:t xml:space="preserve"> valsts aģentūru </w:t>
      </w:r>
      <w:r w:rsidR="00DA37D0" w:rsidRPr="00AE40CC">
        <w:rPr>
          <w:rFonts w:ascii="Times New Roman" w:hAnsi="Times New Roman"/>
          <w:lang w:val="lv-LV"/>
        </w:rPr>
        <w:t xml:space="preserve">„Latvijas Investīciju un </w:t>
      </w:r>
      <w:r w:rsidR="00570BF0">
        <w:rPr>
          <w:rFonts w:ascii="Times New Roman" w:hAnsi="Times New Roman"/>
          <w:lang w:val="lv-LV"/>
        </w:rPr>
        <w:t>attīstības aģentūra” (turpmāk tekstā – LIAA) u</w:t>
      </w:r>
      <w:r w:rsidR="00F02917">
        <w:rPr>
          <w:rFonts w:ascii="Times New Roman" w:hAnsi="Times New Roman"/>
          <w:lang w:val="lv-LV"/>
        </w:rPr>
        <w:t>n Norvēģijas Inovāciju aģentūru.</w:t>
      </w:r>
      <w:r w:rsidR="00570BF0">
        <w:rPr>
          <w:rFonts w:ascii="Times New Roman" w:hAnsi="Times New Roman"/>
          <w:lang w:val="lv-LV"/>
        </w:rPr>
        <w:t xml:space="preserve"> </w:t>
      </w:r>
      <w:r w:rsidR="00F02917">
        <w:rPr>
          <w:rFonts w:ascii="Times New Roman" w:hAnsi="Times New Roman"/>
          <w:lang w:val="lv-LV"/>
        </w:rPr>
        <w:t>Savas konsultācijas</w:t>
      </w:r>
      <w:r w:rsidR="00570BF0">
        <w:rPr>
          <w:rFonts w:ascii="Times New Roman" w:hAnsi="Times New Roman"/>
          <w:lang w:val="lv-LV"/>
        </w:rPr>
        <w:t xml:space="preserve"> papildus Programmas izstrādes posmā</w:t>
      </w:r>
      <w:r w:rsidR="00F02917">
        <w:rPr>
          <w:rFonts w:ascii="Times New Roman" w:hAnsi="Times New Roman"/>
          <w:lang w:val="lv-LV"/>
        </w:rPr>
        <w:t xml:space="preserve"> savas</w:t>
      </w:r>
      <w:r w:rsidR="00570BF0">
        <w:rPr>
          <w:rFonts w:ascii="Times New Roman" w:hAnsi="Times New Roman"/>
          <w:lang w:val="lv-LV"/>
        </w:rPr>
        <w:t xml:space="preserve"> konsultācijas</w:t>
      </w:r>
      <w:r w:rsidR="00F02917">
        <w:rPr>
          <w:rFonts w:ascii="Times New Roman" w:hAnsi="Times New Roman"/>
          <w:lang w:val="lv-LV"/>
        </w:rPr>
        <w:t xml:space="preserve"> ir sniegusi arī Norvēģijas Valsts industriālās attīstības korporācijas (turpmāk tekstā – SIVA)</w:t>
      </w:r>
      <w:r w:rsidR="00570BF0">
        <w:rPr>
          <w:rFonts w:ascii="Times New Roman" w:hAnsi="Times New Roman"/>
          <w:lang w:val="lv-LV"/>
        </w:rPr>
        <w:t>.</w:t>
      </w:r>
    </w:p>
    <w:p w:rsidR="008A13F2" w:rsidRPr="00AE40CC" w:rsidRDefault="00570BF0" w:rsidP="00112270">
      <w:pPr>
        <w:pStyle w:val="NoSpacing"/>
        <w:ind w:firstLine="567"/>
        <w:jc w:val="both"/>
        <w:rPr>
          <w:rFonts w:ascii="Times New Roman" w:hAnsi="Times New Roman"/>
          <w:lang w:val="lv-LV"/>
        </w:rPr>
      </w:pPr>
      <w:r>
        <w:rPr>
          <w:rFonts w:ascii="Times New Roman" w:hAnsi="Times New Roman"/>
          <w:lang w:val="lv-LV"/>
        </w:rPr>
        <w:t xml:space="preserve">Programmas iesniegumā ir noteiktas Programmas jomas Nr. 21 „Inovācijas „zaļās” ražošanas jomā” ieviešanas prasības un nosacījumi. </w:t>
      </w:r>
      <w:bookmarkStart w:id="9" w:name="OLE_LINK15"/>
      <w:r>
        <w:rPr>
          <w:rFonts w:ascii="Times New Roman" w:hAnsi="Times New Roman"/>
          <w:lang w:val="lv-LV"/>
        </w:rPr>
        <w:t>Papildus Programmas iesniegumā ir iekļauta stratēģija, saskaņā ar kuru ir noteiktas galvenās Programmas prioritātes un metodes kā sasniegt plānotos Programmas rezultātus.</w:t>
      </w:r>
    </w:p>
    <w:bookmarkEnd w:id="9"/>
    <w:p w:rsidR="006234FA" w:rsidRPr="00AE40CC" w:rsidRDefault="00570BF0" w:rsidP="00112270">
      <w:pPr>
        <w:pStyle w:val="NoSpacing"/>
        <w:ind w:firstLine="567"/>
        <w:jc w:val="both"/>
        <w:rPr>
          <w:rFonts w:ascii="Times New Roman" w:hAnsi="Times New Roman"/>
          <w:lang w:val="lv-LV"/>
        </w:rPr>
      </w:pPr>
      <w:r>
        <w:rPr>
          <w:rFonts w:ascii="Times New Roman" w:hAnsi="Times New Roman"/>
          <w:lang w:val="lv-LV"/>
        </w:rPr>
        <w:t xml:space="preserve">Programmas vispārējā mērķa sasniegšanai Programmas ietvaros ir paredzēts viens iepriekš noteikts projekts „Tehnoloģiju inkubators” (turpmāk tekstā – iepriekš noteikts projekts), neliela apjoma grantu shēma paredzamajam rezultātam „Palielināta „zaļo” darba vietu radīšana un uzņēmējdarbība” (turpmāk tekstā – neliela apjoma grantu shēma) un atklātais projektu iesniegumu atlases konkurss paredzamā rezultāta „Eiropas ekonomikas „zaļošanas” biznesa iespēju realizācija” ietvaros (turpmāk tekstā – atklātais konkurss). </w:t>
      </w:r>
    </w:p>
    <w:p w:rsidR="00061F4F" w:rsidRPr="00AE40CC" w:rsidRDefault="00570BF0" w:rsidP="00112270">
      <w:pPr>
        <w:pStyle w:val="NoSpacing"/>
        <w:ind w:firstLine="567"/>
        <w:jc w:val="both"/>
        <w:rPr>
          <w:rFonts w:ascii="Times New Roman" w:hAnsi="Times New Roman"/>
          <w:lang w:val="lv-LV"/>
        </w:rPr>
      </w:pPr>
      <w:r>
        <w:rPr>
          <w:rFonts w:ascii="Times New Roman" w:hAnsi="Times New Roman"/>
          <w:lang w:val="lv-LV"/>
        </w:rPr>
        <w:t xml:space="preserve">Kopējais Programmas ietvaros pieejamais finansējums ir 7 961 364 lati (EUR 11 328 000). </w:t>
      </w:r>
    </w:p>
    <w:p w:rsidR="00061F4F" w:rsidRPr="00AE40CC" w:rsidRDefault="00570BF0" w:rsidP="00DD2389">
      <w:pPr>
        <w:spacing w:after="0"/>
        <w:ind w:firstLine="576"/>
        <w:jc w:val="both"/>
        <w:rPr>
          <w:rFonts w:ascii="Times New Roman" w:hAnsi="Times New Roman"/>
          <w:lang w:val="lv-LV"/>
        </w:rPr>
      </w:pPr>
      <w:r>
        <w:rPr>
          <w:rFonts w:ascii="Times New Roman" w:hAnsi="Times New Roman"/>
          <w:lang w:val="lv-LV"/>
        </w:rPr>
        <w:t xml:space="preserve">Programmas specifiskais mērķis ir izveidot Tehnoloģiju inkubatoru, kas kalpotu kā savienojošs mehānisms starp „zaļo” nozaru komersantiem un tirgu. </w:t>
      </w:r>
      <w:r w:rsidR="003266A3">
        <w:rPr>
          <w:rFonts w:ascii="Times New Roman" w:hAnsi="Times New Roman"/>
          <w:lang w:val="lv-LV"/>
        </w:rPr>
        <w:t>I</w:t>
      </w:r>
      <w:r>
        <w:rPr>
          <w:rFonts w:ascii="Times New Roman" w:hAnsi="Times New Roman"/>
          <w:lang w:val="lv-LV"/>
        </w:rPr>
        <w:t>epriekš noteiktā projekta iesniedzējs būs Latvijas Universitātes, Rīgas Tehniskās universitātes un</w:t>
      </w:r>
      <w:r>
        <w:rPr>
          <w:b/>
          <w:lang w:val="lv-LV"/>
        </w:rPr>
        <w:t xml:space="preserve"> </w:t>
      </w:r>
      <w:r w:rsidR="00F02917">
        <w:rPr>
          <w:rFonts w:ascii="Times New Roman" w:hAnsi="Times New Roman"/>
          <w:lang w:val="lv-LV"/>
        </w:rPr>
        <w:t>SIVA</w:t>
      </w:r>
      <w:r>
        <w:rPr>
          <w:rFonts w:ascii="Times New Roman" w:hAnsi="Times New Roman"/>
          <w:lang w:val="lv-LV"/>
        </w:rPr>
        <w:t xml:space="preserve"> izveidota institūcija. Papildu Tehnoloģiju inkubatorā iesaistīs nozaru un uzņēmējdarbības ekspertus, lai nodrošinātu kvalitatīvu projekta īstenošanu. Tehnoloģiju inkubatora izveide novērsīs pašreizējās tirgus nepilnības, proti, inovatīvu ideju, produktu un tehnoloģiju trūkumu, kā arī veicinās zinātnisko institūciju un agrīnās stadijas inovatīvo komersantu savstarpējo sadarbību pētniecības un attīstības (P&amp;A) jomā.</w:t>
      </w:r>
    </w:p>
    <w:p w:rsidR="00A949A6" w:rsidRPr="00AE40CC" w:rsidRDefault="00570BF0" w:rsidP="00DD2389">
      <w:pPr>
        <w:spacing w:after="0"/>
        <w:ind w:firstLine="576"/>
        <w:jc w:val="both"/>
        <w:rPr>
          <w:rFonts w:ascii="Times New Roman" w:hAnsi="Times New Roman"/>
          <w:lang w:val="lv-LV"/>
        </w:rPr>
      </w:pPr>
      <w:r>
        <w:rPr>
          <w:rFonts w:ascii="Times New Roman" w:hAnsi="Times New Roman"/>
          <w:lang w:val="lv-LV"/>
        </w:rPr>
        <w:t>Neliela apjoma grantu shēmas ietvaros atbalstu grantu un kuponu veidā varēs saņemt fiziskas personas</w:t>
      </w:r>
      <w:r w:rsidR="00767005">
        <w:rPr>
          <w:rFonts w:ascii="Times New Roman" w:hAnsi="Times New Roman"/>
          <w:lang w:val="lv-LV"/>
        </w:rPr>
        <w:t xml:space="preserve"> ar mērķi</w:t>
      </w:r>
      <w:r>
        <w:rPr>
          <w:rFonts w:ascii="Times New Roman" w:hAnsi="Times New Roman"/>
          <w:lang w:val="lv-LV"/>
        </w:rPr>
        <w:t xml:space="preserve"> uzsākt saimniecisko darbību, kā arī komersanti tehnoloģiju intensīvās nozarēs</w:t>
      </w:r>
      <w:r w:rsidR="00CE726A" w:rsidRPr="00AE40CC">
        <w:rPr>
          <w:rStyle w:val="FootnoteReference"/>
          <w:rFonts w:ascii="Times New Roman" w:hAnsi="Times New Roman"/>
          <w:lang w:val="lv-LV"/>
        </w:rPr>
        <w:footnoteReference w:id="1"/>
      </w:r>
      <w:r w:rsidR="00A949A6" w:rsidRPr="00AE40CC">
        <w:rPr>
          <w:rFonts w:ascii="Times New Roman" w:hAnsi="Times New Roman"/>
          <w:lang w:val="lv-LV"/>
        </w:rPr>
        <w:t>, kuru darbība ir saistīta ar „zaļajām” inovācijām.</w:t>
      </w:r>
      <w:r w:rsidR="003465DA" w:rsidRPr="00AE40CC">
        <w:rPr>
          <w:rFonts w:ascii="Times New Roman" w:hAnsi="Times New Roman"/>
          <w:lang w:val="lv-LV"/>
        </w:rPr>
        <w:t xml:space="preserve"> </w:t>
      </w:r>
    </w:p>
    <w:p w:rsidR="00A949A6" w:rsidRPr="00AE40CC" w:rsidRDefault="00570BF0" w:rsidP="00DD2389">
      <w:pPr>
        <w:spacing w:after="0"/>
        <w:ind w:firstLine="576"/>
        <w:jc w:val="both"/>
        <w:rPr>
          <w:rFonts w:ascii="Times New Roman" w:hAnsi="Times New Roman"/>
          <w:lang w:val="lv-LV"/>
        </w:rPr>
      </w:pPr>
      <w:r>
        <w:rPr>
          <w:rFonts w:ascii="Times New Roman" w:hAnsi="Times New Roman"/>
          <w:lang w:val="lv-LV"/>
        </w:rPr>
        <w:t xml:space="preserve">Atklātā konkursa ietvaros finansējumu varēs saņemt komersanti tehnoloģiju intensīvās nozarēs, kuru darbība ir saistīta ar „zaļajām” inovācijām.  </w:t>
      </w:r>
    </w:p>
    <w:p w:rsidR="008C299C" w:rsidRPr="00AE40CC" w:rsidRDefault="00570BF0" w:rsidP="00DD2389">
      <w:pPr>
        <w:spacing w:after="0"/>
        <w:ind w:firstLine="576"/>
        <w:jc w:val="both"/>
        <w:rPr>
          <w:rFonts w:ascii="Times New Roman" w:hAnsi="Times New Roman"/>
          <w:lang w:val="lv-LV"/>
        </w:rPr>
      </w:pPr>
      <w:r>
        <w:rPr>
          <w:rFonts w:ascii="Times New Roman" w:hAnsi="Times New Roman"/>
          <w:lang w:val="lv-LV"/>
        </w:rPr>
        <w:t xml:space="preserve">Neliela apjoma grantu shēmas un </w:t>
      </w:r>
      <w:r w:rsidR="00181D20">
        <w:rPr>
          <w:rFonts w:ascii="Times New Roman" w:hAnsi="Times New Roman"/>
          <w:lang w:val="lv-LV"/>
        </w:rPr>
        <w:t>A</w:t>
      </w:r>
      <w:r>
        <w:rPr>
          <w:rFonts w:ascii="Times New Roman" w:hAnsi="Times New Roman"/>
          <w:lang w:val="lv-LV"/>
        </w:rPr>
        <w:t>tklāta konkursa ietvaros daļu no Programmas apsaimniekotāja funkcijām īstenos LIAA.</w:t>
      </w:r>
    </w:p>
    <w:p w:rsidR="00152320" w:rsidRPr="00AE40CC" w:rsidRDefault="00570BF0" w:rsidP="00A9482F">
      <w:pPr>
        <w:spacing w:after="0"/>
        <w:ind w:firstLine="576"/>
        <w:jc w:val="both"/>
        <w:rPr>
          <w:rFonts w:ascii="Times New Roman" w:hAnsi="Times New Roman"/>
          <w:lang w:val="lv-LV"/>
        </w:rPr>
      </w:pPr>
      <w:r>
        <w:rPr>
          <w:rFonts w:ascii="Times New Roman" w:hAnsi="Times New Roman"/>
          <w:lang w:val="lv-LV"/>
        </w:rPr>
        <w:t>Donorvalsts partnerības projekti būs daļa no Programmas. Papildu punktus vērtēšanas kritērijos saņems tie projekti, kas tiks ieviesti sadarbībā ar Norvēģijas institūcijām. Bez tam, viens no Tehnoloģiju inkubatora apsaimniekotājiem būs SIVA. Partnerības veicināšanai Programmas ietvaros ir paredzēti finanšu līdzekļi 206 624 lati (294 000 EUR), kas tiks izmantoti, lai organizētu vizītes uz Norvēģiju un Latviju, darba grupas utt.</w:t>
      </w:r>
    </w:p>
    <w:p w:rsidR="00A9482F" w:rsidRPr="00AE40CC" w:rsidRDefault="00570BF0" w:rsidP="00A9482F">
      <w:pPr>
        <w:spacing w:after="0"/>
        <w:ind w:firstLine="576"/>
        <w:jc w:val="both"/>
        <w:rPr>
          <w:rFonts w:ascii="Times New Roman" w:hAnsi="Times New Roman"/>
          <w:lang w:val="lv-LV"/>
        </w:rPr>
      </w:pPr>
      <w:r>
        <w:rPr>
          <w:rFonts w:ascii="Times New Roman" w:hAnsi="Times New Roman"/>
          <w:lang w:val="lv-LV"/>
        </w:rPr>
        <w:t>Programmas ietvaros sasniegto rezultātu izvērtēšanai svarīgi ir noteikt, cik lielā mērā tā ir veicinājusi abu plānoto rezultātu sasniegšanu: „Eiropas ekonomikas „zaļošanas” biznesa iespēju realizācija” un „</w:t>
      </w:r>
      <w:r>
        <w:rPr>
          <w:rFonts w:ascii="Times New Roman" w:hAnsi="Times New Roman"/>
          <w:bCs/>
          <w:lang w:val="lv-LV" w:eastAsia="lv-LV"/>
        </w:rPr>
        <w:t>Palielināta „zaļo” darbavietu radīšana un uzņēmējdarbība</w:t>
      </w:r>
      <w:r>
        <w:rPr>
          <w:rFonts w:ascii="Times New Roman" w:hAnsi="Times New Roman"/>
          <w:lang w:val="lv-LV"/>
        </w:rPr>
        <w:t>”. Atklātā konkursa mērķis ir sasniegt rezultātu „Eiropas ekonomikas „zaļošanas” biznesa iespēju realizācija”, savukārt neliela apjoma grantu shēmas un iepriekš noteiktā projekta mērķis ir sasniegt rezultātu „</w:t>
      </w:r>
      <w:r>
        <w:rPr>
          <w:rFonts w:ascii="Times New Roman" w:hAnsi="Times New Roman"/>
          <w:bCs/>
          <w:lang w:val="lv-LV" w:eastAsia="lv-LV"/>
        </w:rPr>
        <w:t>Palielināta „zaļo” darbavietu radīšana un uzņēmējdarbība</w:t>
      </w:r>
      <w:r>
        <w:rPr>
          <w:rFonts w:ascii="Times New Roman" w:hAnsi="Times New Roman"/>
          <w:lang w:val="lv-LV"/>
        </w:rPr>
        <w:t xml:space="preserve">”. </w:t>
      </w:r>
    </w:p>
    <w:p w:rsidR="00A9482F" w:rsidRPr="00AE40CC" w:rsidRDefault="00570BF0" w:rsidP="006D4719">
      <w:pPr>
        <w:spacing w:after="0"/>
        <w:ind w:firstLine="576"/>
        <w:jc w:val="both"/>
        <w:rPr>
          <w:rFonts w:ascii="Times New Roman" w:hAnsi="Times New Roman"/>
          <w:lang w:val="lv-LV"/>
        </w:rPr>
      </w:pPr>
      <w:r>
        <w:rPr>
          <w:rFonts w:ascii="Times New Roman" w:hAnsi="Times New Roman"/>
          <w:lang w:val="lv-LV"/>
        </w:rPr>
        <w:lastRenderedPageBreak/>
        <w:t>EM, LIAA un Norvēģijas Inovāciju aģentūra nodrošinās publicitātes pasākumus. Informācija par Programmu būs pieejama arī EM un LIAA tīmekļa vietnē, kā arī atsevišķā Eiropas Ekonomiskās Zonas un Norvēģijas finanšu instrumentu tīmekļa vietnē, kuru administrē Vadošā iestāde (Finanšu Ministrija, turpmāk tekstā - VI). Norvēģijā Programmas atpazīstamību palīdzēs veicināt Norvēģijas Inovāciju aģentūra un SIVA.</w:t>
      </w:r>
    </w:p>
    <w:p w:rsidR="00A9482F" w:rsidRPr="00AE40CC" w:rsidRDefault="00570BF0" w:rsidP="00A9482F">
      <w:pPr>
        <w:pStyle w:val="Heading2"/>
        <w:rPr>
          <w:rFonts w:ascii="Times New Roman" w:hAnsi="Times New Roman"/>
          <w:sz w:val="22"/>
          <w:szCs w:val="22"/>
          <w:lang w:val="lv-LV"/>
        </w:rPr>
      </w:pPr>
      <w:r>
        <w:rPr>
          <w:rFonts w:ascii="Times New Roman" w:hAnsi="Times New Roman"/>
          <w:sz w:val="22"/>
          <w:szCs w:val="22"/>
          <w:lang w:val="lv-LV"/>
        </w:rPr>
        <w:t>Pamatinformācija</w:t>
      </w:r>
    </w:p>
    <w:p w:rsidR="00A9482F" w:rsidRPr="00AE40CC" w:rsidRDefault="00570BF0" w:rsidP="00A9482F">
      <w:pPr>
        <w:rPr>
          <w:rFonts w:ascii="Times New Roman" w:hAnsi="Times New Roman"/>
          <w:lang w:val="lv-LV"/>
        </w:rPr>
      </w:pPr>
      <w:r>
        <w:rPr>
          <w:rFonts w:ascii="Times New Roman" w:hAnsi="Times New Roman"/>
          <w:b/>
          <w:lang w:val="lv-LV"/>
        </w:rPr>
        <w:t xml:space="preserve">Tiek sniegta pamatinformācija par Programmu, lai programmu varētu atpazīt. </w:t>
      </w:r>
    </w:p>
    <w:p w:rsidR="00A9482F" w:rsidRPr="00AE40CC" w:rsidRDefault="00570BF0" w:rsidP="00AA6D03">
      <w:pPr>
        <w:numPr>
          <w:ilvl w:val="0"/>
          <w:numId w:val="3"/>
        </w:numPr>
        <w:spacing w:after="0" w:line="276" w:lineRule="auto"/>
        <w:rPr>
          <w:rFonts w:ascii="Times New Roman" w:hAnsi="Times New Roman"/>
          <w:lang w:val="lv-LV"/>
        </w:rPr>
      </w:pPr>
      <w:r>
        <w:rPr>
          <w:rFonts w:ascii="Times New Roman" w:hAnsi="Times New Roman"/>
          <w:lang w:val="lv-LV"/>
        </w:rPr>
        <w:t xml:space="preserve">Programmas nosaukums: </w:t>
      </w:r>
      <w:r>
        <w:rPr>
          <w:rFonts w:ascii="Times New Roman" w:hAnsi="Times New Roman"/>
          <w:b/>
          <w:lang w:val="lv-LV"/>
        </w:rPr>
        <w:t>Inovācijas „zaļās” ražošanas jomā</w:t>
      </w:r>
      <w:r>
        <w:rPr>
          <w:rFonts w:ascii="Times New Roman" w:hAnsi="Times New Roman"/>
          <w:lang w:val="lv-LV"/>
        </w:rPr>
        <w:t xml:space="preserve"> </w:t>
      </w:r>
    </w:p>
    <w:p w:rsidR="00A9482F" w:rsidRPr="00AE40CC" w:rsidRDefault="00570BF0" w:rsidP="00AA6D03">
      <w:pPr>
        <w:numPr>
          <w:ilvl w:val="0"/>
          <w:numId w:val="3"/>
        </w:numPr>
        <w:spacing w:after="0" w:line="276" w:lineRule="auto"/>
        <w:rPr>
          <w:rFonts w:ascii="Times New Roman" w:hAnsi="Times New Roman"/>
          <w:lang w:val="lv-LV"/>
        </w:rPr>
      </w:pPr>
      <w:r>
        <w:rPr>
          <w:rFonts w:ascii="Times New Roman" w:hAnsi="Times New Roman"/>
          <w:lang w:val="lv-LV"/>
        </w:rPr>
        <w:t xml:space="preserve">Programmas joma (atsauce uz SM): </w:t>
      </w:r>
      <w:r>
        <w:rPr>
          <w:rFonts w:ascii="Times New Roman" w:hAnsi="Times New Roman"/>
          <w:b/>
          <w:lang w:val="lv-LV"/>
        </w:rPr>
        <w:t>Inovācijas „zaļās” ražošanas jomā</w:t>
      </w:r>
      <w:r>
        <w:rPr>
          <w:rFonts w:ascii="Times New Roman" w:hAnsi="Times New Roman"/>
          <w:lang w:val="lv-LV"/>
        </w:rPr>
        <w:t xml:space="preserve"> </w:t>
      </w:r>
    </w:p>
    <w:p w:rsidR="00A9482F" w:rsidRPr="00AE40CC" w:rsidRDefault="00570BF0" w:rsidP="00AA6D03">
      <w:pPr>
        <w:numPr>
          <w:ilvl w:val="0"/>
          <w:numId w:val="3"/>
        </w:numPr>
        <w:spacing w:after="0" w:line="276" w:lineRule="auto"/>
        <w:rPr>
          <w:rFonts w:ascii="Times New Roman" w:hAnsi="Times New Roman"/>
          <w:lang w:val="lv-LV"/>
        </w:rPr>
      </w:pPr>
      <w:r>
        <w:rPr>
          <w:rFonts w:ascii="Times New Roman" w:hAnsi="Times New Roman"/>
          <w:lang w:val="lv-LV"/>
        </w:rPr>
        <w:t xml:space="preserve">Programmas apsaimniekotāja nosaukums: </w:t>
      </w:r>
      <w:r>
        <w:rPr>
          <w:rFonts w:ascii="Times New Roman" w:hAnsi="Times New Roman"/>
          <w:b/>
          <w:lang w:val="lv-LV"/>
        </w:rPr>
        <w:t>Latvijas Republikas Ekonomikas ministrija</w:t>
      </w:r>
      <w:r>
        <w:rPr>
          <w:rFonts w:ascii="Times New Roman" w:hAnsi="Times New Roman"/>
          <w:lang w:val="lv-LV"/>
        </w:rPr>
        <w:t xml:space="preserve"> </w:t>
      </w:r>
    </w:p>
    <w:p w:rsidR="00A9482F" w:rsidRPr="00AE40CC" w:rsidRDefault="00570BF0" w:rsidP="00AA6D03">
      <w:pPr>
        <w:numPr>
          <w:ilvl w:val="0"/>
          <w:numId w:val="3"/>
        </w:numPr>
        <w:spacing w:after="0" w:line="276" w:lineRule="auto"/>
        <w:rPr>
          <w:rFonts w:ascii="Times New Roman" w:hAnsi="Times New Roman"/>
          <w:lang w:val="lv-LV"/>
        </w:rPr>
      </w:pPr>
      <w:r>
        <w:rPr>
          <w:rFonts w:ascii="Times New Roman" w:hAnsi="Times New Roman"/>
          <w:lang w:val="lv-LV"/>
        </w:rPr>
        <w:t xml:space="preserve">Programmas partnera nosaukums un izcelsmes valsts (ja tāds ir): </w:t>
      </w:r>
      <w:r>
        <w:rPr>
          <w:rFonts w:ascii="Times New Roman" w:hAnsi="Times New Roman"/>
          <w:b/>
          <w:lang w:val="lv-LV"/>
        </w:rPr>
        <w:t>Norvēģijas Inovāciju aģentūra (Norvēģija).</w:t>
      </w:r>
    </w:p>
    <w:p w:rsidR="00A9482F" w:rsidRPr="00AE40CC" w:rsidRDefault="00570BF0" w:rsidP="00A9482F">
      <w:pPr>
        <w:pStyle w:val="Heading2"/>
        <w:rPr>
          <w:rFonts w:ascii="Times New Roman" w:hAnsi="Times New Roman"/>
          <w:sz w:val="22"/>
          <w:szCs w:val="22"/>
          <w:lang w:val="lv-LV"/>
        </w:rPr>
      </w:pPr>
      <w:r>
        <w:rPr>
          <w:rFonts w:ascii="Times New Roman" w:hAnsi="Times New Roman"/>
          <w:sz w:val="22"/>
          <w:szCs w:val="22"/>
          <w:lang w:val="lv-LV"/>
        </w:rPr>
        <w:t>Programmas svarīgums</w:t>
      </w:r>
    </w:p>
    <w:p w:rsidR="00A9482F" w:rsidRPr="00AE40CC" w:rsidRDefault="00570BF0" w:rsidP="00E04A53">
      <w:pPr>
        <w:spacing w:after="0"/>
        <w:rPr>
          <w:rFonts w:ascii="Times New Roman" w:hAnsi="Times New Roman"/>
          <w:b/>
          <w:lang w:val="lv-LV"/>
        </w:rPr>
      </w:pPr>
      <w:r>
        <w:rPr>
          <w:rFonts w:ascii="Times New Roman" w:hAnsi="Times New Roman"/>
          <w:b/>
          <w:lang w:val="lv-LV"/>
        </w:rPr>
        <w:t>Aprakstīt, kā plānotā Programma atbilst:</w:t>
      </w:r>
    </w:p>
    <w:p w:rsidR="00A9482F" w:rsidRPr="00AE40CC" w:rsidRDefault="00570BF0" w:rsidP="00E64A17">
      <w:pPr>
        <w:pStyle w:val="ListParagraph"/>
        <w:numPr>
          <w:ilvl w:val="0"/>
          <w:numId w:val="2"/>
        </w:numPr>
        <w:spacing w:after="0"/>
        <w:jc w:val="both"/>
        <w:rPr>
          <w:shd w:val="clear" w:color="auto" w:fill="FFFF00"/>
          <w:lang w:val="lv-LV"/>
        </w:rPr>
      </w:pPr>
      <w:r>
        <w:rPr>
          <w:rFonts w:ascii="Times New Roman" w:hAnsi="Times New Roman"/>
          <w:b/>
          <w:lang w:val="lv-LV"/>
        </w:rPr>
        <w:t>vispārīgiem EEZ Finanšu instrumenta vai Norvēģijas Finanšu instrumenta mērķiem</w:t>
      </w:r>
      <w:r>
        <w:rPr>
          <w:b/>
          <w:lang w:val="lv-LV"/>
        </w:rPr>
        <w:t xml:space="preserve"> </w:t>
      </w:r>
    </w:p>
    <w:p w:rsidR="00A9482F" w:rsidRPr="00AE40CC" w:rsidRDefault="00570BF0" w:rsidP="00596A6E">
      <w:pPr>
        <w:spacing w:after="0"/>
        <w:ind w:firstLine="426"/>
        <w:jc w:val="both"/>
        <w:rPr>
          <w:rFonts w:ascii="Times New Roman" w:hAnsi="Times New Roman"/>
          <w:lang w:val="lv-LV"/>
        </w:rPr>
      </w:pPr>
      <w:r>
        <w:rPr>
          <w:rFonts w:ascii="Times New Roman" w:hAnsi="Times New Roman"/>
          <w:lang w:val="lv-LV"/>
        </w:rPr>
        <w:t>Programmas iesniegumā ir noteikts, ka Programmas ietvaros tiks atbalstīta zināšanu ietilpīgu komersantu izveide un jau esošu komersantu tālākās attīstības veicināšana. Atbalsts šādiem komersantiem veicinās jaunu „zaļo” darba vietu radīšanu un esošo saglabāšanu un veidotu pamatu stabilai un ilgtspējīgai „zaļo” nozaru attīstīb</w:t>
      </w:r>
      <w:r w:rsidR="00D872B7">
        <w:rPr>
          <w:rFonts w:ascii="Times New Roman" w:hAnsi="Times New Roman"/>
          <w:lang w:val="lv-LV"/>
        </w:rPr>
        <w:t>ai Latvijā. Ņemot vērā iepriekš</w:t>
      </w:r>
      <w:r>
        <w:rPr>
          <w:rFonts w:ascii="Times New Roman" w:hAnsi="Times New Roman"/>
          <w:lang w:val="lv-LV"/>
        </w:rPr>
        <w:t>minēto, Programma labvēlīgi ietekmēs ekonomisko un sociālo atšķirību mazināšanos Eiropas Ekonomikas zonā.</w:t>
      </w:r>
    </w:p>
    <w:p w:rsidR="00A9482F" w:rsidRPr="00AE40CC" w:rsidRDefault="00570BF0" w:rsidP="0072048C">
      <w:pPr>
        <w:spacing w:after="0"/>
        <w:ind w:firstLine="426"/>
        <w:jc w:val="both"/>
        <w:rPr>
          <w:rFonts w:ascii="Times New Roman" w:hAnsi="Times New Roman"/>
          <w:lang w:val="lv-LV"/>
        </w:rPr>
      </w:pPr>
      <w:r>
        <w:rPr>
          <w:rFonts w:ascii="Times New Roman" w:hAnsi="Times New Roman"/>
          <w:lang w:val="lv-LV"/>
        </w:rPr>
        <w:t xml:space="preserve">Programmas ietvaros tiks stiprināta sadarbība ar Norvēģiju, jo Programmas ieviešana notiks partnerībā ar Norvēģijas Inovāciju aģentūru. Kā DPP Norvēģijas Inovāciju aģentūra nodrošinās savu pieredzi un zināšanas, kas gūtas, ieviešot līdzīgas programmas, un palīdzēs veicināt Programmas atpazīstamību Norvēģijā. Nozīmīga loma projektā ir paredzēta SIVA, kam jau ir pieredze tehnoloģiju inkubatoru izveidē, un tā ir līdzīgu projektu jau ieviesusi Ogrē (Latvijā). Turklāt Norvēģijas un Latvijas pārstāvju apmaiņas braucieni, semināri stiprinās sadarbību starp komersantiem, kam piemīt būtiska nozīme Norvēģijas un Latvijas divpusējo attiecību veicināšanā.  </w:t>
      </w:r>
    </w:p>
    <w:p w:rsidR="00A9482F" w:rsidRPr="00AE40CC" w:rsidRDefault="00570BF0" w:rsidP="00A9482F">
      <w:pPr>
        <w:numPr>
          <w:ilvl w:val="0"/>
          <w:numId w:val="2"/>
        </w:numPr>
        <w:spacing w:after="0"/>
        <w:rPr>
          <w:rFonts w:ascii="Times New Roman" w:hAnsi="Times New Roman"/>
          <w:b/>
          <w:lang w:val="lv-LV"/>
        </w:rPr>
      </w:pPr>
      <w:r>
        <w:rPr>
          <w:rFonts w:ascii="Times New Roman" w:hAnsi="Times New Roman"/>
          <w:b/>
          <w:lang w:val="lv-LV"/>
        </w:rPr>
        <w:t xml:space="preserve">attiecīgās programmas kopējam mērķim, un </w:t>
      </w:r>
    </w:p>
    <w:p w:rsidR="00A9482F" w:rsidRPr="00AE40CC" w:rsidRDefault="00570BF0" w:rsidP="00DE5983">
      <w:pPr>
        <w:spacing w:after="0"/>
        <w:ind w:firstLine="567"/>
        <w:jc w:val="both"/>
        <w:rPr>
          <w:rFonts w:ascii="Times New Roman" w:hAnsi="Times New Roman"/>
          <w:lang w:val="lv-LV"/>
        </w:rPr>
      </w:pPr>
      <w:r>
        <w:rPr>
          <w:rFonts w:ascii="Times New Roman" w:hAnsi="Times New Roman"/>
          <w:lang w:val="lv-LV"/>
        </w:rPr>
        <w:t xml:space="preserve">Programma ir paredzēta, lai uzlabotu situāciju Latvijas tehnoloģiju intensīvajās  nozarēs, motivējot un iedrošinot cilvēkus iesaistīties uzņēmējdarbībā, kas saistīta ar „zaļo” nozaru attīstību un veicinot jau esošo komersantu tālāku attīstību. Programmas ietvaros izveidos Tehnoloģiju inkubatoru, kas nodrošinās atbalstu komersantiem, kuri specializējas tehnoloģiju intensīvajās nozarēs un kuru mērķis ir efektīvi izmantot materiālu un enerģijas resursus. Komersantiem būs jāpierāda ne tikai pārliecinošs biznesa izaugsmes potenciāls, bet to iesniegtajam projektam būs jābūt tieši orientētam, lai nodrošinātu pozitīvu ietekmi uz vidi. Šādi paši nosacījumi attieksies arī uz fiziskām personām ar mērķi uzsākt saimniecisko darbību. Bez tam zinātnisko institūciju dalība Programmā nodrošinās būtisku intelektuālo kapacitāti, kas, potenciāli, varētu radīt būtiskus uzlabojumus inovācijās „zaļo” tehnoloģiju jomā. Programmas ieviešanas gaitā ir paredzēts izstrādāt jaunus un inovatīvus produktus un tehnoloģijas, kas labvēlīgi ietekmēs „zaļās” ražošanas nozares attīstību. </w:t>
      </w:r>
    </w:p>
    <w:p w:rsidR="00A9482F" w:rsidRPr="00AE40CC" w:rsidRDefault="00570BF0" w:rsidP="00A9482F">
      <w:pPr>
        <w:numPr>
          <w:ilvl w:val="0"/>
          <w:numId w:val="2"/>
        </w:numPr>
        <w:spacing w:after="0"/>
        <w:rPr>
          <w:rFonts w:ascii="Times New Roman" w:hAnsi="Times New Roman"/>
          <w:lang w:val="lv-LV"/>
        </w:rPr>
      </w:pPr>
      <w:r>
        <w:rPr>
          <w:rFonts w:ascii="Times New Roman" w:hAnsi="Times New Roman"/>
          <w:b/>
          <w:lang w:val="lv-LV"/>
        </w:rPr>
        <w:t xml:space="preserve">tiesību aktiem un valsts prioritātēm </w:t>
      </w:r>
    </w:p>
    <w:p w:rsidR="00DE5983" w:rsidRPr="00AE40CC" w:rsidRDefault="00570BF0" w:rsidP="00DE5983">
      <w:pPr>
        <w:pStyle w:val="NoSpacing"/>
        <w:ind w:firstLine="567"/>
        <w:jc w:val="both"/>
        <w:rPr>
          <w:rFonts w:ascii="Times New Roman" w:hAnsi="Times New Roman"/>
          <w:lang w:val="lv-LV"/>
        </w:rPr>
      </w:pPr>
      <w:r>
        <w:rPr>
          <w:rFonts w:ascii="Times New Roman" w:hAnsi="Times New Roman"/>
          <w:lang w:val="lv-LV"/>
        </w:rPr>
        <w:t>Latvijas Nacionālajā attīstības plānā</w:t>
      </w:r>
      <w:r>
        <w:rPr>
          <w:rFonts w:ascii="Times New Roman" w:hAnsi="Times New Roman"/>
          <w:color w:val="000000"/>
          <w:lang w:val="lv-LV"/>
        </w:rPr>
        <w:t xml:space="preserve"> 2007.-2013. gadam</w:t>
      </w:r>
      <w:r>
        <w:rPr>
          <w:rFonts w:ascii="Times New Roman" w:hAnsi="Times New Roman"/>
          <w:lang w:val="lv-LV"/>
        </w:rPr>
        <w:t xml:space="preserve"> ir noteikts – lai nodrošinātu Latvijas konkurētspēju starptautiskajos tirgos, Latvijas ekonomikai ir jābalstās uz tehnoloģiski izciliem lieliem, vidējiem un maziem komersantiem, kas spēj elastīgi pielāgoties globālām un </w:t>
      </w:r>
      <w:r>
        <w:rPr>
          <w:rFonts w:ascii="Times New Roman" w:hAnsi="Times New Roman"/>
          <w:lang w:val="lv-LV"/>
        </w:rPr>
        <w:lastRenderedPageBreak/>
        <w:t>nacionālām tautsaimniecības izmaiņām. Tas apstiprina nepieciešamību veicināt jaunu augstas pievienotās vērtības komersantu dibināšanu un nepieciešamību atbalstīt pāreju uz augstas pievienotās vērtības produktu ražošanu esošajos komersantos. Šādas prioritātes ir uzsvērtas arī „</w:t>
      </w:r>
      <w:r>
        <w:rPr>
          <w:rStyle w:val="Emphasis"/>
          <w:rFonts w:ascii="Times New Roman" w:eastAsia="Calibri" w:hAnsi="Times New Roman"/>
          <w:b w:val="0"/>
          <w:lang w:val="lv-LV"/>
        </w:rPr>
        <w:t>Latvijas nacionālā reformu</w:t>
      </w:r>
      <w:r>
        <w:rPr>
          <w:rStyle w:val="st"/>
          <w:rFonts w:ascii="Times New Roman" w:eastAsia="Calibri" w:hAnsi="Times New Roman"/>
          <w:lang w:val="lv-LV"/>
        </w:rPr>
        <w:t xml:space="preserve"> programma „ES 2020” stratēģijas īstenošanai</w:t>
      </w:r>
      <w:r>
        <w:rPr>
          <w:rFonts w:ascii="Times New Roman" w:hAnsi="Times New Roman"/>
          <w:lang w:val="lv-LV"/>
        </w:rPr>
        <w:t>”</w:t>
      </w:r>
      <w:r w:rsidR="00551C91">
        <w:rPr>
          <w:rFonts w:ascii="Times New Roman" w:hAnsi="Times New Roman"/>
          <w:lang w:val="lv-LV"/>
        </w:rPr>
        <w:t xml:space="preserve"> (EM, apstiprināts 2010.gada 16.novembrī)</w:t>
      </w:r>
      <w:r>
        <w:rPr>
          <w:rFonts w:ascii="Times New Roman" w:hAnsi="Times New Roman"/>
          <w:lang w:val="lv-LV"/>
        </w:rPr>
        <w:t>– kur ir minēts, ka, lai veicinātu konkurētspēju, Latvijai ir jāsniedz papildus atbalsts jaunu produktu un tehnoloģiju ražošanai un jāatbalsta ieguldījumu veikšana pamatlīdzekļos. Finansējuma nepieciešamība ir uzsvērta arī „Komercdarbības konkurētspējas un inovācijas veicināšanas programma 2007. – 2013.gadam”</w:t>
      </w:r>
      <w:r w:rsidR="00997A3E">
        <w:rPr>
          <w:rFonts w:ascii="Times New Roman" w:hAnsi="Times New Roman"/>
          <w:lang w:val="lv-LV"/>
        </w:rPr>
        <w:t xml:space="preserve"> (apstiprināta ar Ministru kabineta 2007.gada 28.jūnija rīkojumu Nr.406)</w:t>
      </w:r>
      <w:r>
        <w:rPr>
          <w:rFonts w:ascii="Times New Roman" w:hAnsi="Times New Roman"/>
          <w:lang w:val="lv-LV"/>
        </w:rPr>
        <w:t>. Minētajā programmā ir noteikts – lai Latvijā veidotu ilgtspējīgu ekonomiku, ir jānodrošina labvēlīgi nosacījumi jaunu komersantu dibināšanai, jāpaaugstina to konkurētspēja un jāsamazina sociālās atšķirības. Tas ir sasniedzams, nodrošinot pieeju finansējumam un paaugstinot komersantu inovatīvo kapacitāti, attīstot labvēlīgu institucionālo vidi un uzlabojot sadarbību starp privāto un zinātnes sektoru. Turklāt būtiska uzmanība ir jāvelta industriālajai attīstībai, jo joprojām ir nepieciešams paaugstināt jaunu tehnoloģiju un zināšanu pārneses apgūšanas līmeņus. Programmas īstenošana tiešā veidā atbilst augstāk minētajām valsts prioritātēm.</w:t>
      </w:r>
    </w:p>
    <w:p w:rsidR="00401CF4" w:rsidRDefault="00570BF0" w:rsidP="00401CF4">
      <w:pPr>
        <w:pStyle w:val="NoSpacing"/>
        <w:ind w:firstLine="567"/>
        <w:jc w:val="both"/>
        <w:rPr>
          <w:rFonts w:ascii="Times New Roman" w:hAnsi="Times New Roman"/>
          <w:lang w:val="lv-LV"/>
        </w:rPr>
      </w:pPr>
      <w:r>
        <w:rPr>
          <w:rFonts w:ascii="Times New Roman" w:hAnsi="Times New Roman"/>
          <w:lang w:val="lv-LV"/>
        </w:rPr>
        <w:t xml:space="preserve">Dažādu tirgus nepilnību dēļ ir nepieciešams sniegt lielāku atbalstu inovāciju vadības kritiskajiem posmiem, piemēram, uzņēmējdarbības un tehnoloģijas ideju un produktu attīstībai. Jaunu, konkurētspējīgu komersantu izveide ne tikai paaugstinās iekšējo konkurenci, bet arī veicinās straujāku zināšanu pielietošanu komersantos. Turklāt, masveida radošums un inovācijas ir viens no „Latvijas ilgtspējīgas attīstības stratēģijas Latvija 2030” mērķiem. </w:t>
      </w:r>
    </w:p>
    <w:p w:rsidR="00A62A8F" w:rsidRPr="00401CF4" w:rsidRDefault="00570BF0" w:rsidP="00401CF4">
      <w:pPr>
        <w:pStyle w:val="NoSpacing"/>
        <w:ind w:firstLine="567"/>
        <w:jc w:val="both"/>
        <w:rPr>
          <w:rFonts w:ascii="Times New Roman" w:hAnsi="Times New Roman"/>
          <w:lang w:val="lv-LV"/>
        </w:rPr>
      </w:pPr>
      <w:r w:rsidRPr="00520F75">
        <w:rPr>
          <w:rFonts w:ascii="Times New Roman" w:hAnsi="Times New Roman"/>
          <w:lang w:val="lv-LV"/>
        </w:rPr>
        <w:t xml:space="preserve">Latvija ir sasniegusi ievērojamus rezultātus koksnes ražošanas nozarē, ķīmijas nozarē, informācijas un komunikāciju tehnoloģijas nozarē, elektronisko un optisko produktu nozarē, kā arī metāla un mašīnbūves nozarēs. Šīs nozares ir atzītas kā vienas no prioritārajām Latvijas nozarēm </w:t>
      </w:r>
      <w:r w:rsidR="00E00F6B">
        <w:rPr>
          <w:rFonts w:ascii="Times New Roman" w:hAnsi="Times New Roman"/>
        </w:rPr>
        <w:t>i</w:t>
      </w:r>
      <w:r w:rsidR="00E00F6B" w:rsidRPr="00520F75">
        <w:rPr>
          <w:rFonts w:ascii="Times New Roman" w:hAnsi="Times New Roman"/>
        </w:rPr>
        <w:t>nformatīva</w:t>
      </w:r>
      <w:r w:rsidR="00401CF4">
        <w:rPr>
          <w:rFonts w:ascii="Times New Roman" w:hAnsi="Times New Roman"/>
        </w:rPr>
        <w:t>jā</w:t>
      </w:r>
      <w:r w:rsidR="00E00F6B" w:rsidRPr="00520F75">
        <w:rPr>
          <w:rFonts w:ascii="Times New Roman" w:hAnsi="Times New Roman"/>
        </w:rPr>
        <w:t xml:space="preserve"> </w:t>
      </w:r>
      <w:r w:rsidR="00401CF4">
        <w:rPr>
          <w:rFonts w:ascii="Times New Roman" w:hAnsi="Times New Roman"/>
        </w:rPr>
        <w:t>ziņojumā</w:t>
      </w:r>
      <w:r w:rsidR="00520F75">
        <w:rPr>
          <w:rFonts w:ascii="Times New Roman" w:hAnsi="Times New Roman"/>
        </w:rPr>
        <w:t xml:space="preserve"> </w:t>
      </w:r>
      <w:r w:rsidR="00E00F6B">
        <w:rPr>
          <w:rFonts w:ascii="Times New Roman" w:hAnsi="Times New Roman"/>
          <w:lang w:val="lv-LV"/>
        </w:rPr>
        <w:t>„</w:t>
      </w:r>
      <w:r w:rsidR="00E00F6B">
        <w:rPr>
          <w:rFonts w:ascii="Times New Roman" w:hAnsi="Times New Roman"/>
        </w:rPr>
        <w:t>P</w:t>
      </w:r>
      <w:r w:rsidR="00E00F6B" w:rsidRPr="00520F75">
        <w:rPr>
          <w:rFonts w:ascii="Times New Roman" w:hAnsi="Times New Roman"/>
        </w:rPr>
        <w:t xml:space="preserve">ar </w:t>
      </w:r>
      <w:r w:rsidR="00520F75" w:rsidRPr="00520F75">
        <w:rPr>
          <w:rFonts w:ascii="Times New Roman" w:hAnsi="Times New Roman"/>
        </w:rPr>
        <w:t>ekonomikas atveseļošanas politikas virzieniem vidēja termiņa periodā</w:t>
      </w:r>
      <w:r w:rsidR="00520F75">
        <w:rPr>
          <w:rFonts w:ascii="Times New Roman" w:hAnsi="Times New Roman"/>
        </w:rPr>
        <w:t>”</w:t>
      </w:r>
      <w:r w:rsidR="00C66C5E" w:rsidRPr="00C66C5E">
        <w:rPr>
          <w:rFonts w:ascii="Times New Roman" w:hAnsi="Times New Roman"/>
        </w:rPr>
        <w:t xml:space="preserve"> </w:t>
      </w:r>
      <w:r w:rsidR="00C66C5E">
        <w:rPr>
          <w:rFonts w:ascii="Times New Roman" w:hAnsi="Times New Roman"/>
        </w:rPr>
        <w:t>(EM, apstiprināts 2009.gada 10.novembr</w:t>
      </w:r>
      <w:r w:rsidR="00896A55">
        <w:rPr>
          <w:rFonts w:ascii="Times New Roman" w:hAnsi="Times New Roman"/>
        </w:rPr>
        <w:t>ī</w:t>
      </w:r>
      <w:r w:rsidR="00C66C5E">
        <w:rPr>
          <w:rFonts w:ascii="Times New Roman" w:hAnsi="Times New Roman"/>
        </w:rPr>
        <w:t>)</w:t>
      </w:r>
      <w:r w:rsidRPr="00520F75">
        <w:rPr>
          <w:rFonts w:ascii="Times New Roman" w:hAnsi="Times New Roman"/>
          <w:lang w:val="lv-LV"/>
        </w:rPr>
        <w:t xml:space="preserve">. </w:t>
      </w:r>
      <w:r>
        <w:rPr>
          <w:rFonts w:ascii="Times New Roman" w:hAnsi="Times New Roman"/>
          <w:lang w:val="lv-LV"/>
        </w:rPr>
        <w:t>Šajā ziņojumā eksperti no Latvijas Bankas un EM minētās nozares atzina par nozarēm ar augstāko pievienoto vērtību, lielāko starpnozaru ietekmi un lielāko sagaidāmo izaugsmes potenciālu. Turklāt, minētājām nozarēm Latvijā piemīt ilglaicīgas tradīcijas ar ievērojamu intelektuālo kapitālu.</w:t>
      </w:r>
    </w:p>
    <w:p w:rsidR="00EE3D25" w:rsidRPr="00AE40CC" w:rsidRDefault="00570BF0" w:rsidP="00A62A8F">
      <w:pPr>
        <w:spacing w:after="0"/>
        <w:ind w:firstLine="283"/>
        <w:jc w:val="both"/>
        <w:rPr>
          <w:rFonts w:ascii="Times New Roman" w:hAnsi="Times New Roman"/>
          <w:color w:val="000000"/>
          <w:lang w:val="lv-LV" w:eastAsia="lv-LV"/>
        </w:rPr>
      </w:pPr>
      <w:r>
        <w:rPr>
          <w:rFonts w:ascii="Times New Roman" w:hAnsi="Times New Roman"/>
          <w:lang w:val="lv-LV"/>
        </w:rPr>
        <w:t>Ilgtspējīga izaugsme</w:t>
      </w:r>
      <w:r w:rsidR="00971065" w:rsidRPr="00AE40CC">
        <w:rPr>
          <w:rStyle w:val="FootnoteReference"/>
          <w:rFonts w:ascii="Times New Roman" w:hAnsi="Times New Roman"/>
          <w:lang w:val="lv-LV"/>
        </w:rPr>
        <w:footnoteReference w:id="2"/>
      </w:r>
      <w:r w:rsidR="0032194B" w:rsidRPr="00AE40CC">
        <w:rPr>
          <w:rFonts w:ascii="Times New Roman" w:hAnsi="Times New Roman"/>
          <w:lang w:val="lv-LV"/>
        </w:rPr>
        <w:t xml:space="preserve"> ir viena no ES 2020 stratēģijas prioritātēm</w:t>
      </w:r>
      <w:r w:rsidR="00C6001F" w:rsidRPr="00AE40CC">
        <w:rPr>
          <w:rFonts w:ascii="Times New Roman" w:hAnsi="Times New Roman"/>
          <w:lang w:val="lv-LV"/>
        </w:rPr>
        <w:t>.</w:t>
      </w:r>
      <w:r w:rsidR="00A62A8F" w:rsidRPr="00AE40CC">
        <w:rPr>
          <w:rFonts w:ascii="Times New Roman" w:hAnsi="Times New Roman"/>
          <w:lang w:val="lv-LV"/>
        </w:rPr>
        <w:t xml:space="preserve"> </w:t>
      </w:r>
      <w:r w:rsidR="0032194B" w:rsidRPr="00AE40CC">
        <w:rPr>
          <w:rFonts w:ascii="Times New Roman" w:hAnsi="Times New Roman"/>
          <w:lang w:val="lv-LV"/>
        </w:rPr>
        <w:t xml:space="preserve">Šīs stratēģijas mērķis ir stiprināt Eiropas vadošās pozīcijas jaunu </w:t>
      </w:r>
      <w:r>
        <w:rPr>
          <w:rFonts w:ascii="Times New Roman" w:hAnsi="Times New Roman"/>
          <w:lang w:val="lv-LV"/>
        </w:rPr>
        <w:t>„zaļo” tehnoloģiju un ražošanas metožu attīstībā</w:t>
      </w:r>
      <w:r>
        <w:rPr>
          <w:rFonts w:ascii="Times New Roman" w:hAnsi="Times New Roman"/>
          <w:color w:val="000000"/>
          <w:lang w:val="lv-LV" w:eastAsia="lv-LV"/>
        </w:rPr>
        <w:t xml:space="preserve">. </w:t>
      </w:r>
    </w:p>
    <w:p w:rsidR="003D760D" w:rsidRPr="00AE40CC" w:rsidRDefault="00570BF0" w:rsidP="003D760D">
      <w:pPr>
        <w:spacing w:after="0"/>
        <w:ind w:firstLine="283"/>
        <w:jc w:val="both"/>
        <w:rPr>
          <w:rFonts w:ascii="Times New Roman" w:hAnsi="Times New Roman"/>
          <w:lang w:val="lv-LV"/>
        </w:rPr>
      </w:pPr>
      <w:r>
        <w:rPr>
          <w:rFonts w:ascii="Times New Roman" w:hAnsi="Times New Roman"/>
          <w:color w:val="000000"/>
          <w:lang w:val="lv-LV" w:eastAsia="lv-LV"/>
        </w:rPr>
        <w:t xml:space="preserve">Komisijas paziņojums Eiropas Parlamentam, Padomei, Eiropas Ekonomikas un sociālo lietu komitejai un Reģionu komitejai </w:t>
      </w:r>
      <w:r>
        <w:rPr>
          <w:rFonts w:ascii="Times New Roman" w:hAnsi="Times New Roman"/>
          <w:lang w:val="lv-LV"/>
        </w:rPr>
        <w:t>„</w:t>
      </w:r>
      <w:bookmarkStart w:id="10" w:name="content"/>
      <w:r>
        <w:rPr>
          <w:rStyle w:val="Strong"/>
          <w:rFonts w:ascii="Times New Roman" w:eastAsia="Calibri" w:hAnsi="Times New Roman"/>
          <w:b w:val="0"/>
          <w:lang w:val="lv-LV"/>
        </w:rPr>
        <w:t>Inovācija ilgtspējīgai nākotnei</w:t>
      </w:r>
      <w:r w:rsidR="004934A7">
        <w:rPr>
          <w:rStyle w:val="Strong"/>
          <w:rFonts w:ascii="Times New Roman" w:eastAsia="Calibri" w:hAnsi="Times New Roman"/>
          <w:b w:val="0"/>
          <w:lang w:val="lv-LV"/>
        </w:rPr>
        <w:t xml:space="preserve"> - </w:t>
      </w:r>
      <w:proofErr w:type="spellStart"/>
      <w:r w:rsidR="004934A7">
        <w:rPr>
          <w:rStyle w:val="Strong"/>
          <w:rFonts w:ascii="Times New Roman" w:eastAsia="Calibri" w:hAnsi="Times New Roman"/>
          <w:b w:val="0"/>
          <w:lang w:val="lv-LV"/>
        </w:rPr>
        <w:t>Ekoinovācijas</w:t>
      </w:r>
      <w:proofErr w:type="spellEnd"/>
      <w:r w:rsidR="004934A7">
        <w:rPr>
          <w:rStyle w:val="Strong"/>
          <w:rFonts w:ascii="Times New Roman" w:eastAsia="Calibri" w:hAnsi="Times New Roman"/>
          <w:b w:val="0"/>
          <w:lang w:val="lv-LV"/>
        </w:rPr>
        <w:t xml:space="preserve"> rīcības plāns (turpmāk tekstā - Eco-AP)</w:t>
      </w:r>
      <w:r w:rsidR="004934A7" w:rsidRPr="0018223B">
        <w:rPr>
          <w:rStyle w:val="FootnoteReference"/>
          <w:rFonts w:ascii="Times New Roman" w:hAnsi="Times New Roman"/>
          <w:sz w:val="24"/>
          <w:szCs w:val="24"/>
          <w:lang w:val="en-US"/>
        </w:rPr>
        <w:footnoteReference w:id="3"/>
      </w:r>
      <w:bookmarkEnd w:id="10"/>
      <w:r w:rsidR="0032194B" w:rsidRPr="00AE40CC">
        <w:rPr>
          <w:rFonts w:ascii="Times New Roman" w:hAnsi="Times New Roman"/>
          <w:lang w:val="lv-LV"/>
        </w:rPr>
        <w:t xml:space="preserve">ir vērsts uz konkrētiem šķēršļiem, </w:t>
      </w:r>
      <w:r w:rsidR="006C7751" w:rsidRPr="00AE40CC">
        <w:rPr>
          <w:rFonts w:ascii="Times New Roman" w:hAnsi="Times New Roman"/>
          <w:lang w:val="lv-LV"/>
        </w:rPr>
        <w:t>risināmajiem uzdevumiem</w:t>
      </w:r>
      <w:r w:rsidR="0032194B" w:rsidRPr="00AE40CC">
        <w:rPr>
          <w:rFonts w:ascii="Times New Roman" w:hAnsi="Times New Roman"/>
          <w:lang w:val="lv-LV"/>
        </w:rPr>
        <w:t xml:space="preserve"> un iespējām sasniegt vides mērķus ar inovāciju palīdzību</w:t>
      </w:r>
      <w:r w:rsidRPr="00570BF0">
        <w:rPr>
          <w:rFonts w:ascii="Times New Roman" w:hAnsi="Times New Roman"/>
          <w:lang w:val="lv-LV"/>
        </w:rPr>
        <w:t>. Eco-AP tiešais mērķis ir samazināt slodzi uz vidi un novērst plaisu starp inovācijām un tirgu.</w:t>
      </w:r>
      <w:r w:rsidRPr="00570BF0">
        <w:rPr>
          <w:rFonts w:ascii="Times New Roman" w:hAnsi="Times New Roman"/>
          <w:color w:val="000000"/>
          <w:lang w:val="lv-LV" w:eastAsia="lv-LV"/>
        </w:rPr>
        <w:t xml:space="preserve"> Tāpat </w:t>
      </w:r>
      <w:r w:rsidRPr="00570BF0">
        <w:rPr>
          <w:rFonts w:ascii="Times New Roman" w:hAnsi="Times New Roman"/>
          <w:lang w:val="lv-LV"/>
        </w:rPr>
        <w:t xml:space="preserve">Eco-AP papildina citas „Eiropa 2020” pamatiniciatīvas. Šai ziņā būtiska ir </w:t>
      </w:r>
      <w:proofErr w:type="spellStart"/>
      <w:r w:rsidRPr="00570BF0">
        <w:rPr>
          <w:rFonts w:ascii="Times New Roman" w:hAnsi="Times New Roman"/>
          <w:lang w:val="lv-LV"/>
        </w:rPr>
        <w:t>pamatiniciatīva</w:t>
      </w:r>
      <w:proofErr w:type="spellEnd"/>
      <w:r w:rsidRPr="00570BF0">
        <w:rPr>
          <w:rFonts w:ascii="Times New Roman" w:hAnsi="Times New Roman"/>
          <w:lang w:val="lv-LV"/>
        </w:rPr>
        <w:t xml:space="preserve"> „Resursu ziņā efektīva Eiropa”</w:t>
      </w:r>
      <w:r w:rsidR="003D760D" w:rsidRPr="00AE40CC">
        <w:rPr>
          <w:rStyle w:val="FootnoteReference"/>
          <w:rFonts w:ascii="Times New Roman" w:hAnsi="Times New Roman"/>
          <w:lang w:val="lv-LV"/>
        </w:rPr>
        <w:footnoteReference w:id="4"/>
      </w:r>
      <w:r w:rsidR="00CB4F55" w:rsidRPr="00AE40CC">
        <w:rPr>
          <w:rFonts w:ascii="Times New Roman" w:hAnsi="Times New Roman"/>
          <w:lang w:val="lv-LV"/>
        </w:rPr>
        <w:t>, kas uzsver tādu jaunu produktu, tehnoloģiju un pakalpojumu attīstības nozīmi,</w:t>
      </w:r>
      <w:r w:rsidR="003D760D" w:rsidRPr="00AE40CC">
        <w:rPr>
          <w:rFonts w:ascii="Times New Roman" w:hAnsi="Times New Roman"/>
          <w:lang w:val="lv-LV"/>
        </w:rPr>
        <w:t xml:space="preserve"> </w:t>
      </w:r>
      <w:r w:rsidR="00CB4F55" w:rsidRPr="00AE40CC">
        <w:rPr>
          <w:rFonts w:ascii="Times New Roman" w:hAnsi="Times New Roman"/>
          <w:lang w:val="lv-LV"/>
        </w:rPr>
        <w:t xml:space="preserve">kuri samazinātu </w:t>
      </w:r>
      <w:r w:rsidRPr="00570BF0">
        <w:rPr>
          <w:rFonts w:ascii="Times New Roman" w:hAnsi="Times New Roman"/>
          <w:lang w:val="lv-LV"/>
        </w:rPr>
        <w:t xml:space="preserve">izejvielu apjomus, atkritumu veidošanu, optimizētu ražošanas procesu utt. Šāda orientācija veicinātu tehnoloģiju inovācijas, palielinātu nodarbinātību strauji augošajā „zaļo” nozaru sektorā, atvērtu jaunus eksporta tirgus un nodrošinātu patērētājiem jaunus un ilgtspējīgus produktus. </w:t>
      </w:r>
    </w:p>
    <w:p w:rsidR="00855564" w:rsidRPr="00AE40CC" w:rsidRDefault="00570BF0" w:rsidP="00E34CD5">
      <w:pPr>
        <w:spacing w:after="0"/>
        <w:ind w:firstLine="283"/>
        <w:jc w:val="both"/>
        <w:rPr>
          <w:rStyle w:val="Strong"/>
          <w:rFonts w:ascii="Times New Roman" w:hAnsi="Times New Roman"/>
          <w:b w:val="0"/>
          <w:bCs w:val="0"/>
          <w:lang w:val="lv-LV"/>
        </w:rPr>
      </w:pPr>
      <w:r w:rsidRPr="00570BF0">
        <w:rPr>
          <w:rFonts w:ascii="Times New Roman" w:hAnsi="Times New Roman"/>
          <w:lang w:val="lv-LV"/>
        </w:rPr>
        <w:t>Virzīšanās uz „zaļāku” ekonomiku ir uzsvērta arī nacionālajos stratēģiskajos dokumentos</w:t>
      </w:r>
      <w:r w:rsidRPr="00570BF0">
        <w:rPr>
          <w:rFonts w:ascii="Times New Roman" w:hAnsi="Times New Roman"/>
          <w:color w:val="000000"/>
          <w:lang w:val="lv-LV"/>
        </w:rPr>
        <w:t>. Viena no „</w:t>
      </w:r>
      <w:r w:rsidRPr="00570BF0">
        <w:rPr>
          <w:rFonts w:ascii="Times New Roman" w:hAnsi="Times New Roman"/>
          <w:lang w:val="lv-LV"/>
        </w:rPr>
        <w:t xml:space="preserve">Latvijas ilgtspējīgas attīstības stratēģijas </w:t>
      </w:r>
      <w:r w:rsidRPr="00734278">
        <w:rPr>
          <w:rFonts w:ascii="Times New Roman" w:hAnsi="Times New Roman"/>
          <w:lang w:val="lv-LV"/>
        </w:rPr>
        <w:t>Latvija 2030”</w:t>
      </w:r>
      <w:r w:rsidRPr="00734278">
        <w:rPr>
          <w:rFonts w:ascii="Times New Roman" w:hAnsi="Times New Roman"/>
          <w:color w:val="000000"/>
          <w:lang w:val="lv-LV"/>
        </w:rPr>
        <w:t xml:space="preserve"> </w:t>
      </w:r>
      <w:r w:rsidRPr="00734278">
        <w:rPr>
          <w:rFonts w:ascii="Times New Roman" w:hAnsi="Times New Roman"/>
          <w:lang w:val="lv-LV"/>
        </w:rPr>
        <w:t xml:space="preserve">sadaļām ir veltīta tēmai </w:t>
      </w:r>
      <w:r w:rsidRPr="00734278">
        <w:rPr>
          <w:rFonts w:ascii="Times New Roman" w:hAnsi="Times New Roman"/>
          <w:lang w:val="lv-LV"/>
        </w:rPr>
        <w:lastRenderedPageBreak/>
        <w:t xml:space="preserve">„Inovatīva un ekoloģiski efektīva ekonomika”. Tāpat stratēģiskajā dokumentā ir minēts, ka Latvijas priekšrocība ir „zaļā ekonomika” un tamdēļ ir būtiski to saglabāt un </w:t>
      </w:r>
      <w:r w:rsidR="008C66BA" w:rsidRPr="00734278">
        <w:rPr>
          <w:rFonts w:ascii="Times New Roman" w:hAnsi="Times New Roman"/>
          <w:lang w:val="lv-LV"/>
        </w:rPr>
        <w:t>saudzīgi</w:t>
      </w:r>
      <w:r w:rsidRPr="00734278">
        <w:rPr>
          <w:rFonts w:ascii="Times New Roman" w:hAnsi="Times New Roman"/>
          <w:lang w:val="lv-LV"/>
        </w:rPr>
        <w:t xml:space="preserve"> izturēties</w:t>
      </w:r>
      <w:r w:rsidRPr="00570BF0">
        <w:rPr>
          <w:rFonts w:ascii="Times New Roman" w:hAnsi="Times New Roman"/>
          <w:lang w:val="lv-LV"/>
        </w:rPr>
        <w:t xml:space="preserve"> pret dabas resursiem. Turklāt </w:t>
      </w:r>
      <w:r w:rsidR="0052550C">
        <w:rPr>
          <w:rFonts w:ascii="Times New Roman" w:hAnsi="Times New Roman"/>
          <w:lang w:val="lv-LV"/>
        </w:rPr>
        <w:t>Nacionālajā attīstības plānā</w:t>
      </w:r>
      <w:r w:rsidR="0052550C">
        <w:rPr>
          <w:rFonts w:ascii="Times New Roman" w:hAnsi="Times New Roman"/>
          <w:color w:val="000000"/>
          <w:lang w:val="lv-LV"/>
        </w:rPr>
        <w:t xml:space="preserve"> 2007.-2013. gadam</w:t>
      </w:r>
      <w:r w:rsidRPr="00570BF0">
        <w:rPr>
          <w:rFonts w:ascii="Times New Roman" w:hAnsi="Times New Roman"/>
          <w:lang w:val="lv-LV"/>
        </w:rPr>
        <w:t xml:space="preserve"> ir noteikts, ka uzņēmējdarbība, kas pamatā nav atkarīga no dabas un enerģijas resursiem, radītu mazāku piesārņojumu un uzlabotu tehnoloģiskos risinājumus. </w:t>
      </w:r>
    </w:p>
    <w:p w:rsidR="00A9482F" w:rsidRPr="00AE40CC" w:rsidRDefault="009F0955" w:rsidP="00A9482F">
      <w:pPr>
        <w:spacing w:after="0"/>
        <w:ind w:firstLine="283"/>
        <w:jc w:val="both"/>
        <w:rPr>
          <w:rFonts w:ascii="Times New Roman" w:hAnsi="Times New Roman"/>
          <w:lang w:val="lv-LV"/>
        </w:rPr>
      </w:pPr>
      <w:r>
        <w:rPr>
          <w:rFonts w:ascii="Times New Roman" w:hAnsi="Times New Roman"/>
          <w:lang w:val="lv-LV"/>
        </w:rPr>
        <w:t xml:space="preserve"> Ņemot vērā iepriekš</w:t>
      </w:r>
      <w:r w:rsidR="00570BF0" w:rsidRPr="00570BF0">
        <w:rPr>
          <w:rFonts w:ascii="Times New Roman" w:hAnsi="Times New Roman"/>
          <w:lang w:val="lv-LV"/>
        </w:rPr>
        <w:t>minēto, var uzskatīt, ka Programma būs būtiska mehānisma daļa, lai veicinātu „zaļo” inovāciju attīstību, zināšanu komercializāciju</w:t>
      </w:r>
      <w:r w:rsidR="0096150C">
        <w:rPr>
          <w:rFonts w:ascii="Times New Roman" w:hAnsi="Times New Roman"/>
          <w:lang w:val="lv-LV"/>
        </w:rPr>
        <w:t xml:space="preserve"> un</w:t>
      </w:r>
      <w:r w:rsidR="00570BF0" w:rsidRPr="00570BF0">
        <w:rPr>
          <w:rFonts w:ascii="Times New Roman" w:hAnsi="Times New Roman"/>
          <w:lang w:val="lv-LV"/>
        </w:rPr>
        <w:t xml:space="preserve"> tehnoloģiju pārnesi Latvijā. </w:t>
      </w:r>
    </w:p>
    <w:p w:rsidR="004B3FE7" w:rsidRPr="00AE40CC" w:rsidRDefault="004B3FE7" w:rsidP="00A9482F">
      <w:pPr>
        <w:spacing w:after="0"/>
        <w:ind w:firstLine="283"/>
        <w:jc w:val="both"/>
        <w:rPr>
          <w:rFonts w:ascii="Times New Roman" w:hAnsi="Times New Roman"/>
          <w:lang w:val="lv-LV"/>
        </w:rPr>
      </w:pPr>
    </w:p>
    <w:p w:rsidR="00A9482F" w:rsidRPr="00AE40CC" w:rsidRDefault="00570BF0" w:rsidP="0006073B">
      <w:pPr>
        <w:pStyle w:val="Heading2"/>
        <w:spacing w:before="0"/>
        <w:rPr>
          <w:rFonts w:ascii="Times New Roman" w:hAnsi="Times New Roman"/>
          <w:sz w:val="22"/>
          <w:szCs w:val="22"/>
          <w:lang w:val="lv-LV"/>
        </w:rPr>
      </w:pPr>
      <w:r w:rsidRPr="00570BF0">
        <w:rPr>
          <w:rFonts w:ascii="Times New Roman" w:hAnsi="Times New Roman"/>
          <w:sz w:val="22"/>
          <w:szCs w:val="22"/>
          <w:lang w:val="lv-LV"/>
        </w:rPr>
        <w:t>Programmas motivācija un pamatojums</w:t>
      </w:r>
    </w:p>
    <w:p w:rsidR="00A9482F" w:rsidRPr="00AE40CC" w:rsidRDefault="00570BF0" w:rsidP="001E46BC">
      <w:pPr>
        <w:pStyle w:val="Heading3"/>
        <w:spacing w:before="0"/>
        <w:rPr>
          <w:rFonts w:ascii="Times New Roman" w:hAnsi="Times New Roman"/>
          <w:lang w:val="lv-LV"/>
        </w:rPr>
      </w:pPr>
      <w:r w:rsidRPr="00570BF0">
        <w:rPr>
          <w:rFonts w:ascii="Times New Roman" w:hAnsi="Times New Roman"/>
          <w:lang w:val="lv-LV"/>
        </w:rPr>
        <w:t>Izaicinājumu un nepieciešamību analīze</w:t>
      </w:r>
    </w:p>
    <w:p w:rsidR="00A9482F" w:rsidRPr="00AE40CC" w:rsidRDefault="00570BF0" w:rsidP="00A9482F">
      <w:pPr>
        <w:spacing w:after="0"/>
        <w:rPr>
          <w:rFonts w:ascii="Times New Roman" w:hAnsi="Times New Roman"/>
          <w:b/>
          <w:lang w:val="lv-LV"/>
        </w:rPr>
      </w:pPr>
      <w:r w:rsidRPr="00570BF0">
        <w:rPr>
          <w:rFonts w:ascii="Times New Roman" w:hAnsi="Times New Roman"/>
          <w:b/>
          <w:lang w:val="lv-LV"/>
        </w:rPr>
        <w:t>Definēt un aprakstīt izaicinājumus un nepieciešamības Saņēmējvalstī saistībā ar Programmas jomu, tostarp aprakstīt ietekmi uz tiešo mērķa grupu / Programmas mērķa iestādi.</w:t>
      </w:r>
    </w:p>
    <w:p w:rsidR="00A9482F" w:rsidRPr="00AE40CC" w:rsidRDefault="00570BF0" w:rsidP="00A9482F">
      <w:pPr>
        <w:spacing w:after="0"/>
        <w:ind w:firstLine="284"/>
        <w:jc w:val="both"/>
        <w:rPr>
          <w:rFonts w:ascii="Times New Roman" w:hAnsi="Times New Roman"/>
          <w:lang w:val="lv-LV"/>
        </w:rPr>
      </w:pPr>
      <w:r w:rsidRPr="00570BF0">
        <w:rPr>
          <w:rFonts w:ascii="Times New Roman" w:hAnsi="Times New Roman"/>
          <w:lang w:val="lv-LV"/>
        </w:rPr>
        <w:t>Latvijā pastāv šādas uzņēmējdarbības attīstības problēmas:</w:t>
      </w:r>
    </w:p>
    <w:p w:rsidR="0041315A" w:rsidRPr="00AE40CC" w:rsidRDefault="00570BF0" w:rsidP="0041315A">
      <w:pPr>
        <w:numPr>
          <w:ilvl w:val="0"/>
          <w:numId w:val="5"/>
        </w:numPr>
        <w:spacing w:after="0"/>
        <w:jc w:val="both"/>
        <w:rPr>
          <w:rFonts w:ascii="Times New Roman" w:hAnsi="Times New Roman"/>
          <w:lang w:val="lv-LV"/>
        </w:rPr>
      </w:pPr>
      <w:r w:rsidRPr="00570BF0">
        <w:rPr>
          <w:rFonts w:ascii="Times New Roman" w:hAnsi="Times New Roman"/>
          <w:lang w:val="lv-LV"/>
        </w:rPr>
        <w:t>Neliels skaits jaundibinātu augsto un vidējo tehnoloģiju intensīvo komersantu;</w:t>
      </w:r>
    </w:p>
    <w:p w:rsidR="0041315A" w:rsidRPr="00AE40CC" w:rsidRDefault="00570BF0" w:rsidP="0041315A">
      <w:pPr>
        <w:numPr>
          <w:ilvl w:val="0"/>
          <w:numId w:val="5"/>
        </w:numPr>
        <w:spacing w:after="0"/>
        <w:jc w:val="both"/>
        <w:rPr>
          <w:rFonts w:ascii="Times New Roman" w:hAnsi="Times New Roman"/>
          <w:lang w:val="lv-LV"/>
        </w:rPr>
      </w:pPr>
      <w:r w:rsidRPr="00570BF0">
        <w:rPr>
          <w:rFonts w:ascii="Times New Roman" w:hAnsi="Times New Roman"/>
          <w:lang w:val="lv-LV"/>
        </w:rPr>
        <w:t>Jauniem augsta riska komersantiem trūkst sēklas finansējuma;</w:t>
      </w:r>
    </w:p>
    <w:p w:rsidR="0041315A" w:rsidRPr="00AE40CC" w:rsidRDefault="00570BF0" w:rsidP="0041315A">
      <w:pPr>
        <w:numPr>
          <w:ilvl w:val="0"/>
          <w:numId w:val="5"/>
        </w:numPr>
        <w:spacing w:after="0"/>
        <w:jc w:val="both"/>
        <w:rPr>
          <w:rFonts w:ascii="Times New Roman" w:hAnsi="Times New Roman"/>
          <w:lang w:val="lv-LV"/>
        </w:rPr>
      </w:pPr>
      <w:r w:rsidRPr="00570BF0">
        <w:rPr>
          <w:rFonts w:ascii="Times New Roman" w:hAnsi="Times New Roman"/>
          <w:lang w:val="lv-LV"/>
        </w:rPr>
        <w:t>Latvijā nav izveidots tehnoloģiju inkubators strauji augošiem komersantiem.</w:t>
      </w:r>
    </w:p>
    <w:p w:rsidR="00086BB7" w:rsidRPr="00AE40CC" w:rsidRDefault="00570BF0">
      <w:pPr>
        <w:spacing w:after="0"/>
        <w:ind w:firstLine="284"/>
        <w:jc w:val="both"/>
        <w:rPr>
          <w:rFonts w:ascii="Times New Roman" w:hAnsi="Times New Roman"/>
          <w:lang w:val="lv-LV"/>
        </w:rPr>
      </w:pPr>
      <w:r w:rsidRPr="00570BF0">
        <w:rPr>
          <w:rFonts w:ascii="Times New Roman" w:hAnsi="Times New Roman"/>
          <w:lang w:val="lv-LV"/>
        </w:rPr>
        <w:t>Ventspilī un Valmierā atrodas inkubatori, kuri ir specializējušies tehnoloģiju attīstīšanā un pašlaik turpina aktīvu darbību. Taču, Rīgā, kā vietā kur notiek vislielākā komerciālā aktivitāte, ir izteikta nepieciešamība pēc šāda veida inkubatora. Šobrīd Rīgā ir tikai viens inkubators, kas ir izveidots ar Eiropas Savienības (turpmāk tekstā – ES) fondu atbalstu – „</w:t>
      </w:r>
      <w:proofErr w:type="spellStart"/>
      <w:r>
        <w:rPr>
          <w:rStyle w:val="st1"/>
          <w:rFonts w:ascii="Times New Roman" w:hAnsi="Times New Roman"/>
          <w:bCs/>
          <w:color w:val="000000"/>
          <w:lang w:val="lv-LV"/>
        </w:rPr>
        <w:t>Creative</w:t>
      </w:r>
      <w:proofErr w:type="spellEnd"/>
      <w:r>
        <w:rPr>
          <w:rStyle w:val="st1"/>
          <w:rFonts w:ascii="Times New Roman" w:hAnsi="Times New Roman"/>
          <w:bCs/>
          <w:color w:val="000000"/>
          <w:lang w:val="lv-LV"/>
        </w:rPr>
        <w:t xml:space="preserve"> </w:t>
      </w:r>
      <w:proofErr w:type="spellStart"/>
      <w:r>
        <w:rPr>
          <w:rStyle w:val="st1"/>
          <w:rFonts w:ascii="Times New Roman" w:hAnsi="Times New Roman"/>
          <w:bCs/>
          <w:color w:val="000000"/>
          <w:lang w:val="lv-LV"/>
        </w:rPr>
        <w:t>Andrejsala</w:t>
      </w:r>
      <w:proofErr w:type="spellEnd"/>
      <w:r>
        <w:rPr>
          <w:rStyle w:val="st1"/>
          <w:rFonts w:ascii="Times New Roman" w:hAnsi="Times New Roman"/>
          <w:bCs/>
          <w:color w:val="000000"/>
          <w:lang w:val="lv-LV"/>
        </w:rPr>
        <w:t>”, kura mērķis ir jaundibinātus komersantus radošo industriju jomā.</w:t>
      </w:r>
      <w:r>
        <w:rPr>
          <w:rFonts w:ascii="Times New Roman" w:hAnsi="Times New Roman"/>
          <w:lang w:val="lv-LV"/>
        </w:rPr>
        <w:t xml:space="preserve"> Arī Latvijas Republikas Izglītības un zinātnes ministrijas rīkotajā diskusijā, kuras rezultātā tika sagatavots informatīvais ziņojums </w:t>
      </w:r>
      <w:bookmarkStart w:id="11" w:name="OLE_LINK19"/>
      <w:bookmarkStart w:id="12" w:name="OLE_LINK24"/>
      <w:r>
        <w:rPr>
          <w:rFonts w:ascii="Times New Roman" w:hAnsi="Times New Roman"/>
          <w:lang w:val="lv-LV"/>
        </w:rPr>
        <w:t>„</w:t>
      </w:r>
      <w:r>
        <w:rPr>
          <w:rFonts w:ascii="Times New Roman" w:hAnsi="Times New Roman"/>
          <w:color w:val="2A2A2A"/>
        </w:rPr>
        <w:t>Par nepieciešamo atbalstu jaunu eksportspējīgu produktu radīšanai sadarbībā ar Latvijas zinātniekiem</w:t>
      </w:r>
      <w:r>
        <w:rPr>
          <w:rFonts w:ascii="Times New Roman" w:hAnsi="Times New Roman"/>
          <w:lang w:val="lv-LV"/>
        </w:rPr>
        <w:t>”</w:t>
      </w:r>
      <w:bookmarkEnd w:id="11"/>
      <w:bookmarkEnd w:id="12"/>
      <w:r w:rsidR="00E00F6B">
        <w:rPr>
          <w:rFonts w:ascii="Times New Roman" w:hAnsi="Times New Roman"/>
          <w:lang w:val="lv-LV"/>
        </w:rPr>
        <w:t xml:space="preserve"> (Izglītības un zinātnes ministrija</w:t>
      </w:r>
      <w:r w:rsidR="00896A55">
        <w:rPr>
          <w:rFonts w:ascii="Times New Roman" w:hAnsi="Times New Roman"/>
          <w:lang w:val="lv-LV"/>
        </w:rPr>
        <w:t>, apstiprināts 2010.gada 1.jūnijā</w:t>
      </w:r>
      <w:r w:rsidR="00E00F6B">
        <w:rPr>
          <w:rFonts w:ascii="Times New Roman" w:hAnsi="Times New Roman"/>
          <w:lang w:val="lv-LV"/>
        </w:rPr>
        <w:t>)</w:t>
      </w:r>
      <w:r>
        <w:rPr>
          <w:rFonts w:ascii="Times New Roman" w:hAnsi="Times New Roman"/>
          <w:lang w:val="lv-LV"/>
        </w:rPr>
        <w:t xml:space="preserve">, zinātnieki, uzņēmēji un augstas dažādu ministriju amatpersonas atzina, ka Latvijā trūkst Tehnoloģiju inkubatoru. </w:t>
      </w:r>
    </w:p>
    <w:p w:rsidR="00086BB7" w:rsidRPr="00AE40CC" w:rsidRDefault="00570BF0">
      <w:pPr>
        <w:spacing w:after="0"/>
        <w:ind w:firstLine="284"/>
        <w:jc w:val="both"/>
        <w:rPr>
          <w:rFonts w:ascii="Times New Roman" w:hAnsi="Times New Roman"/>
          <w:lang w:val="lv-LV"/>
        </w:rPr>
      </w:pPr>
      <w:r>
        <w:rPr>
          <w:rFonts w:ascii="Times New Roman" w:hAnsi="Times New Roman"/>
          <w:lang w:val="lv-LV"/>
        </w:rPr>
        <w:t>Kā vienu no pastāvošo biznesa inkubatoru nepilnībām var minēt pirms-inkubācijas finansējuma trūkum</w:t>
      </w:r>
      <w:r w:rsidR="005418E9">
        <w:rPr>
          <w:rFonts w:ascii="Times New Roman" w:hAnsi="Times New Roman"/>
          <w:lang w:val="lv-LV"/>
        </w:rPr>
        <w:t>u</w:t>
      </w:r>
      <w:r>
        <w:rPr>
          <w:rFonts w:ascii="Times New Roman" w:hAnsi="Times New Roman"/>
          <w:lang w:val="lv-LV"/>
        </w:rPr>
        <w:t xml:space="preserve">. </w:t>
      </w:r>
      <w:r>
        <w:rPr>
          <w:rFonts w:ascii="Times New Roman" w:hAnsi="Times New Roman"/>
          <w:color w:val="000000"/>
          <w:lang w:val="lv-LV"/>
        </w:rPr>
        <w:t>Komersantam pirms tas tiek uzņemts inkubatorā ir jābūt atbilstoši izveidotai juridiskajai struktūrai un izstrādātam biznesa plānam. Šo problēmu būtu iespējams atrisināt ar pirms-inkubācijas atbalsta palīdzību. Pirms-inkubācijas atbalsts sniedz iespēju novērtēt biznesa potenciālu un izstrādāt pilnīgu biznesa plānu. Apzinoties savas stiprās puses un iespēju robežas, jaundibinātie komersanti var palielināt savas izdzīvošanas iespējas</w:t>
      </w:r>
      <w:r>
        <w:rPr>
          <w:rFonts w:ascii="Times New Roman" w:hAnsi="Times New Roman"/>
          <w:color w:val="000000"/>
          <w:lang w:val="lv-LV" w:eastAsia="lv-LV"/>
        </w:rPr>
        <w:t>. Nepieciešamās informācijas iegūšana jaunam komersantam var būt laikietilpīga un sarežģīta, tādēļ pirms-inkubācijas atbalsts ir tik nozīmīgs.</w:t>
      </w:r>
    </w:p>
    <w:p w:rsidR="006C41D1" w:rsidRPr="00AE40CC" w:rsidRDefault="00570BF0" w:rsidP="00E77560">
      <w:pPr>
        <w:spacing w:after="0"/>
        <w:ind w:firstLine="284"/>
        <w:jc w:val="both"/>
        <w:rPr>
          <w:rFonts w:ascii="Times New Roman" w:hAnsi="Times New Roman"/>
          <w:lang w:val="lv-LV"/>
        </w:rPr>
      </w:pPr>
      <w:r>
        <w:rPr>
          <w:rFonts w:ascii="Times New Roman" w:hAnsi="Times New Roman"/>
          <w:lang w:val="lv-LV"/>
        </w:rPr>
        <w:t>Kā cits trūkums</w:t>
      </w:r>
      <w:r w:rsidR="005418E9">
        <w:rPr>
          <w:rFonts w:ascii="Times New Roman" w:hAnsi="Times New Roman"/>
          <w:lang w:val="lv-LV"/>
        </w:rPr>
        <w:t>,</w:t>
      </w:r>
      <w:r>
        <w:rPr>
          <w:rFonts w:ascii="Times New Roman" w:hAnsi="Times New Roman"/>
          <w:lang w:val="lv-LV"/>
        </w:rPr>
        <w:t xml:space="preserve"> no Eiropas Savienības fondu līdzekļiem atbalstītajai </w:t>
      </w:r>
      <w:r>
        <w:rPr>
          <w:rFonts w:ascii="Times New Roman" w:hAnsi="Times New Roman"/>
          <w:color w:val="000000"/>
          <w:lang w:val="lv-LV"/>
        </w:rPr>
        <w:t>„Biznesa inkubatoru” programmai</w:t>
      </w:r>
      <w:r w:rsidR="005418E9">
        <w:rPr>
          <w:rFonts w:ascii="Times New Roman" w:hAnsi="Times New Roman"/>
          <w:color w:val="000000"/>
          <w:lang w:val="lv-LV"/>
        </w:rPr>
        <w:t>,</w:t>
      </w:r>
      <w:r>
        <w:rPr>
          <w:rFonts w:ascii="Times New Roman" w:hAnsi="Times New Roman"/>
          <w:lang w:val="lv-LV"/>
        </w:rPr>
        <w:t xml:space="preserve"> ir biznesa inkubatora operatora nevēlēšanās inkubatorā uzņemt augsta riska komersantus (proti, komersantus, kuru nākotnes attīstības perspektīvas ir neskaidras un tās ietekmē virkne faktoru), lai gan veiksmes gadījumā šie komersanti būtu ar augstu izaugsmes potenciālu</w:t>
      </w:r>
      <w:r>
        <w:rPr>
          <w:rFonts w:ascii="Times New Roman" w:hAnsi="Times New Roman"/>
          <w:color w:val="000000"/>
          <w:lang w:val="lv-LV"/>
        </w:rPr>
        <w:t>. „Biznesa inkubatoru” programmas ietvaros dzīvotspējas rādītājam jābūt ne mazākam par 95 % trešajā gadā, 90 % ceturtajā gadā un 85 % piektajā gadā no komersanta dibināšanas</w:t>
      </w:r>
      <w:r>
        <w:rPr>
          <w:rStyle w:val="st1"/>
          <w:rFonts w:ascii="Times New Roman" w:hAnsi="Times New Roman"/>
          <w:color w:val="000000"/>
          <w:lang w:val="lv-LV"/>
        </w:rPr>
        <w:t xml:space="preserve">. Šīs prasības dēļ inkubatoru operatori ir atturīgi uzņemt augsta riska biznesa projektus.  </w:t>
      </w:r>
    </w:p>
    <w:p w:rsidR="00906E47" w:rsidRPr="00AE40CC" w:rsidRDefault="00570BF0" w:rsidP="00B2065D">
      <w:pPr>
        <w:spacing w:after="0"/>
        <w:ind w:firstLine="284"/>
        <w:jc w:val="both"/>
        <w:rPr>
          <w:rFonts w:ascii="Times New Roman" w:hAnsi="Times New Roman"/>
          <w:lang w:val="lv-LV"/>
        </w:rPr>
      </w:pPr>
      <w:r>
        <w:rPr>
          <w:rFonts w:ascii="Times New Roman" w:hAnsi="Times New Roman"/>
          <w:color w:val="000000"/>
          <w:lang w:val="lv-LV"/>
        </w:rPr>
        <w:t xml:space="preserve"> Saskaņā ar „</w:t>
      </w:r>
      <w:r>
        <w:rPr>
          <w:rStyle w:val="st1"/>
          <w:rFonts w:ascii="Times New Roman" w:hAnsi="Times New Roman"/>
          <w:bCs/>
          <w:color w:val="000000"/>
          <w:lang w:val="lv-LV"/>
        </w:rPr>
        <w:t>Latvijas</w:t>
      </w:r>
      <w:r>
        <w:rPr>
          <w:rStyle w:val="st1"/>
          <w:rFonts w:ascii="Times New Roman" w:hAnsi="Times New Roman"/>
          <w:lang w:val="lv-LV"/>
        </w:rPr>
        <w:t xml:space="preserve"> preču un </w:t>
      </w:r>
      <w:r>
        <w:rPr>
          <w:rStyle w:val="st1"/>
          <w:rFonts w:ascii="Times New Roman" w:hAnsi="Times New Roman"/>
          <w:bCs/>
          <w:color w:val="000000"/>
          <w:lang w:val="lv-LV"/>
        </w:rPr>
        <w:t>pakalpojumu eksporta veicināšanas</w:t>
      </w:r>
      <w:r>
        <w:rPr>
          <w:rStyle w:val="st1"/>
          <w:rFonts w:ascii="Times New Roman" w:hAnsi="Times New Roman"/>
          <w:lang w:val="lv-LV"/>
        </w:rPr>
        <w:t xml:space="preserve"> un </w:t>
      </w:r>
      <w:r>
        <w:rPr>
          <w:rStyle w:val="st1"/>
          <w:rFonts w:ascii="Times New Roman" w:hAnsi="Times New Roman"/>
          <w:bCs/>
          <w:color w:val="000000"/>
          <w:lang w:val="lv-LV"/>
        </w:rPr>
        <w:t>ārvalstu investīciju piesaistes</w:t>
      </w:r>
      <w:r>
        <w:rPr>
          <w:rStyle w:val="st1"/>
          <w:rFonts w:ascii="Times New Roman" w:hAnsi="Times New Roman"/>
          <w:lang w:val="lv-LV"/>
        </w:rPr>
        <w:t xml:space="preserve"> pamatnostādnes </w:t>
      </w:r>
      <w:r>
        <w:rPr>
          <w:rStyle w:val="st1"/>
          <w:rFonts w:ascii="Times New Roman" w:hAnsi="Times New Roman"/>
          <w:bCs/>
          <w:color w:val="000000"/>
          <w:lang w:val="lv-LV"/>
        </w:rPr>
        <w:t>2010.-2016</w:t>
      </w:r>
      <w:r>
        <w:rPr>
          <w:rStyle w:val="st1"/>
          <w:rFonts w:ascii="Times New Roman" w:hAnsi="Times New Roman"/>
          <w:lang w:val="lv-LV"/>
        </w:rPr>
        <w:t xml:space="preserve">. </w:t>
      </w:r>
      <w:r>
        <w:rPr>
          <w:rStyle w:val="st1"/>
          <w:rFonts w:ascii="Times New Roman" w:hAnsi="Times New Roman"/>
          <w:bCs/>
          <w:color w:val="000000"/>
          <w:lang w:val="lv-LV"/>
        </w:rPr>
        <w:t>gadam</w:t>
      </w:r>
      <w:r>
        <w:rPr>
          <w:rFonts w:ascii="Times New Roman" w:hAnsi="Times New Roman"/>
          <w:lang w:val="lv-LV"/>
        </w:rPr>
        <w:t>”</w:t>
      </w:r>
      <w:r w:rsidR="005E4480">
        <w:rPr>
          <w:rFonts w:ascii="Times New Roman" w:hAnsi="Times New Roman"/>
          <w:lang w:val="lv-LV"/>
        </w:rPr>
        <w:t xml:space="preserve"> (EM, apstiprināts ar Ministru kabineta 2009.gada 19.jūnija rīkojumu Nr.413)</w:t>
      </w:r>
      <w:r>
        <w:rPr>
          <w:rFonts w:ascii="Times New Roman" w:hAnsi="Times New Roman"/>
          <w:lang w:val="lv-LV"/>
        </w:rPr>
        <w:t>, nozaru komersanti ir sadrumstaloti un reti sadarbojas, kas savukārt, mazina to spēju piedalīties lielākos iepirkumos. Šo situāciju var uzlabot Programma</w:t>
      </w:r>
      <w:r w:rsidR="005418E9">
        <w:rPr>
          <w:rFonts w:ascii="Times New Roman" w:hAnsi="Times New Roman"/>
          <w:lang w:val="lv-LV"/>
        </w:rPr>
        <w:t>s īstenošana</w:t>
      </w:r>
      <w:r>
        <w:rPr>
          <w:rFonts w:ascii="Times New Roman" w:hAnsi="Times New Roman"/>
          <w:lang w:val="lv-LV"/>
        </w:rPr>
        <w:t>, ņemot vērā, ka viens no tās mērķiem ir sadarbības veicināšana.</w:t>
      </w:r>
    </w:p>
    <w:p w:rsidR="00906E47" w:rsidRPr="00AE40CC" w:rsidRDefault="00570BF0" w:rsidP="00B319ED">
      <w:pPr>
        <w:spacing w:after="0"/>
        <w:ind w:firstLine="284"/>
        <w:jc w:val="both"/>
        <w:rPr>
          <w:rFonts w:ascii="Times New Roman" w:hAnsi="Times New Roman"/>
          <w:lang w:val="lv-LV"/>
        </w:rPr>
      </w:pPr>
      <w:r>
        <w:rPr>
          <w:rFonts w:ascii="Times New Roman" w:hAnsi="Times New Roman"/>
          <w:lang w:val="lv-LV"/>
        </w:rPr>
        <w:t xml:space="preserve">Komersantiem bieži trūkst izpratnes par inovāciju lomu komercdarbības attīstībā. Turklāt, nepietiekama pieejamība finanšu resursiem un jo īpaši sēklas un riska kapitāla trūkums komersantos kavē inovāciju procesus. Šo faktoru ietekme tiks mazināta, izveidojot Tehnoloģiju </w:t>
      </w:r>
      <w:r>
        <w:rPr>
          <w:rFonts w:ascii="Times New Roman" w:hAnsi="Times New Roman"/>
          <w:lang w:val="lv-LV"/>
        </w:rPr>
        <w:lastRenderedPageBreak/>
        <w:t xml:space="preserve">inkubatoru. Tehnoloģiju inkubators sniegs atbalstu daudzsološākajiem komersantiem grantu un kuponu veidā, lai tie saņemtu konsultācijas un nepieciešamo pakalpojumus, nodrošinot to ideju attīstību tādā mērā, lai tie varētu pretendēt uz riska kapitāla finansējumu. Līdzīgas nepilnības pastāv arī Norvēģijā, kur lielu daļu sēklas kapitāla nodrošina valsts iestādes, lai novērstu līdzīgus šķēršļus. </w:t>
      </w:r>
    </w:p>
    <w:p w:rsidR="00906E47" w:rsidRPr="00AE40CC" w:rsidRDefault="00570BF0" w:rsidP="00A95D20">
      <w:pPr>
        <w:spacing w:after="0"/>
        <w:ind w:firstLine="284"/>
        <w:jc w:val="both"/>
        <w:rPr>
          <w:rFonts w:ascii="Times New Roman" w:eastAsia="MyriadPro-Regular" w:hAnsi="Times New Roman"/>
          <w:lang w:val="lv-LV"/>
        </w:rPr>
      </w:pPr>
      <w:r>
        <w:rPr>
          <w:rFonts w:ascii="Times New Roman" w:hAnsi="Times New Roman"/>
          <w:lang w:val="lv-LV"/>
        </w:rPr>
        <w:t>Pasaules Uzņēmēju padomes par ilgtspējīgu attīstību ziņojumā Vīzija 2050</w:t>
      </w:r>
      <w:r w:rsidR="00906E47" w:rsidRPr="00AE40CC">
        <w:rPr>
          <w:rStyle w:val="FootnoteReference"/>
          <w:rFonts w:ascii="Times New Roman" w:hAnsi="Times New Roman"/>
          <w:lang w:val="lv-LV"/>
        </w:rPr>
        <w:footnoteReference w:id="5"/>
      </w:r>
      <w:r w:rsidR="00A95D20" w:rsidRPr="00AE40CC">
        <w:rPr>
          <w:rFonts w:ascii="Times New Roman" w:hAnsi="Times New Roman"/>
          <w:lang w:val="lv-LV"/>
        </w:rPr>
        <w:t xml:space="preserve"> tika aprakstītas turpmākās tendences līdz 2050. gadam. Piemēram, paredzams, ka tiks piedāvāts pilnīgs produktu un pakalpojumu klāsts, balstoties uz augstu ilgmūžību, zemu ūdens patēriņu, kā arī zemu enerģ</w:t>
      </w:r>
      <w:r>
        <w:rPr>
          <w:rFonts w:ascii="Times New Roman" w:hAnsi="Times New Roman"/>
          <w:lang w:val="lv-LV"/>
        </w:rPr>
        <w:t>ētisko vērtību un materiālu sastāvu</w:t>
      </w:r>
      <w:r>
        <w:rPr>
          <w:rFonts w:ascii="Times New Roman" w:eastAsia="MyriadPro-Regular" w:hAnsi="Times New Roman"/>
          <w:lang w:val="lv-LV" w:eastAsia="lv-LV"/>
        </w:rPr>
        <w:t xml:space="preserve">. </w:t>
      </w:r>
      <w:r>
        <w:rPr>
          <w:rFonts w:ascii="Times New Roman" w:eastAsia="MyriadPro-Regular" w:hAnsi="Times New Roman"/>
          <w:lang w:val="lv-LV"/>
        </w:rPr>
        <w:t>Šāda pāreja nenotiks vienā mirklī, un tai ir nepieciešami ievērojami ieguldījumi. Viens no lielākajiem izaicinājumiem ir šādas pārejas nodrošināšana ražošanas nozarēs, lai samazinātu izmantoto CO</w:t>
      </w:r>
      <w:r w:rsidRPr="006C4F54">
        <w:rPr>
          <w:rFonts w:ascii="Times New Roman" w:eastAsia="MyriadPro-Regular" w:hAnsi="Times New Roman"/>
          <w:vertAlign w:val="superscript"/>
          <w:lang w:val="lv-LV"/>
        </w:rPr>
        <w:t>2</w:t>
      </w:r>
      <w:r>
        <w:rPr>
          <w:rFonts w:ascii="Times New Roman" w:eastAsia="MyriadPro-Regular" w:hAnsi="Times New Roman"/>
          <w:lang w:val="lv-LV"/>
        </w:rPr>
        <w:t xml:space="preserve"> izmešu un izmantoto resursu daudzumu, vienlaikus saglabājot darba vietas un ieguldot pilnīgi jaunās nodarbinātības iespējās</w:t>
      </w:r>
      <w:r>
        <w:rPr>
          <w:rFonts w:ascii="Times New Roman" w:eastAsia="MyriadPro-Regular" w:hAnsi="Times New Roman"/>
          <w:lang w:val="lv-LV" w:eastAsia="lv-LV"/>
        </w:rPr>
        <w:t xml:space="preserve">. </w:t>
      </w:r>
      <w:r>
        <w:rPr>
          <w:rFonts w:ascii="Times New Roman" w:eastAsia="MyriadPro-Regular" w:hAnsi="Times New Roman"/>
          <w:lang w:val="lv-LV"/>
        </w:rPr>
        <w:t>Tas īpaši attiecas uz jaunattīstības valstīm un valstīm ar strauji augošu ekonomiku, kas šobrīd aktīvi iegulda tradicionālajā ražošanas infrastruktūrā. Uzlabota resursu efektivitāte un nodalīšana gan valsts, gan ražošanas nozares līmenī sniedz konkurētspējīgas priekšrocības un ilgtspējīgas nākotnes iespējas.  Tas vēlreiz apstiprina Programmas nozīmi nepārtrauktas Latvijas attīstības nodrošināšanā</w:t>
      </w:r>
      <w:r>
        <w:rPr>
          <w:rFonts w:ascii="Times New Roman" w:eastAsia="MyriadPro-Regular" w:hAnsi="Times New Roman"/>
          <w:lang w:val="lv-LV" w:eastAsia="lv-LV"/>
        </w:rPr>
        <w:t>.</w:t>
      </w:r>
    </w:p>
    <w:p w:rsidR="00B2065D" w:rsidRPr="00AE40CC" w:rsidRDefault="00570BF0" w:rsidP="00B2065D">
      <w:pPr>
        <w:spacing w:after="0"/>
        <w:ind w:firstLine="284"/>
        <w:jc w:val="both"/>
        <w:rPr>
          <w:rFonts w:ascii="Times New Roman" w:hAnsi="Times New Roman"/>
          <w:b/>
          <w:lang w:val="lv-LV"/>
        </w:rPr>
      </w:pPr>
      <w:r>
        <w:rPr>
          <w:rFonts w:ascii="Times New Roman" w:hAnsi="Times New Roman"/>
          <w:b/>
          <w:lang w:val="lv-LV"/>
        </w:rPr>
        <w:t>Programmas mērķa grupas un ieguvumi:</w:t>
      </w:r>
    </w:p>
    <w:p w:rsidR="00B2065D" w:rsidRPr="00AE40CC" w:rsidRDefault="00570BF0" w:rsidP="00877666">
      <w:pPr>
        <w:pStyle w:val="ListParagraph"/>
        <w:numPr>
          <w:ilvl w:val="0"/>
          <w:numId w:val="15"/>
        </w:numPr>
        <w:spacing w:after="0"/>
        <w:jc w:val="both"/>
        <w:rPr>
          <w:rFonts w:ascii="Times New Roman" w:hAnsi="Times New Roman"/>
          <w:lang w:val="lv-LV"/>
        </w:rPr>
      </w:pPr>
      <w:r>
        <w:rPr>
          <w:rFonts w:ascii="Times New Roman" w:hAnsi="Times New Roman"/>
          <w:lang w:val="lv-LV"/>
        </w:rPr>
        <w:t>Zinātniskās institūcijas, kas ir ieinteresētas atbalstīt uz zinātni un tehnoloģijām balstītu ideju komercializācijas procesu;</w:t>
      </w:r>
    </w:p>
    <w:p w:rsidR="00B2065D" w:rsidRPr="00AE40CC" w:rsidRDefault="00570BF0" w:rsidP="00877666">
      <w:pPr>
        <w:pStyle w:val="ListParagraph"/>
        <w:numPr>
          <w:ilvl w:val="0"/>
          <w:numId w:val="15"/>
        </w:numPr>
        <w:spacing w:after="0"/>
        <w:jc w:val="both"/>
        <w:rPr>
          <w:rFonts w:ascii="Times New Roman" w:hAnsi="Times New Roman"/>
          <w:lang w:val="lv-LV"/>
        </w:rPr>
      </w:pPr>
      <w:r>
        <w:rPr>
          <w:rFonts w:ascii="Times New Roman" w:hAnsi="Times New Roman"/>
          <w:lang w:val="lv-LV"/>
        </w:rPr>
        <w:t>Tehnoloģiju inkubators, kas ieinteresēts sasniegt tā mērķus un izveidot ilgtspējīgu platformu jaundibinātiem komersantiem;</w:t>
      </w:r>
    </w:p>
    <w:p w:rsidR="00B2065D" w:rsidRPr="00AE40CC" w:rsidRDefault="00570BF0" w:rsidP="00877666">
      <w:pPr>
        <w:pStyle w:val="ListParagraph"/>
        <w:numPr>
          <w:ilvl w:val="0"/>
          <w:numId w:val="15"/>
        </w:numPr>
        <w:spacing w:after="0"/>
        <w:jc w:val="both"/>
        <w:rPr>
          <w:rFonts w:ascii="Times New Roman" w:hAnsi="Times New Roman"/>
          <w:lang w:val="lv-LV"/>
        </w:rPr>
      </w:pPr>
      <w:r>
        <w:rPr>
          <w:rFonts w:ascii="Times New Roman" w:hAnsi="Times New Roman"/>
          <w:lang w:val="lv-LV"/>
        </w:rPr>
        <w:t>Riska kapitāla ieguldītāji, kuri ir ieinteresēti dzīvotspējīgu investīcijās;</w:t>
      </w:r>
    </w:p>
    <w:p w:rsidR="00B2065D" w:rsidRPr="00AE40CC" w:rsidRDefault="00570BF0" w:rsidP="00877666">
      <w:pPr>
        <w:pStyle w:val="ListParagraph"/>
        <w:numPr>
          <w:ilvl w:val="0"/>
          <w:numId w:val="15"/>
        </w:numPr>
        <w:spacing w:after="0"/>
        <w:jc w:val="both"/>
        <w:rPr>
          <w:rFonts w:ascii="Times New Roman" w:hAnsi="Times New Roman"/>
          <w:lang w:val="lv-LV"/>
        </w:rPr>
      </w:pPr>
      <w:r>
        <w:rPr>
          <w:rFonts w:ascii="Times New Roman" w:hAnsi="Times New Roman"/>
          <w:lang w:val="lv-LV"/>
        </w:rPr>
        <w:t>Citas reģionālās ieinteresētās personas (t. i. reģionālās iestādes, reģionālie inovāciju centri, citi privātā kapitāla veidi), kuras mērķis ir palielināt ekonomisko aktivitāti reģionā;</w:t>
      </w:r>
    </w:p>
    <w:p w:rsidR="00B2065D" w:rsidRPr="00AE40CC" w:rsidRDefault="00570BF0" w:rsidP="00877666">
      <w:pPr>
        <w:pStyle w:val="ListParagraph"/>
        <w:numPr>
          <w:ilvl w:val="0"/>
          <w:numId w:val="15"/>
        </w:numPr>
        <w:spacing w:after="0"/>
        <w:jc w:val="both"/>
        <w:rPr>
          <w:rFonts w:ascii="Times New Roman" w:hAnsi="Times New Roman"/>
          <w:lang w:val="lv-LV"/>
        </w:rPr>
      </w:pPr>
      <w:r>
        <w:rPr>
          <w:rFonts w:ascii="Times New Roman" w:hAnsi="Times New Roman"/>
          <w:lang w:val="lv-LV"/>
        </w:rPr>
        <w:t>Komersanti, kas ieinteresēti paplašināt vai modernizēt savu darbību;</w:t>
      </w:r>
    </w:p>
    <w:p w:rsidR="008F78E5" w:rsidRPr="00AE40CC" w:rsidRDefault="00570BF0" w:rsidP="00877666">
      <w:pPr>
        <w:pStyle w:val="ListParagraph"/>
        <w:numPr>
          <w:ilvl w:val="0"/>
          <w:numId w:val="15"/>
        </w:numPr>
        <w:spacing w:after="0"/>
        <w:jc w:val="both"/>
        <w:rPr>
          <w:rFonts w:ascii="Times New Roman" w:hAnsi="Times New Roman"/>
          <w:lang w:val="lv-LV"/>
        </w:rPr>
      </w:pPr>
      <w:bookmarkStart w:id="13" w:name="OLE_LINK12"/>
      <w:bookmarkStart w:id="14" w:name="OLE_LINK13"/>
      <w:r>
        <w:rPr>
          <w:rFonts w:ascii="Times New Roman" w:hAnsi="Times New Roman"/>
          <w:lang w:val="lv-LV"/>
        </w:rPr>
        <w:t>Kredītiestādes, kas ieinteresētas iegūt stabilus klientus;</w:t>
      </w:r>
    </w:p>
    <w:p w:rsidR="008F78E5" w:rsidRPr="00AE40CC" w:rsidRDefault="00570BF0" w:rsidP="00877666">
      <w:pPr>
        <w:pStyle w:val="ListParagraph"/>
        <w:numPr>
          <w:ilvl w:val="0"/>
          <w:numId w:val="15"/>
        </w:numPr>
        <w:spacing w:after="0"/>
        <w:jc w:val="both"/>
        <w:rPr>
          <w:rFonts w:ascii="Times New Roman" w:hAnsi="Times New Roman"/>
          <w:lang w:val="lv-LV"/>
        </w:rPr>
      </w:pPr>
      <w:r>
        <w:rPr>
          <w:rFonts w:ascii="Times New Roman" w:hAnsi="Times New Roman"/>
          <w:lang w:val="lv-LV"/>
        </w:rPr>
        <w:t>Nozares pārstāvošās iestādes, kuras ir ieinteresētas savu nozaru stiprināšanā;</w:t>
      </w:r>
    </w:p>
    <w:bookmarkEnd w:id="13"/>
    <w:bookmarkEnd w:id="14"/>
    <w:p w:rsidR="00B2065D" w:rsidRPr="00AE40CC" w:rsidRDefault="00570BF0" w:rsidP="00877666">
      <w:pPr>
        <w:pStyle w:val="ListParagraph"/>
        <w:numPr>
          <w:ilvl w:val="0"/>
          <w:numId w:val="15"/>
        </w:numPr>
        <w:spacing w:after="0"/>
        <w:jc w:val="both"/>
        <w:rPr>
          <w:rFonts w:ascii="Times New Roman" w:hAnsi="Times New Roman"/>
          <w:lang w:val="lv-LV"/>
        </w:rPr>
      </w:pPr>
      <w:r>
        <w:rPr>
          <w:rFonts w:ascii="Times New Roman" w:hAnsi="Times New Roman"/>
          <w:lang w:val="lv-LV"/>
        </w:rPr>
        <w:t xml:space="preserve">Fiziskās personas ar mērķi uzsākt saimniecisko darbību, tai skaitā bezdarbnieki, kuri ir ieinteresēt </w:t>
      </w:r>
      <w:r w:rsidR="00827773">
        <w:rPr>
          <w:rFonts w:ascii="Times New Roman" w:hAnsi="Times New Roman"/>
          <w:lang w:val="lv-LV"/>
        </w:rPr>
        <w:t>palielināt savas darba iespējas</w:t>
      </w:r>
      <w:r>
        <w:rPr>
          <w:rFonts w:ascii="Times New Roman" w:hAnsi="Times New Roman"/>
          <w:lang w:val="lv-LV"/>
        </w:rPr>
        <w:t xml:space="preserve">. </w:t>
      </w:r>
    </w:p>
    <w:p w:rsidR="00FB6FBD" w:rsidRPr="00AE40CC" w:rsidRDefault="00570BF0" w:rsidP="00C13B30">
      <w:pPr>
        <w:spacing w:after="0"/>
        <w:ind w:firstLine="284"/>
        <w:jc w:val="both"/>
        <w:rPr>
          <w:rFonts w:ascii="Times New Roman" w:hAnsi="Times New Roman"/>
          <w:lang w:val="lv-LV"/>
        </w:rPr>
      </w:pPr>
      <w:r>
        <w:rPr>
          <w:rFonts w:ascii="Times New Roman" w:hAnsi="Times New Roman"/>
          <w:lang w:val="lv-LV"/>
        </w:rPr>
        <w:t xml:space="preserve">Latvijas Universitāte un Rīgas Tehniskā universitāte ir divas lielākās universitātes Latvijā. Latvijas Universitātei ir pieredze „zaļo” tehnoloģiju jomās - bioloģija, ķīmija, ģeoloģija, zemes zinātnes un datorzinātnes. Rīgas Tehniskajai universitātei ir pieredze „zaļo” tehnoloģiju jomās - atkritumu apsaimniekošana, </w:t>
      </w:r>
      <w:bookmarkStart w:id="15" w:name="OLE_LINK27"/>
      <w:bookmarkStart w:id="16" w:name="OLE_LINK30"/>
      <w:r>
        <w:rPr>
          <w:rFonts w:ascii="Times New Roman" w:hAnsi="Times New Roman"/>
          <w:lang w:val="lv-LV"/>
        </w:rPr>
        <w:t>„</w:t>
      </w:r>
      <w:bookmarkEnd w:id="15"/>
      <w:bookmarkEnd w:id="16"/>
      <w:r>
        <w:rPr>
          <w:rFonts w:ascii="Times New Roman" w:hAnsi="Times New Roman"/>
          <w:lang w:val="lv-LV"/>
        </w:rPr>
        <w:t xml:space="preserve">zaļā” enerģija, ūdens attīrīšana, progresīvo tehnoloģiju mājas, ķīmija un datorzinātnes. Ventspils augstskolai ir cieša sadarbība ar Ventspils Augsto tehnoloģiju parku un Biznesa inkubatoru. Ventspils Augsto tehnoloģiju parkam un Biznesa inkubatoram ir pieredze kosmosa tehnoloģiju izpētē, elektronikā un optikā. Programmai atbilst arī Latvijas Mākslas akadēmijas dizaina nodaļa, kurā šobrīd studē 140 funkcionālā dizaina vides mākslas un metāla dizaina studenti. </w:t>
      </w:r>
    </w:p>
    <w:p w:rsidR="00A9482F" w:rsidRPr="00AE40CC" w:rsidRDefault="00570BF0" w:rsidP="0031408D">
      <w:pPr>
        <w:spacing w:after="0"/>
        <w:rPr>
          <w:rFonts w:ascii="Times New Roman" w:hAnsi="Times New Roman"/>
          <w:b/>
          <w:lang w:val="lv-LV"/>
        </w:rPr>
      </w:pPr>
      <w:r>
        <w:rPr>
          <w:rFonts w:ascii="Times New Roman" w:hAnsi="Times New Roman"/>
          <w:b/>
          <w:lang w:val="lv-LV"/>
        </w:rPr>
        <w:t>Aprakstīt, kam trūkst finansējums, esošo papildu finansējumu un iepriekšējo pieredzi ar finansējumu.</w:t>
      </w:r>
    </w:p>
    <w:p w:rsidR="00A9482F" w:rsidRPr="00AE40CC" w:rsidRDefault="00570BF0" w:rsidP="004F634A">
      <w:pPr>
        <w:spacing w:after="0"/>
        <w:ind w:firstLine="284"/>
        <w:jc w:val="both"/>
        <w:rPr>
          <w:rFonts w:ascii="Times New Roman" w:hAnsi="Times New Roman"/>
          <w:lang w:val="lv-LV"/>
        </w:rPr>
      </w:pPr>
      <w:r>
        <w:rPr>
          <w:rFonts w:ascii="Times New Roman" w:hAnsi="Times New Roman"/>
          <w:lang w:val="lv-LV"/>
        </w:rPr>
        <w:t xml:space="preserve">Pašreizējā pieredze ir pierādījusi, ka tikai nedaudzi riska kapitāla ieguldītāji ir gatavi iesaistīties agrīnā komersantu finansēšanas posmā, ņemot vērā augsto risku, sākotnēji negatīvos finanšu atguves rādītājus, kā arī nepietiekamas zināšanas tehnoloģiju jomā. Tehnoloģiju inkubatora izveide ļaus palielināt riska kapitāla ieguldītājiem dzīvotspējīgu projektu skaitu. Programmas uzdevums ir kļūt par daļu no pilnībā funkcionējošas inovāciju sistēmas, kur </w:t>
      </w:r>
      <w:r>
        <w:rPr>
          <w:rFonts w:ascii="Times New Roman" w:hAnsi="Times New Roman"/>
          <w:lang w:val="lv-LV"/>
        </w:rPr>
        <w:lastRenderedPageBreak/>
        <w:t>komersanti dažādos to attīstības posmos tiek nodrošināti ar nepieciešamo kompetenci un finanšu resursiem.</w:t>
      </w:r>
    </w:p>
    <w:p w:rsidR="00060B2C" w:rsidRPr="00AE40CC" w:rsidRDefault="00570BF0" w:rsidP="00060B2C">
      <w:pPr>
        <w:spacing w:after="0"/>
        <w:ind w:firstLine="284"/>
        <w:jc w:val="both"/>
        <w:rPr>
          <w:rFonts w:ascii="Times New Roman" w:hAnsi="Times New Roman"/>
          <w:color w:val="000000"/>
          <w:lang w:val="lv-LV" w:eastAsia="lv-LV"/>
        </w:rPr>
      </w:pPr>
      <w:r>
        <w:rPr>
          <w:rFonts w:ascii="Times New Roman" w:hAnsi="Times New Roman"/>
          <w:color w:val="000000"/>
          <w:lang w:val="lv-LV" w:eastAsia="lv-LV"/>
        </w:rPr>
        <w:t>Dokumentā „Dalībvalstu konkurētspējas veicināšana un politika: Konkurētspējas nostiprināšana, 2011”</w:t>
      </w:r>
      <w:r w:rsidR="00060B2C" w:rsidRPr="00AE40CC">
        <w:rPr>
          <w:rStyle w:val="FootnoteReference"/>
          <w:rFonts w:ascii="Times New Roman" w:hAnsi="Times New Roman"/>
          <w:color w:val="000000"/>
          <w:lang w:val="lv-LV" w:eastAsia="lv-LV"/>
        </w:rPr>
        <w:footnoteReference w:id="6"/>
      </w:r>
      <w:r w:rsidR="00937298" w:rsidRPr="00AE40CC">
        <w:rPr>
          <w:rFonts w:ascii="Times New Roman" w:hAnsi="Times New Roman"/>
          <w:color w:val="000000"/>
          <w:lang w:val="lv-LV" w:eastAsia="lv-LV"/>
        </w:rPr>
        <w:t xml:space="preserve"> minēts, ka Latvijas </w:t>
      </w:r>
      <w:r w:rsidR="00373A6E" w:rsidRPr="00AE40CC">
        <w:rPr>
          <w:rFonts w:ascii="Times New Roman" w:hAnsi="Times New Roman"/>
          <w:color w:val="000000"/>
          <w:lang w:val="lv-LV" w:eastAsia="lv-LV"/>
        </w:rPr>
        <w:t>kredītiestādes</w:t>
      </w:r>
      <w:r w:rsidR="00937298" w:rsidRPr="00AE40CC">
        <w:rPr>
          <w:rFonts w:ascii="Times New Roman" w:hAnsi="Times New Roman"/>
          <w:color w:val="000000"/>
          <w:lang w:val="lv-LV" w:eastAsia="lv-LV"/>
        </w:rPr>
        <w:t xml:space="preserve"> bieži </w:t>
      </w:r>
      <w:r w:rsidR="0039159B" w:rsidRPr="00AE40CC">
        <w:rPr>
          <w:rFonts w:ascii="Times New Roman" w:hAnsi="Times New Roman"/>
          <w:color w:val="000000"/>
          <w:lang w:val="lv-LV" w:eastAsia="lv-LV"/>
        </w:rPr>
        <w:t>ir atturīgas veikt</w:t>
      </w:r>
      <w:r w:rsidR="00937298" w:rsidRPr="00AE40CC">
        <w:rPr>
          <w:rFonts w:ascii="Times New Roman" w:hAnsi="Times New Roman"/>
          <w:color w:val="000000"/>
          <w:lang w:val="lv-LV" w:eastAsia="lv-LV"/>
        </w:rPr>
        <w:t xml:space="preserve"> investīcijas </w:t>
      </w:r>
      <w:r w:rsidR="00A35F8C" w:rsidRPr="00AE40CC">
        <w:rPr>
          <w:rFonts w:ascii="Times New Roman" w:hAnsi="Times New Roman"/>
          <w:color w:val="000000"/>
          <w:lang w:val="lv-LV" w:eastAsia="lv-LV"/>
        </w:rPr>
        <w:t>„</w:t>
      </w:r>
      <w:r>
        <w:rPr>
          <w:rFonts w:ascii="Times New Roman" w:hAnsi="Times New Roman"/>
          <w:color w:val="000000"/>
          <w:lang w:val="lv-LV" w:eastAsia="lv-LV"/>
        </w:rPr>
        <w:t>zaļo” investīciju projektos. Tas nozīmē, ka nepieciešams ievērojams ārējais atbalsts, lai nodrošinātu „zaļo” nozaru projektu īstenošanu.</w:t>
      </w:r>
    </w:p>
    <w:p w:rsidR="00A9482F" w:rsidRPr="00AE40CC" w:rsidRDefault="00570BF0" w:rsidP="00563AF3">
      <w:pPr>
        <w:spacing w:after="0"/>
        <w:ind w:firstLine="284"/>
        <w:jc w:val="both"/>
        <w:rPr>
          <w:rFonts w:ascii="Times New Roman" w:hAnsi="Times New Roman"/>
          <w:lang w:val="lv-LV"/>
        </w:rPr>
      </w:pPr>
      <w:r>
        <w:rPr>
          <w:rFonts w:ascii="Times New Roman" w:hAnsi="Times New Roman"/>
          <w:lang w:val="lv-LV"/>
        </w:rPr>
        <w:t xml:space="preserve">Saskaņā ar ziņojumā „Uzņēmējdarbības Globālais Monitorings / Latvijas </w:t>
      </w:r>
      <w:smartTag w:uri="schemas-tilde-lv/tildestengine" w:element="currency2">
        <w:smartTagPr>
          <w:attr w:name="id" w:val="-1"/>
          <w:attr w:name="baseform" w:val="ziņojums"/>
          <w:attr w:name="text" w:val="ziņojums"/>
        </w:smartTagPr>
        <w:r>
          <w:rPr>
            <w:rFonts w:ascii="Times New Roman" w:hAnsi="Times New Roman"/>
            <w:lang w:val="lv-LV"/>
          </w:rPr>
          <w:t>ziņojums</w:t>
        </w:r>
      </w:smartTag>
      <w:r>
        <w:rPr>
          <w:rFonts w:ascii="Times New Roman" w:hAnsi="Times New Roman"/>
          <w:lang w:val="lv-LV"/>
        </w:rPr>
        <w:t xml:space="preserve"> 2009” sniegto informāciju, Latvijas komersanti plaši izmanto neformālo kapitālu (piem., draugu, radinieku un kolēģu sniegtais finansējums). Tas nozīmē, ka Latvijas sabiedrība ir plaši ieinteresēta atbalstīt uzņēmējdarbību. Lai gan tas daļēji atbilst patiesībai, ziņojums ļauj secināt arī to, ka komersanti nevar vai nevēlas atrast nepieciešamo finansējumu no formāliem avotiem (piem., bankām, kapitāla tirgiem, riska kapitāla ieguldītājiem), kas sniegtu komersantiem iespēju saņemt lielāku finansējumu, kā arī iegūt nepieciešamo pieredzi un kompetenci. Tāpat ziņojumā ir minēts, ka bankām bieži vien ir nepietiekamas zināšanas un izpratne par konkrētām nozarēm un uzņēmējdarbību, tā samazinot atbalstīto biznesa projektu skaitu. Tādējādi pieaug Tehnoloģiju inkubatora operatora nozīme, jo tas nodrošinātu kompetenci, kas nepieciešama objektīvu lēmumu pieņemšanai par projektu dzīvotspēju un sniegtu zināšanas un pieredzi projektu komercializācijai. Vienlaikus šāda Tehnoloģiju inkubatora operatora ekspertīze palīdzētu bankām pieņemt labvēlīgus lēmumus. </w:t>
      </w:r>
    </w:p>
    <w:p w:rsidR="001D6975" w:rsidRPr="00AE40CC" w:rsidRDefault="00570BF0" w:rsidP="00B45EA7">
      <w:pPr>
        <w:spacing w:after="0"/>
        <w:ind w:firstLine="284"/>
        <w:jc w:val="both"/>
        <w:rPr>
          <w:rFonts w:ascii="Times New Roman" w:hAnsi="Times New Roman"/>
          <w:lang w:val="lv-LV"/>
        </w:rPr>
      </w:pPr>
      <w:r>
        <w:rPr>
          <w:rFonts w:ascii="Times New Roman" w:hAnsi="Times New Roman"/>
          <w:lang w:val="lv-LV"/>
        </w:rPr>
        <w:t xml:space="preserve">  Programma papildina Eiropas Reģionālās attīstības fondu (turpmāk tekstā - ERAF), kas atbalsta komersantus, taču ERAF mērķauditorija nedaudz atšķiras. Latvija ar ERAF atbalstu ir izveidojusi sistēmu, kas ietver dažādus atbalsta pasākumus ar mērķi nodrošināt finansējumu komersantiem dažādos to darbības attīstības posmos. Lai mazinātu plaisu starp zinātni un inovatīvu ideju komercializāciju, ir uzsākta Kompetences centru programma. Arī atbalsta pasākumi jaunu produktu un tehnoloģiju ieviešanai ražošanā, </w:t>
      </w:r>
      <w:r>
        <w:rPr>
          <w:rFonts w:ascii="Times New Roman" w:hAnsi="Times New Roman"/>
          <w:color w:val="2A2A2A"/>
        </w:rPr>
        <w:t xml:space="preserve">jaunu produktu un tehnoloģiju attīstībai </w:t>
      </w:r>
      <w:r>
        <w:rPr>
          <w:rFonts w:ascii="Times New Roman" w:hAnsi="Times New Roman"/>
          <w:lang w:val="lv-LV"/>
        </w:rPr>
        <w:t xml:space="preserve"> ir nozīmīga inovāciju sistēmas daļa. Tomēr jāņem vērā, ka ES fondu 2007.-2013. gada finanšu plānošanas periods tuvojas noslēgumam, tādēļ papildu finansējuma avoti kļuvuši vēl nozīmīgāki.</w:t>
      </w:r>
    </w:p>
    <w:p w:rsidR="004F5EDD" w:rsidRPr="00AE40CC" w:rsidRDefault="00570BF0" w:rsidP="004F5EDD">
      <w:pPr>
        <w:spacing w:after="0"/>
        <w:ind w:firstLine="284"/>
        <w:jc w:val="both"/>
        <w:rPr>
          <w:rFonts w:ascii="Times New Roman" w:hAnsi="Times New Roman"/>
          <w:lang w:val="lv-LV"/>
        </w:rPr>
      </w:pPr>
      <w:r>
        <w:rPr>
          <w:rFonts w:ascii="Times New Roman" w:hAnsi="Times New Roman"/>
          <w:lang w:val="lv-LV"/>
        </w:rPr>
        <w:t xml:space="preserve">Šobrīd Latvijā tiek īstenota „Biznesa inkubatoru” programma, kuras ietvaros </w:t>
      </w:r>
      <w:r w:rsidR="00727808">
        <w:rPr>
          <w:rFonts w:ascii="Times New Roman" w:hAnsi="Times New Roman"/>
          <w:lang w:val="lv-LV"/>
        </w:rPr>
        <w:t>tiks noslēgti līgumi par 10 inkubatoru izveidi</w:t>
      </w:r>
      <w:r>
        <w:rPr>
          <w:rFonts w:ascii="Times New Roman" w:hAnsi="Times New Roman"/>
          <w:lang w:val="lv-LV"/>
        </w:rPr>
        <w:t xml:space="preserve"> visā Latvijas teritorijā (ieskaitot Radošo industriju Biznesa inkubatoru Rīgā)</w:t>
      </w:r>
      <w:r w:rsidR="00EC3BB0">
        <w:rPr>
          <w:rFonts w:ascii="Times New Roman" w:hAnsi="Times New Roman"/>
          <w:lang w:val="lv-LV"/>
        </w:rPr>
        <w:t>.</w:t>
      </w:r>
      <w:r w:rsidR="0065514B">
        <w:rPr>
          <w:rFonts w:ascii="Times New Roman" w:hAnsi="Times New Roman"/>
          <w:lang w:val="lv-LV"/>
        </w:rPr>
        <w:t xml:space="preserve"> </w:t>
      </w:r>
      <w:r w:rsidR="00EC3BB0">
        <w:rPr>
          <w:rFonts w:ascii="Times New Roman" w:hAnsi="Times New Roman"/>
          <w:lang w:val="lv-LV"/>
        </w:rPr>
        <w:t>P</w:t>
      </w:r>
      <w:r w:rsidR="0065514B">
        <w:rPr>
          <w:rFonts w:ascii="Times New Roman" w:hAnsi="Times New Roman"/>
          <w:lang w:val="lv-LV"/>
        </w:rPr>
        <w:t>apildus atsevišķiem inkubatoriem ir izveidotas filiāles reģionos.</w:t>
      </w:r>
      <w:r>
        <w:rPr>
          <w:rFonts w:ascii="Times New Roman" w:hAnsi="Times New Roman"/>
          <w:lang w:val="lv-LV"/>
        </w:rPr>
        <w:t xml:space="preserve"> Kopējais Biznesa inkubatoru programmas budžets ir 20 208 601 lati (EUR 28 754 248), no kuriem 17 179 </w:t>
      </w:r>
      <w:r w:rsidR="008D4221">
        <w:rPr>
          <w:rFonts w:ascii="Times New Roman" w:hAnsi="Times New Roman"/>
          <w:lang w:val="lv-LV"/>
        </w:rPr>
        <w:t xml:space="preserve">419 </w:t>
      </w:r>
      <w:r>
        <w:rPr>
          <w:rFonts w:ascii="Times New Roman" w:hAnsi="Times New Roman"/>
          <w:lang w:val="lv-LV"/>
        </w:rPr>
        <w:t xml:space="preserve">lati (EUR 24 444 109) ir ERAF finansējums un 3 029 182 lati (EUR 4 310 137) ir valsts finansējums. Biznesa inkubatoru operatori tika izvēlēti publiskā iepirkuma ietvaros. Vērtēšanas komisijā piedalījās EM, LIAA, Kultūras ministrijas, </w:t>
      </w:r>
      <w:r w:rsidR="00673EBB">
        <w:rPr>
          <w:rFonts w:ascii="Times New Roman" w:hAnsi="Times New Roman"/>
          <w:lang w:val="lv-LV"/>
        </w:rPr>
        <w:t>VI</w:t>
      </w:r>
      <w:r w:rsidR="002859DF" w:rsidRPr="00AE40CC">
        <w:rPr>
          <w:rFonts w:ascii="Times New Roman" w:hAnsi="Times New Roman"/>
          <w:lang w:val="lv-LV"/>
        </w:rPr>
        <w:t xml:space="preserve"> un plānošanas reģionu pārstāvji. </w:t>
      </w:r>
      <w:r w:rsidR="0039159B" w:rsidRPr="00AE40CC">
        <w:rPr>
          <w:rFonts w:ascii="Times New Roman" w:hAnsi="Times New Roman"/>
          <w:lang w:val="lv-LV"/>
        </w:rPr>
        <w:t>„</w:t>
      </w:r>
      <w:r>
        <w:rPr>
          <w:rFonts w:ascii="Times New Roman" w:hAnsi="Times New Roman"/>
          <w:lang w:val="lv-LV"/>
        </w:rPr>
        <w:t xml:space="preserve">Biznesa inkubatoru” programmai tika piemērota iepirkuma procedūra, un kopumā tika izvēlēti astoņi biznesa inkubatoru operatori. Biznesa inkubatorā tiek uzņemti komersanti no ļoti dažādām nozarēm, ne tikai „zaļo” tehnoloģiju jomā kā tas būs Tehnoloģiju inkubatora gadījumā. Turklāt  „Biznesa inkubatoru” aktivitāte nav vērsta uz zinātnisko institūciju iesaisti. </w:t>
      </w:r>
    </w:p>
    <w:p w:rsidR="005C2B6F" w:rsidRPr="00AE40CC" w:rsidRDefault="00570BF0" w:rsidP="004F5EDD">
      <w:pPr>
        <w:spacing w:after="0"/>
        <w:ind w:firstLine="284"/>
        <w:jc w:val="both"/>
        <w:rPr>
          <w:rFonts w:ascii="Times New Roman" w:hAnsi="Times New Roman"/>
          <w:lang w:val="lv-LV"/>
        </w:rPr>
      </w:pPr>
      <w:r>
        <w:rPr>
          <w:rFonts w:ascii="Times New Roman" w:hAnsi="Times New Roman"/>
          <w:lang w:val="lv-LV"/>
        </w:rPr>
        <w:t>Lai būtu iespējams sasniegt Programmas mērķi ir nepieciešams iesaistīt zinātniskās institūcijas, kā arī Norvēģijas partnerus. Tas norāda, ka Tehnoloģiju inkubatora projekts ir jānosaka par iepriekš noteiktu projektu, kuru izvēlētos ierobežotas projektu iesniegumu atlases ietvaros. To apstiprina arī pasaules pieredze pirms-inkubācijas atbalsta sniegšanā tehnoloģiju intensīviem komersantiem, ko parasti īsteno ciešā sadarbībā ar zinātniskajām institūcijām. Tāpat ierobežota projektu iesniegumu atlases procedūra ļauj jau tagad uzsākt sadarbību un sagatavoties Programmas īstenošanai, kas ir būtiski ņemot vērā laika ierobežojumus.</w:t>
      </w:r>
    </w:p>
    <w:p w:rsidR="00C55A12" w:rsidRPr="00AE40CC" w:rsidRDefault="00570BF0" w:rsidP="007E130E">
      <w:pPr>
        <w:spacing w:after="0"/>
        <w:ind w:firstLine="284"/>
        <w:jc w:val="both"/>
        <w:rPr>
          <w:rFonts w:ascii="Times New Roman" w:hAnsi="Times New Roman"/>
          <w:lang w:val="lv-LV"/>
        </w:rPr>
      </w:pPr>
      <w:r>
        <w:rPr>
          <w:rFonts w:ascii="Times New Roman" w:hAnsi="Times New Roman"/>
          <w:lang w:val="lv-LV"/>
        </w:rPr>
        <w:lastRenderedPageBreak/>
        <w:t>Lēmums par komersantu apstiprināšanu „Biznesa inkubatoru” programmā tiek pieņemts pēc biznesa inkubatora operatora izvērtējuma - biznesa potenciāla pārbaude,  atbilstības kritēriji</w:t>
      </w:r>
      <w:r w:rsidR="0009395C">
        <w:rPr>
          <w:rFonts w:ascii="Times New Roman" w:hAnsi="Times New Roman"/>
          <w:lang w:val="lv-LV"/>
        </w:rPr>
        <w:t>em</w:t>
      </w:r>
      <w:r>
        <w:rPr>
          <w:rFonts w:ascii="Times New Roman" w:hAnsi="Times New Roman"/>
          <w:lang w:val="lv-LV"/>
        </w:rPr>
        <w:t>, de minimis kritērij</w:t>
      </w:r>
      <w:r w:rsidR="0009395C">
        <w:rPr>
          <w:rFonts w:ascii="Times New Roman" w:hAnsi="Times New Roman"/>
          <w:lang w:val="lv-LV"/>
        </w:rPr>
        <w:t>am</w:t>
      </w:r>
      <w:r>
        <w:rPr>
          <w:rFonts w:ascii="Times New Roman" w:hAnsi="Times New Roman"/>
          <w:lang w:val="lv-LV"/>
        </w:rPr>
        <w:t xml:space="preserve">, komersanta statusa </w:t>
      </w:r>
      <w:r w:rsidR="0009395C">
        <w:rPr>
          <w:rFonts w:ascii="Times New Roman" w:hAnsi="Times New Roman"/>
          <w:lang w:val="lv-LV"/>
        </w:rPr>
        <w:t>atbilstības jauna komersanta statusam</w:t>
      </w:r>
      <w:r>
        <w:rPr>
          <w:rFonts w:ascii="Times New Roman" w:hAnsi="Times New Roman"/>
          <w:lang w:val="lv-LV"/>
        </w:rPr>
        <w:t>. „Biznesa inkubatoru” programma joprojām darbojas, un tās ietvaros komersanti var pieteikties atbalsta saņemšanai. Programma tiks īstenota līdz 2014. gada beigām. Biznesa inkubators sniedz komersantiem ekspertu padomus un dažādus pakalpojumus atbilstoši to vajadzībām. Ja nepieciešams, biznesa inkubators var iepirkt dažādus papildus pakalpojumus. Komersantam, kas pievienojas biznesa inkubatoram, ja tas ir jaunāks par vienu gadu, pirmajā gadā atbalsta intensitāte - 85%, otrajā gadā – 60%, trešajā gadā – 40% un ceturtajā gadā – 10%. Gadījumos, ja komersants ir vecāks par vienu gadu, pirmajā gadā saņemtā atbalsta intensitāte nepārsniedz 80%, otrajā gadā – 55%, trešajā gadā – 3</w:t>
      </w:r>
      <w:r w:rsidR="00A91061">
        <w:rPr>
          <w:rFonts w:ascii="Times New Roman" w:hAnsi="Times New Roman"/>
          <w:lang w:val="lv-LV"/>
        </w:rPr>
        <w:t>5</w:t>
      </w:r>
      <w:r>
        <w:rPr>
          <w:rFonts w:ascii="Times New Roman" w:hAnsi="Times New Roman"/>
          <w:lang w:val="lv-LV"/>
        </w:rPr>
        <w:t>% un ceturtajā gadā – 10%. LIAA pienākumi ir uzraudzīt programmas īstenošanu, pārbaudīt biznesa inkubatoru operatoru iesniegtos maksājumu pieprasījumus, un izvērtēt programmas ietvaros sasniegtos rezultātus. EM izvērtē kopējo programmas ietvaros sasniegto un seko līdz finanšu progresam programmas ietvaros.</w:t>
      </w:r>
    </w:p>
    <w:p w:rsidR="00637800" w:rsidRPr="00734278" w:rsidRDefault="00570BF0" w:rsidP="00D5389D">
      <w:pPr>
        <w:spacing w:after="0"/>
        <w:ind w:firstLine="284"/>
        <w:jc w:val="both"/>
        <w:rPr>
          <w:rFonts w:ascii="Times New Roman" w:hAnsi="Times New Roman"/>
          <w:lang w:val="lv-LV"/>
        </w:rPr>
      </w:pPr>
      <w:r>
        <w:rPr>
          <w:rFonts w:ascii="Times New Roman" w:hAnsi="Times New Roman"/>
          <w:lang w:val="lv-LV"/>
        </w:rPr>
        <w:t xml:space="preserve"> Šobrīd sēklas kapitāla finansēšanu Latvijā nodrošina </w:t>
      </w:r>
      <w:r w:rsidRPr="00734278">
        <w:rPr>
          <w:rFonts w:ascii="Times New Roman" w:hAnsi="Times New Roman"/>
          <w:lang w:val="en-US"/>
        </w:rPr>
        <w:t>Imprimatur Capital Seed Fund</w:t>
      </w:r>
      <w:r>
        <w:rPr>
          <w:rFonts w:ascii="Times New Roman" w:hAnsi="Times New Roman"/>
          <w:lang w:val="lv-LV"/>
        </w:rPr>
        <w:t xml:space="preserve">. Kopējais sēklas kapitālam pieejamais finansējums sasniedz 2 108 412 latus (3 000 000 EUR), nepārsniedzot 70 280 latu (100 000 EUR) vienam projektam. Līdz šim maksimālais finansējums 70 280 latu (100 000 EUR) apmērā ir piešķirts 7 projektiem. Veicot investīcijas </w:t>
      </w:r>
      <w:r w:rsidRPr="00734278">
        <w:rPr>
          <w:rFonts w:ascii="Times New Roman" w:hAnsi="Times New Roman"/>
          <w:lang w:val="en-US"/>
        </w:rPr>
        <w:t>Imprimatur Capital Seed Fund</w:t>
      </w:r>
      <w:r>
        <w:rPr>
          <w:rFonts w:ascii="Times New Roman" w:hAnsi="Times New Roman"/>
          <w:lang w:val="lv-LV"/>
        </w:rPr>
        <w:t xml:space="preserve"> pārstāvji arī piedalās komersanta lēmumu pieņemšanas procesā un sniedz savu pieredzi un zināšanas, lai veicinātu komersantu turpmāko attīstību</w:t>
      </w:r>
      <w:r w:rsidRPr="00734278">
        <w:rPr>
          <w:rFonts w:ascii="Times New Roman" w:hAnsi="Times New Roman"/>
          <w:lang w:val="lv-LV"/>
        </w:rPr>
        <w:t xml:space="preserve">. </w:t>
      </w:r>
      <w:r w:rsidRPr="00734278">
        <w:rPr>
          <w:rFonts w:ascii="Times New Roman" w:hAnsi="Times New Roman"/>
          <w:lang w:val="en-US"/>
        </w:rPr>
        <w:t>Imprimatur Capital Seed Fund</w:t>
      </w:r>
      <w:r w:rsidRPr="00734278">
        <w:rPr>
          <w:rFonts w:ascii="Times New Roman" w:hAnsi="Times New Roman"/>
          <w:lang w:val="lv-LV"/>
        </w:rPr>
        <w:t xml:space="preserve"> pārziņā ir arī uzsākšanas kapitāla fonds, </w:t>
      </w:r>
      <w:proofErr w:type="gramStart"/>
      <w:r w:rsidRPr="00734278">
        <w:rPr>
          <w:rFonts w:ascii="Times New Roman" w:hAnsi="Times New Roman"/>
          <w:lang w:val="lv-LV"/>
        </w:rPr>
        <w:t>kura</w:t>
      </w:r>
      <w:proofErr w:type="gramEnd"/>
      <w:r w:rsidRPr="00734278">
        <w:rPr>
          <w:rFonts w:ascii="Times New Roman" w:hAnsi="Times New Roman"/>
          <w:lang w:val="lv-LV"/>
        </w:rPr>
        <w:t xml:space="preserve"> kopējais apjoms sasniedz 12 228 789 latus (17 400 000 EUR), nepārsniedzot 281 121 latus (400 000 EUR) </w:t>
      </w:r>
      <w:r w:rsidR="008C66BA" w:rsidRPr="00734278">
        <w:rPr>
          <w:rFonts w:ascii="Times New Roman" w:hAnsi="Times New Roman"/>
          <w:lang w:val="lv-LV"/>
        </w:rPr>
        <w:t xml:space="preserve">vienam </w:t>
      </w:r>
      <w:r w:rsidRPr="00734278">
        <w:rPr>
          <w:rFonts w:ascii="Times New Roman" w:hAnsi="Times New Roman"/>
          <w:lang w:val="lv-LV"/>
        </w:rPr>
        <w:t xml:space="preserve">projektam. </w:t>
      </w:r>
    </w:p>
    <w:p w:rsidR="00B91FC9" w:rsidRPr="00AE40CC" w:rsidRDefault="00570BF0" w:rsidP="001C44E4">
      <w:pPr>
        <w:spacing w:after="0"/>
        <w:ind w:firstLine="284"/>
        <w:jc w:val="both"/>
        <w:rPr>
          <w:rFonts w:ascii="Times New Roman" w:hAnsi="Times New Roman"/>
          <w:lang w:val="lv-LV"/>
        </w:rPr>
      </w:pPr>
      <w:r w:rsidRPr="00734278">
        <w:rPr>
          <w:rFonts w:ascii="Times New Roman" w:hAnsi="Times New Roman"/>
          <w:sz w:val="24"/>
          <w:szCs w:val="24"/>
          <w:lang w:val="lv-LV"/>
        </w:rPr>
        <w:t>ES</w:t>
      </w:r>
      <w:r w:rsidRPr="00734278">
        <w:rPr>
          <w:rFonts w:ascii="Times New Roman" w:hAnsi="Times New Roman"/>
          <w:lang w:val="lv-LV"/>
        </w:rPr>
        <w:t xml:space="preserve"> līmenī 2007.-2013. gada finanšu plānošanas periodā atbalsts ir paredzēts pētniecībai un eko-inovatīvu tehnoloģiju projektu demonstrēšanai un šo produktu iekļūšanai tirgū ar šādu programmu atbalstu:</w:t>
      </w:r>
    </w:p>
    <w:p w:rsidR="00AD0E66" w:rsidRPr="00AE40CC" w:rsidRDefault="00570BF0" w:rsidP="00877666">
      <w:pPr>
        <w:pStyle w:val="ListParagraph"/>
        <w:numPr>
          <w:ilvl w:val="0"/>
          <w:numId w:val="13"/>
        </w:numPr>
        <w:spacing w:after="0"/>
        <w:jc w:val="both"/>
        <w:rPr>
          <w:rFonts w:ascii="Times New Roman" w:hAnsi="Times New Roman"/>
          <w:lang w:val="lv-LV"/>
        </w:rPr>
      </w:pPr>
      <w:r>
        <w:rPr>
          <w:rStyle w:val="st1"/>
          <w:rFonts w:ascii="Times New Roman" w:hAnsi="Times New Roman"/>
          <w:bCs/>
          <w:color w:val="000000"/>
        </w:rPr>
        <w:t>Septītā pamatprogramma pētniecības</w:t>
      </w:r>
      <w:r>
        <w:rPr>
          <w:rStyle w:val="st1"/>
          <w:rFonts w:ascii="Times New Roman" w:hAnsi="Times New Roman"/>
        </w:rPr>
        <w:t xml:space="preserve"> un </w:t>
      </w:r>
      <w:r>
        <w:rPr>
          <w:rStyle w:val="st1"/>
          <w:rFonts w:ascii="Times New Roman" w:hAnsi="Times New Roman"/>
          <w:bCs/>
          <w:color w:val="000000"/>
        </w:rPr>
        <w:t>tehnoloģiju attīstībai</w:t>
      </w:r>
      <w:r>
        <w:rPr>
          <w:rFonts w:ascii="Times New Roman" w:hAnsi="Times New Roman"/>
          <w:lang w:val="lv-LV"/>
        </w:rPr>
        <w:t xml:space="preserve"> (FP7), Konkurētspējas un inovāciju ietvarprogramma (CIP), Eko-inovāciju pirmreizējas izmantošanas vai ieviešanas tirgū projekti;</w:t>
      </w:r>
    </w:p>
    <w:p w:rsidR="00AD0E66" w:rsidRPr="00AE40CC" w:rsidRDefault="00570BF0" w:rsidP="00877666">
      <w:pPr>
        <w:pStyle w:val="ListParagraph"/>
        <w:numPr>
          <w:ilvl w:val="0"/>
          <w:numId w:val="13"/>
        </w:numPr>
        <w:spacing w:after="0"/>
        <w:jc w:val="both"/>
        <w:rPr>
          <w:rFonts w:ascii="Times New Roman" w:hAnsi="Times New Roman"/>
          <w:lang w:val="lv-LV"/>
        </w:rPr>
      </w:pPr>
      <w:r>
        <w:rPr>
          <w:rFonts w:ascii="Times New Roman" w:hAnsi="Times New Roman"/>
          <w:lang w:val="lv-LV"/>
        </w:rPr>
        <w:t xml:space="preserve">Eiropas Eko-inovāciju platforma; </w:t>
      </w:r>
    </w:p>
    <w:p w:rsidR="00AD0E66" w:rsidRPr="00AE40CC" w:rsidRDefault="00570BF0" w:rsidP="00877666">
      <w:pPr>
        <w:pStyle w:val="ListParagraph"/>
        <w:numPr>
          <w:ilvl w:val="0"/>
          <w:numId w:val="13"/>
        </w:numPr>
        <w:spacing w:after="0"/>
        <w:jc w:val="both"/>
        <w:rPr>
          <w:rFonts w:ascii="Times New Roman" w:hAnsi="Times New Roman"/>
          <w:lang w:val="lv-LV"/>
        </w:rPr>
      </w:pPr>
      <w:r>
        <w:rPr>
          <w:rFonts w:ascii="Times New Roman" w:hAnsi="Times New Roman"/>
          <w:lang w:val="lv-LV"/>
        </w:rPr>
        <w:t xml:space="preserve">Programmas LIFE+ vides daļa. </w:t>
      </w:r>
    </w:p>
    <w:p w:rsidR="00A62A8F" w:rsidRPr="00AE40CC" w:rsidRDefault="00570BF0" w:rsidP="000A0759">
      <w:pPr>
        <w:spacing w:after="0"/>
        <w:ind w:firstLine="284"/>
        <w:jc w:val="both"/>
        <w:rPr>
          <w:rFonts w:ascii="Times New Roman" w:hAnsi="Times New Roman"/>
          <w:color w:val="000000"/>
          <w:lang w:val="lv-LV" w:eastAsia="lv-LV"/>
        </w:rPr>
      </w:pPr>
      <w:r>
        <w:rPr>
          <w:rFonts w:ascii="Times New Roman" w:hAnsi="Times New Roman"/>
          <w:color w:val="000000"/>
          <w:lang w:val="lv-LV" w:eastAsia="lv-LV"/>
        </w:rPr>
        <w:t>ES ir nākusi pretī „zaļajai” uzņēmējdarbībai, ieviešot LiMaS projektu</w:t>
      </w:r>
      <w:r w:rsidR="00665FC0" w:rsidRPr="00AE40CC">
        <w:rPr>
          <w:rStyle w:val="FootnoteReference"/>
          <w:rFonts w:ascii="Times New Roman" w:hAnsi="Times New Roman"/>
          <w:color w:val="000000"/>
          <w:lang w:val="lv-LV" w:eastAsia="lv-LV"/>
        </w:rPr>
        <w:footnoteReference w:id="7"/>
      </w:r>
      <w:r w:rsidR="00665FC0" w:rsidRPr="00AE40CC">
        <w:rPr>
          <w:rFonts w:ascii="Times New Roman" w:hAnsi="Times New Roman"/>
          <w:color w:val="000000"/>
          <w:lang w:val="lv-LV" w:eastAsia="lv-LV"/>
        </w:rPr>
        <w:t>, kura ietvaros ir izstrādāts tīmekļa rīks, lai veicinātu eko-inovācijas mazajiem un vidējiem komersant</w:t>
      </w:r>
      <w:r>
        <w:rPr>
          <w:rFonts w:ascii="Times New Roman" w:hAnsi="Times New Roman"/>
          <w:color w:val="000000"/>
          <w:lang w:val="lv-LV" w:eastAsia="lv-LV"/>
        </w:rPr>
        <w:t>iem. Tā mērķis ir palīdzēt komersantiem radīt videi draudzīgus produktus. Tāpat LiMaS projekts palīdz komersantiem pārvarēt kompetences trūkumu saistībā ar vides produktu attīstību, produkta izstrādes procesa laikā izskaidrojot vides jautājumus.</w:t>
      </w:r>
    </w:p>
    <w:p w:rsidR="00343928" w:rsidRPr="00AE40CC" w:rsidRDefault="00343928" w:rsidP="000A0759">
      <w:pPr>
        <w:spacing w:after="0"/>
        <w:ind w:firstLine="284"/>
        <w:jc w:val="both"/>
        <w:rPr>
          <w:rFonts w:ascii="Times New Roman" w:hAnsi="Times New Roman"/>
          <w:color w:val="000000"/>
          <w:lang w:val="lv-LV" w:eastAsia="lv-LV"/>
        </w:rPr>
      </w:pPr>
    </w:p>
    <w:p w:rsidR="00A9482F" w:rsidRPr="00AE40CC" w:rsidRDefault="00570BF0" w:rsidP="00A9482F">
      <w:pPr>
        <w:pStyle w:val="Heading3"/>
        <w:spacing w:before="0"/>
        <w:rPr>
          <w:rFonts w:ascii="Times New Roman" w:hAnsi="Times New Roman"/>
          <w:lang w:val="lv-LV"/>
        </w:rPr>
      </w:pPr>
      <w:r>
        <w:rPr>
          <w:rFonts w:ascii="Times New Roman" w:hAnsi="Times New Roman"/>
          <w:lang w:val="lv-LV"/>
        </w:rPr>
        <w:t>Ar Programmas jomu saistītas valsts un privātās iestādes</w:t>
      </w:r>
    </w:p>
    <w:p w:rsidR="00A9482F" w:rsidRPr="00AE40CC" w:rsidRDefault="00570BF0" w:rsidP="00A9482F">
      <w:pPr>
        <w:spacing w:after="0"/>
        <w:rPr>
          <w:rFonts w:ascii="Times New Roman" w:hAnsi="Times New Roman"/>
          <w:b/>
          <w:lang w:val="lv-LV"/>
        </w:rPr>
      </w:pPr>
      <w:r>
        <w:rPr>
          <w:rFonts w:ascii="Times New Roman" w:hAnsi="Times New Roman"/>
          <w:b/>
          <w:lang w:val="lv-LV"/>
        </w:rPr>
        <w:t xml:space="preserve">Aprakstīt dažādus Saņēmējvalsts valsts pārvaldes un/vai reģionālo un vietējo iestāžu un/vai privātā sektora un/vai nevalstiskās sektora aspektus saistībā ar šo Programmu. </w:t>
      </w:r>
    </w:p>
    <w:p w:rsidR="00A9482F" w:rsidRPr="00AE40CC" w:rsidRDefault="00570BF0" w:rsidP="005C10E4">
      <w:pPr>
        <w:spacing w:after="0"/>
        <w:ind w:firstLine="284"/>
        <w:jc w:val="both"/>
        <w:rPr>
          <w:rFonts w:ascii="Times New Roman" w:hAnsi="Times New Roman"/>
          <w:lang w:val="lv-LV"/>
        </w:rPr>
      </w:pPr>
      <w:r>
        <w:rPr>
          <w:rFonts w:ascii="Times New Roman" w:hAnsi="Times New Roman"/>
          <w:lang w:val="lv-LV"/>
        </w:rPr>
        <w:t xml:space="preserve">Programma attiecas uz zinātniskajām institūcijām, nevalstiskajām organizācijām, vietējā un valsts līmeņa publiskā sektora iestādēm. Tāpat būtiska loma ir privātā sektora personām un esošajiem komersantiem ar veiksmīgu pieredzi tehnoloģiski intensīvu biznesa ideju komercializācijā. </w:t>
      </w:r>
    </w:p>
    <w:p w:rsidR="00EF46AD" w:rsidRPr="00AE40CC" w:rsidRDefault="00570BF0" w:rsidP="00EF46AD">
      <w:pPr>
        <w:spacing w:after="0"/>
        <w:ind w:firstLine="284"/>
        <w:jc w:val="both"/>
        <w:rPr>
          <w:lang w:val="lv-LV"/>
        </w:rPr>
      </w:pPr>
      <w:r>
        <w:rPr>
          <w:rFonts w:ascii="Times New Roman" w:hAnsi="Times New Roman"/>
          <w:lang w:val="lv-LV"/>
        </w:rPr>
        <w:t xml:space="preserve">Nozīmīga loma būs zinātniskajām institūcijām, kas nodrošinās inkubatora dalībniekus ar izpētes pakalpojumiem. Tāpat ir sagaidāms, ka no zinātnisko institūciju vidus Programmā varētu piedalīties zinātnieki, kas šādā veidā varētu komercializēt savas biznesa idejas. Būtiskas Programmai ir vietējās pašvaldības, jo tās tieši ietekmē uzņēmējdarbības vidi un nodrošina komersantiem nepieciešamo infrastruktūru, licences un atļaujas. Piemēram, Rīgas pilsētas dome </w:t>
      </w:r>
      <w:r>
        <w:rPr>
          <w:rFonts w:ascii="Times New Roman" w:hAnsi="Times New Roman"/>
          <w:lang w:val="lv-LV"/>
        </w:rPr>
        <w:lastRenderedPageBreak/>
        <w:t>ir noteikusi atbalstu komersantiem, jaunu investīciju piesaisti un darba vietu radīšanu kā vienu no savas darbības galvenajām prioritātēm. Lai sasniegtu šos mērķus, Rīgas pilsētas domē darbojas Investīciju un uzņēmējdarbības veicināšanas padome. Piemēram, Rīgas pilsētas dome ir uzsākusi projektu „</w:t>
      </w:r>
      <w:proofErr w:type="spellStart"/>
      <w:r>
        <w:rPr>
          <w:rFonts w:ascii="Times New Roman" w:hAnsi="Times New Roman"/>
          <w:lang w:val="lv-LV"/>
        </w:rPr>
        <w:t>Duka</w:t>
      </w:r>
      <w:proofErr w:type="spellEnd"/>
      <w:r>
        <w:rPr>
          <w:rFonts w:ascii="Times New Roman" w:hAnsi="Times New Roman"/>
          <w:lang w:val="lv-LV"/>
        </w:rPr>
        <w:t>”</w:t>
      </w:r>
      <w:r w:rsidR="00B01808" w:rsidRPr="00AE40CC">
        <w:rPr>
          <w:rStyle w:val="FootnoteReference"/>
          <w:rFonts w:ascii="Times New Roman" w:hAnsi="Times New Roman"/>
          <w:lang w:val="lv-LV"/>
        </w:rPr>
        <w:footnoteReference w:id="8"/>
      </w:r>
      <w:r w:rsidR="00765363" w:rsidRPr="00AE40CC">
        <w:rPr>
          <w:rFonts w:ascii="Times New Roman" w:hAnsi="Times New Roman"/>
          <w:lang w:val="lv-LV"/>
        </w:rPr>
        <w:t>, kura mērķis ir risināt neizmantoto komercīpašumu jautājumus, vienlaikus veicinot uzņēmējdarbību</w:t>
      </w:r>
      <w:r>
        <w:rPr>
          <w:rFonts w:ascii="Times New Roman" w:hAnsi="Times New Roman"/>
          <w:lang w:val="lv-LV"/>
        </w:rPr>
        <w:t xml:space="preserve">. Papildus, Rīgas pilsētas dome sadarbībā ar Swedbank īsteno grantu programmu </w:t>
      </w:r>
      <w:r>
        <w:rPr>
          <w:rFonts w:ascii="Times New Roman" w:eastAsia="Calibri" w:hAnsi="Times New Roman"/>
          <w:lang w:val="lv-LV"/>
        </w:rPr>
        <w:t xml:space="preserve">„Atspēriens”, kuras ietvaros jaundibinātie komersanti var saņemt līdz 6 000 lati (4 217 EUR) patentēšanai, interneta </w:t>
      </w:r>
      <w:r>
        <w:rPr>
          <w:rFonts w:ascii="Times New Roman" w:hAnsi="Times New Roman"/>
          <w:lang w:val="lv-LV"/>
        </w:rPr>
        <w:t>tīmekļa vietnes</w:t>
      </w:r>
      <w:r>
        <w:rPr>
          <w:rFonts w:ascii="Times New Roman" w:eastAsia="Calibri" w:hAnsi="Times New Roman"/>
          <w:lang w:val="lv-LV"/>
        </w:rPr>
        <w:t xml:space="preserve"> izstrādei, darbinieku apmācībām, grāmatvedības pakalpojumiem un citām vajadzībām. </w:t>
      </w:r>
    </w:p>
    <w:p w:rsidR="00F201D3" w:rsidRDefault="00570BF0" w:rsidP="00325530">
      <w:pPr>
        <w:spacing w:after="0"/>
        <w:ind w:firstLine="284"/>
        <w:jc w:val="both"/>
        <w:rPr>
          <w:rFonts w:ascii="Times New Roman" w:hAnsi="Times New Roman"/>
          <w:lang w:val="lv-LV"/>
        </w:rPr>
      </w:pPr>
      <w:r>
        <w:rPr>
          <w:rFonts w:ascii="Times New Roman" w:hAnsi="Times New Roman"/>
          <w:lang w:val="lv-LV"/>
        </w:rPr>
        <w:t xml:space="preserve">Lielākās nevalstiskās organizācijas Latvijā, kas apvieno dažādu nozaru komersantus ir Latvijas Tirdzniecības un rūpniecības kamera un Latvijas Darba devēju konfederācija. Abas šīs organizācijas ir EM sociālie partneri, un tās ietekmē uzņēmējdarbības vidi Latvijā cieši sadarbojoties ar publiskā sektora iestādēm un pārstāvot komersantu intereses. Savukārt nozaru asociāciju dalība ir būtiska, jo tās nodrošina komersantus ar potenciālo partneru kontaktiem, kā arī sniedz atbalstu citās komersantam nepieciešamajās jomās. </w:t>
      </w:r>
    </w:p>
    <w:p w:rsidR="0075201C" w:rsidRDefault="00570BF0" w:rsidP="00325530">
      <w:pPr>
        <w:spacing w:after="0"/>
        <w:ind w:firstLine="284"/>
        <w:jc w:val="both"/>
        <w:rPr>
          <w:rFonts w:ascii="Times New Roman" w:hAnsi="Times New Roman"/>
          <w:lang w:val="lv-LV"/>
        </w:rPr>
      </w:pPr>
      <w:r>
        <w:rPr>
          <w:rFonts w:ascii="Times New Roman" w:hAnsi="Times New Roman"/>
          <w:lang w:val="lv-LV"/>
        </w:rPr>
        <w:t xml:space="preserve">Paredzēts, ka privātā sektora fiziskās personas varēs iesaistīties Tehnoloģiju inkubatora vadībā vai arī tikt piesaistītas kā padomdevēji specifiskos gadījumos. </w:t>
      </w:r>
    </w:p>
    <w:p w:rsidR="00AA2609" w:rsidRPr="00AE40CC" w:rsidRDefault="00570BF0" w:rsidP="00325530">
      <w:pPr>
        <w:spacing w:after="0"/>
        <w:ind w:firstLine="284"/>
        <w:jc w:val="both"/>
        <w:rPr>
          <w:rFonts w:ascii="Times New Roman" w:hAnsi="Times New Roman"/>
          <w:lang w:val="lv-LV"/>
        </w:rPr>
      </w:pPr>
      <w:r>
        <w:rPr>
          <w:rFonts w:ascii="Times New Roman" w:hAnsi="Times New Roman"/>
          <w:lang w:val="lv-LV"/>
        </w:rPr>
        <w:t xml:space="preserve">Latvijā ir vairākas nozares ar ilglaicīgām tradīcijām un starptautiski atzītiem sasniegumiem, piemēram, koksnes ražošanas nozare, ķīmijas nozare, informācijas un komunikāciju tehnoloģijas nozares, elektronisko un optisko produktu ražošanas nozare, kā arī metāla un mašīnbūves nozares, kurās ir biznesa profesionāļi ar nepieciešamo pieredzi veiksmīgai produktu komercializācijai. Tāpat Latvijā ir ilglaicīgas tradīcijas un starptautiski atzīti sasniegumi dizaina nozarē. </w:t>
      </w:r>
    </w:p>
    <w:p w:rsidR="00AA2609" w:rsidRPr="00AE40CC" w:rsidRDefault="00570BF0" w:rsidP="00AA2609">
      <w:pPr>
        <w:spacing w:after="0"/>
        <w:ind w:firstLine="284"/>
        <w:jc w:val="both"/>
        <w:rPr>
          <w:rFonts w:ascii="Times New Roman" w:hAnsi="Times New Roman"/>
          <w:lang w:val="lv-LV"/>
        </w:rPr>
      </w:pPr>
      <w:r>
        <w:rPr>
          <w:rFonts w:ascii="Times New Roman" w:hAnsi="Times New Roman"/>
          <w:lang w:val="lv-LV"/>
        </w:rPr>
        <w:t>Nozīmīga loma būs arī riska kapitāla institūcijām. Šobrīd darbojas divas riska kapitāla institūcijas, daļu no Eiropas Savienības fondu līdzekļiem:</w:t>
      </w:r>
    </w:p>
    <w:p w:rsidR="00AD0E66" w:rsidRPr="00AE40CC" w:rsidRDefault="00570BF0" w:rsidP="00877666">
      <w:pPr>
        <w:pStyle w:val="ListParagraph"/>
        <w:numPr>
          <w:ilvl w:val="0"/>
          <w:numId w:val="7"/>
        </w:numPr>
        <w:spacing w:after="0"/>
        <w:ind w:left="426" w:hanging="142"/>
        <w:jc w:val="both"/>
        <w:rPr>
          <w:rFonts w:ascii="Times New Roman" w:hAnsi="Times New Roman"/>
          <w:lang w:val="lv-LV"/>
        </w:rPr>
      </w:pPr>
      <w:r>
        <w:rPr>
          <w:rFonts w:ascii="Times New Roman" w:hAnsi="Times New Roman"/>
          <w:lang w:val="lv-LV"/>
        </w:rPr>
        <w:t>BaltCap ir privāts kapitāla investors Baltijas valstīs. BaltCap nodrošina pamatkapitālu uz izaugsmi orientētiem Baltijas komersantiem. Kopš 1995. gada BaltCap ir ieguldījis finansējumu 47 dažādos komersantus un pabeidzis 26 ieguldījumu projektus. 2010. gadā BaltCap uzsāka BaltCap Latvija Riska kapitāla fondu un Lietuvas MVU fondu.</w:t>
      </w:r>
    </w:p>
    <w:p w:rsidR="00AD0E66" w:rsidRPr="00AE40CC" w:rsidRDefault="00570BF0" w:rsidP="00877666">
      <w:pPr>
        <w:pStyle w:val="ListParagraph"/>
        <w:numPr>
          <w:ilvl w:val="0"/>
          <w:numId w:val="7"/>
        </w:numPr>
        <w:spacing w:after="0"/>
        <w:ind w:left="426" w:hanging="142"/>
        <w:jc w:val="both"/>
        <w:rPr>
          <w:rFonts w:ascii="Times New Roman" w:hAnsi="Times New Roman"/>
          <w:lang w:val="lv-LV"/>
        </w:rPr>
      </w:pPr>
      <w:r>
        <w:rPr>
          <w:rFonts w:ascii="Times New Roman" w:hAnsi="Times New Roman"/>
          <w:color w:val="000000"/>
          <w:lang w:val="lv-LV"/>
        </w:rPr>
        <w:t>Imprimatur ir starptautisks investīciju komersants, kas vērsts uz augstas izaugsmes iespēju komercializāciju, kuras piedāvā universitātes, pētniecības institūti un citas iestādes.</w:t>
      </w:r>
    </w:p>
    <w:p w:rsidR="00825555" w:rsidRPr="00AE40CC" w:rsidRDefault="00570BF0" w:rsidP="00AA2609">
      <w:pPr>
        <w:spacing w:after="0"/>
        <w:ind w:firstLine="284"/>
        <w:jc w:val="both"/>
        <w:rPr>
          <w:rFonts w:ascii="Times New Roman" w:hAnsi="Times New Roman"/>
          <w:lang w:val="lv-LV"/>
        </w:rPr>
      </w:pPr>
      <w:r>
        <w:rPr>
          <w:rFonts w:ascii="Times New Roman" w:hAnsi="Times New Roman"/>
          <w:lang w:val="lv-LV"/>
        </w:rPr>
        <w:t xml:space="preserve">Nozīmīgu lomu Programmā spēlē banku sektors. Četras lielākās kredītiestādes Latvijā ir Swedbank, SEB banka, Nordea </w:t>
      </w:r>
      <w:r w:rsidRPr="00734278">
        <w:rPr>
          <w:rFonts w:ascii="Times New Roman" w:hAnsi="Times New Roman"/>
          <w:lang w:val="en-US"/>
        </w:rPr>
        <w:t>Finland Plc</w:t>
      </w:r>
      <w:r>
        <w:rPr>
          <w:rFonts w:ascii="Times New Roman" w:hAnsi="Times New Roman"/>
          <w:lang w:val="lv-LV"/>
        </w:rPr>
        <w:t xml:space="preserve"> un DNB banka, kopā veidojot 50.5 % no Latvijas banku tirgus daļas. Tiek plānots, ka kāda no šīm bankām varētu iesaistīties Programmas īstenošanā.</w:t>
      </w:r>
    </w:p>
    <w:p w:rsidR="00F9745C" w:rsidRPr="00AE40CC" w:rsidRDefault="00570BF0" w:rsidP="00AA2609">
      <w:pPr>
        <w:spacing w:after="0"/>
        <w:ind w:firstLine="284"/>
        <w:jc w:val="both"/>
        <w:rPr>
          <w:rFonts w:ascii="Times New Roman" w:hAnsi="Times New Roman"/>
          <w:lang w:val="lv-LV"/>
        </w:rPr>
      </w:pPr>
      <w:r>
        <w:rPr>
          <w:rFonts w:ascii="Times New Roman" w:hAnsi="Times New Roman"/>
          <w:lang w:val="lv-LV"/>
        </w:rPr>
        <w:t xml:space="preserve">Programmas īstenošana ir saistīta ar Latvijas Republikas </w:t>
      </w:r>
      <w:r w:rsidR="00673EBB">
        <w:rPr>
          <w:rFonts w:ascii="Times New Roman" w:hAnsi="Times New Roman"/>
          <w:lang w:val="lv-LV"/>
        </w:rPr>
        <w:t>VI</w:t>
      </w:r>
      <w:r w:rsidR="002A0887" w:rsidRPr="00AE40CC">
        <w:rPr>
          <w:rFonts w:ascii="Times New Roman" w:hAnsi="Times New Roman"/>
          <w:lang w:val="lv-LV"/>
        </w:rPr>
        <w:t>, Kultūras ministrijas</w:t>
      </w:r>
      <w:r>
        <w:rPr>
          <w:rFonts w:ascii="Times New Roman" w:hAnsi="Times New Roman"/>
          <w:lang w:val="lv-LV"/>
        </w:rPr>
        <w:t xml:space="preserve">, Tieslietu ministrijas, Vides aizsardzības un reģionālās attīstības ministrijas aktivitātēm, </w:t>
      </w:r>
      <w:r w:rsidR="001D0E76">
        <w:rPr>
          <w:rFonts w:ascii="Times New Roman" w:hAnsi="Times New Roman"/>
          <w:lang w:val="lv-LV"/>
        </w:rPr>
        <w:t>tā kā šīs institūcijas</w:t>
      </w:r>
      <w:r>
        <w:rPr>
          <w:rFonts w:ascii="Times New Roman" w:hAnsi="Times New Roman"/>
          <w:lang w:val="lv-LV"/>
        </w:rPr>
        <w:t xml:space="preserve"> ir iesaistītas Programmas saskaņošanā, pirms tās iesniegšanas Ministru kabinetā.  </w:t>
      </w:r>
    </w:p>
    <w:p w:rsidR="00274A18" w:rsidRPr="00AE40CC" w:rsidRDefault="00274A18" w:rsidP="00AA2609">
      <w:pPr>
        <w:spacing w:after="0"/>
        <w:ind w:firstLine="284"/>
        <w:jc w:val="both"/>
        <w:rPr>
          <w:rFonts w:ascii="Times New Roman" w:hAnsi="Times New Roman"/>
          <w:lang w:val="lv-LV"/>
        </w:rPr>
      </w:pPr>
    </w:p>
    <w:p w:rsidR="00A9482F" w:rsidRPr="00AE40CC" w:rsidRDefault="00570BF0" w:rsidP="004A1633">
      <w:pPr>
        <w:pStyle w:val="Heading3"/>
        <w:spacing w:before="0"/>
        <w:rPr>
          <w:rFonts w:ascii="Times New Roman" w:hAnsi="Times New Roman"/>
          <w:lang w:val="lv-LV"/>
        </w:rPr>
      </w:pPr>
      <w:r>
        <w:rPr>
          <w:rFonts w:ascii="Times New Roman" w:hAnsi="Times New Roman"/>
          <w:lang w:val="lv-LV"/>
        </w:rPr>
        <w:t>Dažas no šīm institūcijām tiks iesaistītas Tehnoloģiju inkubatora darbībā.</w:t>
      </w:r>
      <w:bookmarkStart w:id="17" w:name="_Toc258498728"/>
      <w:bookmarkStart w:id="18" w:name="_Toc258499839"/>
      <w:bookmarkStart w:id="19" w:name="_Toc258503640"/>
      <w:bookmarkStart w:id="20" w:name="_Toc258504818"/>
      <w:bookmarkStart w:id="21" w:name="_Toc262213650"/>
      <w:r>
        <w:rPr>
          <w:rFonts w:ascii="Times New Roman" w:hAnsi="Times New Roman"/>
          <w:lang w:val="lv-LV"/>
        </w:rPr>
        <w:t xml:space="preserve"> Ar programmas jomu saistītie likumi un noteikumi </w:t>
      </w:r>
      <w:bookmarkEnd w:id="17"/>
      <w:bookmarkEnd w:id="18"/>
      <w:bookmarkEnd w:id="19"/>
      <w:bookmarkEnd w:id="20"/>
      <w:bookmarkEnd w:id="21"/>
    </w:p>
    <w:p w:rsidR="00A9482F" w:rsidRPr="00AE40CC" w:rsidRDefault="00570BF0" w:rsidP="00A9482F">
      <w:pPr>
        <w:spacing w:after="0"/>
        <w:rPr>
          <w:rFonts w:ascii="Times New Roman" w:hAnsi="Times New Roman"/>
          <w:b/>
          <w:lang w:val="lv-LV"/>
        </w:rPr>
      </w:pPr>
      <w:r>
        <w:rPr>
          <w:rFonts w:ascii="Times New Roman" w:hAnsi="Times New Roman"/>
          <w:b/>
          <w:lang w:val="lv-LV"/>
        </w:rPr>
        <w:t>Uzskaitīt ES un valsts likumus un noteikumus, kas attiecas uz Programmas jomu, un aprakstīt to, kā Programma atbilst šiem likumiem un noteikumiem.</w:t>
      </w:r>
    </w:p>
    <w:p w:rsidR="004D69A3" w:rsidRPr="00AE40CC" w:rsidRDefault="00570BF0" w:rsidP="004D69A3">
      <w:pPr>
        <w:spacing w:after="0"/>
        <w:ind w:firstLine="284"/>
        <w:jc w:val="both"/>
        <w:rPr>
          <w:rFonts w:ascii="Times New Roman" w:hAnsi="Times New Roman"/>
          <w:lang w:val="lv-LV"/>
        </w:rPr>
      </w:pPr>
      <w:r>
        <w:rPr>
          <w:rFonts w:ascii="Times New Roman" w:hAnsi="Times New Roman"/>
          <w:b/>
          <w:lang w:val="lv-LV"/>
        </w:rPr>
        <w:t>Komisijas 2008.gada 6.augusta Regula (EK) Nr.800/2008</w:t>
      </w:r>
      <w:r>
        <w:rPr>
          <w:rFonts w:ascii="Times New Roman" w:hAnsi="Times New Roman"/>
          <w:lang w:val="lv-LV"/>
        </w:rPr>
        <w:t>, kas atzīst noteiktas atbalsta kategorijas par saderīgām ar kopējo tirgu, piemērojot Līguma 87. un 88.pantu (vispārējā grupu atbrīvojuma regula) (turpmāk – Komisijas Regula Nr. 800/2008);</w:t>
      </w:r>
    </w:p>
    <w:p w:rsidR="004D69A3" w:rsidRPr="00AE40CC" w:rsidRDefault="00570BF0" w:rsidP="004D69A3">
      <w:pPr>
        <w:spacing w:after="0"/>
        <w:ind w:firstLine="284"/>
        <w:jc w:val="both"/>
        <w:rPr>
          <w:rStyle w:val="Strong"/>
          <w:rFonts w:ascii="Times New Roman" w:hAnsi="Times New Roman"/>
          <w:b w:val="0"/>
          <w:bCs w:val="0"/>
          <w:lang w:val="lv-LV"/>
        </w:rPr>
      </w:pPr>
      <w:r>
        <w:rPr>
          <w:rStyle w:val="Strong"/>
          <w:rFonts w:ascii="Times New Roman" w:hAnsi="Times New Roman"/>
          <w:lang w:val="lv-LV"/>
        </w:rPr>
        <w:t>Komisijas Regula (EK) Nr. 1998/2006</w:t>
      </w:r>
      <w:r>
        <w:rPr>
          <w:rStyle w:val="Strong"/>
          <w:rFonts w:ascii="Times New Roman" w:hAnsi="Times New Roman"/>
          <w:b w:val="0"/>
          <w:lang w:val="lv-LV"/>
        </w:rPr>
        <w:t xml:space="preserve"> (2006. gada 15. decembris) par Līguma 87. un 88. panta piemērošanu de minimis atbalstam (turpmāk – Komisijas Regula Nr.1998/2006);</w:t>
      </w:r>
    </w:p>
    <w:p w:rsidR="00A351AF" w:rsidRPr="00AE40CC" w:rsidRDefault="00570BF0" w:rsidP="004D69A3">
      <w:pPr>
        <w:spacing w:after="0"/>
        <w:ind w:firstLine="284"/>
        <w:jc w:val="both"/>
        <w:rPr>
          <w:rFonts w:ascii="Times New Roman" w:hAnsi="Times New Roman"/>
          <w:lang w:val="lv-LV"/>
        </w:rPr>
      </w:pPr>
      <w:r w:rsidRPr="00570BF0">
        <w:rPr>
          <w:rFonts w:ascii="Times New Roman" w:hAnsi="Times New Roman"/>
          <w:b/>
          <w:lang w:val="lv-LV"/>
        </w:rPr>
        <w:lastRenderedPageBreak/>
        <w:t>Valstu reģionālā atbalsta pamatnostādnes 2007. — 2013.gadam</w:t>
      </w:r>
      <w:r w:rsidRPr="00570BF0">
        <w:rPr>
          <w:rFonts w:ascii="Times New Roman" w:hAnsi="Times New Roman"/>
          <w:lang w:val="lv-LV"/>
        </w:rPr>
        <w:t>;</w:t>
      </w:r>
    </w:p>
    <w:p w:rsidR="003D782F" w:rsidRPr="00AE40CC" w:rsidRDefault="003D782F" w:rsidP="003D782F">
      <w:pPr>
        <w:suppressAutoHyphens/>
        <w:spacing w:after="0"/>
        <w:ind w:firstLine="284"/>
        <w:jc w:val="both"/>
        <w:rPr>
          <w:rFonts w:ascii="Times New Roman" w:hAnsi="Times New Roman"/>
          <w:lang w:val="lv-LV"/>
        </w:rPr>
      </w:pPr>
    </w:p>
    <w:p w:rsidR="007343F1" w:rsidRPr="00AE40CC" w:rsidRDefault="00F34F72" w:rsidP="007343F1">
      <w:pPr>
        <w:spacing w:after="0"/>
        <w:ind w:firstLine="284"/>
        <w:jc w:val="both"/>
        <w:rPr>
          <w:rFonts w:ascii="Times New Roman" w:hAnsi="Times New Roman"/>
          <w:b/>
          <w:lang w:val="lv-LV"/>
        </w:rPr>
      </w:pPr>
      <w:hyperlink r:id="rId9" w:tgtFrame="_blank" w:history="1">
        <w:r w:rsidR="00131E5B" w:rsidRPr="00AE40CC">
          <w:rPr>
            <w:rStyle w:val="Hyperlink"/>
            <w:rFonts w:ascii="Times New Roman" w:eastAsia="Calibri" w:hAnsi="Times New Roman"/>
            <w:b/>
            <w:bCs/>
            <w:color w:val="2E2E2E"/>
            <w:u w:val="none"/>
            <w:lang w:val="lv-LV"/>
          </w:rPr>
          <w:t>Darba likums</w:t>
        </w:r>
      </w:hyperlink>
      <w:r w:rsidR="007343F1" w:rsidRPr="00AE40CC">
        <w:rPr>
          <w:rFonts w:ascii="Times New Roman" w:hAnsi="Times New Roman"/>
          <w:b/>
          <w:bCs/>
          <w:color w:val="838383"/>
          <w:lang w:val="lv-LV"/>
        </w:rPr>
        <w:t xml:space="preserve"> </w:t>
      </w:r>
      <w:r w:rsidR="00131E5B" w:rsidRPr="00AE40CC">
        <w:rPr>
          <w:rFonts w:ascii="Times New Roman" w:hAnsi="Times New Roman"/>
          <w:b/>
          <w:bCs/>
          <w:color w:val="838383"/>
          <w:lang w:val="lv-LV"/>
        </w:rPr>
        <w:t>–</w:t>
      </w:r>
      <w:r w:rsidR="007343F1" w:rsidRPr="00AE40CC">
        <w:rPr>
          <w:rFonts w:ascii="Times New Roman" w:hAnsi="Times New Roman"/>
          <w:b/>
          <w:bCs/>
          <w:color w:val="838383"/>
          <w:lang w:val="lv-LV"/>
        </w:rPr>
        <w:t xml:space="preserve"> </w:t>
      </w:r>
      <w:r w:rsidR="00131E5B" w:rsidRPr="00AE40CC">
        <w:rPr>
          <w:rFonts w:ascii="Times New Roman" w:hAnsi="Times New Roman"/>
          <w:lang w:val="lv-LV"/>
        </w:rPr>
        <w:t>šis likumus regulē darba tiesiskās attiecības</w:t>
      </w:r>
      <w:r w:rsidR="00D80321" w:rsidRPr="00AE40CC">
        <w:rPr>
          <w:rFonts w:ascii="Times New Roman" w:hAnsi="Times New Roman"/>
          <w:lang w:val="lv-LV"/>
        </w:rPr>
        <w:t>;</w:t>
      </w:r>
    </w:p>
    <w:p w:rsidR="007343F1" w:rsidRPr="00AE40CC" w:rsidRDefault="00570BF0" w:rsidP="007343F1">
      <w:pPr>
        <w:spacing w:after="0"/>
        <w:ind w:firstLine="284"/>
        <w:jc w:val="both"/>
        <w:rPr>
          <w:rFonts w:ascii="Times New Roman" w:hAnsi="Times New Roman"/>
          <w:b/>
          <w:lang w:val="lv-LV"/>
        </w:rPr>
      </w:pPr>
      <w:r w:rsidRPr="00570BF0">
        <w:rPr>
          <w:rFonts w:ascii="Times New Roman" w:hAnsi="Times New Roman"/>
          <w:b/>
          <w:color w:val="000000"/>
          <w:lang w:val="lv-LV"/>
        </w:rPr>
        <w:t xml:space="preserve">Darba aizsardzības likums – </w:t>
      </w:r>
      <w:r w:rsidRPr="00570BF0">
        <w:rPr>
          <w:rFonts w:ascii="Times New Roman" w:hAnsi="Times New Roman"/>
          <w:color w:val="000000"/>
          <w:lang w:val="lv-LV"/>
        </w:rPr>
        <w:t>šī likuma mērķis ir nodrošināt, uzlabot darbinieku drošību un veselības aizsardzību darba vietā, nosakot darba devēju, darba ņēmēju un to pārstāvju, kā arī valsts iestāžu pienākumus, tiesības un savstarpējās attiecības saistībā ar darba aizsardzību;</w:t>
      </w:r>
    </w:p>
    <w:p w:rsidR="007343F1" w:rsidRPr="00AE40CC" w:rsidRDefault="00570BF0" w:rsidP="005325FF">
      <w:pPr>
        <w:spacing w:after="0"/>
        <w:ind w:firstLine="284"/>
        <w:jc w:val="both"/>
        <w:rPr>
          <w:rFonts w:ascii="Times New Roman" w:hAnsi="Times New Roman"/>
          <w:b/>
          <w:lang w:val="lv-LV"/>
        </w:rPr>
      </w:pPr>
      <w:r w:rsidRPr="00570BF0">
        <w:rPr>
          <w:rFonts w:ascii="Times New Roman" w:hAnsi="Times New Roman"/>
          <w:b/>
          <w:lang w:val="lv-LV"/>
        </w:rPr>
        <w:t xml:space="preserve">Maksātnespējas likums - </w:t>
      </w:r>
      <w:r w:rsidRPr="00570BF0">
        <w:rPr>
          <w:rFonts w:ascii="Times New Roman" w:hAnsi="Times New Roman"/>
          <w:color w:val="000000"/>
          <w:lang w:val="lv-LV"/>
        </w:rPr>
        <w:t>šī likuma mērķis ir mudināt finanšu grūtībās nonākušus parādniekus, ievērot un izpildīt pienākumus un, ja iespējams, atjaunot maksātspēju, piemērojot likumā noteiktos principus un likumīgos risinājumus</w:t>
      </w:r>
      <w:r w:rsidRPr="00570BF0">
        <w:rPr>
          <w:rFonts w:ascii="Times New Roman" w:hAnsi="Times New Roman"/>
          <w:noProof/>
          <w:lang w:val="lv-LV"/>
        </w:rPr>
        <w:t>.</w:t>
      </w:r>
    </w:p>
    <w:p w:rsidR="007343F1" w:rsidRPr="00AE40CC" w:rsidRDefault="00570BF0" w:rsidP="00EA0864">
      <w:pPr>
        <w:spacing w:after="0"/>
        <w:ind w:firstLine="284"/>
        <w:jc w:val="both"/>
        <w:rPr>
          <w:rFonts w:ascii="Times New Roman" w:hAnsi="Times New Roman"/>
          <w:b/>
          <w:lang w:val="lv-LV"/>
        </w:rPr>
      </w:pPr>
      <w:r w:rsidRPr="00570BF0">
        <w:rPr>
          <w:rFonts w:ascii="Times New Roman" w:hAnsi="Times New Roman"/>
          <w:b/>
          <w:lang w:val="lv-LV"/>
        </w:rPr>
        <w:t xml:space="preserve">Muitas likums - </w:t>
      </w:r>
      <w:r w:rsidRPr="00570BF0">
        <w:rPr>
          <w:rFonts w:ascii="Times New Roman" w:hAnsi="Times New Roman"/>
          <w:lang w:val="lv-LV"/>
        </w:rPr>
        <w:t>likuma mērķis ir noteikt Latvijas nacionālās kompetences jautājumus muitas lietās;</w:t>
      </w:r>
    </w:p>
    <w:p w:rsidR="00D90C35" w:rsidRPr="00AE40CC" w:rsidRDefault="00570BF0" w:rsidP="005325FF">
      <w:pPr>
        <w:spacing w:after="0"/>
        <w:ind w:firstLine="284"/>
        <w:jc w:val="both"/>
        <w:rPr>
          <w:rFonts w:ascii="Times New Roman" w:hAnsi="Times New Roman"/>
          <w:b/>
          <w:lang w:val="lv-LV"/>
        </w:rPr>
      </w:pPr>
      <w:r w:rsidRPr="00570BF0">
        <w:rPr>
          <w:rFonts w:ascii="Times New Roman" w:hAnsi="Times New Roman"/>
          <w:b/>
          <w:lang w:val="lv-LV"/>
        </w:rPr>
        <w:t xml:space="preserve">Komerclikums – </w:t>
      </w:r>
      <w:r w:rsidRPr="00570BF0">
        <w:rPr>
          <w:rFonts w:ascii="Times New Roman" w:hAnsi="Times New Roman"/>
          <w:lang w:val="lv-LV"/>
        </w:rPr>
        <w:t>likums nosaka komersanta un komercdarbības definīciju, kārtību, kādā notiek reģistrācijas Komercreģistrā, kā arī komersanta tiesisko statusu;</w:t>
      </w:r>
      <w:r w:rsidRPr="00570BF0">
        <w:rPr>
          <w:rFonts w:ascii="Times New Roman" w:hAnsi="Times New Roman"/>
          <w:b/>
          <w:lang w:val="lv-LV"/>
        </w:rPr>
        <w:t xml:space="preserve"> </w:t>
      </w:r>
    </w:p>
    <w:p w:rsidR="00274CCF" w:rsidRPr="00AE40CC" w:rsidRDefault="00570BF0" w:rsidP="002A13D1">
      <w:pPr>
        <w:spacing w:after="0"/>
        <w:ind w:firstLine="284"/>
        <w:jc w:val="both"/>
        <w:rPr>
          <w:rFonts w:ascii="Times New Roman" w:hAnsi="Times New Roman"/>
          <w:color w:val="000000"/>
          <w:lang w:val="lv-LV"/>
        </w:rPr>
      </w:pPr>
      <w:r w:rsidRPr="00570BF0">
        <w:rPr>
          <w:rFonts w:ascii="Times New Roman" w:hAnsi="Times New Roman"/>
          <w:b/>
          <w:lang w:val="lv-LV"/>
        </w:rPr>
        <w:t xml:space="preserve">Gada pārskata likums – </w:t>
      </w:r>
      <w:r w:rsidRPr="00570BF0">
        <w:rPr>
          <w:rFonts w:ascii="Times New Roman" w:hAnsi="Times New Roman"/>
          <w:lang w:val="lv-LV"/>
        </w:rPr>
        <w:t>likums attiecas uz Latvijā reģistrētām komercsabiedrībām, kooperatīvām sabiedrībām, Eiropas ekonomisko interešu grupām, Eiropas kooperatīvām sabiedrībām un Latvijā reģistrētām Eiropas komercsabiedrībām</w:t>
      </w:r>
      <w:r w:rsidRPr="00570BF0">
        <w:rPr>
          <w:rFonts w:ascii="Times New Roman" w:hAnsi="Times New Roman"/>
          <w:color w:val="000000"/>
          <w:lang w:val="lv-LV"/>
        </w:rPr>
        <w:t>;</w:t>
      </w:r>
    </w:p>
    <w:p w:rsidR="00660779" w:rsidRPr="00AE40CC" w:rsidRDefault="00570BF0" w:rsidP="002A13D1">
      <w:pPr>
        <w:spacing w:after="0"/>
        <w:ind w:firstLine="284"/>
        <w:jc w:val="both"/>
        <w:rPr>
          <w:rFonts w:ascii="Times New Roman" w:hAnsi="Times New Roman"/>
          <w:color w:val="000000"/>
          <w:lang w:val="lv-LV"/>
        </w:rPr>
      </w:pPr>
      <w:r w:rsidRPr="00570BF0">
        <w:rPr>
          <w:rFonts w:ascii="Times New Roman" w:hAnsi="Times New Roman"/>
          <w:b/>
          <w:lang w:val="lv-LV"/>
        </w:rPr>
        <w:t>Komercdarbības atbalsta kontroles likums</w:t>
      </w:r>
      <w:r w:rsidRPr="00570BF0">
        <w:rPr>
          <w:lang w:val="lv-LV"/>
        </w:rPr>
        <w:t xml:space="preserve"> </w:t>
      </w:r>
      <w:r>
        <w:rPr>
          <w:rFonts w:ascii="Times New Roman" w:hAnsi="Times New Roman"/>
          <w:b/>
          <w:bCs/>
          <w:color w:val="000000"/>
          <w:lang w:val="lv-LV"/>
        </w:rPr>
        <w:t xml:space="preserve">– </w:t>
      </w:r>
      <w:r w:rsidRPr="00570BF0">
        <w:rPr>
          <w:rFonts w:ascii="Times New Roman" w:hAnsi="Times New Roman"/>
          <w:bCs/>
          <w:color w:val="000000"/>
          <w:lang w:val="lv-LV"/>
        </w:rPr>
        <w:t>l</w:t>
      </w:r>
      <w:r w:rsidRPr="00570BF0">
        <w:rPr>
          <w:rFonts w:ascii="Times New Roman" w:hAnsi="Times New Roman"/>
          <w:lang w:val="lv-LV"/>
        </w:rPr>
        <w:t>ikuma mērķis ir noteikt Latvijas nacionālās kompetences jautājumus komercdarbības atbalsta kontroles jomā. Likums nosaka pieļaujamos atbalsta mērķus, atbalstāmās izmaksas un maksimāli pieļaujamo atbalsta intensitāti, kā arī komercdarbībai sniegtā atbalsta nacionālās kontroles procedūras, lai mazinātu atbalsta negatīvo ietekmi uz konkurenci un nepieļautu iespēju gūt ekonomiskas priekšrocības, saņemot nelikumīgu atbalstu</w:t>
      </w:r>
      <w:r w:rsidRPr="00570BF0">
        <w:rPr>
          <w:rFonts w:ascii="Times New Roman" w:hAnsi="Times New Roman"/>
          <w:bCs/>
          <w:color w:val="000000"/>
          <w:lang w:val="lv-LV"/>
        </w:rPr>
        <w:t>;</w:t>
      </w:r>
    </w:p>
    <w:p w:rsidR="00F01A97" w:rsidRPr="00AE40CC" w:rsidRDefault="00F34F72" w:rsidP="00F01A97">
      <w:pPr>
        <w:spacing w:after="0"/>
        <w:ind w:firstLine="284"/>
        <w:jc w:val="both"/>
        <w:rPr>
          <w:rFonts w:ascii="Times New Roman" w:hAnsi="Times New Roman"/>
          <w:lang w:val="lv-LV"/>
        </w:rPr>
      </w:pPr>
      <w:hyperlink r:id="rId10" w:tgtFrame="_blank" w:history="1">
        <w:r w:rsidR="00F01A97" w:rsidRPr="00AE40CC">
          <w:rPr>
            <w:rStyle w:val="Hyperlink"/>
            <w:rFonts w:ascii="Times New Roman" w:eastAsia="Calibri" w:hAnsi="Times New Roman"/>
            <w:b/>
            <w:bCs/>
            <w:color w:val="000000"/>
            <w:u w:val="none"/>
            <w:lang w:val="lv-LV"/>
          </w:rPr>
          <w:t>L</w:t>
        </w:r>
        <w:r w:rsidR="00E90C0E" w:rsidRPr="00AE40CC">
          <w:rPr>
            <w:rStyle w:val="Hyperlink"/>
            <w:rFonts w:ascii="Times New Roman" w:eastAsia="Calibri" w:hAnsi="Times New Roman"/>
            <w:b/>
            <w:bCs/>
            <w:color w:val="000000"/>
            <w:u w:val="none"/>
            <w:lang w:val="lv-LV"/>
          </w:rPr>
          <w:t>ikums par nodokļiem un nodevām</w:t>
        </w:r>
      </w:hyperlink>
      <w:r w:rsidR="00FD47BE" w:rsidRPr="00AE40CC">
        <w:rPr>
          <w:rFonts w:ascii="Times New Roman" w:hAnsi="Times New Roman"/>
          <w:b/>
          <w:bCs/>
          <w:color w:val="000000"/>
          <w:lang w:val="lv-LV"/>
        </w:rPr>
        <w:t xml:space="preserve"> – </w:t>
      </w:r>
      <w:r w:rsidR="00E90C0E" w:rsidRPr="00AE40CC">
        <w:rPr>
          <w:rFonts w:ascii="Times New Roman" w:hAnsi="Times New Roman"/>
          <w:color w:val="000000"/>
          <w:lang w:val="lv-LV"/>
        </w:rPr>
        <w:t xml:space="preserve">likums nosaka </w:t>
      </w:r>
      <w:r w:rsidR="00E90C0E" w:rsidRPr="00AE40CC">
        <w:rPr>
          <w:rFonts w:ascii="Times New Roman" w:hAnsi="Times New Roman"/>
          <w:lang w:val="lv-LV"/>
        </w:rPr>
        <w:t xml:space="preserve">nodokļu un nodevu veidus un reglamentē nodokļu un nodevu noteikšanas kārtību, to iekasēšanu un piedziņu, nodokļu un nodevu maksātāju un nodokļu </w:t>
      </w:r>
      <w:r w:rsidR="00570BF0" w:rsidRPr="00570BF0">
        <w:rPr>
          <w:rFonts w:ascii="Times New Roman" w:hAnsi="Times New Roman"/>
          <w:lang w:val="lv-LV"/>
        </w:rPr>
        <w:t>un nodevu administrācijas tiesības, pienākumus un atbildību, kā arī nodokļu un nodevu jautājumos pieņemto lēmumu apstrī</w:t>
      </w:r>
      <w:r w:rsidR="00570BF0" w:rsidRPr="00570BF0">
        <w:rPr>
          <w:rFonts w:ascii="Times New Roman" w:hAnsi="Times New Roman"/>
          <w:lang w:val="lv-LV"/>
        </w:rPr>
        <w:softHyphen/>
        <w:t>dē</w:t>
      </w:r>
      <w:r w:rsidR="00570BF0" w:rsidRPr="00570BF0">
        <w:rPr>
          <w:rFonts w:ascii="Times New Roman" w:hAnsi="Times New Roman"/>
          <w:lang w:val="lv-LV"/>
        </w:rPr>
        <w:softHyphen/>
        <w:t>šanas un pārsūdzēšanas kārtību;</w:t>
      </w:r>
    </w:p>
    <w:p w:rsidR="00FD47BE" w:rsidRPr="00AE40CC" w:rsidRDefault="00570BF0" w:rsidP="00F01A97">
      <w:pPr>
        <w:spacing w:after="0"/>
        <w:ind w:firstLine="284"/>
        <w:jc w:val="both"/>
        <w:rPr>
          <w:rFonts w:ascii="Times New Roman" w:hAnsi="Times New Roman"/>
          <w:lang w:val="lv-LV"/>
        </w:rPr>
      </w:pPr>
      <w:r w:rsidRPr="00570BF0">
        <w:rPr>
          <w:rFonts w:ascii="Times New Roman" w:hAnsi="Times New Roman"/>
          <w:b/>
          <w:lang w:val="lv-LV"/>
        </w:rPr>
        <w:t>Preču un pakalpojumu drošuma likums</w:t>
      </w:r>
      <w:r>
        <w:rPr>
          <w:rFonts w:ascii="Times New Roman" w:hAnsi="Times New Roman"/>
          <w:b/>
          <w:bCs/>
          <w:color w:val="838383"/>
          <w:lang w:val="lv-LV"/>
        </w:rPr>
        <w:t xml:space="preserve"> - </w:t>
      </w:r>
      <w:r w:rsidRPr="00570BF0">
        <w:rPr>
          <w:rFonts w:ascii="Times New Roman" w:hAnsi="Times New Roman"/>
          <w:bCs/>
          <w:lang w:val="lv-LV"/>
        </w:rPr>
        <w:t>l</w:t>
      </w:r>
      <w:r w:rsidRPr="00570BF0">
        <w:rPr>
          <w:rFonts w:ascii="Times New Roman" w:hAnsi="Times New Roman"/>
          <w:lang w:val="lv-LV"/>
        </w:rPr>
        <w:t>ikuma mērķis ir panākt drošu, cilvēka dzīvībai, veselībai un personas mantai, kā arī videi nekaitīgu preču ražošanu, laišanu apgrozībā un pakalpojumu sniegšanu;</w:t>
      </w:r>
    </w:p>
    <w:p w:rsidR="00EA0864" w:rsidRPr="00AE40CC" w:rsidRDefault="00570BF0" w:rsidP="00F01A97">
      <w:pPr>
        <w:spacing w:after="0"/>
        <w:ind w:firstLine="284"/>
        <w:jc w:val="both"/>
        <w:rPr>
          <w:rFonts w:ascii="Times New Roman" w:hAnsi="Times New Roman"/>
          <w:b/>
          <w:lang w:val="lv-LV"/>
        </w:rPr>
      </w:pPr>
      <w:r w:rsidRPr="00570BF0">
        <w:rPr>
          <w:rFonts w:ascii="Times New Roman" w:hAnsi="Times New Roman"/>
          <w:b/>
          <w:lang w:val="lv-LV"/>
        </w:rPr>
        <w:t xml:space="preserve">Konkurences likums - </w:t>
      </w:r>
      <w:r w:rsidRPr="00570BF0">
        <w:rPr>
          <w:rFonts w:ascii="Times New Roman" w:hAnsi="Times New Roman"/>
          <w:lang w:val="lv-LV"/>
        </w:rPr>
        <w:t>likuma mērķis ir aizsargāt, saglabāt un attīstīt brīvu, godīgu un vienlīdzīgu konkurenci visās tautsaimniecības nozarēs sabiedrības interesēs, ierobežojot tirgus koncentrāciju, uzliekot par pienākumu izbeigt konkurenci regulējošajos normatīvajos aktos aizliegtas darbības un normatīvajos aktos noteiktajā kārtībā saucot pie atbildības vainīgās personas</w:t>
      </w:r>
      <w:r w:rsidRPr="00570BF0">
        <w:rPr>
          <w:rFonts w:ascii="Times New Roman" w:hAnsi="Times New Roman"/>
          <w:snapToGrid w:val="0"/>
          <w:color w:val="000000"/>
          <w:lang w:val="lv-LV"/>
        </w:rPr>
        <w:t>;</w:t>
      </w:r>
    </w:p>
    <w:p w:rsidR="00153D6B" w:rsidRPr="00AE40CC" w:rsidRDefault="00570BF0" w:rsidP="002A13D1">
      <w:pPr>
        <w:spacing w:after="0"/>
        <w:ind w:firstLine="284"/>
        <w:jc w:val="both"/>
        <w:rPr>
          <w:rFonts w:ascii="Times New Roman" w:hAnsi="Times New Roman"/>
          <w:lang w:val="lv-LV"/>
        </w:rPr>
      </w:pPr>
      <w:r w:rsidRPr="00570BF0">
        <w:rPr>
          <w:rFonts w:ascii="Times New Roman" w:hAnsi="Times New Roman"/>
          <w:b/>
          <w:lang w:val="lv-LV"/>
        </w:rPr>
        <w:t xml:space="preserve">Civilprocesa likums – </w:t>
      </w:r>
      <w:r w:rsidRPr="00570BF0">
        <w:rPr>
          <w:rFonts w:ascii="Times New Roman" w:hAnsi="Times New Roman"/>
          <w:lang w:val="lv-LV"/>
        </w:rPr>
        <w:t>likums regulē attiecības starp fiziskām vai juridiskām personām</w:t>
      </w:r>
      <w:r w:rsidR="00F201D3">
        <w:rPr>
          <w:rFonts w:ascii="Times New Roman" w:hAnsi="Times New Roman"/>
          <w:lang w:val="lv-LV"/>
        </w:rPr>
        <w:t>;</w:t>
      </w:r>
    </w:p>
    <w:p w:rsidR="003D782F" w:rsidRPr="00AE40CC" w:rsidRDefault="00570BF0" w:rsidP="002A13D1">
      <w:pPr>
        <w:spacing w:after="0"/>
        <w:ind w:firstLine="284"/>
        <w:jc w:val="both"/>
        <w:rPr>
          <w:rFonts w:ascii="Times New Roman" w:hAnsi="Times New Roman"/>
          <w:b/>
          <w:lang w:val="lv-LV"/>
        </w:rPr>
      </w:pPr>
      <w:r w:rsidRPr="00570BF0">
        <w:rPr>
          <w:rFonts w:ascii="Times New Roman" w:hAnsi="Times New Roman"/>
          <w:b/>
          <w:lang w:val="lv-LV"/>
        </w:rPr>
        <w:t xml:space="preserve">Administratīvā procesa likums – </w:t>
      </w:r>
      <w:r w:rsidRPr="00570BF0">
        <w:rPr>
          <w:rFonts w:ascii="Times New Roman" w:hAnsi="Times New Roman"/>
          <w:lang w:val="lv-LV"/>
        </w:rPr>
        <w:t>likums</w:t>
      </w:r>
      <w:r w:rsidRPr="00570BF0">
        <w:rPr>
          <w:rFonts w:ascii="Times New Roman" w:hAnsi="Times New Roman"/>
          <w:b/>
          <w:lang w:val="lv-LV"/>
        </w:rPr>
        <w:t xml:space="preserve"> </w:t>
      </w:r>
      <w:r w:rsidRPr="00570BF0">
        <w:rPr>
          <w:rFonts w:ascii="Times New Roman" w:hAnsi="Times New Roman"/>
        </w:rPr>
        <w:t>nodrošina demokrātiskas, tiesiskas valsts pamatprincipu, it sevišķi cilvēktiesību, ievērošanu konkrētās publiski tiesiskajās attiecībās starp valsti un privātpersonu un nodrošina tiesību normu tiesisku, precīzu un efektīvu piemērošanu publiski tiesiskajās attiecībās.</w:t>
      </w:r>
    </w:p>
    <w:p w:rsidR="00F077EE" w:rsidRPr="00AE40CC" w:rsidRDefault="00F077EE" w:rsidP="002A13D1">
      <w:pPr>
        <w:spacing w:after="0"/>
        <w:ind w:firstLine="284"/>
        <w:jc w:val="both"/>
        <w:rPr>
          <w:rFonts w:ascii="Times New Roman" w:hAnsi="Times New Roman"/>
          <w:b/>
          <w:lang w:val="lv-LV"/>
        </w:rPr>
      </w:pPr>
    </w:p>
    <w:p w:rsidR="00E50F7B" w:rsidRPr="00AE40CC" w:rsidRDefault="00570BF0" w:rsidP="002A13D1">
      <w:pPr>
        <w:spacing w:after="0"/>
        <w:ind w:firstLine="284"/>
        <w:jc w:val="both"/>
        <w:rPr>
          <w:rFonts w:ascii="Times New Roman" w:eastAsia="Calibri" w:hAnsi="Times New Roman"/>
          <w:b/>
          <w:lang w:val="lv-LV"/>
        </w:rPr>
      </w:pPr>
      <w:r w:rsidRPr="00570BF0">
        <w:rPr>
          <w:rFonts w:ascii="Times New Roman" w:hAnsi="Times New Roman"/>
          <w:b/>
          <w:lang w:val="lv-LV"/>
        </w:rPr>
        <w:t xml:space="preserve">Norvēģijas Finanšu </w:t>
      </w:r>
      <w:r w:rsidR="003740CA">
        <w:rPr>
          <w:rFonts w:ascii="Times New Roman" w:hAnsi="Times New Roman"/>
          <w:b/>
          <w:lang w:val="lv-LV"/>
        </w:rPr>
        <w:t>Instrumenta</w:t>
      </w:r>
      <w:r w:rsidR="003740CA" w:rsidRPr="00AE40CC">
        <w:rPr>
          <w:rFonts w:ascii="Times New Roman" w:hAnsi="Times New Roman"/>
          <w:b/>
          <w:lang w:val="lv-LV"/>
        </w:rPr>
        <w:t xml:space="preserve"> </w:t>
      </w:r>
      <w:r w:rsidR="00BF4E06" w:rsidRPr="00AE40CC">
        <w:rPr>
          <w:rFonts w:ascii="Times New Roman" w:hAnsi="Times New Roman"/>
          <w:b/>
          <w:lang w:val="lv-LV"/>
        </w:rPr>
        <w:t>2009.-2014. gadam vadības dokumenti</w:t>
      </w:r>
      <w:r w:rsidR="00CD6BBA" w:rsidRPr="00AE40CC">
        <w:rPr>
          <w:rFonts w:ascii="Times New Roman" w:hAnsi="Times New Roman"/>
          <w:b/>
          <w:lang w:val="lv-LV"/>
        </w:rPr>
        <w:t>:</w:t>
      </w:r>
      <w:r w:rsidR="00CD6BBA" w:rsidRPr="00AE40CC">
        <w:rPr>
          <w:rFonts w:ascii="Times New Roman" w:eastAsia="Calibri" w:hAnsi="Times New Roman"/>
          <w:b/>
          <w:lang w:val="lv-LV"/>
        </w:rPr>
        <w:t xml:space="preserve"> </w:t>
      </w:r>
    </w:p>
    <w:p w:rsidR="002A13D1" w:rsidRPr="00AE40CC" w:rsidRDefault="00570BF0" w:rsidP="00825555">
      <w:pPr>
        <w:spacing w:after="0"/>
        <w:ind w:firstLine="284"/>
        <w:jc w:val="both"/>
        <w:rPr>
          <w:rFonts w:ascii="Times New Roman" w:eastAsia="Calibri" w:hAnsi="Times New Roman"/>
          <w:lang w:val="lv-LV"/>
        </w:rPr>
      </w:pPr>
      <w:r w:rsidRPr="00570BF0">
        <w:rPr>
          <w:rFonts w:ascii="Times New Roman" w:hAnsi="Times New Roman"/>
          <w:lang w:val="lv-LV"/>
        </w:rPr>
        <w:t xml:space="preserve">Saprašanās memorands par Norvēģijas finanšu instrumenta ieviešanu 2009.-2014.gadā, kas apstiprināts ar Ministru Kabineta 2011. gada 29. marta </w:t>
      </w:r>
      <w:r w:rsidR="00AD4EF8">
        <w:rPr>
          <w:rFonts w:ascii="Times New Roman" w:hAnsi="Times New Roman"/>
          <w:lang w:val="lv-LV"/>
        </w:rPr>
        <w:t>n</w:t>
      </w:r>
      <w:r w:rsidR="00AD4EF8" w:rsidRPr="00570BF0">
        <w:rPr>
          <w:rFonts w:ascii="Times New Roman" w:hAnsi="Times New Roman"/>
          <w:lang w:val="lv-LV"/>
        </w:rPr>
        <w:t xml:space="preserve">oteikumiem </w:t>
      </w:r>
      <w:r w:rsidRPr="00570BF0">
        <w:rPr>
          <w:rFonts w:ascii="Times New Roman" w:hAnsi="Times New Roman"/>
          <w:lang w:val="lv-LV"/>
        </w:rPr>
        <w:t>Nr. 252 „Par Latvijas Republikas un Norvēģijas Karalistes saprašanās memorandu par Norvēģijas finanšu instrumenta ieviešanu 2009.-2014.gadā” un parakstīts starp Latviju un Norvēģiju 2011.gada 28.aprīlī</w:t>
      </w:r>
      <w:r w:rsidRPr="00570BF0">
        <w:rPr>
          <w:rFonts w:ascii="Times New Roman" w:eastAsia="Calibri" w:hAnsi="Times New Roman"/>
          <w:lang w:val="lv-LV"/>
        </w:rPr>
        <w:t>.</w:t>
      </w:r>
    </w:p>
    <w:p w:rsidR="00F2668A" w:rsidRPr="00AE40CC" w:rsidRDefault="00570BF0" w:rsidP="002A13D1">
      <w:pPr>
        <w:spacing w:after="0"/>
        <w:ind w:firstLine="284"/>
        <w:jc w:val="both"/>
        <w:rPr>
          <w:rFonts w:ascii="Times New Roman" w:hAnsi="Times New Roman"/>
          <w:b/>
          <w:lang w:val="lv-LV"/>
        </w:rPr>
      </w:pPr>
      <w:r w:rsidRPr="00570BF0">
        <w:rPr>
          <w:rFonts w:ascii="Times New Roman" w:hAnsi="Times New Roman"/>
          <w:b/>
          <w:lang w:val="lv-LV"/>
        </w:rPr>
        <w:t>Likums:</w:t>
      </w:r>
    </w:p>
    <w:p w:rsidR="00974452" w:rsidRPr="00734278" w:rsidRDefault="00570BF0" w:rsidP="002A13D1">
      <w:pPr>
        <w:spacing w:after="0"/>
        <w:ind w:firstLine="284"/>
        <w:jc w:val="both"/>
        <w:rPr>
          <w:rFonts w:ascii="Times New Roman" w:hAnsi="Times New Roman"/>
          <w:b/>
          <w:lang w:val="lv-LV"/>
        </w:rPr>
      </w:pPr>
      <w:r w:rsidRPr="00570BF0">
        <w:rPr>
          <w:rFonts w:ascii="Times New Roman" w:hAnsi="Times New Roman"/>
          <w:b/>
          <w:lang w:val="lv-LV"/>
        </w:rPr>
        <w:t xml:space="preserve">Eiropas </w:t>
      </w:r>
      <w:r w:rsidRPr="00734278">
        <w:rPr>
          <w:rFonts w:ascii="Times New Roman" w:hAnsi="Times New Roman"/>
          <w:b/>
          <w:lang w:val="lv-LV"/>
        </w:rPr>
        <w:t xml:space="preserve">Ekonomiskās zonas finanšu </w:t>
      </w:r>
      <w:r w:rsidR="004F0F0E" w:rsidRPr="00734278">
        <w:rPr>
          <w:rFonts w:ascii="Times New Roman" w:hAnsi="Times New Roman"/>
          <w:b/>
          <w:lang w:val="lv-LV"/>
        </w:rPr>
        <w:t>instrumenta un Norvēģijas finanšu instrumenta 2009.-2014.gada perioda  vadības likums</w:t>
      </w:r>
      <w:r w:rsidRPr="00734278">
        <w:rPr>
          <w:rFonts w:ascii="Times New Roman" w:hAnsi="Times New Roman"/>
          <w:lang w:val="lv-LV"/>
        </w:rPr>
        <w:t xml:space="preserve"> – nosaka vispārīgos nosacījumus abu finanšu instrumentu ieviešanai un vadībā iesaistītajām institūcijām;</w:t>
      </w:r>
    </w:p>
    <w:p w:rsidR="00F1785A" w:rsidRPr="00AE40CC" w:rsidRDefault="00570BF0" w:rsidP="00877666">
      <w:pPr>
        <w:numPr>
          <w:ilvl w:val="0"/>
          <w:numId w:val="8"/>
        </w:numPr>
        <w:suppressAutoHyphens/>
        <w:spacing w:after="0"/>
        <w:ind w:left="284" w:hanging="284"/>
        <w:jc w:val="both"/>
        <w:rPr>
          <w:rFonts w:ascii="Times New Roman" w:hAnsi="Times New Roman"/>
          <w:lang w:val="lv-LV"/>
        </w:rPr>
      </w:pPr>
      <w:r w:rsidRPr="00734278">
        <w:rPr>
          <w:rFonts w:ascii="Times New Roman" w:hAnsi="Times New Roman"/>
          <w:lang w:val="lv-LV"/>
        </w:rPr>
        <w:lastRenderedPageBreak/>
        <w:t xml:space="preserve">Lai detalizētāk noteiktu programmu ieviešanas procedūras un finanšu </w:t>
      </w:r>
      <w:r w:rsidR="003740CA" w:rsidRPr="00734278">
        <w:rPr>
          <w:rFonts w:ascii="Times New Roman" w:hAnsi="Times New Roman"/>
          <w:lang w:val="lv-LV"/>
        </w:rPr>
        <w:t xml:space="preserve">instrumenta </w:t>
      </w:r>
      <w:r w:rsidR="004C13BC" w:rsidRPr="00734278">
        <w:rPr>
          <w:rFonts w:ascii="Times New Roman" w:hAnsi="Times New Roman"/>
          <w:lang w:val="lv-LV"/>
        </w:rPr>
        <w:t>vadībā iesaistīto institūciju funkcijas</w:t>
      </w:r>
      <w:r w:rsidR="004C13BC" w:rsidRPr="00AE40CC">
        <w:rPr>
          <w:rFonts w:ascii="Times New Roman" w:hAnsi="Times New Roman"/>
          <w:lang w:val="lv-LV"/>
        </w:rPr>
        <w:t xml:space="preserve"> ir plānots izstrādāt šādus Ministru kabineta noteikumus (pašlaik</w:t>
      </w:r>
      <w:r w:rsidR="00660779" w:rsidRPr="00AE40CC">
        <w:rPr>
          <w:rFonts w:ascii="Times New Roman" w:hAnsi="Times New Roman"/>
          <w:lang w:val="lv-LV"/>
        </w:rPr>
        <w:t xml:space="preserve"> ir</w:t>
      </w:r>
      <w:r w:rsidR="004C13BC" w:rsidRPr="00AE40CC">
        <w:rPr>
          <w:rFonts w:ascii="Times New Roman" w:hAnsi="Times New Roman"/>
          <w:lang w:val="lv-LV"/>
        </w:rPr>
        <w:t xml:space="preserve"> izstrādes stadijā</w:t>
      </w:r>
      <w:r w:rsidR="00660779" w:rsidRPr="00AE40CC">
        <w:rPr>
          <w:rFonts w:ascii="Times New Roman" w:hAnsi="Times New Roman"/>
          <w:lang w:val="lv-LV"/>
        </w:rPr>
        <w:t xml:space="preserve"> </w:t>
      </w:r>
      <w:r w:rsidR="004C13BC" w:rsidRPr="00AE40CC">
        <w:rPr>
          <w:rFonts w:ascii="Times New Roman" w:hAnsi="Times New Roman"/>
          <w:lang w:val="lv-LV"/>
        </w:rPr>
        <w:t xml:space="preserve">- indikatīvi varētu tikt apstiprināti 2012.gada </w:t>
      </w:r>
      <w:r w:rsidR="002D3961" w:rsidRPr="00AE40CC">
        <w:rPr>
          <w:rFonts w:ascii="Times New Roman" w:hAnsi="Times New Roman"/>
          <w:lang w:val="lv-LV"/>
        </w:rPr>
        <w:t>a</w:t>
      </w:r>
      <w:r w:rsidR="004C13BC" w:rsidRPr="00AE40CC">
        <w:rPr>
          <w:rFonts w:ascii="Times New Roman" w:hAnsi="Times New Roman"/>
          <w:lang w:val="lv-LV"/>
        </w:rPr>
        <w:t>ugustā), kas noteiks:</w:t>
      </w:r>
    </w:p>
    <w:p w:rsidR="00616A07" w:rsidRPr="00734278" w:rsidRDefault="00570BF0" w:rsidP="00877666">
      <w:pPr>
        <w:numPr>
          <w:ilvl w:val="0"/>
          <w:numId w:val="17"/>
        </w:numPr>
        <w:suppressAutoHyphens/>
        <w:spacing w:after="0"/>
        <w:jc w:val="both"/>
        <w:rPr>
          <w:rFonts w:ascii="Times New Roman" w:hAnsi="Times New Roman"/>
          <w:lang w:val="lv-LV"/>
        </w:rPr>
      </w:pPr>
      <w:r w:rsidRPr="00570BF0">
        <w:rPr>
          <w:rFonts w:ascii="Times New Roman" w:hAnsi="Times New Roman"/>
          <w:lang w:val="lv-LV"/>
        </w:rPr>
        <w:t xml:space="preserve">Procedūras </w:t>
      </w:r>
      <w:r w:rsidRPr="00734278">
        <w:rPr>
          <w:rFonts w:ascii="Times New Roman" w:hAnsi="Times New Roman"/>
        </w:rPr>
        <w:t>EEZ/Norvēģijas finanšu instrumentu 2009.-2014.gada perioda</w:t>
      </w:r>
      <w:r w:rsidRPr="00734278">
        <w:rPr>
          <w:rFonts w:ascii="Times New Roman" w:hAnsi="Times New Roman"/>
          <w:lang w:val="lv-LV"/>
        </w:rPr>
        <w:t xml:space="preserve">ieviešanai, uzraudzībai un izvērtēšanai </w:t>
      </w:r>
      <w:bookmarkStart w:id="22" w:name="OLE_LINK28"/>
      <w:bookmarkStart w:id="23" w:name="OLE_LINK29"/>
      <w:r w:rsidRPr="00734278">
        <w:rPr>
          <w:rFonts w:ascii="Times New Roman" w:hAnsi="Times New Roman"/>
          <w:lang w:val="lv-LV"/>
        </w:rPr>
        <w:t xml:space="preserve">(izstrādā </w:t>
      </w:r>
      <w:r w:rsidR="004F0F0E" w:rsidRPr="00734278">
        <w:rPr>
          <w:rFonts w:ascii="Times New Roman" w:hAnsi="Times New Roman"/>
          <w:lang w:val="lv-LV"/>
        </w:rPr>
        <w:t>VI)</w:t>
      </w:r>
      <w:bookmarkEnd w:id="22"/>
      <w:bookmarkEnd w:id="23"/>
      <w:r w:rsidR="004F0F0E" w:rsidRPr="00734278">
        <w:rPr>
          <w:rFonts w:ascii="Times New Roman" w:hAnsi="Times New Roman"/>
          <w:lang w:val="lv-LV"/>
        </w:rPr>
        <w:t>;</w:t>
      </w:r>
    </w:p>
    <w:p w:rsidR="00616A07" w:rsidRPr="00734278" w:rsidRDefault="00570BF0" w:rsidP="00877666">
      <w:pPr>
        <w:numPr>
          <w:ilvl w:val="0"/>
          <w:numId w:val="17"/>
        </w:numPr>
        <w:suppressAutoHyphens/>
        <w:spacing w:after="0"/>
        <w:jc w:val="both"/>
        <w:rPr>
          <w:rFonts w:ascii="Times New Roman" w:hAnsi="Times New Roman"/>
          <w:lang w:val="lv-LV"/>
        </w:rPr>
      </w:pPr>
      <w:r w:rsidRPr="00734278">
        <w:rPr>
          <w:rFonts w:ascii="Times New Roman" w:hAnsi="Times New Roman"/>
          <w:lang w:val="lv-LV"/>
        </w:rPr>
        <w:t xml:space="preserve">Procedūras par </w:t>
      </w:r>
      <w:r w:rsidRPr="00734278">
        <w:rPr>
          <w:rFonts w:ascii="Times New Roman" w:hAnsi="Times New Roman"/>
          <w:color w:val="000000"/>
          <w:lang w:val="lv-LV" w:eastAsia="lv-LV"/>
        </w:rPr>
        <w:t xml:space="preserve">ziņošanu </w:t>
      </w:r>
      <w:r w:rsidRPr="00734278">
        <w:rPr>
          <w:rFonts w:ascii="Times New Roman" w:hAnsi="Times New Roman"/>
          <w:lang w:val="lv-LV" w:eastAsia="lv-LV"/>
        </w:rPr>
        <w:t xml:space="preserve">par programmas īstenošanā konstatētajām neatbilstībām vai aizdomām par neatbilstībām un </w:t>
      </w:r>
      <w:r w:rsidRPr="00734278">
        <w:rPr>
          <w:rFonts w:ascii="Times New Roman" w:hAnsi="Times New Roman"/>
          <w:color w:val="000000"/>
          <w:lang w:val="lv-LV" w:eastAsia="lv-LV"/>
        </w:rPr>
        <w:t>neatbilstoši veikto izdevumu atgūšanu</w:t>
      </w:r>
      <w:r w:rsidRPr="00734278">
        <w:rPr>
          <w:rFonts w:ascii="Times New Roman" w:hAnsi="Times New Roman"/>
          <w:lang w:val="lv-LV"/>
        </w:rPr>
        <w:t xml:space="preserve"> </w:t>
      </w:r>
      <w:r w:rsidRPr="00734278">
        <w:rPr>
          <w:rFonts w:ascii="Times New Roman" w:hAnsi="Times New Roman"/>
        </w:rPr>
        <w:t>EEZ/Norvēģijas finanšu instrumentu 2009.-2014.gada perioda</w:t>
      </w:r>
      <w:r w:rsidRPr="00734278">
        <w:rPr>
          <w:rFonts w:ascii="Times New Roman" w:hAnsi="Times New Roman"/>
          <w:lang w:val="lv-LV"/>
        </w:rPr>
        <w:t xml:space="preserve"> ietvaros (izstrādā </w:t>
      </w:r>
      <w:r w:rsidR="004F0F0E" w:rsidRPr="00734278">
        <w:rPr>
          <w:rFonts w:ascii="Times New Roman" w:hAnsi="Times New Roman"/>
          <w:lang w:val="lv-LV"/>
        </w:rPr>
        <w:t>VI);</w:t>
      </w:r>
    </w:p>
    <w:p w:rsidR="00616A07" w:rsidRPr="00734278" w:rsidRDefault="00570BF0" w:rsidP="00877666">
      <w:pPr>
        <w:numPr>
          <w:ilvl w:val="0"/>
          <w:numId w:val="17"/>
        </w:numPr>
        <w:suppressAutoHyphens/>
        <w:spacing w:after="0"/>
        <w:jc w:val="both"/>
        <w:rPr>
          <w:rFonts w:ascii="Times New Roman" w:hAnsi="Times New Roman"/>
          <w:lang w:val="lv-LV"/>
        </w:rPr>
      </w:pPr>
      <w:r w:rsidRPr="00734278">
        <w:rPr>
          <w:rFonts w:ascii="Times New Roman" w:hAnsi="Times New Roman"/>
          <w:lang w:val="lv-LV"/>
        </w:rPr>
        <w:t xml:space="preserve">Procedūras par </w:t>
      </w:r>
      <w:r w:rsidRPr="00734278">
        <w:rPr>
          <w:rFonts w:ascii="Times New Roman" w:hAnsi="Times New Roman"/>
        </w:rPr>
        <w:t>EEZ/Norvēģijas finanšu instrumentu 2009.-2014.gada perioda</w:t>
      </w:r>
      <w:r w:rsidRPr="00734278">
        <w:rPr>
          <w:rFonts w:ascii="Times New Roman" w:hAnsi="Times New Roman"/>
          <w:lang w:val="lv-LV"/>
        </w:rPr>
        <w:t xml:space="preserve"> ietvaros Audita iestādes funkciju izpildi (izstrādā Audita iestāde);</w:t>
      </w:r>
    </w:p>
    <w:p w:rsidR="00616A07" w:rsidRPr="00734278" w:rsidRDefault="00570BF0" w:rsidP="00877666">
      <w:pPr>
        <w:numPr>
          <w:ilvl w:val="0"/>
          <w:numId w:val="17"/>
        </w:numPr>
        <w:suppressAutoHyphens/>
        <w:spacing w:after="0"/>
        <w:jc w:val="both"/>
        <w:rPr>
          <w:rFonts w:ascii="Times New Roman" w:hAnsi="Times New Roman"/>
          <w:lang w:val="lv-LV"/>
        </w:rPr>
      </w:pPr>
      <w:r w:rsidRPr="00734278">
        <w:rPr>
          <w:rFonts w:ascii="Times New Roman" w:hAnsi="Times New Roman"/>
        </w:rPr>
        <w:t>Noteikumi par EEZ/Norvēģijas finanšu instrumentu 2009.-2014.gada perioda uzraudzības komitejas nolikumu</w:t>
      </w:r>
      <w:r w:rsidRPr="00734278">
        <w:rPr>
          <w:rFonts w:ascii="Times New Roman" w:hAnsi="Times New Roman"/>
          <w:lang w:val="lv-LV"/>
        </w:rPr>
        <w:t xml:space="preserve"> (izstrādā </w:t>
      </w:r>
      <w:r w:rsidR="004F0F0E" w:rsidRPr="00734278">
        <w:rPr>
          <w:rFonts w:ascii="Times New Roman" w:hAnsi="Times New Roman"/>
          <w:lang w:val="lv-LV"/>
        </w:rPr>
        <w:t>VI).</w:t>
      </w:r>
    </w:p>
    <w:p w:rsidR="00616A07" w:rsidRPr="00AE40CC" w:rsidRDefault="00616A07" w:rsidP="00EA691E">
      <w:pPr>
        <w:suppressAutoHyphens/>
        <w:spacing w:after="0"/>
        <w:ind w:left="360"/>
        <w:jc w:val="both"/>
        <w:rPr>
          <w:rFonts w:ascii="Times New Roman" w:hAnsi="Times New Roman"/>
          <w:b/>
          <w:lang w:val="lv-LV"/>
        </w:rPr>
      </w:pPr>
    </w:p>
    <w:p w:rsidR="00F35E87" w:rsidRPr="00AE40CC" w:rsidRDefault="00570BF0" w:rsidP="00877666">
      <w:pPr>
        <w:pStyle w:val="ListParagraph"/>
        <w:numPr>
          <w:ilvl w:val="0"/>
          <w:numId w:val="9"/>
        </w:numPr>
        <w:suppressAutoHyphens/>
        <w:spacing w:after="0"/>
        <w:ind w:left="284"/>
        <w:jc w:val="both"/>
        <w:rPr>
          <w:rFonts w:ascii="Times New Roman" w:hAnsi="Times New Roman"/>
          <w:lang w:val="lv-LV"/>
        </w:rPr>
      </w:pPr>
      <w:r w:rsidRPr="00570BF0">
        <w:rPr>
          <w:rFonts w:ascii="TimesNewRoman" w:hAnsi="TimesNewRoman" w:cs="TimesNewRoman"/>
          <w:lang w:val="lv-LV" w:eastAsia="lv-LV"/>
        </w:rPr>
        <w:t>Programmas Noteikumi tiks izstrādāti pēc Programmas iesnieguma apstiprināšanas</w:t>
      </w:r>
      <w:r w:rsidRPr="00570BF0">
        <w:rPr>
          <w:rFonts w:ascii="Times New Roman" w:hAnsi="Times New Roman"/>
          <w:lang w:val="lv-LV"/>
        </w:rPr>
        <w:t>.</w:t>
      </w:r>
    </w:p>
    <w:p w:rsidR="000731F7" w:rsidRPr="00AE40CC" w:rsidRDefault="000731F7" w:rsidP="000731F7">
      <w:pPr>
        <w:suppressAutoHyphens/>
        <w:spacing w:after="0"/>
        <w:jc w:val="both"/>
        <w:rPr>
          <w:rFonts w:ascii="Times New Roman" w:hAnsi="Times New Roman"/>
          <w:lang w:val="lv-LV"/>
        </w:rPr>
      </w:pPr>
    </w:p>
    <w:p w:rsidR="00EC3E45" w:rsidRPr="00AE40CC" w:rsidRDefault="00570BF0" w:rsidP="00EC3E45">
      <w:pPr>
        <w:spacing w:after="0"/>
        <w:ind w:firstLine="284"/>
        <w:jc w:val="both"/>
        <w:rPr>
          <w:rFonts w:ascii="Times New Roman" w:hAnsi="Times New Roman"/>
          <w:lang w:val="lv-LV"/>
        </w:rPr>
      </w:pPr>
      <w:r w:rsidRPr="00570BF0">
        <w:rPr>
          <w:rFonts w:ascii="Times New Roman" w:hAnsi="Times New Roman"/>
          <w:lang w:val="lv-LV"/>
        </w:rPr>
        <w:t xml:space="preserve">Projektu īstenošana atbilstoši attiecīgajiem ES un valsts tiesību aktiem tiks nodrošināta, piemērojot projektu atlases procedūru, pārbaudot starpposma ziņojumus un veicot pārbaudes uz vietas. </w:t>
      </w:r>
    </w:p>
    <w:p w:rsidR="00EC3E45" w:rsidRPr="00AE40CC" w:rsidRDefault="00570BF0" w:rsidP="00EC3E45">
      <w:pPr>
        <w:spacing w:after="0"/>
        <w:ind w:firstLine="284"/>
        <w:jc w:val="both"/>
        <w:rPr>
          <w:rFonts w:ascii="Times New Roman" w:hAnsi="Times New Roman"/>
          <w:lang w:val="lv-LV"/>
        </w:rPr>
      </w:pPr>
      <w:r w:rsidRPr="00570BF0">
        <w:rPr>
          <w:rFonts w:ascii="Times New Roman" w:hAnsi="Times New Roman"/>
          <w:lang w:val="lv-LV"/>
        </w:rPr>
        <w:t>Informāciju par attiecīgo ES līmeņu prioritātēm skatīt 3.3. sadaļas „Programmas svarīgums” punktā „Tiesību akti un valsts prioritātes” un 3.4.1. sadaļā „Izaicinājumu un nepieciešamību analīze”.</w:t>
      </w:r>
    </w:p>
    <w:p w:rsidR="007F3612" w:rsidRPr="00AE40CC" w:rsidRDefault="007F3612" w:rsidP="00EC3E45">
      <w:pPr>
        <w:spacing w:after="0"/>
        <w:ind w:firstLine="284"/>
        <w:jc w:val="both"/>
        <w:rPr>
          <w:rFonts w:ascii="Times New Roman" w:hAnsi="Times New Roman"/>
          <w:lang w:val="lv-LV"/>
        </w:rPr>
      </w:pPr>
    </w:p>
    <w:p w:rsidR="00A9482F" w:rsidRPr="00AE40CC" w:rsidRDefault="00570BF0" w:rsidP="004A1633">
      <w:pPr>
        <w:pStyle w:val="Heading3"/>
        <w:spacing w:before="0"/>
        <w:rPr>
          <w:rFonts w:ascii="Times New Roman" w:hAnsi="Times New Roman"/>
          <w:lang w:val="lv-LV"/>
        </w:rPr>
      </w:pPr>
      <w:r w:rsidRPr="00570BF0">
        <w:rPr>
          <w:rFonts w:ascii="Times New Roman" w:hAnsi="Times New Roman"/>
          <w:lang w:val="lv-LV"/>
        </w:rPr>
        <w:t>Valsts atbalsts un publiskie iepirkumi</w:t>
      </w:r>
    </w:p>
    <w:p w:rsidR="00A9482F" w:rsidRPr="00AE40CC" w:rsidRDefault="00570BF0" w:rsidP="00A9482F">
      <w:pPr>
        <w:spacing w:after="0"/>
        <w:rPr>
          <w:rFonts w:ascii="Times New Roman" w:hAnsi="Times New Roman"/>
          <w:b/>
          <w:lang w:val="lv-LV"/>
        </w:rPr>
      </w:pPr>
      <w:r w:rsidRPr="00570BF0">
        <w:rPr>
          <w:rFonts w:ascii="Times New Roman" w:hAnsi="Times New Roman"/>
          <w:b/>
          <w:lang w:val="lv-LV"/>
        </w:rPr>
        <w:t xml:space="preserve">Aprakstīt, kā likumi un noteikumi valsts atbalsta jomā ir attiecināmi uz Programmu un kā tiek risināti šādi jautājumi (piemēram, valsts atbalsta shēmas, grupu atbrīvojumi, paziņojumi, vadlīniju izmantošana). Norādīt nepieciešamās atsauces. </w:t>
      </w:r>
    </w:p>
    <w:p w:rsidR="00D06F21" w:rsidRPr="00AE40CC" w:rsidRDefault="00570BF0" w:rsidP="00A9482F">
      <w:pPr>
        <w:spacing w:after="0"/>
        <w:ind w:firstLine="284"/>
        <w:jc w:val="both"/>
        <w:rPr>
          <w:rFonts w:ascii="Times New Roman" w:hAnsi="Times New Roman"/>
          <w:lang w:val="lv-LV"/>
        </w:rPr>
      </w:pPr>
      <w:r w:rsidRPr="00570BF0">
        <w:rPr>
          <w:rFonts w:ascii="Times New Roman" w:hAnsi="Times New Roman"/>
          <w:lang w:val="lv-LV"/>
        </w:rPr>
        <w:t>Programma sastāv no trim daļām – iepriekš noteikt</w:t>
      </w:r>
      <w:r w:rsidR="000F7C25">
        <w:rPr>
          <w:rFonts w:ascii="Times New Roman" w:hAnsi="Times New Roman"/>
          <w:lang w:val="lv-LV"/>
        </w:rPr>
        <w:t>ā</w:t>
      </w:r>
      <w:r w:rsidRPr="00570BF0">
        <w:rPr>
          <w:rFonts w:ascii="Times New Roman" w:hAnsi="Times New Roman"/>
          <w:lang w:val="lv-LV"/>
        </w:rPr>
        <w:t xml:space="preserve"> projekta, neliela apjoma grantu shēmas un Atklātā konkursa.</w:t>
      </w:r>
      <w:r w:rsidR="006529B2">
        <w:rPr>
          <w:rFonts w:ascii="Times New Roman" w:hAnsi="Times New Roman"/>
          <w:lang w:val="lv-LV"/>
        </w:rPr>
        <w:t xml:space="preserve"> Papildus atsevišķi ir izveidots bilaterālais fonds. </w:t>
      </w:r>
    </w:p>
    <w:p w:rsidR="00A16346" w:rsidRPr="00AE40CC" w:rsidRDefault="00570BF0" w:rsidP="00877666">
      <w:pPr>
        <w:numPr>
          <w:ilvl w:val="0"/>
          <w:numId w:val="18"/>
        </w:numPr>
        <w:spacing w:after="0"/>
        <w:jc w:val="both"/>
        <w:rPr>
          <w:rFonts w:ascii="Times New Roman" w:hAnsi="Times New Roman"/>
          <w:b/>
          <w:lang w:val="lv-LV"/>
        </w:rPr>
      </w:pPr>
      <w:r w:rsidRPr="00570BF0">
        <w:rPr>
          <w:rFonts w:ascii="Times New Roman" w:hAnsi="Times New Roman"/>
          <w:b/>
          <w:lang w:val="lv-LV"/>
        </w:rPr>
        <w:t>Iepriekš noteiktais projekts „Tehnoloģiju inkubators”:</w:t>
      </w:r>
    </w:p>
    <w:p w:rsidR="00A16346" w:rsidRPr="00AE40CC" w:rsidRDefault="00570BF0" w:rsidP="00A16346">
      <w:pPr>
        <w:spacing w:after="0"/>
        <w:ind w:firstLine="426"/>
        <w:jc w:val="both"/>
        <w:rPr>
          <w:rFonts w:ascii="Times New Roman" w:hAnsi="Times New Roman"/>
          <w:lang w:val="lv-LV"/>
        </w:rPr>
      </w:pPr>
      <w:r w:rsidRPr="00570BF0">
        <w:rPr>
          <w:rFonts w:ascii="Times New Roman" w:hAnsi="Times New Roman"/>
          <w:lang w:val="lv-LV"/>
        </w:rPr>
        <w:t xml:space="preserve">Tehnoloģiju inkubatora operators būs institūcija, ko ir izveidojušas Latvijas Universitāte, Rīgas Tehniskā universitāte un SIVA. Tehnoloģiju inkubatora operators tiks izvēlēts ierobežotā projektu iesniegumu atlases procesa ietvaros. </w:t>
      </w:r>
    </w:p>
    <w:p w:rsidR="00A16346" w:rsidRPr="00AE40CC" w:rsidRDefault="00570BF0" w:rsidP="00A16346">
      <w:pPr>
        <w:spacing w:after="0"/>
        <w:ind w:firstLine="426"/>
        <w:jc w:val="both"/>
        <w:rPr>
          <w:rFonts w:ascii="Times New Roman" w:hAnsi="Times New Roman"/>
          <w:lang w:val="lv-LV"/>
        </w:rPr>
      </w:pPr>
      <w:r w:rsidRPr="00570BF0">
        <w:rPr>
          <w:rFonts w:ascii="Times New Roman" w:hAnsi="Times New Roman"/>
          <w:lang w:val="lv-LV"/>
        </w:rPr>
        <w:t xml:space="preserve">Valsts atbalsts Tehnoloģiju inkubatoram ir iedalāms divās daļās: valsts atbalsts Tehnoloģiju inkubatora administrācijas un vadības izdevumu segšanai un valsts atbalsts rekonstrukcijas darbiem un iekārtu iegādei. </w:t>
      </w:r>
    </w:p>
    <w:p w:rsidR="00A16346" w:rsidRPr="00AE40CC" w:rsidRDefault="00570BF0" w:rsidP="00877666">
      <w:pPr>
        <w:numPr>
          <w:ilvl w:val="0"/>
          <w:numId w:val="19"/>
        </w:numPr>
        <w:spacing w:after="0"/>
        <w:ind w:left="851"/>
        <w:jc w:val="both"/>
        <w:rPr>
          <w:rFonts w:ascii="Times New Roman" w:hAnsi="Times New Roman"/>
          <w:b/>
          <w:lang w:val="lv-LV"/>
        </w:rPr>
      </w:pPr>
      <w:r w:rsidRPr="00570BF0">
        <w:rPr>
          <w:rFonts w:ascii="Times New Roman" w:hAnsi="Times New Roman"/>
          <w:b/>
          <w:lang w:val="lv-LV"/>
        </w:rPr>
        <w:t>Tehnoloģiju inkubatora administrācijas un vadības izmaksas:</w:t>
      </w:r>
    </w:p>
    <w:p w:rsidR="005E35BE" w:rsidRPr="00AE40CC" w:rsidRDefault="00570BF0" w:rsidP="00DE7999">
      <w:pPr>
        <w:spacing w:after="0"/>
        <w:ind w:firstLine="426"/>
        <w:jc w:val="both"/>
        <w:rPr>
          <w:rFonts w:ascii="Times New Roman" w:hAnsi="Times New Roman"/>
          <w:lang w:val="lv-LV"/>
        </w:rPr>
      </w:pPr>
      <w:r w:rsidRPr="00570BF0">
        <w:rPr>
          <w:rFonts w:ascii="Times New Roman" w:hAnsi="Times New Roman"/>
          <w:b/>
          <w:lang w:val="lv-LV"/>
        </w:rPr>
        <w:t>Finansējuma apmērs</w:t>
      </w:r>
      <w:r w:rsidRPr="00570BF0">
        <w:rPr>
          <w:rFonts w:ascii="Times New Roman" w:hAnsi="Times New Roman"/>
          <w:lang w:val="lv-LV"/>
        </w:rPr>
        <w:t xml:space="preserve"> – 281 122 lati (400 000 EUR) (algu izmaksas ekspertiem (t.sk. ekspertiem no Norvēģijas), darbības izmaksas, telpu labiekārtošana utt.);</w:t>
      </w:r>
    </w:p>
    <w:p w:rsidR="005E35BE" w:rsidRPr="00AE40CC" w:rsidRDefault="00570BF0" w:rsidP="005E35BE">
      <w:pPr>
        <w:spacing w:after="0"/>
        <w:ind w:left="491"/>
        <w:jc w:val="both"/>
        <w:rPr>
          <w:rFonts w:ascii="Times New Roman" w:hAnsi="Times New Roman"/>
          <w:lang w:val="lv-LV"/>
        </w:rPr>
      </w:pPr>
      <w:r w:rsidRPr="00570BF0">
        <w:rPr>
          <w:rFonts w:ascii="Times New Roman" w:hAnsi="Times New Roman"/>
          <w:b/>
          <w:lang w:val="lv-LV"/>
        </w:rPr>
        <w:t>Atbalsta intensitāte</w:t>
      </w:r>
      <w:r w:rsidRPr="00570BF0">
        <w:rPr>
          <w:rFonts w:ascii="Times New Roman" w:hAnsi="Times New Roman"/>
          <w:lang w:val="lv-LV"/>
        </w:rPr>
        <w:t xml:space="preserve"> – 100%.</w:t>
      </w:r>
    </w:p>
    <w:p w:rsidR="00A16346" w:rsidRPr="00AE40CC" w:rsidRDefault="00570BF0" w:rsidP="005E35BE">
      <w:pPr>
        <w:spacing w:after="0"/>
        <w:ind w:firstLine="426"/>
        <w:jc w:val="both"/>
        <w:rPr>
          <w:rFonts w:ascii="Times New Roman" w:hAnsi="Times New Roman"/>
          <w:lang w:val="lv-LV"/>
        </w:rPr>
      </w:pPr>
      <w:r w:rsidRPr="00570BF0">
        <w:rPr>
          <w:rFonts w:ascii="Times New Roman" w:hAnsi="Times New Roman"/>
          <w:lang w:val="lv-LV"/>
        </w:rPr>
        <w:t xml:space="preserve">Valsts atbalstu sniegs atbilstoši Komisijas Regulas Nr. 1998/2006  nosacījumiem. Komisijas Regula Nr.1998/2006 ir spēkā līdz 2013.gada 31.decembrim, pēc kā to aizstās jauna regula, līdz ar to </w:t>
      </w:r>
      <w:r w:rsidRPr="00570BF0">
        <w:rPr>
          <w:rFonts w:ascii="Times New Roman" w:hAnsi="Times New Roman"/>
          <w:i/>
          <w:lang w:val="lv-LV"/>
        </w:rPr>
        <w:t>de minimis</w:t>
      </w:r>
      <w:r w:rsidRPr="00570BF0">
        <w:rPr>
          <w:rFonts w:ascii="Times New Roman" w:hAnsi="Times New Roman"/>
          <w:lang w:val="lv-LV"/>
        </w:rPr>
        <w:t xml:space="preserve"> atbalsta piešķiršanas nosacījumi mainīsies un sākot ar 2014.gada 1.janvāri būs jāievēro jaunās regulas nosacījumi.</w:t>
      </w:r>
    </w:p>
    <w:p w:rsidR="005E35BE" w:rsidRPr="00AE40CC" w:rsidRDefault="00570BF0" w:rsidP="005E35BE">
      <w:pPr>
        <w:spacing w:after="0"/>
        <w:ind w:firstLine="426"/>
        <w:jc w:val="both"/>
        <w:rPr>
          <w:rFonts w:ascii="Times New Roman" w:hAnsi="Times New Roman"/>
          <w:lang w:val="lv-LV"/>
        </w:rPr>
      </w:pPr>
      <w:r w:rsidRPr="00570BF0">
        <w:rPr>
          <w:rFonts w:ascii="Times New Roman" w:hAnsi="Times New Roman"/>
          <w:lang w:val="lv-LV"/>
        </w:rPr>
        <w:t xml:space="preserve">Atbalsta apjoms būs ierobežots līdz 140 560 latiem (200 000 EUR) trīs fiskālo gadu laika posmā atbilstoši Komisijas Regulas Nr.1998/2006 2.panta „De minimis atbalsta” 2.punkta nosacījumiem. Tā kā iepriekš noteiktā projekta īstenošana ir paredzēta aptuveni 3.5 gadus, tad ir plānots veikt 2 atsevišķus de minimis atbalsta maksājumus. Pirmais maksājums līdz 140 560 latiem (200 000 EUR) tikts veikts iepriekš noteiktā projekta īstenošanas sākumā. Otrs maksājums tiks veikts pēc trim fiskālajiem gadiem pēc pirmā maksājuma veikšanas, un tā apmērs tiks noteikts atbilstoši spēkā esošajam regulējumam (Programmas iesniegumā ir pieņemts, ka tas </w:t>
      </w:r>
      <w:r w:rsidRPr="00570BF0">
        <w:rPr>
          <w:rFonts w:ascii="Times New Roman" w:hAnsi="Times New Roman"/>
          <w:lang w:val="lv-LV"/>
        </w:rPr>
        <w:lastRenderedPageBreak/>
        <w:t>nebūs mazāks par saskaņā ar pašreiz esošajiem nosacījumiem noteikto, t.i. 140 560 lati (200 000 EUR) trīs fiskālo gadu periodā</w:t>
      </w:r>
      <w:r w:rsidR="006529B2">
        <w:rPr>
          <w:rFonts w:ascii="Times New Roman" w:hAnsi="Times New Roman"/>
          <w:lang w:val="lv-LV"/>
        </w:rPr>
        <w:t>)</w:t>
      </w:r>
      <w:r w:rsidRPr="00570BF0">
        <w:rPr>
          <w:rFonts w:ascii="Times New Roman" w:hAnsi="Times New Roman"/>
          <w:lang w:val="lv-LV"/>
        </w:rPr>
        <w:t>.</w:t>
      </w:r>
    </w:p>
    <w:p w:rsidR="004A1114" w:rsidRPr="00AE40CC" w:rsidRDefault="00570BF0" w:rsidP="005E35BE">
      <w:pPr>
        <w:spacing w:after="0"/>
        <w:ind w:firstLine="426"/>
        <w:jc w:val="both"/>
        <w:rPr>
          <w:rFonts w:ascii="Times New Roman" w:hAnsi="Times New Roman"/>
          <w:lang w:val="lv-LV"/>
        </w:rPr>
      </w:pPr>
      <w:r w:rsidRPr="00570BF0">
        <w:rPr>
          <w:rFonts w:ascii="Times New Roman" w:hAnsi="Times New Roman"/>
          <w:lang w:val="lv-LV"/>
        </w:rPr>
        <w:t xml:space="preserve">Latvijas Universitātes, Rīgas Tehniskās universitātes un </w:t>
      </w:r>
      <w:proofErr w:type="spellStart"/>
      <w:r w:rsidRPr="00570BF0">
        <w:rPr>
          <w:rFonts w:ascii="Times New Roman" w:hAnsi="Times New Roman"/>
          <w:lang w:val="lv-LV"/>
        </w:rPr>
        <w:t>SIVAs</w:t>
      </w:r>
      <w:proofErr w:type="spellEnd"/>
      <w:r w:rsidRPr="00570BF0">
        <w:rPr>
          <w:rFonts w:ascii="Times New Roman" w:hAnsi="Times New Roman"/>
          <w:lang w:val="lv-LV"/>
        </w:rPr>
        <w:t xml:space="preserve"> izveidotā institūcija tiks uzskatīta par neatkarīgu no saviem dalībniekiem attiecībā uz de minimis atbalsta uzskaiti. Tā kā institūcija, lai pārvaldītu Tehnoloģiju inkubatoru, tiks izveidota 2012.gada laikā, ir pieņemts, ka tā nebūs jau iepriekš saņēmusi de minimis atbalstu līdz dalībai iepriekš noteiktajā projektā. Tehnoloģiju inkubatoram būs jāievēro de minimis atbalsta ierobežojums 140 560 lati (200 000 EUR) trīs fiskālo gadu periodā, skaitot kopā visu saņemto de minimis atbalstu.</w:t>
      </w:r>
    </w:p>
    <w:p w:rsidR="00B01AFB" w:rsidRPr="00AE40CC" w:rsidRDefault="00570BF0" w:rsidP="005E35BE">
      <w:pPr>
        <w:spacing w:after="0"/>
        <w:ind w:firstLine="426"/>
        <w:jc w:val="both"/>
        <w:rPr>
          <w:rFonts w:ascii="Times New Roman" w:hAnsi="Times New Roman"/>
          <w:bCs/>
          <w:lang w:val="lv-LV"/>
        </w:rPr>
      </w:pPr>
      <w:r w:rsidRPr="00570BF0">
        <w:rPr>
          <w:rFonts w:ascii="Times New Roman" w:hAnsi="Times New Roman"/>
          <w:lang w:val="lv-LV"/>
        </w:rPr>
        <w:t xml:space="preserve">Tehnoloģiju inkubatoram piešķirtais de minimis atbalsts tiks uzskaitīts atbilstoši nacionālajiem Ministru kabineta noteikumiem </w:t>
      </w:r>
      <w:r w:rsidRPr="00570BF0">
        <w:rPr>
          <w:rFonts w:ascii="Times New Roman" w:hAnsi="Times New Roman"/>
          <w:bCs/>
          <w:lang w:val="lv-LV"/>
        </w:rPr>
        <w:t xml:space="preserve">par </w:t>
      </w:r>
      <w:r w:rsidRPr="00570BF0">
        <w:rPr>
          <w:rFonts w:ascii="Times New Roman" w:hAnsi="Times New Roman"/>
          <w:bCs/>
          <w:iCs/>
          <w:lang w:val="lv-LV"/>
        </w:rPr>
        <w:t>de minimis</w:t>
      </w:r>
      <w:r w:rsidRPr="00570BF0">
        <w:rPr>
          <w:rFonts w:ascii="Times New Roman" w:hAnsi="Times New Roman"/>
          <w:bCs/>
          <w:lang w:val="lv-LV"/>
        </w:rPr>
        <w:t xml:space="preserve"> atbalsta piešķiršanas kārtību. </w:t>
      </w:r>
    </w:p>
    <w:p w:rsidR="00D03209" w:rsidRPr="00AE40CC" w:rsidRDefault="00570BF0" w:rsidP="005E35BE">
      <w:pPr>
        <w:spacing w:after="0"/>
        <w:ind w:firstLine="426"/>
        <w:jc w:val="both"/>
        <w:rPr>
          <w:rFonts w:ascii="Times New Roman" w:hAnsi="Times New Roman"/>
          <w:lang w:val="lv-LV"/>
        </w:rPr>
      </w:pPr>
      <w:r w:rsidRPr="00570BF0">
        <w:rPr>
          <w:rFonts w:ascii="Times New Roman" w:hAnsi="Times New Roman"/>
          <w:lang w:val="lv-LV"/>
        </w:rPr>
        <w:t>Tehnoloģiju inkubatora operators nedrīkst pārstāvēt nozares, kas minētas Regulas Nr.1998/2006 1.panta „Piemērošanas joma” 1.punktā.</w:t>
      </w:r>
    </w:p>
    <w:p w:rsidR="005E35BE" w:rsidRPr="00AE40CC" w:rsidRDefault="005E35BE" w:rsidP="005E35BE">
      <w:pPr>
        <w:spacing w:after="0"/>
        <w:ind w:firstLine="426"/>
        <w:jc w:val="both"/>
        <w:rPr>
          <w:rFonts w:ascii="Times New Roman" w:hAnsi="Times New Roman"/>
          <w:lang w:val="lv-LV"/>
        </w:rPr>
      </w:pPr>
    </w:p>
    <w:p w:rsidR="006365D0" w:rsidRPr="00AE40CC" w:rsidRDefault="00570BF0" w:rsidP="00877666">
      <w:pPr>
        <w:numPr>
          <w:ilvl w:val="0"/>
          <w:numId w:val="19"/>
        </w:numPr>
        <w:spacing w:after="0"/>
        <w:ind w:left="426" w:firstLine="0"/>
        <w:jc w:val="both"/>
        <w:rPr>
          <w:rFonts w:ascii="Times New Roman" w:hAnsi="Times New Roman"/>
          <w:b/>
          <w:lang w:val="lv-LV"/>
        </w:rPr>
      </w:pPr>
      <w:r w:rsidRPr="00570BF0">
        <w:rPr>
          <w:rFonts w:ascii="Times New Roman" w:hAnsi="Times New Roman"/>
          <w:b/>
          <w:lang w:val="lv-LV"/>
        </w:rPr>
        <w:t>Tehnoloģiju inkubatora rekonstrukcijas un iekārtu iegādes izmaksas:</w:t>
      </w:r>
    </w:p>
    <w:p w:rsidR="006365D0" w:rsidRPr="00AE40CC" w:rsidRDefault="00570BF0" w:rsidP="006365D0">
      <w:pPr>
        <w:spacing w:after="0"/>
        <w:ind w:left="426"/>
        <w:jc w:val="both"/>
        <w:rPr>
          <w:rFonts w:ascii="Times New Roman" w:hAnsi="Times New Roman"/>
          <w:bCs/>
          <w:lang w:val="lv-LV"/>
        </w:rPr>
      </w:pPr>
      <w:r w:rsidRPr="00570BF0">
        <w:rPr>
          <w:rFonts w:ascii="Times New Roman" w:hAnsi="Times New Roman"/>
          <w:b/>
          <w:lang w:val="lv-LV"/>
        </w:rPr>
        <w:t xml:space="preserve">Finansējuma apmērs - </w:t>
      </w:r>
      <w:r w:rsidRPr="00570BF0">
        <w:rPr>
          <w:rFonts w:ascii="Times New Roman" w:hAnsi="Times New Roman"/>
          <w:bCs/>
          <w:lang w:val="lv-LV"/>
        </w:rPr>
        <w:t>502 505 lati (715 000 EUR).</w:t>
      </w:r>
    </w:p>
    <w:p w:rsidR="006365D0" w:rsidRPr="00AE40CC" w:rsidRDefault="00570BF0" w:rsidP="006365D0">
      <w:pPr>
        <w:spacing w:after="0"/>
        <w:ind w:left="426"/>
        <w:jc w:val="both"/>
        <w:rPr>
          <w:rFonts w:ascii="Times New Roman" w:hAnsi="Times New Roman"/>
          <w:lang w:val="lv-LV"/>
        </w:rPr>
      </w:pPr>
      <w:r w:rsidRPr="00570BF0">
        <w:rPr>
          <w:rFonts w:ascii="Times New Roman" w:hAnsi="Times New Roman"/>
          <w:b/>
          <w:lang w:val="lv-LV"/>
        </w:rPr>
        <w:t>Atbalsta intensitāte</w:t>
      </w:r>
      <w:r w:rsidRPr="00570BF0">
        <w:rPr>
          <w:rFonts w:ascii="Times New Roman" w:hAnsi="Times New Roman"/>
          <w:lang w:val="lv-LV"/>
        </w:rPr>
        <w:t xml:space="preserve"> – 50%, ko ir nepieciešams apstiprināt no Eiropas Komisijas puses.</w:t>
      </w:r>
    </w:p>
    <w:p w:rsidR="005E35BE" w:rsidRPr="00AE40CC" w:rsidRDefault="00570BF0" w:rsidP="005E35BE">
      <w:pPr>
        <w:spacing w:after="0"/>
        <w:ind w:firstLine="426"/>
        <w:jc w:val="both"/>
        <w:rPr>
          <w:rFonts w:ascii="Times New Roman" w:hAnsi="Times New Roman"/>
          <w:lang w:val="lv-LV"/>
        </w:rPr>
      </w:pPr>
      <w:r w:rsidRPr="00570BF0">
        <w:rPr>
          <w:rFonts w:ascii="Times New Roman" w:hAnsi="Times New Roman"/>
          <w:lang w:val="lv-LV"/>
        </w:rPr>
        <w:t>Valsts atbalsts tiks piešķirts kā ad hoc atbalsts saskaņā ar Valstu reģionālā atbalsta pamatnostādnes 2007.-2013.gadam 4.iedaļu „Reģionālais ieguldījumu atbalsts”</w:t>
      </w:r>
      <w:r w:rsidRPr="00570BF0">
        <w:rPr>
          <w:rFonts w:ascii="Times New Roman" w:hAnsi="Times New Roman"/>
          <w:bCs/>
          <w:lang w:val="lv-LV"/>
        </w:rPr>
        <w:t>.</w:t>
      </w:r>
    </w:p>
    <w:p w:rsidR="005E35BE" w:rsidRPr="00AE40CC" w:rsidRDefault="00570BF0" w:rsidP="005E35BE">
      <w:pPr>
        <w:spacing w:after="0"/>
        <w:ind w:firstLine="426"/>
        <w:jc w:val="both"/>
        <w:rPr>
          <w:rFonts w:ascii="Times New Roman" w:hAnsi="Times New Roman"/>
          <w:lang w:val="lv-LV"/>
        </w:rPr>
      </w:pPr>
      <w:r w:rsidRPr="00570BF0">
        <w:rPr>
          <w:rFonts w:ascii="Times New Roman" w:hAnsi="Times New Roman"/>
          <w:lang w:val="lv-LV"/>
        </w:rPr>
        <w:t xml:space="preserve">Valsts atbalstu būs nepieciešams notificēt Eiropas Komisijai saskaņā ar Līguma par Eiropas Savienības darbību 108.pantu 3.punktu. Rekonstrukcijas darbus un iekārtu iegādes izmaksas attiecināmas ir tikai no brīža, kad saņemts Eiropas Komisijas apstiprinājums. Vienlaikus būtiski ir ņemt vērā, ka Valstu reģionālā atbalsta pamatnostādnes 2007.-2013.gadam būs spēkā līdz 2013.gada beigām, pēc kā tās tiks aizstātas ar jauniem noteikumiem. Līdz ar to, ja lēmums piešķirt valsts atbalstu rekonstrukcijas darbiem un iekārtu iegādei būs pieņemts līdz 2013.gada beigām un uz to brīdi būs fiksētas visas nepieciešamās investīcijas pamatlīdzekļos, tad uz visu investīciju periodu attieksies pašreiz spēkā esošais regulējums. Gadījumā, ja būs nepieciešams atsevišķs lēmums par ieguldījuma atbalsta piešķiršanu rekonstrukcijas darbu veikšanai un iekārtu iegādei pēc 2013.gada, šis valsts atbalsts būs jānotificē Eiropas Komisijai saskaņā ar jauno regulējumu. </w:t>
      </w:r>
    </w:p>
    <w:p w:rsidR="00435094" w:rsidRPr="00AE40CC" w:rsidRDefault="00570BF0" w:rsidP="005E35BE">
      <w:pPr>
        <w:spacing w:after="0"/>
        <w:ind w:firstLine="426"/>
        <w:jc w:val="both"/>
        <w:rPr>
          <w:rFonts w:ascii="Times New Roman" w:hAnsi="Times New Roman"/>
          <w:lang w:val="lv-LV"/>
        </w:rPr>
      </w:pPr>
      <w:r w:rsidRPr="00570BF0">
        <w:rPr>
          <w:rFonts w:ascii="Times New Roman" w:hAnsi="Times New Roman"/>
          <w:lang w:val="lv-LV"/>
        </w:rPr>
        <w:t>Attaisnotie izdevumi ir norādīti Valstu reģionālā atbalsta pamatnostādnes 2007.-2013.gadam 4.2.panta „Attaisnotie izdevumi” 50.punktā. Vienlaikus attaisnotie izdevumi būs ierobežoti tikai priekš rekonstrukcijas darbiem un iekārtu iegādes (ieguldījumi pamatlīdzekļos).</w:t>
      </w:r>
    </w:p>
    <w:p w:rsidR="00435094" w:rsidRPr="00AE40CC" w:rsidRDefault="00570BF0" w:rsidP="00435094">
      <w:pPr>
        <w:spacing w:after="0"/>
        <w:ind w:firstLine="426"/>
        <w:jc w:val="both"/>
        <w:rPr>
          <w:rFonts w:ascii="Times New Roman" w:hAnsi="Times New Roman"/>
          <w:lang w:val="lv-LV"/>
        </w:rPr>
      </w:pPr>
      <w:r w:rsidRPr="00570BF0">
        <w:rPr>
          <w:rFonts w:ascii="Times New Roman" w:hAnsi="Times New Roman"/>
          <w:lang w:val="lv-LV"/>
        </w:rPr>
        <w:t xml:space="preserve"> Tehnoloģiju inkubatora operators nedrīkst pārstāvēt nozares, kas minētas Valstu reģionālā atbalsta pamatnostādnes 2007.-2013.gadam 2.panta „Piemērošanas joma” 8. punktā.</w:t>
      </w:r>
    </w:p>
    <w:p w:rsidR="00DB4894" w:rsidRPr="00AE40CC" w:rsidRDefault="00570BF0" w:rsidP="005E35BE">
      <w:pPr>
        <w:spacing w:after="0"/>
        <w:ind w:firstLine="426"/>
        <w:jc w:val="both"/>
        <w:rPr>
          <w:rFonts w:ascii="Times New Roman" w:hAnsi="Times New Roman"/>
          <w:lang w:val="lv-LV"/>
        </w:rPr>
      </w:pPr>
      <w:r w:rsidRPr="00570BF0">
        <w:rPr>
          <w:rFonts w:ascii="Times New Roman" w:hAnsi="Times New Roman"/>
          <w:lang w:val="lv-LV"/>
        </w:rPr>
        <w:t>Papildus Programmas Noteikumos būs atsauce, ka valsts atbalsts rekonstrukcijas darbiem un iekārtu iegādes ir pieļaujams tikai pēc Eiropas Komisijas apstiprinājuma saņemšanas.</w:t>
      </w:r>
    </w:p>
    <w:p w:rsidR="00DB4894" w:rsidRPr="00AE40CC" w:rsidRDefault="00DB4894" w:rsidP="005E35BE">
      <w:pPr>
        <w:spacing w:after="0"/>
        <w:ind w:firstLine="426"/>
        <w:jc w:val="both"/>
        <w:rPr>
          <w:rFonts w:ascii="Times New Roman" w:hAnsi="Times New Roman"/>
          <w:lang w:val="lv-LV"/>
        </w:rPr>
      </w:pPr>
    </w:p>
    <w:p w:rsidR="00435094" w:rsidRPr="00AE40CC" w:rsidRDefault="00570BF0" w:rsidP="00877666">
      <w:pPr>
        <w:numPr>
          <w:ilvl w:val="0"/>
          <w:numId w:val="18"/>
        </w:numPr>
        <w:spacing w:after="0"/>
        <w:jc w:val="both"/>
        <w:rPr>
          <w:rFonts w:ascii="Times New Roman" w:hAnsi="Times New Roman"/>
          <w:b/>
          <w:lang w:val="lv-LV"/>
        </w:rPr>
      </w:pPr>
      <w:r w:rsidRPr="00570BF0">
        <w:rPr>
          <w:rFonts w:ascii="Times New Roman" w:hAnsi="Times New Roman"/>
          <w:b/>
          <w:lang w:val="lv-LV"/>
        </w:rPr>
        <w:t>Neliela apjoma grantu shēmas ietvaros:</w:t>
      </w:r>
    </w:p>
    <w:p w:rsidR="009412C1" w:rsidRPr="00AE40CC" w:rsidRDefault="00570BF0" w:rsidP="009412C1">
      <w:pPr>
        <w:spacing w:after="0"/>
        <w:ind w:firstLine="426"/>
        <w:jc w:val="both"/>
        <w:rPr>
          <w:rFonts w:ascii="Times New Roman" w:hAnsi="Times New Roman"/>
          <w:lang w:val="lv-LV"/>
        </w:rPr>
      </w:pPr>
      <w:r w:rsidRPr="00570BF0">
        <w:rPr>
          <w:rFonts w:ascii="Times New Roman" w:hAnsi="Times New Roman"/>
          <w:lang w:val="lv-LV"/>
        </w:rPr>
        <w:t xml:space="preserve">Neliela apjoma grantu shēma sastāvēs no divām daļām – pirms-inkubācijas pasākuma un inkubācijas pasākuma. Valsts atbalsts neliela apjoma grantu shēmas ietvaros tiks piešķirts pēc Programmas Noteikumu apstiprināšanas. </w:t>
      </w:r>
    </w:p>
    <w:p w:rsidR="005E35BE" w:rsidRPr="00AE40CC" w:rsidRDefault="00570BF0" w:rsidP="00877666">
      <w:pPr>
        <w:numPr>
          <w:ilvl w:val="0"/>
          <w:numId w:val="20"/>
        </w:numPr>
        <w:spacing w:after="0"/>
        <w:ind w:left="426" w:firstLine="0"/>
        <w:jc w:val="both"/>
        <w:rPr>
          <w:rFonts w:ascii="Times New Roman" w:hAnsi="Times New Roman"/>
          <w:b/>
          <w:lang w:val="lv-LV"/>
        </w:rPr>
      </w:pPr>
      <w:r w:rsidRPr="00570BF0">
        <w:rPr>
          <w:rFonts w:ascii="Times New Roman" w:hAnsi="Times New Roman"/>
          <w:b/>
          <w:lang w:val="lv-LV"/>
        </w:rPr>
        <w:t>Pirms-inkubācijas pasākums:</w:t>
      </w:r>
    </w:p>
    <w:p w:rsidR="009412C1" w:rsidRPr="00AE40CC" w:rsidRDefault="00570BF0" w:rsidP="009412C1">
      <w:pPr>
        <w:spacing w:after="0"/>
        <w:ind w:firstLine="426"/>
        <w:jc w:val="both"/>
        <w:rPr>
          <w:rFonts w:ascii="Times New Roman" w:hAnsi="Times New Roman"/>
          <w:lang w:val="lv-LV"/>
        </w:rPr>
      </w:pPr>
      <w:r w:rsidRPr="00570BF0">
        <w:rPr>
          <w:rFonts w:ascii="Times New Roman" w:hAnsi="Times New Roman"/>
          <w:b/>
          <w:lang w:val="lv-LV"/>
        </w:rPr>
        <w:t>Finansējuma apmērs</w:t>
      </w:r>
      <w:r w:rsidRPr="00570BF0">
        <w:rPr>
          <w:rFonts w:ascii="Times New Roman" w:hAnsi="Times New Roman"/>
          <w:lang w:val="lv-LV"/>
        </w:rPr>
        <w:t xml:space="preserve"> – vienam projekta iesniedzējam 3 514 lati – 7 028 lati (5 000 EUR – 10 000 EUR). Valsts atbalsts tiks piešķirts kuponu veidā, ko varēs izmantot, lai saņemtu Tehnoloģiju inkubatora konsultācijas</w:t>
      </w:r>
      <w:r w:rsidR="00395772">
        <w:rPr>
          <w:rFonts w:ascii="Times New Roman" w:hAnsi="Times New Roman"/>
          <w:lang w:val="lv-LV"/>
        </w:rPr>
        <w:t xml:space="preserve"> un</w:t>
      </w:r>
      <w:r w:rsidR="00395772" w:rsidRPr="00570BF0">
        <w:rPr>
          <w:rFonts w:ascii="Times New Roman" w:hAnsi="Times New Roman"/>
          <w:lang w:val="lv-LV"/>
        </w:rPr>
        <w:t xml:space="preserve"> </w:t>
      </w:r>
      <w:r w:rsidRPr="00570BF0">
        <w:rPr>
          <w:rFonts w:ascii="Times New Roman" w:hAnsi="Times New Roman"/>
          <w:lang w:val="lv-LV"/>
        </w:rPr>
        <w:t xml:space="preserve">veiktu tirgus izpēti. </w:t>
      </w:r>
    </w:p>
    <w:p w:rsidR="009412C1" w:rsidRPr="00AE40CC" w:rsidRDefault="00570BF0" w:rsidP="009412C1">
      <w:pPr>
        <w:spacing w:after="0"/>
        <w:ind w:firstLine="426"/>
        <w:jc w:val="both"/>
        <w:rPr>
          <w:rFonts w:ascii="Times New Roman" w:hAnsi="Times New Roman"/>
          <w:lang w:val="lv-LV"/>
        </w:rPr>
      </w:pPr>
      <w:r w:rsidRPr="00570BF0">
        <w:rPr>
          <w:rFonts w:ascii="Times New Roman" w:hAnsi="Times New Roman"/>
          <w:b/>
          <w:lang w:val="lv-LV"/>
        </w:rPr>
        <w:t>Atbalsta intensitāte</w:t>
      </w:r>
      <w:r w:rsidRPr="00570BF0">
        <w:rPr>
          <w:rFonts w:ascii="Times New Roman" w:hAnsi="Times New Roman"/>
          <w:lang w:val="lv-LV"/>
        </w:rPr>
        <w:t xml:space="preserve"> – līdz 85%. </w:t>
      </w:r>
    </w:p>
    <w:p w:rsidR="009412C1" w:rsidRPr="00AE40CC" w:rsidRDefault="00570BF0" w:rsidP="009412C1">
      <w:pPr>
        <w:spacing w:after="0"/>
        <w:ind w:firstLine="426"/>
        <w:jc w:val="both"/>
        <w:rPr>
          <w:rFonts w:ascii="Times New Roman" w:hAnsi="Times New Roman"/>
          <w:lang w:val="lv-LV"/>
        </w:rPr>
      </w:pPr>
      <w:r w:rsidRPr="00570BF0">
        <w:rPr>
          <w:rFonts w:ascii="Times New Roman" w:hAnsi="Times New Roman"/>
          <w:b/>
          <w:lang w:val="lv-LV"/>
        </w:rPr>
        <w:t>Projekta iesniedzēji</w:t>
      </w:r>
      <w:r w:rsidRPr="00570BF0">
        <w:rPr>
          <w:rFonts w:ascii="Times New Roman" w:hAnsi="Times New Roman"/>
          <w:lang w:val="lv-LV"/>
        </w:rPr>
        <w:t xml:space="preserve"> – komersanti un fiziskas personas, kas plāno uzsākt saimniecisko darbību. Tiks organizēta atklāta projektu iesniegumu atlase. </w:t>
      </w:r>
    </w:p>
    <w:p w:rsidR="009412C1" w:rsidRPr="00AE40CC" w:rsidRDefault="00570BF0" w:rsidP="009412C1">
      <w:pPr>
        <w:spacing w:after="0"/>
        <w:ind w:firstLine="426"/>
        <w:jc w:val="both"/>
        <w:rPr>
          <w:rFonts w:ascii="Times New Roman" w:hAnsi="Times New Roman"/>
          <w:lang w:val="lv-LV"/>
        </w:rPr>
      </w:pPr>
      <w:r w:rsidRPr="00570BF0">
        <w:rPr>
          <w:rFonts w:ascii="Times New Roman" w:hAnsi="Times New Roman"/>
          <w:lang w:val="lv-LV"/>
        </w:rPr>
        <w:t xml:space="preserve">Valsts atbalstu sniegs atbilstoši Komisijas Regulas Nr. 1998/2006  nosacījumiem. Komisijas Regula Nr.1998/2006 būs spēkā līdz 2013.gada 31.decembrim. Sākot ar 2014.gada 1.janvāri de </w:t>
      </w:r>
      <w:r w:rsidRPr="00570BF0">
        <w:rPr>
          <w:rFonts w:ascii="Times New Roman" w:hAnsi="Times New Roman"/>
          <w:lang w:val="lv-LV"/>
        </w:rPr>
        <w:lastRenderedPageBreak/>
        <w:t>minimis atbalsta piešķiršanas nosacījumi mainīsies, līdz ar to komersantiem būs jāievēro jaunās regulas nosacījumi.</w:t>
      </w:r>
    </w:p>
    <w:p w:rsidR="009412C1" w:rsidRPr="00AE40CC" w:rsidRDefault="00570BF0" w:rsidP="009412C1">
      <w:pPr>
        <w:spacing w:after="0"/>
        <w:ind w:firstLine="426"/>
        <w:jc w:val="both"/>
        <w:rPr>
          <w:rFonts w:ascii="Times New Roman" w:hAnsi="Times New Roman"/>
          <w:lang w:val="lv-LV"/>
        </w:rPr>
      </w:pPr>
      <w:r w:rsidRPr="00570BF0">
        <w:rPr>
          <w:rFonts w:ascii="Times New Roman" w:hAnsi="Times New Roman"/>
          <w:lang w:val="lv-LV"/>
        </w:rPr>
        <w:t xml:space="preserve">Atbalsta apjoms būs limitēts līdz 140 560 latiem (200 000 EUR) trīs fiskālo gadu laika posmā atbilstoši Komisijas Regulas Nr.1998/2006 2.panta „De minimis atbalsta” 2.punkta nosacījumiem. Viss iepriekš saņemtais de minimis atbalsts tiek uzskaitīts kopā. </w:t>
      </w:r>
    </w:p>
    <w:p w:rsidR="009412C1" w:rsidRPr="00AE40CC" w:rsidRDefault="00570BF0" w:rsidP="009412C1">
      <w:pPr>
        <w:spacing w:after="0"/>
        <w:ind w:firstLine="426"/>
        <w:jc w:val="both"/>
        <w:rPr>
          <w:rFonts w:ascii="Times New Roman" w:hAnsi="Times New Roman"/>
          <w:lang w:val="lv-LV"/>
        </w:rPr>
      </w:pPr>
      <w:r w:rsidRPr="00570BF0">
        <w:rPr>
          <w:rFonts w:ascii="Times New Roman" w:hAnsi="Times New Roman"/>
          <w:lang w:val="lv-LV"/>
        </w:rPr>
        <w:t>Projekta iesniedzēji nedrīkst pārstāvēt nozares, kas minētas Komisijas Regulas Nr.1998/2006 1.panta „Piemērošanas joma” 1.punktā.</w:t>
      </w:r>
    </w:p>
    <w:p w:rsidR="009412C1" w:rsidRPr="00AE40CC" w:rsidRDefault="00570BF0" w:rsidP="009412C1">
      <w:pPr>
        <w:spacing w:after="0"/>
        <w:ind w:firstLine="426"/>
        <w:jc w:val="both"/>
        <w:rPr>
          <w:rFonts w:ascii="Times New Roman" w:hAnsi="Times New Roman"/>
          <w:bCs/>
          <w:lang w:val="lv-LV"/>
        </w:rPr>
      </w:pPr>
      <w:r w:rsidRPr="00570BF0">
        <w:rPr>
          <w:rFonts w:ascii="Times New Roman" w:hAnsi="Times New Roman"/>
          <w:lang w:val="lv-LV"/>
        </w:rPr>
        <w:t xml:space="preserve">Projekta iesniedzējiem piešķirto de minimis atbalsts tiks uzskaitīts atbilstoši nacionālajiem Ministru kabineta noteikumiem </w:t>
      </w:r>
      <w:r w:rsidRPr="00570BF0">
        <w:rPr>
          <w:rFonts w:ascii="Times New Roman" w:hAnsi="Times New Roman"/>
          <w:bCs/>
          <w:lang w:val="lv-LV"/>
        </w:rPr>
        <w:t xml:space="preserve">par </w:t>
      </w:r>
      <w:r w:rsidRPr="00570BF0">
        <w:rPr>
          <w:rFonts w:ascii="Times New Roman" w:hAnsi="Times New Roman"/>
          <w:bCs/>
          <w:iCs/>
          <w:lang w:val="lv-LV"/>
        </w:rPr>
        <w:t>de minimis</w:t>
      </w:r>
      <w:r w:rsidRPr="00570BF0">
        <w:rPr>
          <w:rFonts w:ascii="Times New Roman" w:hAnsi="Times New Roman"/>
          <w:bCs/>
          <w:lang w:val="lv-LV"/>
        </w:rPr>
        <w:t xml:space="preserve"> atbalsta piešķiršanas kārtību. </w:t>
      </w:r>
    </w:p>
    <w:p w:rsidR="00974B8B" w:rsidRPr="00AE40CC" w:rsidRDefault="00570BF0" w:rsidP="00877666">
      <w:pPr>
        <w:numPr>
          <w:ilvl w:val="0"/>
          <w:numId w:val="20"/>
        </w:numPr>
        <w:spacing w:after="0"/>
        <w:ind w:left="426" w:firstLine="0"/>
        <w:jc w:val="both"/>
        <w:rPr>
          <w:rFonts w:ascii="Times New Roman" w:hAnsi="Times New Roman"/>
          <w:b/>
          <w:bCs/>
          <w:lang w:val="lv-LV"/>
        </w:rPr>
      </w:pPr>
      <w:r>
        <w:rPr>
          <w:rFonts w:ascii="Times New Roman" w:hAnsi="Times New Roman"/>
          <w:b/>
          <w:bCs/>
          <w:lang w:val="lv-LV"/>
        </w:rPr>
        <w:t>Inkubācijas pasākums:</w:t>
      </w:r>
    </w:p>
    <w:p w:rsidR="00B63E4E" w:rsidRPr="00AE40CC" w:rsidRDefault="00570BF0" w:rsidP="00B63E4E">
      <w:pPr>
        <w:spacing w:after="0"/>
        <w:ind w:firstLine="426"/>
        <w:jc w:val="both"/>
        <w:rPr>
          <w:rFonts w:ascii="Times New Roman" w:hAnsi="Times New Roman"/>
          <w:lang w:val="lv-LV"/>
        </w:rPr>
      </w:pPr>
      <w:r w:rsidRPr="00570BF0">
        <w:rPr>
          <w:rFonts w:ascii="Times New Roman" w:hAnsi="Times New Roman"/>
          <w:b/>
          <w:lang w:val="lv-LV"/>
        </w:rPr>
        <w:t>Finansējuma apmērs</w:t>
      </w:r>
      <w:r w:rsidRPr="00570BF0">
        <w:rPr>
          <w:rFonts w:ascii="Times New Roman" w:hAnsi="Times New Roman"/>
          <w:lang w:val="lv-LV"/>
        </w:rPr>
        <w:t xml:space="preserve"> –</w:t>
      </w:r>
      <w:r w:rsidR="00395772">
        <w:rPr>
          <w:rFonts w:ascii="Times New Roman" w:hAnsi="Times New Roman"/>
          <w:lang w:val="lv-LV"/>
        </w:rPr>
        <w:t xml:space="preserve"> </w:t>
      </w:r>
      <w:r w:rsidRPr="00570BF0">
        <w:rPr>
          <w:rFonts w:ascii="Times New Roman" w:hAnsi="Times New Roman"/>
          <w:lang w:val="lv-LV"/>
        </w:rPr>
        <w:t xml:space="preserve">vienam projekta iesniedzējam 7 028 lati – 119 477 lati (10 000 EUR – 170 000 EUR). Valsts atbalsts tiks piešķirts kuponu veidā, ko varēs izmantot, lai saņemtu nepieciešamos inkubācijas pakalpojumus (telpas, juridiskie pakalpojumi, administratīvie pakalpojumi, ekspertu konsultācijas, Tehnoloģiju inkubatora ekspertu izmaksas par divpusējās partnerības jautājumiem u.c.) no Tehnoloģiju inkubatora vai citām institūcijām. </w:t>
      </w:r>
    </w:p>
    <w:p w:rsidR="00A468AB" w:rsidRPr="00AE40CC" w:rsidRDefault="00570BF0" w:rsidP="00A468AB">
      <w:pPr>
        <w:spacing w:after="0"/>
        <w:ind w:firstLine="426"/>
        <w:jc w:val="both"/>
        <w:rPr>
          <w:rFonts w:ascii="Times New Roman" w:hAnsi="Times New Roman"/>
          <w:lang w:val="lv-LV"/>
        </w:rPr>
      </w:pPr>
      <w:r w:rsidRPr="00570BF0">
        <w:rPr>
          <w:rFonts w:ascii="Times New Roman" w:hAnsi="Times New Roman"/>
          <w:b/>
          <w:lang w:val="lv-LV"/>
        </w:rPr>
        <w:t>Atbalsta intensitāte</w:t>
      </w:r>
      <w:r w:rsidRPr="00570BF0">
        <w:rPr>
          <w:rFonts w:ascii="Times New Roman" w:hAnsi="Times New Roman"/>
          <w:lang w:val="lv-LV"/>
        </w:rPr>
        <w:t xml:space="preserve"> – robežās starp 85%-10% ņemot vērā komersanta dibināšanas datumu un inkubācijas gadu un atsevišķi 100% par ekspertu sniegtajiem pakalpojumiem attiecībā uz divpusējās partnerības jautājumiem. Ir paredzēts, ka atbalsta intensitāte vienam projektam par visiem pakalpojumiem, kas ir saņemti inkubācijas pasākuma ietvaros kopā nepārsniegs 85%. </w:t>
      </w:r>
    </w:p>
    <w:p w:rsidR="00B63E4E" w:rsidRPr="00AE40CC" w:rsidRDefault="00570BF0" w:rsidP="00B63E4E">
      <w:pPr>
        <w:spacing w:after="0"/>
        <w:ind w:firstLine="426"/>
        <w:jc w:val="both"/>
        <w:rPr>
          <w:rFonts w:ascii="Times New Roman" w:hAnsi="Times New Roman"/>
          <w:lang w:val="lv-LV"/>
        </w:rPr>
      </w:pPr>
      <w:r w:rsidRPr="00570BF0">
        <w:rPr>
          <w:rFonts w:ascii="Times New Roman" w:hAnsi="Times New Roman"/>
          <w:b/>
          <w:lang w:val="lv-LV"/>
        </w:rPr>
        <w:t>Projekta iesniedzēji</w:t>
      </w:r>
      <w:r w:rsidRPr="00570BF0">
        <w:rPr>
          <w:rFonts w:ascii="Times New Roman" w:hAnsi="Times New Roman"/>
          <w:lang w:val="lv-LV"/>
        </w:rPr>
        <w:t xml:space="preserve"> – komersanti. Tiks organizēta atklāta projektu iesniegumu atlase.  </w:t>
      </w:r>
    </w:p>
    <w:p w:rsidR="00B63E4E" w:rsidRPr="00AE40CC" w:rsidRDefault="00570BF0" w:rsidP="00B63E4E">
      <w:pPr>
        <w:spacing w:after="0"/>
        <w:ind w:firstLine="426"/>
        <w:jc w:val="both"/>
        <w:rPr>
          <w:rFonts w:ascii="Times New Roman" w:hAnsi="Times New Roman"/>
          <w:lang w:val="lv-LV"/>
        </w:rPr>
      </w:pPr>
      <w:r w:rsidRPr="00570BF0">
        <w:rPr>
          <w:rFonts w:ascii="Times New Roman" w:hAnsi="Times New Roman"/>
          <w:lang w:val="lv-LV"/>
        </w:rPr>
        <w:t>Valsts atbalstu sniegs atbilstoši Komisijas Regulas Nr. 1998/2006  nosacījumiem. Komisijas Regula Nr.1998/2006 būs spēkā līdz 2013.gada 31.decembrim. Sākot ar 2014.gada 1.janvāri regulu aizstās jauni de minimis atbalsta piešķiršanas nosacījumi.</w:t>
      </w:r>
    </w:p>
    <w:p w:rsidR="00B63E4E" w:rsidRPr="00AE40CC" w:rsidRDefault="00570BF0" w:rsidP="00B63E4E">
      <w:pPr>
        <w:spacing w:after="0"/>
        <w:ind w:firstLine="426"/>
        <w:jc w:val="both"/>
        <w:rPr>
          <w:rFonts w:ascii="Times New Roman" w:hAnsi="Times New Roman"/>
          <w:lang w:val="lv-LV"/>
        </w:rPr>
      </w:pPr>
      <w:r w:rsidRPr="00570BF0">
        <w:rPr>
          <w:rFonts w:ascii="Times New Roman" w:hAnsi="Times New Roman"/>
          <w:lang w:val="lv-LV"/>
        </w:rPr>
        <w:t xml:space="preserve">Atbalsta apjoms būs limitēts līdz 140 560 latiem (200 000 EUR) trīs fiskālo gadu laika posmā atbilstoši Komisijas Regulas Nr.1998/2006 2.panta „De minimis atbalsta” 2.punkta nosacījumiem. Viss iepriekš saņemtais de minimis atbalsts tiks uzskaitīts kopā. </w:t>
      </w:r>
    </w:p>
    <w:p w:rsidR="00B63E4E" w:rsidRPr="00AE40CC" w:rsidRDefault="00570BF0" w:rsidP="00B63E4E">
      <w:pPr>
        <w:spacing w:after="0"/>
        <w:ind w:firstLine="426"/>
        <w:jc w:val="both"/>
        <w:rPr>
          <w:rFonts w:ascii="Times New Roman" w:hAnsi="Times New Roman"/>
          <w:lang w:val="lv-LV"/>
        </w:rPr>
      </w:pPr>
      <w:r w:rsidRPr="00570BF0">
        <w:rPr>
          <w:rFonts w:ascii="Times New Roman" w:hAnsi="Times New Roman"/>
          <w:lang w:val="lv-LV"/>
        </w:rPr>
        <w:t>Projekta iesniedzēji nedrīkst pārstāvēt nozares, kas minētas Komisijas Regulas Nr.1998/2006 1.panta „Piemērošanas joma” 1.punktā.</w:t>
      </w:r>
    </w:p>
    <w:p w:rsidR="00974B8B" w:rsidRPr="00AE40CC" w:rsidRDefault="00570BF0" w:rsidP="00B63E4E">
      <w:pPr>
        <w:spacing w:after="0"/>
        <w:ind w:firstLine="426"/>
        <w:jc w:val="both"/>
        <w:rPr>
          <w:rFonts w:ascii="Times New Roman" w:hAnsi="Times New Roman"/>
          <w:bCs/>
          <w:lang w:val="lv-LV"/>
        </w:rPr>
      </w:pPr>
      <w:r w:rsidRPr="00570BF0">
        <w:rPr>
          <w:rFonts w:ascii="Times New Roman" w:hAnsi="Times New Roman"/>
          <w:lang w:val="lv-LV"/>
        </w:rPr>
        <w:t xml:space="preserve">Projekta iesniedzējiem piešķirtais de minimis atbalsts tiks uzskaitīts atbilstoši nacionālajiem Ministru kabineta noteikumiem </w:t>
      </w:r>
      <w:r w:rsidRPr="00570BF0">
        <w:rPr>
          <w:rFonts w:ascii="Times New Roman" w:hAnsi="Times New Roman"/>
          <w:bCs/>
          <w:lang w:val="lv-LV"/>
        </w:rPr>
        <w:t xml:space="preserve">par </w:t>
      </w:r>
      <w:r w:rsidRPr="00570BF0">
        <w:rPr>
          <w:rFonts w:ascii="Times New Roman" w:hAnsi="Times New Roman"/>
          <w:bCs/>
          <w:iCs/>
          <w:lang w:val="lv-LV"/>
        </w:rPr>
        <w:t>de minimis</w:t>
      </w:r>
      <w:r w:rsidRPr="00570BF0">
        <w:rPr>
          <w:rFonts w:ascii="Times New Roman" w:hAnsi="Times New Roman"/>
          <w:bCs/>
          <w:lang w:val="lv-LV"/>
        </w:rPr>
        <w:t xml:space="preserve"> atbalsta piešķiršanas kārtību.</w:t>
      </w:r>
    </w:p>
    <w:p w:rsidR="00974B8B" w:rsidRPr="00AE40CC" w:rsidRDefault="00974B8B" w:rsidP="00974B8B">
      <w:pPr>
        <w:spacing w:after="0"/>
        <w:ind w:left="426"/>
        <w:jc w:val="both"/>
        <w:rPr>
          <w:rFonts w:ascii="Times New Roman" w:hAnsi="Times New Roman"/>
          <w:bCs/>
          <w:lang w:val="lv-LV"/>
        </w:rPr>
      </w:pPr>
    </w:p>
    <w:p w:rsidR="00B63E4E" w:rsidRPr="00AE40CC" w:rsidRDefault="00570BF0" w:rsidP="00877666">
      <w:pPr>
        <w:numPr>
          <w:ilvl w:val="0"/>
          <w:numId w:val="18"/>
        </w:numPr>
        <w:spacing w:after="0"/>
        <w:jc w:val="both"/>
        <w:rPr>
          <w:rFonts w:ascii="Times New Roman" w:hAnsi="Times New Roman"/>
          <w:b/>
          <w:bCs/>
          <w:lang w:val="lv-LV"/>
        </w:rPr>
      </w:pPr>
      <w:r>
        <w:rPr>
          <w:rFonts w:ascii="Times New Roman" w:hAnsi="Times New Roman"/>
          <w:b/>
          <w:bCs/>
          <w:lang w:val="lv-LV"/>
        </w:rPr>
        <w:t>Atklātā konkursa ietvaros:</w:t>
      </w:r>
    </w:p>
    <w:p w:rsidR="009412C1" w:rsidRPr="00AE40CC" w:rsidRDefault="00570BF0" w:rsidP="00B63E4E">
      <w:pPr>
        <w:spacing w:after="0"/>
        <w:ind w:firstLine="426"/>
        <w:jc w:val="both"/>
        <w:rPr>
          <w:rFonts w:ascii="Times New Roman" w:hAnsi="Times New Roman"/>
          <w:lang w:val="lv-LV"/>
        </w:rPr>
      </w:pPr>
      <w:r w:rsidRPr="00570BF0">
        <w:rPr>
          <w:rFonts w:ascii="Times New Roman" w:hAnsi="Times New Roman"/>
          <w:b/>
          <w:lang w:val="lv-LV"/>
        </w:rPr>
        <w:t>Finansējuma apmērs</w:t>
      </w:r>
      <w:r w:rsidRPr="00570BF0">
        <w:rPr>
          <w:rFonts w:ascii="Times New Roman" w:hAnsi="Times New Roman"/>
          <w:lang w:val="lv-LV"/>
        </w:rPr>
        <w:t xml:space="preserve"> – vienam projekta iesniedzējam 119 477 lati – 351 402 lati (170 000 – 500 000 EUR). Valsts atbalsts tiks piešķirts iekārtu iegādei. Valsts atbalsts tiks piešķirts granta veidā (naudas maksājums).</w:t>
      </w:r>
    </w:p>
    <w:p w:rsidR="00FC7B3D" w:rsidRPr="00AE40CC" w:rsidRDefault="00570BF0" w:rsidP="00FC7B3D">
      <w:pPr>
        <w:spacing w:after="0"/>
        <w:ind w:firstLine="426"/>
        <w:jc w:val="both"/>
        <w:rPr>
          <w:rFonts w:ascii="Times New Roman" w:hAnsi="Times New Roman"/>
          <w:lang w:val="lv-LV"/>
        </w:rPr>
      </w:pPr>
      <w:r w:rsidRPr="00570BF0">
        <w:rPr>
          <w:rFonts w:ascii="Times New Roman" w:hAnsi="Times New Roman"/>
          <w:b/>
          <w:lang w:val="lv-LV"/>
        </w:rPr>
        <w:t>Atbalsta intensitāte</w:t>
      </w:r>
      <w:r w:rsidRPr="00570BF0">
        <w:rPr>
          <w:rFonts w:ascii="Times New Roman" w:hAnsi="Times New Roman"/>
          <w:lang w:val="lv-LV"/>
        </w:rPr>
        <w:t xml:space="preserve"> – līdzīgi kā citās ES fondu programmās (pašlaik 35%). Atbalsta intensitāte nepārsniegs 35%.</w:t>
      </w:r>
    </w:p>
    <w:p w:rsidR="00FC7B3D" w:rsidRPr="00AE40CC" w:rsidRDefault="00570BF0" w:rsidP="00FC7B3D">
      <w:pPr>
        <w:spacing w:after="0"/>
        <w:ind w:firstLine="426"/>
        <w:jc w:val="both"/>
        <w:rPr>
          <w:rFonts w:ascii="Times New Roman" w:hAnsi="Times New Roman"/>
          <w:lang w:val="lv-LV"/>
        </w:rPr>
      </w:pPr>
      <w:r w:rsidRPr="00570BF0">
        <w:rPr>
          <w:rFonts w:ascii="Times New Roman" w:hAnsi="Times New Roman"/>
          <w:b/>
          <w:lang w:val="lv-LV"/>
        </w:rPr>
        <w:t>Projekta iesniedzēji</w:t>
      </w:r>
      <w:r w:rsidRPr="00570BF0">
        <w:rPr>
          <w:rFonts w:ascii="Times New Roman" w:hAnsi="Times New Roman"/>
          <w:lang w:val="lv-LV"/>
        </w:rPr>
        <w:t xml:space="preserve"> – komersanti. Tiks organizēta atklāta projektu iesniegumu atlase. </w:t>
      </w:r>
    </w:p>
    <w:p w:rsidR="00FC7B3D" w:rsidRPr="00AE40CC" w:rsidRDefault="00570BF0" w:rsidP="00B63E4E">
      <w:pPr>
        <w:spacing w:after="0"/>
        <w:ind w:firstLine="426"/>
        <w:jc w:val="both"/>
        <w:rPr>
          <w:rFonts w:ascii="Times New Roman" w:hAnsi="Times New Roman"/>
          <w:lang w:val="lv-LV"/>
        </w:rPr>
      </w:pPr>
      <w:r w:rsidRPr="00570BF0">
        <w:rPr>
          <w:rFonts w:ascii="Times New Roman" w:hAnsi="Times New Roman"/>
          <w:lang w:val="lv-LV"/>
        </w:rPr>
        <w:t>Valsts atbalstu komersantiem tiks piešķirs atbilstoši Komisijas Regulai Nr.800/2008. Komisijas Regula Nr.800/2008 būs spēkā līdz 2013.gada 31.decembrim. Pēc 2014.gada 1.janvāra, valsts atbalsta piešķiršanai būs jāievēro jaunais tiesiskais regulējums.</w:t>
      </w:r>
    </w:p>
    <w:p w:rsidR="005E35BE" w:rsidRPr="00AE40CC" w:rsidRDefault="00570BF0" w:rsidP="005E35BE">
      <w:pPr>
        <w:spacing w:after="0"/>
        <w:ind w:firstLine="426"/>
        <w:jc w:val="both"/>
        <w:rPr>
          <w:rFonts w:ascii="Times New Roman" w:hAnsi="Times New Roman"/>
          <w:lang w:val="lv-LV"/>
        </w:rPr>
      </w:pPr>
      <w:r w:rsidRPr="00570BF0">
        <w:rPr>
          <w:rFonts w:ascii="Times New Roman" w:hAnsi="Times New Roman"/>
          <w:lang w:val="lv-LV"/>
        </w:rPr>
        <w:t>Projekta iesniedzēji nedrīkst pārstāvēt nozares, kas minētas Komisijas Regulas Nr. 800/2008 1.panta „Piemērošanas joma” 3.punktā.</w:t>
      </w:r>
    </w:p>
    <w:p w:rsidR="00F26519" w:rsidRPr="00AE40CC" w:rsidRDefault="00570BF0" w:rsidP="005E35BE">
      <w:pPr>
        <w:spacing w:after="0"/>
        <w:ind w:firstLine="426"/>
        <w:jc w:val="both"/>
        <w:rPr>
          <w:rFonts w:ascii="Times New Roman" w:hAnsi="Times New Roman"/>
          <w:lang w:val="lv-LV"/>
        </w:rPr>
      </w:pPr>
      <w:r w:rsidRPr="00570BF0">
        <w:rPr>
          <w:rFonts w:ascii="Times New Roman" w:hAnsi="Times New Roman"/>
          <w:lang w:val="lv-LV"/>
        </w:rPr>
        <w:t>Valsts atbalstu piešķirs atbilstoši Komisijas Regulas Nr.800/2008 1. iedaļa „Reģionālais atbalsts” 13.pants „Reģionālais atbalsts ieguldījumiem un nodarbinātībai” nosacījumiem.</w:t>
      </w:r>
    </w:p>
    <w:p w:rsidR="00F26519" w:rsidRPr="00AE40CC" w:rsidRDefault="00570BF0" w:rsidP="005E35BE">
      <w:pPr>
        <w:spacing w:after="0"/>
        <w:ind w:firstLine="426"/>
        <w:jc w:val="both"/>
        <w:rPr>
          <w:rFonts w:ascii="Times New Roman" w:hAnsi="Times New Roman"/>
          <w:lang w:val="lv-LV"/>
        </w:rPr>
      </w:pPr>
      <w:r w:rsidRPr="00570BF0">
        <w:rPr>
          <w:rFonts w:ascii="Times New Roman" w:hAnsi="Times New Roman"/>
          <w:lang w:val="lv-LV"/>
        </w:rPr>
        <w:t>Valsts atbalstu Atklātā konkursa ietvaros piešķirs pēc Programmas Noteikumu apstiprināšanas.</w:t>
      </w:r>
    </w:p>
    <w:p w:rsidR="00F26519" w:rsidRPr="00AE40CC" w:rsidRDefault="00F26519" w:rsidP="005E35BE">
      <w:pPr>
        <w:spacing w:after="0"/>
        <w:ind w:firstLine="426"/>
        <w:jc w:val="both"/>
        <w:rPr>
          <w:rFonts w:ascii="Times New Roman" w:hAnsi="Times New Roman"/>
          <w:lang w:val="lv-LV"/>
        </w:rPr>
      </w:pPr>
    </w:p>
    <w:p w:rsidR="00F26519" w:rsidRPr="00AE40CC" w:rsidRDefault="00570BF0" w:rsidP="00877666">
      <w:pPr>
        <w:numPr>
          <w:ilvl w:val="0"/>
          <w:numId w:val="18"/>
        </w:numPr>
        <w:spacing w:after="0"/>
        <w:jc w:val="both"/>
        <w:rPr>
          <w:rFonts w:ascii="Times New Roman" w:hAnsi="Times New Roman"/>
          <w:b/>
          <w:lang w:val="lv-LV"/>
        </w:rPr>
      </w:pPr>
      <w:r w:rsidRPr="00570BF0">
        <w:rPr>
          <w:rFonts w:ascii="Times New Roman" w:hAnsi="Times New Roman"/>
          <w:b/>
          <w:lang w:val="lv-LV"/>
        </w:rPr>
        <w:t>Bilaterālā fonda ietvaros attiecībā uz neliela apjoma grantu shēmu un Atklāto konkursu:</w:t>
      </w:r>
    </w:p>
    <w:p w:rsidR="003D5294" w:rsidRPr="00734278" w:rsidRDefault="00570BF0" w:rsidP="003D5294">
      <w:pPr>
        <w:spacing w:after="0"/>
        <w:ind w:firstLine="426"/>
        <w:jc w:val="both"/>
        <w:rPr>
          <w:rFonts w:ascii="Times New Roman" w:hAnsi="Times New Roman"/>
          <w:lang w:val="lv-LV"/>
        </w:rPr>
      </w:pPr>
      <w:r w:rsidRPr="00570BF0">
        <w:rPr>
          <w:rFonts w:ascii="Times New Roman" w:hAnsi="Times New Roman"/>
          <w:b/>
          <w:lang w:val="lv-LV"/>
        </w:rPr>
        <w:lastRenderedPageBreak/>
        <w:t>Finansējuma apmērs</w:t>
      </w:r>
      <w:r w:rsidRPr="00570BF0">
        <w:rPr>
          <w:rFonts w:ascii="Times New Roman" w:hAnsi="Times New Roman"/>
          <w:lang w:val="lv-LV"/>
        </w:rPr>
        <w:t xml:space="preserve"> –</w:t>
      </w:r>
      <w:r w:rsidR="00AC7198">
        <w:rPr>
          <w:rFonts w:ascii="Times New Roman" w:hAnsi="Times New Roman"/>
          <w:lang w:val="lv-LV"/>
        </w:rPr>
        <w:t xml:space="preserve"> </w:t>
      </w:r>
      <w:r w:rsidRPr="00570BF0">
        <w:rPr>
          <w:rFonts w:ascii="Times New Roman" w:hAnsi="Times New Roman"/>
          <w:lang w:val="lv-LV"/>
        </w:rPr>
        <w:t xml:space="preserve">vienam projekta iesniedzējam līdz 50 000 latiem (71 144 EUR), kas tiks izmantots, lai veicinātu partnerību ar Norvēģijas institūcijām (piemēram, organizētu vizītes uz Norvēģiju un </w:t>
      </w:r>
      <w:r w:rsidRPr="00734278">
        <w:rPr>
          <w:rFonts w:ascii="Times New Roman" w:hAnsi="Times New Roman"/>
          <w:lang w:val="lv-LV"/>
        </w:rPr>
        <w:t>Latviju, organizētu mācību vizītes, zināšanu pārnesi u.c.).</w:t>
      </w:r>
    </w:p>
    <w:p w:rsidR="003D5294" w:rsidRPr="00734278" w:rsidRDefault="00570BF0" w:rsidP="003D5294">
      <w:pPr>
        <w:spacing w:after="0"/>
        <w:ind w:firstLine="426"/>
        <w:jc w:val="both"/>
        <w:rPr>
          <w:rFonts w:ascii="Times New Roman" w:hAnsi="Times New Roman"/>
          <w:lang w:val="lv-LV"/>
        </w:rPr>
      </w:pPr>
      <w:r w:rsidRPr="00734278">
        <w:rPr>
          <w:rFonts w:ascii="Times New Roman" w:hAnsi="Times New Roman"/>
          <w:b/>
          <w:lang w:val="lv-LV"/>
        </w:rPr>
        <w:t>Atbalsta intensitāte</w:t>
      </w:r>
      <w:r w:rsidRPr="00734278">
        <w:rPr>
          <w:rFonts w:ascii="Times New Roman" w:hAnsi="Times New Roman"/>
          <w:lang w:val="lv-LV"/>
        </w:rPr>
        <w:t xml:space="preserve"> – līdz 100%</w:t>
      </w:r>
      <w:r w:rsidR="00267439" w:rsidRPr="00734278">
        <w:rPr>
          <w:rFonts w:ascii="Times New Roman" w:hAnsi="Times New Roman"/>
          <w:lang w:val="lv-LV"/>
        </w:rPr>
        <w:t xml:space="preserve"> (detal</w:t>
      </w:r>
      <w:r w:rsidR="00AE0AB4" w:rsidRPr="00734278">
        <w:rPr>
          <w:rFonts w:ascii="Times New Roman" w:hAnsi="Times New Roman"/>
          <w:lang w:val="lv-LV"/>
        </w:rPr>
        <w:t>izētāks</w:t>
      </w:r>
      <w:r w:rsidR="00267439" w:rsidRPr="00734278">
        <w:rPr>
          <w:rFonts w:ascii="Times New Roman" w:hAnsi="Times New Roman"/>
          <w:lang w:val="lv-LV"/>
        </w:rPr>
        <w:t xml:space="preserve"> skaidrojums ietverts Programmas iesnieguma 3.8.2.punktā</w:t>
      </w:r>
      <w:r w:rsidR="0007652A">
        <w:rPr>
          <w:rFonts w:ascii="Times New Roman" w:hAnsi="Times New Roman"/>
          <w:lang w:val="lv-LV"/>
        </w:rPr>
        <w:t xml:space="preserve"> </w:t>
      </w:r>
      <w:r w:rsidR="0007652A" w:rsidRPr="00734278">
        <w:rPr>
          <w:rFonts w:ascii="Times New Roman" w:hAnsi="Times New Roman"/>
          <w:lang w:val="lv-LV"/>
        </w:rPr>
        <w:t>„</w:t>
      </w:r>
      <w:r w:rsidR="0007652A">
        <w:rPr>
          <w:rFonts w:ascii="Times New Roman" w:hAnsi="Times New Roman"/>
          <w:lang w:val="lv-LV"/>
        </w:rPr>
        <w:t>Donoru partnerības projekti”</w:t>
      </w:r>
      <w:r w:rsidR="00267439" w:rsidRPr="00734278">
        <w:rPr>
          <w:rFonts w:ascii="Times New Roman" w:hAnsi="Times New Roman"/>
          <w:lang w:val="lv-LV"/>
        </w:rPr>
        <w:t>)</w:t>
      </w:r>
      <w:r w:rsidRPr="00734278">
        <w:rPr>
          <w:rFonts w:ascii="Times New Roman" w:hAnsi="Times New Roman"/>
          <w:lang w:val="lv-LV"/>
        </w:rPr>
        <w:t xml:space="preserve">. </w:t>
      </w:r>
    </w:p>
    <w:p w:rsidR="003D5294" w:rsidRPr="00734278" w:rsidRDefault="00570BF0" w:rsidP="003D5294">
      <w:pPr>
        <w:spacing w:after="0"/>
        <w:ind w:firstLine="426"/>
        <w:jc w:val="both"/>
        <w:rPr>
          <w:rFonts w:ascii="Times New Roman" w:hAnsi="Times New Roman"/>
          <w:lang w:val="lv-LV"/>
        </w:rPr>
      </w:pPr>
      <w:r w:rsidRPr="00734278">
        <w:rPr>
          <w:rFonts w:ascii="Times New Roman" w:hAnsi="Times New Roman"/>
          <w:b/>
          <w:lang w:val="lv-LV"/>
        </w:rPr>
        <w:t>Projekta iesniedzēji</w:t>
      </w:r>
      <w:r w:rsidRPr="00734278">
        <w:rPr>
          <w:rFonts w:ascii="Times New Roman" w:hAnsi="Times New Roman"/>
          <w:lang w:val="lv-LV"/>
        </w:rPr>
        <w:t xml:space="preserve"> – komersanti un fiziskas personas, kas plāno uzsākt saimniecisko darbību.</w:t>
      </w:r>
    </w:p>
    <w:p w:rsidR="003D5294" w:rsidRPr="00734278" w:rsidRDefault="00570BF0" w:rsidP="003D5294">
      <w:pPr>
        <w:spacing w:after="0"/>
        <w:ind w:firstLine="426"/>
        <w:jc w:val="both"/>
        <w:rPr>
          <w:rFonts w:ascii="Times New Roman" w:hAnsi="Times New Roman"/>
          <w:lang w:val="lv-LV"/>
        </w:rPr>
      </w:pPr>
      <w:r w:rsidRPr="00734278">
        <w:rPr>
          <w:rFonts w:ascii="Times New Roman" w:hAnsi="Times New Roman"/>
          <w:lang w:val="lv-LV"/>
        </w:rPr>
        <w:t>Valsts atbalstu sniegs atbilstoši Komisijas Regulas Nr. 1998/2006  nosacījumiem. Regula Nr.1998/2006 būs spēkā līdz 2013.gada 31.decembrim. Sākot ar 2014.gada 1.janvāri  tiks piemēroti de minimis atbalsta piešķiršanas nosacījumi atbilstoši jaunajam tiesiskajam regulējumam.</w:t>
      </w:r>
    </w:p>
    <w:p w:rsidR="003D5294" w:rsidRPr="00734278" w:rsidRDefault="00570BF0" w:rsidP="003D5294">
      <w:pPr>
        <w:spacing w:after="0"/>
        <w:ind w:firstLine="426"/>
        <w:jc w:val="both"/>
        <w:rPr>
          <w:rFonts w:ascii="Times New Roman" w:hAnsi="Times New Roman"/>
          <w:lang w:val="lv-LV"/>
        </w:rPr>
      </w:pPr>
      <w:r w:rsidRPr="00734278">
        <w:rPr>
          <w:rFonts w:ascii="Times New Roman" w:hAnsi="Times New Roman"/>
          <w:lang w:val="lv-LV"/>
        </w:rPr>
        <w:t xml:space="preserve">Atbalsta apjoms būs limitēts līdz 140 560 latiem (200 000 EUR) trīs fiskālo gadu laika posmā atbilstoši Regulas Nr.1998/2006 2.panta „De minimis atbalsta” 2.punkta nosacījumiem. Viss iepriekš saņemtais de minimis atbalsts tiks uzskaitīts kopā. </w:t>
      </w:r>
    </w:p>
    <w:p w:rsidR="003D5294" w:rsidRPr="00AE40CC" w:rsidRDefault="00570BF0" w:rsidP="003D5294">
      <w:pPr>
        <w:spacing w:after="0"/>
        <w:ind w:firstLine="426"/>
        <w:jc w:val="both"/>
        <w:rPr>
          <w:rFonts w:ascii="Times New Roman" w:hAnsi="Times New Roman"/>
          <w:lang w:val="lv-LV"/>
        </w:rPr>
      </w:pPr>
      <w:r w:rsidRPr="00734278">
        <w:rPr>
          <w:rFonts w:ascii="Times New Roman" w:hAnsi="Times New Roman"/>
          <w:lang w:val="lv-LV"/>
        </w:rPr>
        <w:t>Projekta iesniedzēji nedrīkst pārstāvēt nozares, kas minētas Regulas Nr.1998/2006 1.panta „Piemērošanas joma” 1.punktā.</w:t>
      </w:r>
    </w:p>
    <w:p w:rsidR="003D5294" w:rsidRPr="00AE40CC" w:rsidRDefault="00570BF0" w:rsidP="003D5294">
      <w:pPr>
        <w:spacing w:after="0"/>
        <w:ind w:firstLine="426"/>
        <w:jc w:val="both"/>
        <w:rPr>
          <w:rFonts w:ascii="Times New Roman" w:hAnsi="Times New Roman"/>
          <w:lang w:val="lv-LV"/>
        </w:rPr>
      </w:pPr>
      <w:r w:rsidRPr="00570BF0">
        <w:rPr>
          <w:rFonts w:ascii="Times New Roman" w:hAnsi="Times New Roman"/>
          <w:lang w:val="lv-LV"/>
        </w:rPr>
        <w:t xml:space="preserve">Projekta iesniedzējiem piešķirtais de minimis atbalsts tiks uzskaitīts atbilstoši nacionālajiem Ministru kabineta noteikumiem </w:t>
      </w:r>
      <w:r w:rsidRPr="00570BF0">
        <w:rPr>
          <w:rFonts w:ascii="Times New Roman" w:hAnsi="Times New Roman"/>
          <w:bCs/>
          <w:lang w:val="lv-LV"/>
        </w:rPr>
        <w:t xml:space="preserve">par </w:t>
      </w:r>
      <w:r w:rsidRPr="00570BF0">
        <w:rPr>
          <w:rFonts w:ascii="Times New Roman" w:hAnsi="Times New Roman"/>
          <w:bCs/>
          <w:iCs/>
          <w:lang w:val="lv-LV"/>
        </w:rPr>
        <w:t>de minimis</w:t>
      </w:r>
      <w:r w:rsidRPr="00570BF0">
        <w:rPr>
          <w:rFonts w:ascii="Times New Roman" w:hAnsi="Times New Roman"/>
          <w:bCs/>
          <w:lang w:val="lv-LV"/>
        </w:rPr>
        <w:t xml:space="preserve"> atbalsta piešķiršanas kārtību.</w:t>
      </w:r>
    </w:p>
    <w:p w:rsidR="0038076C" w:rsidRPr="00AE40CC" w:rsidRDefault="0038076C" w:rsidP="00716AE6">
      <w:pPr>
        <w:spacing w:after="0"/>
        <w:ind w:firstLine="284"/>
        <w:jc w:val="both"/>
        <w:rPr>
          <w:rFonts w:ascii="Times New Roman" w:hAnsi="Times New Roman"/>
          <w:bCs/>
          <w:lang w:val="lv-LV"/>
        </w:rPr>
      </w:pPr>
    </w:p>
    <w:p w:rsidR="00446574" w:rsidRPr="00AE40CC" w:rsidRDefault="00570BF0" w:rsidP="001962AD">
      <w:pPr>
        <w:spacing w:after="0"/>
        <w:ind w:firstLine="284"/>
        <w:jc w:val="both"/>
        <w:rPr>
          <w:rFonts w:ascii="Times New Roman" w:hAnsi="Times New Roman"/>
          <w:lang w:val="lv-LV"/>
        </w:rPr>
      </w:pPr>
      <w:r w:rsidRPr="00570BF0">
        <w:rPr>
          <w:rFonts w:ascii="Times New Roman" w:hAnsi="Times New Roman"/>
          <w:lang w:val="lv-LV"/>
        </w:rPr>
        <w:t>Gadījumos, kad valsts atbalsts tiek sniegts kā de minimis atbalsts, tas tiks aprēķināts de minimis veidlapā. Tādēļ komersanta pienākums ir pareizi aizpildīt un iesniegt šo veidlapu, piesakoties papildu atbalstam. Kopā tiek uzskaitīts kopējais pēdējo trīs gadu laikā saņemtais de minimis atbalsts. Informācija par visiem ES fondu atbalsta saņēmējiem tiek apkopota Vienotajā informācijas sistēmā un LIAA ir pienākums pārbaudīt pretendentus, izmantojot sistēmu, lai pārliecinātos, ka tie ir tiesīgi saņemt papildu valsts atbalstu. Šobrīd šāda prakse tiek piemērota ES fondu projektiem, lai nodrošinātu demarkāciju un būtu novērsti dubultās finansēšanas riski. Ņemot vērā, ka atsevišķos gadījumos de minimis atbalstu piešķir arī vietējās pašvaldības un citas institūcijas, de minimis atbalsta saņēmēja galvenais pienākums ir pārzināt saņemto atbalstu. Bez tam Tehnoloģiju inkubators sniegs palīdzību šajā procesā, uzskaitot Tehnoloģiju inkubatorā esošajiem komersantiem piešķirto de minimis atbalstu, lai nodrošinātu atbalsta atbilstību noteiktajiem ierobežojumiem.</w:t>
      </w:r>
    </w:p>
    <w:p w:rsidR="00E0294A" w:rsidRPr="00AE40CC" w:rsidRDefault="00E0294A" w:rsidP="00245075">
      <w:pPr>
        <w:spacing w:after="0"/>
        <w:ind w:firstLine="284"/>
        <w:jc w:val="both"/>
        <w:rPr>
          <w:rFonts w:ascii="Times New Roman" w:hAnsi="Times New Roman"/>
          <w:lang w:val="lv-LV"/>
        </w:rPr>
      </w:pPr>
    </w:p>
    <w:p w:rsidR="00A9482F" w:rsidRPr="00AE40CC" w:rsidRDefault="00570BF0" w:rsidP="00A9482F">
      <w:pPr>
        <w:spacing w:after="0"/>
        <w:rPr>
          <w:rFonts w:ascii="Times New Roman" w:hAnsi="Times New Roman"/>
          <w:b/>
          <w:lang w:val="lv-LV"/>
        </w:rPr>
      </w:pPr>
      <w:r w:rsidRPr="00570BF0">
        <w:rPr>
          <w:rFonts w:ascii="Times New Roman" w:hAnsi="Times New Roman"/>
          <w:b/>
          <w:lang w:val="lv-LV"/>
        </w:rPr>
        <w:t>Aprakstīt, kā Programmai ir piemērojami likumi un noteikumi publisko iepirkumu jomā un kā tiek risināti šādi jautājumi.</w:t>
      </w:r>
    </w:p>
    <w:p w:rsidR="00F80FB9" w:rsidRPr="00AE40CC" w:rsidRDefault="00570BF0" w:rsidP="006A6D4A">
      <w:pPr>
        <w:spacing w:after="0"/>
        <w:ind w:firstLine="284"/>
        <w:jc w:val="both"/>
        <w:rPr>
          <w:rFonts w:ascii="Times New Roman" w:hAnsi="Times New Roman"/>
          <w:color w:val="000000"/>
          <w:lang w:val="lv-LV"/>
        </w:rPr>
      </w:pPr>
      <w:r w:rsidRPr="00570BF0">
        <w:rPr>
          <w:rFonts w:ascii="Times New Roman" w:hAnsi="Times New Roman"/>
          <w:lang w:val="lv-LV"/>
        </w:rPr>
        <w:t xml:space="preserve"> Tehnoloģiju inkubators saņems valsts atbalstu atbilstoši Eiropas Savienības tiesību aktiem, tādēļ iepirkumu procedūra netiks piemērota. Iepriekš noteiktais projekts tiks izvēlēts ierobežotā projektu iesniegumu atlases procedūrā. </w:t>
      </w:r>
    </w:p>
    <w:p w:rsidR="00124DE5" w:rsidRPr="00AE40CC" w:rsidRDefault="00570BF0" w:rsidP="006A6D4A">
      <w:pPr>
        <w:spacing w:after="0"/>
        <w:ind w:firstLine="284"/>
        <w:jc w:val="both"/>
        <w:rPr>
          <w:rFonts w:ascii="Times New Roman" w:hAnsi="Times New Roman"/>
          <w:color w:val="000000"/>
          <w:lang w:val="lv-LV"/>
        </w:rPr>
      </w:pPr>
      <w:r w:rsidRPr="00570BF0">
        <w:rPr>
          <w:rFonts w:ascii="Times New Roman" w:hAnsi="Times New Roman"/>
          <w:color w:val="000000"/>
          <w:lang w:val="lv-LV"/>
        </w:rPr>
        <w:t xml:space="preserve">Tehnoloģiju inkubatoram un komersantiem, iegādājoties nepieciešamos pakalpojumus, tiks piemēroti likumi un Ministru kabineta noteikumi iepirkumu jomā. Tāpat Tehnoloģiju inkubatoram tiks piemēroti likumi un Ministru kabineta noteikumi iepirkumu jomā attiecībā uz </w:t>
      </w:r>
      <w:r w:rsidR="00AA4BA7">
        <w:rPr>
          <w:rFonts w:ascii="Times New Roman" w:hAnsi="Times New Roman"/>
          <w:color w:val="000000"/>
          <w:lang w:val="lv-LV"/>
        </w:rPr>
        <w:t>rekonstrukciju</w:t>
      </w:r>
      <w:r w:rsidR="00AA4BA7" w:rsidRPr="00570BF0">
        <w:rPr>
          <w:rFonts w:ascii="Times New Roman" w:hAnsi="Times New Roman"/>
          <w:color w:val="000000"/>
          <w:lang w:val="lv-LV"/>
        </w:rPr>
        <w:t xml:space="preserve"> </w:t>
      </w:r>
      <w:r w:rsidRPr="00570BF0">
        <w:rPr>
          <w:rFonts w:ascii="Times New Roman" w:hAnsi="Times New Roman"/>
          <w:color w:val="000000"/>
          <w:lang w:val="lv-LV"/>
        </w:rPr>
        <w:t>un iekārtu iegādi. Likumi</w:t>
      </w:r>
      <w:r w:rsidR="00AA4BA7">
        <w:rPr>
          <w:rFonts w:ascii="Times New Roman" w:hAnsi="Times New Roman"/>
          <w:color w:val="000000"/>
          <w:lang w:val="lv-LV"/>
        </w:rPr>
        <w:t xml:space="preserve"> un</w:t>
      </w:r>
      <w:r w:rsidRPr="00570BF0">
        <w:rPr>
          <w:rFonts w:ascii="Times New Roman" w:hAnsi="Times New Roman"/>
          <w:color w:val="000000"/>
          <w:lang w:val="lv-LV"/>
        </w:rPr>
        <w:t xml:space="preserve"> Ministru kabineta noteikumi iepirkumu jomā tiks piemēroti komersantiem, kuri saņem atbalstu Atklātā konkursa ietvaros, lai iegādātos iekārtas. </w:t>
      </w:r>
    </w:p>
    <w:p w:rsidR="00A9482F" w:rsidRPr="00AE40CC" w:rsidRDefault="00570BF0" w:rsidP="006A6D4A">
      <w:pPr>
        <w:spacing w:after="0"/>
        <w:ind w:firstLine="284"/>
        <w:jc w:val="both"/>
        <w:rPr>
          <w:rFonts w:ascii="Times New Roman" w:hAnsi="Times New Roman"/>
          <w:bCs/>
          <w:lang w:val="lv-LV"/>
        </w:rPr>
      </w:pPr>
      <w:r w:rsidRPr="00570BF0">
        <w:rPr>
          <w:rFonts w:ascii="Times New Roman" w:hAnsi="Times New Roman"/>
          <w:color w:val="000000"/>
          <w:lang w:val="lv-LV"/>
        </w:rPr>
        <w:t xml:space="preserve">Lai nodrošinātu iepirkuma atbilstību normatīvo aktu prasībām iepirkumu dokumentu </w:t>
      </w:r>
      <w:r w:rsidR="0023051B">
        <w:rPr>
          <w:rFonts w:ascii="Times New Roman" w:hAnsi="Times New Roman"/>
          <w:color w:val="000000"/>
          <w:lang w:val="lv-LV"/>
        </w:rPr>
        <w:t>pirms-</w:t>
      </w:r>
      <w:r w:rsidRPr="00570BF0">
        <w:rPr>
          <w:rFonts w:ascii="Times New Roman" w:hAnsi="Times New Roman"/>
          <w:color w:val="000000"/>
          <w:lang w:val="lv-LV"/>
        </w:rPr>
        <w:t>pārbaudēs tiks iesaistīts Iepirkumu uzraudzības birojs. Iepirkumu uzraudzības birojs Programmas ietvaros veiks izlases veida pārbaudes.</w:t>
      </w:r>
      <w:r w:rsidRPr="00570BF0">
        <w:rPr>
          <w:rFonts w:ascii="Times New Roman" w:hAnsi="Times New Roman"/>
          <w:bCs/>
          <w:lang w:val="lv-LV"/>
        </w:rPr>
        <w:t xml:space="preserve"> Taču tā kā LIAA ir plaša pieredze ar iepirkumiem saistītos jautājumos, tās pieredze būs ļoti nozīmīga Programmas īstenošanā. </w:t>
      </w:r>
    </w:p>
    <w:p w:rsidR="001C1B02" w:rsidRPr="00AE40CC" w:rsidRDefault="00570BF0" w:rsidP="00AB74BD">
      <w:pPr>
        <w:spacing w:after="0"/>
        <w:ind w:firstLine="284"/>
        <w:jc w:val="both"/>
        <w:rPr>
          <w:rFonts w:ascii="Times New Roman" w:hAnsi="Times New Roman"/>
          <w:lang w:val="lv-LV"/>
        </w:rPr>
      </w:pPr>
      <w:r w:rsidRPr="00570BF0">
        <w:rPr>
          <w:rFonts w:ascii="Times New Roman" w:hAnsi="Times New Roman"/>
          <w:lang w:val="lv-LV"/>
        </w:rPr>
        <w:t xml:space="preserve">Iepirkumi Programmas ietvaros tiks veikti saskaņā Latvijas Republikas Publisko iepirkumu likumu un Ministru Kabineta 2008. gada 5. februāra noteikumiem Nr. 65 „Noteikumi par iepirkuma procedūru un tās piemērošanas kārtību pasūtītāja finansētiem projektiem”. </w:t>
      </w:r>
    </w:p>
    <w:p w:rsidR="00FA2AEC" w:rsidRPr="00AE40CC" w:rsidRDefault="00FA2AEC" w:rsidP="00AB74BD">
      <w:pPr>
        <w:spacing w:after="0"/>
        <w:ind w:firstLine="284"/>
        <w:jc w:val="both"/>
        <w:rPr>
          <w:rFonts w:ascii="Times New Roman" w:hAnsi="Times New Roman"/>
          <w:lang w:val="lv-LV"/>
        </w:rPr>
      </w:pPr>
    </w:p>
    <w:p w:rsidR="00A9482F" w:rsidRPr="00AE40CC" w:rsidRDefault="00570BF0" w:rsidP="006A6D4A">
      <w:pPr>
        <w:pStyle w:val="Heading3"/>
        <w:spacing w:before="0"/>
        <w:rPr>
          <w:rFonts w:ascii="Times New Roman" w:hAnsi="Times New Roman"/>
          <w:lang w:val="lv-LV"/>
        </w:rPr>
      </w:pPr>
      <w:r w:rsidRPr="00570BF0">
        <w:rPr>
          <w:rFonts w:ascii="Times New Roman" w:hAnsi="Times New Roman"/>
          <w:lang w:val="lv-LV"/>
        </w:rPr>
        <w:lastRenderedPageBreak/>
        <w:t>Programmas stratēģijas pamatojums</w:t>
      </w:r>
    </w:p>
    <w:p w:rsidR="00A9482F" w:rsidRPr="00AE40CC" w:rsidRDefault="00570BF0" w:rsidP="00A9482F">
      <w:pPr>
        <w:spacing w:after="0"/>
        <w:rPr>
          <w:rFonts w:ascii="Times New Roman" w:hAnsi="Times New Roman"/>
          <w:b/>
          <w:lang w:val="lv-LV"/>
        </w:rPr>
      </w:pPr>
      <w:r w:rsidRPr="00570BF0">
        <w:rPr>
          <w:rFonts w:ascii="Times New Roman" w:hAnsi="Times New Roman"/>
          <w:b/>
          <w:lang w:val="lv-LV"/>
        </w:rPr>
        <w:t>Aprakstīt Programmas stratēģiju, tostarp stratēģijas izvēles iemeslus un to, kā stratēģija palīdzēs sasniegt noteiktos rezultātus.</w:t>
      </w:r>
    </w:p>
    <w:p w:rsidR="00A9482F" w:rsidRPr="00AE40CC" w:rsidRDefault="00570BF0" w:rsidP="00A9482F">
      <w:pPr>
        <w:pStyle w:val="Heading2"/>
        <w:numPr>
          <w:ilvl w:val="0"/>
          <w:numId w:val="0"/>
        </w:numPr>
        <w:tabs>
          <w:tab w:val="left" w:pos="1065"/>
        </w:tabs>
        <w:spacing w:before="0"/>
        <w:ind w:firstLine="284"/>
        <w:rPr>
          <w:rFonts w:ascii="Times New Roman" w:hAnsi="Times New Roman"/>
          <w:b w:val="0"/>
          <w:color w:val="000000"/>
          <w:sz w:val="22"/>
          <w:szCs w:val="22"/>
          <w:lang w:val="lv-LV"/>
        </w:rPr>
      </w:pPr>
      <w:bookmarkStart w:id="24" w:name="_Toc262213653"/>
      <w:r w:rsidRPr="00570BF0">
        <w:rPr>
          <w:rFonts w:ascii="Times New Roman" w:hAnsi="Times New Roman"/>
          <w:b w:val="0"/>
          <w:color w:val="auto"/>
          <w:sz w:val="22"/>
          <w:szCs w:val="22"/>
          <w:lang w:val="lv-LV"/>
        </w:rPr>
        <w:t>Programmas ietvaros plānots sasniegt divus rezultātus</w:t>
      </w:r>
      <w:r w:rsidRPr="00570BF0">
        <w:rPr>
          <w:rFonts w:ascii="Times New Roman" w:hAnsi="Times New Roman"/>
          <w:b w:val="0"/>
          <w:color w:val="000000"/>
          <w:sz w:val="22"/>
          <w:szCs w:val="22"/>
          <w:lang w:val="lv-LV"/>
        </w:rPr>
        <w:t>:</w:t>
      </w:r>
    </w:p>
    <w:p w:rsidR="00A9482F" w:rsidRPr="00AE40CC" w:rsidRDefault="00570BF0" w:rsidP="00A9482F">
      <w:pPr>
        <w:spacing w:after="0"/>
        <w:rPr>
          <w:rFonts w:ascii="Times New Roman" w:hAnsi="Times New Roman"/>
          <w:lang w:val="lv-LV"/>
        </w:rPr>
      </w:pPr>
      <w:r w:rsidRPr="00570BF0">
        <w:rPr>
          <w:rFonts w:ascii="Times New Roman" w:hAnsi="Times New Roman"/>
          <w:lang w:val="lv-LV"/>
        </w:rPr>
        <w:t>1) Eiropas ekonomikas „zaļošanas” biznesa iespēju realizācija;</w:t>
      </w:r>
    </w:p>
    <w:p w:rsidR="00A9482F" w:rsidRPr="00AE40CC" w:rsidRDefault="00570BF0" w:rsidP="0099392E">
      <w:pPr>
        <w:spacing w:after="0"/>
        <w:rPr>
          <w:rFonts w:ascii="Times New Roman" w:hAnsi="Times New Roman"/>
          <w:lang w:val="lv-LV"/>
        </w:rPr>
      </w:pPr>
      <w:r w:rsidRPr="00570BF0">
        <w:rPr>
          <w:rFonts w:ascii="Times New Roman" w:hAnsi="Times New Roman"/>
          <w:lang w:val="lv-LV"/>
        </w:rPr>
        <w:t xml:space="preserve">2) </w:t>
      </w:r>
      <w:r w:rsidRPr="00570BF0">
        <w:rPr>
          <w:rFonts w:ascii="Times New Roman" w:hAnsi="Times New Roman"/>
          <w:bCs/>
          <w:lang w:val="lv-LV" w:eastAsia="lv-LV"/>
        </w:rPr>
        <w:t>Palielināta „zaļo” darbavietu radīšana un uzņēmējdarbība</w:t>
      </w:r>
      <w:r w:rsidRPr="00570BF0">
        <w:rPr>
          <w:rFonts w:ascii="Times New Roman" w:hAnsi="Times New Roman"/>
          <w:lang w:val="lv-LV"/>
        </w:rPr>
        <w:t xml:space="preserve">. </w:t>
      </w:r>
    </w:p>
    <w:p w:rsidR="00BE47A3" w:rsidRPr="00AE40CC" w:rsidRDefault="00570BF0" w:rsidP="00A9482F">
      <w:pPr>
        <w:spacing w:after="0"/>
        <w:ind w:firstLine="284"/>
        <w:jc w:val="both"/>
        <w:rPr>
          <w:rFonts w:ascii="Times New Roman" w:hAnsi="Times New Roman"/>
          <w:lang w:val="lv-LV"/>
        </w:rPr>
      </w:pPr>
      <w:r w:rsidRPr="00570BF0">
        <w:rPr>
          <w:rFonts w:ascii="Times New Roman" w:hAnsi="Times New Roman"/>
          <w:lang w:val="lv-LV"/>
        </w:rPr>
        <w:t>Programmas ietvaros izveidos Tehnoloģiju inkubatoru – visaptverošu institūciju, kas sniegs atbalsta pakalpojumus, lai veicinātu komersantu attīstību. Savukārt LIAA veiks pirms-inkubācijas atbalsta piešķiršanu 3 514 lati – 7 028 lati (5 000 EUR - 10 000 EUR) apmērā jaunu biznesa ideju izvērtēšanai, inkubācijas atbalsta piešķiršanu 7 028 lati – 119 477 lati ( 10 000 EUR – EUR 170 000) apmērā pakalpojumu saņemšanai un atalgojuma izmaksu segšanai un piešķirs grantus Atklātā konkursa ietvaros 119 477 lati - 351 402 lati (170 000 EUR – EUR 500 000) apmērā iekārtu iegādei. Papildus Programmas ietvaros būs pieejams bilaterālais fonds līdz 50 000 latiem (71 144 EUR), lai stiprinātu partnerību ar Norvēģijas pārstāvjiem.</w:t>
      </w:r>
    </w:p>
    <w:p w:rsidR="00DC0C47" w:rsidRPr="00AE40CC" w:rsidRDefault="00570BF0" w:rsidP="00B45B7A">
      <w:pPr>
        <w:spacing w:after="0"/>
        <w:ind w:firstLine="284"/>
        <w:jc w:val="both"/>
        <w:rPr>
          <w:rFonts w:ascii="Times New Roman" w:hAnsi="Times New Roman"/>
          <w:lang w:val="lv-LV"/>
        </w:rPr>
      </w:pPr>
      <w:r w:rsidRPr="00570BF0">
        <w:rPr>
          <w:rFonts w:ascii="Times New Roman" w:hAnsi="Times New Roman"/>
          <w:lang w:val="lv-LV"/>
        </w:rPr>
        <w:t>Tehnoloģiju inkubatora operators būs Latvijas Universitātes, Rīgas Tehniskās universitātes un SIVA veidota institūcija. Latvijas un Norvēģijas kompetenču apvienošana ļaus nodrošināt kvalitatīvas konsultācijas komersantu attīstības veicināšanai. Tehnoloģiju inkubators būs iepriekš noteikts projekts, jo ir uzskatāma nepieciešamība iesaistīt divas lielākās Latvijas universitātes, lai nodrošinātu Programmas veiksmīgu īstenošanu. Programmas ietvaros tiks nodibināts viens Tehnoloģiju inkubators Rīgā, jo 90% no pētījumiem tiek veikti tieši Rīgā un Rīgas reģionā. Ja pieejamais finansējums tiktu sadalīts vairākās daļās, tiktu veicināta neefektīva finanšu pārvaldīšana, jo ievērojama daļa no Tehnoloģiju inkubatora izmaksām (personāla, infrastruktūras, utt.) ir fiksētas.</w:t>
      </w:r>
    </w:p>
    <w:p w:rsidR="00F6126A" w:rsidRPr="00AE40CC" w:rsidRDefault="00570BF0" w:rsidP="00BE47A3">
      <w:pPr>
        <w:spacing w:after="0"/>
        <w:ind w:firstLine="284"/>
        <w:jc w:val="both"/>
        <w:rPr>
          <w:rFonts w:ascii="Times New Roman" w:hAnsi="Times New Roman"/>
          <w:lang w:val="lv-LV"/>
        </w:rPr>
      </w:pPr>
      <w:r w:rsidRPr="00570BF0">
        <w:rPr>
          <w:rFonts w:ascii="Times New Roman" w:hAnsi="Times New Roman"/>
          <w:lang w:val="lv-LV"/>
        </w:rPr>
        <w:t xml:space="preserve">Lai uzraudzītu sasniegtos rezultātus un ierosinātu izmaiņas Tehnoloģiju inkubatora darbībā, tiks izveidota Tehnoloģiju inkubatora konsultatīvā padome. Tajā darbosies EM, LIAA, Norvēģijas Inovāciju aģentūras un Tehnoloģiju inkubatora dalībnieku pārstāvji. </w:t>
      </w:r>
    </w:p>
    <w:p w:rsidR="00F6126A" w:rsidRPr="00AE40CC" w:rsidRDefault="00570BF0" w:rsidP="00BE47A3">
      <w:pPr>
        <w:spacing w:after="0"/>
        <w:ind w:firstLine="284"/>
        <w:jc w:val="both"/>
        <w:rPr>
          <w:rFonts w:ascii="Times New Roman" w:hAnsi="Times New Roman"/>
          <w:lang w:val="lv-LV"/>
        </w:rPr>
      </w:pPr>
      <w:r w:rsidRPr="00570BF0">
        <w:rPr>
          <w:rFonts w:ascii="Times New Roman" w:hAnsi="Times New Roman"/>
          <w:lang w:val="lv-LV"/>
        </w:rPr>
        <w:t xml:space="preserve">Projekti neliela apjoma grantu shēmas un Atklātā konkursa ietvaros tiks atlasīti atklātā projektu iesniegumu atlases ietvaros tādā veidā nodrošinot atlases procesa caurspīdīgumu un Programmas labu pārvaldību. </w:t>
      </w:r>
    </w:p>
    <w:p w:rsidR="00A9482F" w:rsidRPr="00AE40CC" w:rsidRDefault="00570BF0" w:rsidP="00A9482F">
      <w:pPr>
        <w:spacing w:after="0"/>
        <w:ind w:firstLine="284"/>
        <w:jc w:val="both"/>
        <w:rPr>
          <w:rFonts w:ascii="Times New Roman" w:hAnsi="Times New Roman"/>
          <w:lang w:val="lv-LV"/>
        </w:rPr>
      </w:pPr>
      <w:r w:rsidRPr="00570BF0">
        <w:rPr>
          <w:rFonts w:ascii="Times New Roman" w:hAnsi="Times New Roman"/>
          <w:lang w:val="lv-LV"/>
        </w:rPr>
        <w:t>Projekti Atklātā konkursa ietvaros ir saistīti ar rezultātu: „Eiropas ekonomikas „zaļošanas” biznesa iespēju realizācija”, jo komersantiem tiks sniegts atbalsts tādu iekārtu iegādei, kuras palīdzēs samazināt atkritumu veidošanos, CO</w:t>
      </w:r>
      <w:r w:rsidRPr="00570BF0">
        <w:rPr>
          <w:rFonts w:ascii="Times New Roman" w:hAnsi="Times New Roman"/>
          <w:vertAlign w:val="superscript"/>
          <w:lang w:val="lv-LV"/>
        </w:rPr>
        <w:t>2</w:t>
      </w:r>
      <w:r w:rsidRPr="00570BF0">
        <w:rPr>
          <w:rFonts w:ascii="Times New Roman" w:hAnsi="Times New Roman"/>
          <w:lang w:val="lv-LV"/>
        </w:rPr>
        <w:t xml:space="preserve"> emisijas un citādi uzlabos vidi Eiropā. Neliela apjoma grantu shēma ir galvenokārt saistīta ar otru plānoto rezultātu: „Palielināta „zaļo” darba vietu radīšana un uzņēmējdarbība”.</w:t>
      </w:r>
      <w:r w:rsidRPr="00570BF0">
        <w:rPr>
          <w:lang w:val="lv-LV"/>
        </w:rPr>
        <w:t xml:space="preserve"> </w:t>
      </w:r>
      <w:r w:rsidRPr="00570BF0">
        <w:rPr>
          <w:rFonts w:ascii="Times New Roman" w:hAnsi="Times New Roman"/>
          <w:lang w:val="lv-LV"/>
        </w:rPr>
        <w:t>Ar neliela apjoma grantu shēmas palīdzību komersantiem un fiziskām personām ar mērķi uzsākt saimniecisko darbību tiks sniegti granti un kuponi to biznesa ideju pārbaudei, tirgus izpētes veikšanai, vadības algu maksājumiem un citām nepieciešamajām aktivitātēm. Tehnoloģiju inkubatora izveide ir svarīga abu Programmas rezultātu sasniegšanai, taču galvenokārt saistīta ar rezultātu: „Palielināta „zaļo” darba vietu radīšana un uzņēmējdarbība”. Tā iemesls ir tas, ka Tehnoloģiju inkubators būs vadošā institūcija, kas koordinēs tajā esošos komersantus, lai palīdzētu tiem attīstīties un nodibināt starptautiskus sakarus, jo īpaši ar Norvēģijas komersantiem.</w:t>
      </w:r>
    </w:p>
    <w:p w:rsidR="00A9482F" w:rsidRPr="00AE40CC" w:rsidRDefault="00570BF0" w:rsidP="00A9482F">
      <w:pPr>
        <w:spacing w:after="0"/>
        <w:ind w:firstLine="284"/>
        <w:jc w:val="both"/>
        <w:rPr>
          <w:rFonts w:ascii="Times New Roman" w:hAnsi="Times New Roman"/>
          <w:color w:val="000000"/>
          <w:lang w:val="lv-LV"/>
        </w:rPr>
      </w:pPr>
      <w:r w:rsidRPr="00570BF0">
        <w:rPr>
          <w:rFonts w:ascii="Times New Roman" w:hAnsi="Times New Roman"/>
          <w:lang w:val="lv-LV"/>
        </w:rPr>
        <w:t>Neliela apjoma grantu shēmas un Atklātā konkursa ietvaros atlasīto projektu mērķi</w:t>
      </w:r>
      <w:r w:rsidRPr="00570BF0">
        <w:rPr>
          <w:rFonts w:ascii="Times New Roman" w:hAnsi="Times New Roman"/>
          <w:color w:val="000000"/>
          <w:lang w:val="lv-LV"/>
        </w:rPr>
        <w:t>:</w:t>
      </w:r>
    </w:p>
    <w:p w:rsidR="00A9482F" w:rsidRPr="00AE40CC" w:rsidRDefault="00570BF0" w:rsidP="00877666">
      <w:pPr>
        <w:pStyle w:val="ListParagraph"/>
        <w:numPr>
          <w:ilvl w:val="0"/>
          <w:numId w:val="16"/>
        </w:numPr>
        <w:spacing w:after="0"/>
        <w:rPr>
          <w:rFonts w:ascii="Times New Roman" w:hAnsi="Times New Roman"/>
          <w:lang w:val="lv-LV"/>
        </w:rPr>
      </w:pPr>
      <w:r w:rsidRPr="00570BF0">
        <w:rPr>
          <w:rFonts w:ascii="Times New Roman" w:hAnsi="Times New Roman"/>
          <w:lang w:val="lv-LV"/>
        </w:rPr>
        <w:t>palielināta informētība par „zaļo” ražošanu Latvijā;</w:t>
      </w:r>
    </w:p>
    <w:p w:rsidR="00A9482F" w:rsidRPr="00AE40CC" w:rsidRDefault="00570BF0" w:rsidP="00877666">
      <w:pPr>
        <w:pStyle w:val="ListParagraph"/>
        <w:numPr>
          <w:ilvl w:val="0"/>
          <w:numId w:val="16"/>
        </w:numPr>
        <w:spacing w:after="0"/>
        <w:rPr>
          <w:rFonts w:ascii="Times New Roman" w:hAnsi="Times New Roman"/>
          <w:lang w:val="lv-LV"/>
        </w:rPr>
      </w:pPr>
      <w:r w:rsidRPr="00570BF0">
        <w:rPr>
          <w:rFonts w:ascii="Times New Roman" w:hAnsi="Times New Roman"/>
          <w:lang w:val="lv-LV"/>
        </w:rPr>
        <w:t>palielināta efektīva tehnoloģiju izmantošana;</w:t>
      </w:r>
    </w:p>
    <w:p w:rsidR="00A9482F" w:rsidRPr="00AE40CC" w:rsidRDefault="00570BF0" w:rsidP="00877666">
      <w:pPr>
        <w:pStyle w:val="ListParagraph"/>
        <w:numPr>
          <w:ilvl w:val="0"/>
          <w:numId w:val="16"/>
        </w:numPr>
        <w:spacing w:after="0"/>
        <w:rPr>
          <w:rFonts w:ascii="Times New Roman" w:hAnsi="Times New Roman"/>
          <w:lang w:val="lv-LV"/>
        </w:rPr>
      </w:pPr>
      <w:r w:rsidRPr="00570BF0">
        <w:rPr>
          <w:rFonts w:ascii="Times New Roman" w:hAnsi="Times New Roman"/>
          <w:lang w:val="lv-LV"/>
        </w:rPr>
        <w:t>palielināta Latvijas un Norvēģijas institūciju savstarpējā izpratne;</w:t>
      </w:r>
    </w:p>
    <w:p w:rsidR="00A9482F" w:rsidRPr="00AE40CC" w:rsidRDefault="00570BF0" w:rsidP="00877666">
      <w:pPr>
        <w:pStyle w:val="ListParagraph"/>
        <w:numPr>
          <w:ilvl w:val="0"/>
          <w:numId w:val="16"/>
        </w:numPr>
        <w:spacing w:after="0"/>
        <w:rPr>
          <w:rFonts w:ascii="Times New Roman" w:hAnsi="Times New Roman"/>
          <w:lang w:val="lv-LV"/>
        </w:rPr>
      </w:pPr>
      <w:r w:rsidRPr="00570BF0">
        <w:rPr>
          <w:rFonts w:ascii="Times New Roman" w:hAnsi="Times New Roman"/>
          <w:lang w:val="lv-LV"/>
        </w:rPr>
        <w:t>komersantu attīstība, lai saņemtu riska kapitālu;</w:t>
      </w:r>
    </w:p>
    <w:p w:rsidR="00A9482F" w:rsidRPr="00AE40CC" w:rsidRDefault="00570BF0" w:rsidP="00877666">
      <w:pPr>
        <w:pStyle w:val="ListParagraph"/>
        <w:numPr>
          <w:ilvl w:val="0"/>
          <w:numId w:val="16"/>
        </w:numPr>
        <w:spacing w:after="0"/>
        <w:rPr>
          <w:rFonts w:ascii="Times New Roman" w:hAnsi="Times New Roman"/>
          <w:lang w:val="lv-LV"/>
        </w:rPr>
      </w:pPr>
      <w:r w:rsidRPr="00570BF0">
        <w:rPr>
          <w:rFonts w:ascii="Times New Roman" w:hAnsi="Times New Roman"/>
          <w:lang w:val="lv-LV"/>
        </w:rPr>
        <w:t>jaunu darba vietu radīšana;</w:t>
      </w:r>
    </w:p>
    <w:p w:rsidR="009061DD" w:rsidRPr="00AE40CC" w:rsidRDefault="00570BF0" w:rsidP="00877666">
      <w:pPr>
        <w:pStyle w:val="ListParagraph"/>
        <w:numPr>
          <w:ilvl w:val="0"/>
          <w:numId w:val="16"/>
        </w:numPr>
        <w:spacing w:after="60"/>
        <w:rPr>
          <w:rFonts w:ascii="Times New Roman" w:hAnsi="Times New Roman"/>
          <w:lang w:val="lv-LV"/>
        </w:rPr>
      </w:pPr>
      <w:r w:rsidRPr="00570BF0">
        <w:rPr>
          <w:rFonts w:ascii="Times New Roman" w:hAnsi="Times New Roman"/>
          <w:lang w:val="lv-LV"/>
        </w:rPr>
        <w:t>vide</w:t>
      </w:r>
      <w:r w:rsidR="00890400">
        <w:rPr>
          <w:rFonts w:ascii="Times New Roman" w:hAnsi="Times New Roman"/>
          <w:lang w:val="lv-LV"/>
        </w:rPr>
        <w:t>i draudzīgu</w:t>
      </w:r>
      <w:r w:rsidRPr="00570BF0">
        <w:rPr>
          <w:rFonts w:ascii="Times New Roman" w:hAnsi="Times New Roman"/>
          <w:lang w:val="lv-LV"/>
        </w:rPr>
        <w:t xml:space="preserve"> produktu izstrāde;</w:t>
      </w:r>
    </w:p>
    <w:p w:rsidR="00A9482F" w:rsidRPr="00AE40CC" w:rsidRDefault="00570BF0" w:rsidP="00877666">
      <w:pPr>
        <w:pStyle w:val="ListParagraph"/>
        <w:numPr>
          <w:ilvl w:val="0"/>
          <w:numId w:val="16"/>
        </w:numPr>
        <w:spacing w:after="60"/>
        <w:rPr>
          <w:rFonts w:ascii="Times New Roman" w:hAnsi="Times New Roman"/>
          <w:lang w:val="lv-LV"/>
        </w:rPr>
      </w:pPr>
      <w:r w:rsidRPr="00570BF0">
        <w:rPr>
          <w:rFonts w:ascii="Times New Roman" w:hAnsi="Times New Roman"/>
          <w:lang w:val="lv-LV"/>
        </w:rPr>
        <w:t xml:space="preserve">esošo nozaru „zaļošana”. </w:t>
      </w:r>
    </w:p>
    <w:p w:rsidR="00EF2852" w:rsidRPr="00AE40CC" w:rsidRDefault="00570BF0" w:rsidP="00EF2852">
      <w:pPr>
        <w:spacing w:after="0"/>
        <w:ind w:firstLine="284"/>
        <w:jc w:val="both"/>
        <w:rPr>
          <w:rFonts w:ascii="Times New Roman" w:hAnsi="Times New Roman"/>
          <w:lang w:val="lv-LV"/>
        </w:rPr>
      </w:pPr>
      <w:r w:rsidRPr="00570BF0">
        <w:rPr>
          <w:rFonts w:ascii="Times New Roman" w:hAnsi="Times New Roman"/>
          <w:lang w:val="lv-LV"/>
        </w:rPr>
        <w:lastRenderedPageBreak/>
        <w:t xml:space="preserve">Lai nodrošinātu pietiekamu pretendentu skaitu dalībai Tehnoloģiju inkubatorā, ir paredzēta sadarbība ar zinātniskajām institūcijām. Turklāt nepieciešamās līdzdalības nodrošināšanā būtiska loma būs veicināšanas aktivitātēm. Par to primāri atbildīgs būs Tehnoloģiju inkubatora operators un LIAA, jo paredzams, ka abām iestādēm ir neieciešamie kontakti ar nozares speciālistiem un zinātniekiem. Tomēr šajā procesā piedalīsies arī EM un Norvēģijas Inovāciju aģentūra. Papildus komersantiem tiks organizētas tikšanās ar potenciālajiem partneriem Norvēģijā, lai atrastu abpusēji izdevīgas sadarbības iespējas. </w:t>
      </w:r>
    </w:p>
    <w:p w:rsidR="009061DD" w:rsidRPr="00AE40CC" w:rsidRDefault="00570BF0" w:rsidP="00EF2852">
      <w:pPr>
        <w:spacing w:after="0"/>
        <w:ind w:firstLine="284"/>
        <w:jc w:val="both"/>
        <w:rPr>
          <w:rFonts w:ascii="Times New Roman" w:hAnsi="Times New Roman"/>
          <w:lang w:val="lv-LV"/>
        </w:rPr>
      </w:pPr>
      <w:r w:rsidRPr="00570BF0">
        <w:rPr>
          <w:rFonts w:ascii="Times New Roman" w:hAnsi="Times New Roman"/>
          <w:lang w:val="lv-LV"/>
        </w:rPr>
        <w:t>Liels uzsvars ir likts uz Programmas iesnieguma sagatavošanu, un tajā ir iesaistītas būtiskākās ieinteresētās puses. Attiecībā uz Programmas vadību ir nolemts, ka to īstenos EM sadarbībā ar DPP un LIAA.</w:t>
      </w:r>
    </w:p>
    <w:p w:rsidR="00A9482F" w:rsidRPr="00AE40CC" w:rsidRDefault="00570BF0" w:rsidP="009061DD">
      <w:pPr>
        <w:spacing w:after="0"/>
        <w:ind w:firstLine="284"/>
        <w:jc w:val="both"/>
        <w:rPr>
          <w:rFonts w:ascii="Times New Roman" w:hAnsi="Times New Roman"/>
          <w:sz w:val="24"/>
          <w:szCs w:val="24"/>
          <w:lang w:val="lv-LV"/>
        </w:rPr>
      </w:pPr>
      <w:r w:rsidRPr="00570BF0">
        <w:rPr>
          <w:rFonts w:ascii="Times New Roman" w:hAnsi="Times New Roman"/>
          <w:lang w:val="lv-LV"/>
        </w:rPr>
        <w:t>Programma atbilst programmas jomas specifikai, izņemot dažus aspektus, piemēram, arī lielie komersanti un fiziskas personas ar mērķi uzsākt saimniecisko darbību varēs saņemt atbalstu Programmas ietvaros. Lielie komersanti ir iekļauti Programmā ņemot vērā, ka tie bieži vien veido jaunus komersantus (</w:t>
      </w:r>
      <w:proofErr w:type="spellStart"/>
      <w:r w:rsidRPr="00570BF0">
        <w:rPr>
          <w:rFonts w:ascii="Times New Roman" w:hAnsi="Times New Roman"/>
          <w:lang w:val="lv-LV"/>
        </w:rPr>
        <w:t>spin-off</w:t>
      </w:r>
      <w:proofErr w:type="spellEnd"/>
      <w:r w:rsidRPr="00570BF0">
        <w:rPr>
          <w:rFonts w:ascii="Times New Roman" w:hAnsi="Times New Roman"/>
          <w:lang w:val="lv-LV"/>
        </w:rPr>
        <w:t xml:space="preserve">), kas bieži ir stabilāki un dzīvotspējīgāki par citiem jauniem komersantiem (kapitāla pietiekamība, uzņēmējdarbības kompetence u.c.). Šādā veidā tiktu veicināta labāka Programmas mērķu sasniegšana. Papildus Programmā pirms-inkubācijas atbalstu var saņemt fiziskas personas ar mērķi uzsākt saimniecisko darbību, lai dotu iespēju pārbaudīt viņu biznesa ideju pirms tiek veikti būtiskāki ieguldījumi tās turpmākā attīstībā. </w:t>
      </w:r>
      <w:r w:rsidRPr="00570BF0">
        <w:rPr>
          <w:rFonts w:ascii="Times New Roman" w:hAnsi="Times New Roman"/>
          <w:sz w:val="24"/>
          <w:szCs w:val="24"/>
          <w:lang w:val="lv-LV"/>
        </w:rPr>
        <w:t xml:space="preserve">  </w:t>
      </w:r>
    </w:p>
    <w:p w:rsidR="00840989" w:rsidRPr="00AE40CC" w:rsidRDefault="00840989" w:rsidP="003B5733">
      <w:pPr>
        <w:spacing w:after="0"/>
        <w:jc w:val="both"/>
        <w:rPr>
          <w:lang w:val="lv-LV"/>
        </w:rPr>
        <w:sectPr w:rsidR="00840989" w:rsidRPr="00AE40CC" w:rsidSect="00F079B7">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p>
    <w:bookmarkEnd w:id="24"/>
    <w:p w:rsidR="00A9482F" w:rsidRPr="00AE40CC" w:rsidRDefault="00570BF0" w:rsidP="00A9482F">
      <w:pPr>
        <w:pStyle w:val="Heading2"/>
        <w:spacing w:before="0"/>
        <w:rPr>
          <w:rFonts w:ascii="Times New Roman" w:hAnsi="Times New Roman"/>
          <w:sz w:val="22"/>
          <w:szCs w:val="22"/>
          <w:lang w:val="lv-LV"/>
        </w:rPr>
      </w:pPr>
      <w:r w:rsidRPr="00570BF0">
        <w:rPr>
          <w:rFonts w:ascii="Times New Roman" w:hAnsi="Times New Roman"/>
          <w:sz w:val="22"/>
          <w:szCs w:val="22"/>
          <w:lang w:val="lv-LV"/>
        </w:rPr>
        <w:lastRenderedPageBreak/>
        <w:t xml:space="preserve">Programmas mērķi un indikatori </w:t>
      </w:r>
    </w:p>
    <w:p w:rsidR="00A9482F" w:rsidRPr="00AE40CC" w:rsidRDefault="00570BF0" w:rsidP="006528DE">
      <w:pPr>
        <w:spacing w:after="0"/>
        <w:rPr>
          <w:rFonts w:ascii="Times New Roman" w:hAnsi="Times New Roman"/>
          <w:lang w:val="lv-LV"/>
        </w:rPr>
      </w:pPr>
      <w:r w:rsidRPr="00570BF0">
        <w:rPr>
          <w:rFonts w:ascii="Times New Roman" w:hAnsi="Times New Roman"/>
          <w:lang w:val="lv-LV"/>
        </w:rPr>
        <w:t>Programmas un projektu definīcijās lūdzam atsaukties uz Noteikumu 1.5.pantu.</w:t>
      </w:r>
    </w:p>
    <w:p w:rsidR="00A9482F" w:rsidRPr="00AE40CC" w:rsidRDefault="00570BF0" w:rsidP="006528DE">
      <w:pPr>
        <w:spacing w:after="0"/>
        <w:rPr>
          <w:rFonts w:ascii="Times New Roman" w:hAnsi="Times New Roman"/>
          <w:lang w:val="lv-LV"/>
        </w:rPr>
      </w:pPr>
      <w:r w:rsidRPr="00570BF0">
        <w:rPr>
          <w:rFonts w:ascii="Times New Roman" w:hAnsi="Times New Roman"/>
          <w:lang w:val="lv-LV"/>
        </w:rPr>
        <w:t>Atsaukties uz PAR otro sadaļu mērķa, plānoto rezultātu, iznākumu un indikatoru definīcijām.</w:t>
      </w:r>
    </w:p>
    <w:p w:rsidR="00A9482F" w:rsidRPr="00AE40CC" w:rsidRDefault="00570BF0" w:rsidP="00A9482F">
      <w:pPr>
        <w:spacing w:after="0"/>
        <w:rPr>
          <w:rFonts w:ascii="Times New Roman" w:hAnsi="Times New Roman"/>
          <w:lang w:val="lv-LV"/>
        </w:rPr>
      </w:pPr>
      <w:r w:rsidRPr="00570BF0">
        <w:rPr>
          <w:rFonts w:ascii="Times New Roman" w:hAnsi="Times New Roman"/>
          <w:lang w:val="lv-LV"/>
        </w:rPr>
        <w:t>Mērķis, plānotais(</w:t>
      </w:r>
      <w:proofErr w:type="spellStart"/>
      <w:r w:rsidRPr="00570BF0">
        <w:rPr>
          <w:rFonts w:ascii="Times New Roman" w:hAnsi="Times New Roman"/>
          <w:lang w:val="lv-LV"/>
        </w:rPr>
        <w:t>ie</w:t>
      </w:r>
      <w:proofErr w:type="spellEnd"/>
      <w:r w:rsidRPr="00570BF0">
        <w:rPr>
          <w:rFonts w:ascii="Times New Roman" w:hAnsi="Times New Roman"/>
          <w:lang w:val="lv-LV"/>
        </w:rPr>
        <w:t>) rezultāts(i), iznākumi un indikatori ir pamatelementi Programmas prioritāšu noteikšanā. Šī iemesla dēļ, kad notiks projektu konkurss (atsauce uz PAR 3.14.3.sadaļu), noteiktajam mērķim, rezultātam(</w:t>
      </w:r>
      <w:proofErr w:type="spellStart"/>
      <w:r w:rsidRPr="00570BF0">
        <w:rPr>
          <w:rFonts w:ascii="Times New Roman" w:hAnsi="Times New Roman"/>
          <w:lang w:val="lv-LV"/>
        </w:rPr>
        <w:t>iem</w:t>
      </w:r>
      <w:proofErr w:type="spellEnd"/>
      <w:r w:rsidRPr="00570BF0">
        <w:rPr>
          <w:rFonts w:ascii="Times New Roman" w:hAnsi="Times New Roman"/>
          <w:lang w:val="lv-LV"/>
        </w:rPr>
        <w:t>), iznākumiem un indikatoriem būs izšķiroša nozīme Programmas apsaimniekotāja projektu iesniegumu izvēlē.</w:t>
      </w:r>
    </w:p>
    <w:p w:rsidR="00A9482F" w:rsidRPr="00AE40CC" w:rsidRDefault="00570BF0" w:rsidP="006528DE">
      <w:pPr>
        <w:pStyle w:val="Heading3"/>
        <w:spacing w:before="0"/>
        <w:rPr>
          <w:rFonts w:ascii="Times New Roman" w:hAnsi="Times New Roman"/>
          <w:lang w:val="lv-LV"/>
        </w:rPr>
      </w:pPr>
      <w:bookmarkStart w:id="29" w:name="_Toc258498732"/>
      <w:bookmarkStart w:id="30" w:name="_Toc258499843"/>
      <w:bookmarkStart w:id="31" w:name="_Toc258503644"/>
      <w:bookmarkStart w:id="32" w:name="_Toc258504822"/>
      <w:bookmarkStart w:id="33" w:name="_Toc262213654"/>
      <w:r w:rsidRPr="00570BF0">
        <w:rPr>
          <w:rFonts w:ascii="Times New Roman" w:hAnsi="Times New Roman"/>
          <w:lang w:val="lv-LV"/>
        </w:rPr>
        <w:t>Programmas mērķis (plānotā ietekme)</w:t>
      </w:r>
      <w:bookmarkEnd w:id="29"/>
      <w:bookmarkEnd w:id="30"/>
      <w:bookmarkEnd w:id="31"/>
      <w:bookmarkEnd w:id="32"/>
      <w:r w:rsidRPr="00570BF0">
        <w:rPr>
          <w:rFonts w:ascii="Times New Roman" w:hAnsi="Times New Roman"/>
          <w:lang w:val="lv-LV"/>
        </w:rPr>
        <w:t xml:space="preserve"> </w:t>
      </w:r>
      <w:bookmarkEnd w:id="33"/>
    </w:p>
    <w:p w:rsidR="00A9482F" w:rsidRPr="00AE40CC" w:rsidRDefault="00570BF0" w:rsidP="006528DE">
      <w:pPr>
        <w:spacing w:after="0"/>
        <w:rPr>
          <w:rFonts w:ascii="Times New Roman" w:hAnsi="Times New Roman"/>
          <w:b/>
          <w:lang w:val="lv-LV"/>
        </w:rPr>
      </w:pPr>
      <w:r w:rsidRPr="00570BF0">
        <w:rPr>
          <w:rFonts w:ascii="Times New Roman" w:hAnsi="Times New Roman"/>
          <w:b/>
          <w:lang w:val="lv-LV"/>
        </w:rPr>
        <w:t xml:space="preserve">Norādīt Programmas jomu: 21: „Inovācijas „zaļās” ražošanas jomā” </w:t>
      </w:r>
    </w:p>
    <w:p w:rsidR="00A9482F" w:rsidRPr="00AE40CC" w:rsidRDefault="00570BF0" w:rsidP="006528DE">
      <w:pPr>
        <w:spacing w:after="0"/>
        <w:rPr>
          <w:rFonts w:ascii="Times New Roman" w:hAnsi="Times New Roman"/>
          <w:b/>
          <w:lang w:val="lv-LV"/>
        </w:rPr>
      </w:pPr>
      <w:r w:rsidRPr="00570BF0">
        <w:rPr>
          <w:rFonts w:ascii="Times New Roman" w:hAnsi="Times New Roman"/>
          <w:b/>
          <w:lang w:val="lv-LV"/>
        </w:rPr>
        <w:t xml:space="preserve">Norādīt Programmas mērķi: Paaugstināta „zaļo” komersantu konkurētspēja, tostarp esošo nozaru „zaļošana”, „zaļās” inovācijas un „zaļo” uzņēmējdarbība </w:t>
      </w:r>
    </w:p>
    <w:p w:rsidR="00A9482F" w:rsidRPr="00AE40CC" w:rsidRDefault="00570BF0" w:rsidP="00A9482F">
      <w:pPr>
        <w:pStyle w:val="Heading3"/>
        <w:spacing w:before="0"/>
        <w:rPr>
          <w:rFonts w:ascii="Times New Roman" w:hAnsi="Times New Roman"/>
          <w:lang w:val="lv-LV"/>
        </w:rPr>
      </w:pPr>
      <w:r w:rsidRPr="00570BF0">
        <w:rPr>
          <w:rFonts w:ascii="Times New Roman" w:hAnsi="Times New Roman"/>
          <w:lang w:val="lv-LV"/>
        </w:rPr>
        <w:t>Plānotais programmas rezultāts</w:t>
      </w:r>
    </w:p>
    <w:p w:rsidR="00A9482F" w:rsidRPr="00AE40CC" w:rsidRDefault="00570BF0" w:rsidP="00A9482F">
      <w:pPr>
        <w:rPr>
          <w:rFonts w:ascii="Times New Roman" w:hAnsi="Times New Roman"/>
          <w:b/>
          <w:lang w:val="lv-LV"/>
        </w:rPr>
      </w:pPr>
      <w:bookmarkStart w:id="34" w:name="_Toc258498736"/>
      <w:bookmarkStart w:id="35" w:name="_Toc258499847"/>
      <w:bookmarkStart w:id="36" w:name="_Toc258503646"/>
      <w:bookmarkStart w:id="37" w:name="_Toc258504824"/>
      <w:bookmarkStart w:id="38" w:name="_Toc262213656"/>
      <w:bookmarkStart w:id="39" w:name="_Toc258498734"/>
      <w:bookmarkStart w:id="40" w:name="_Toc258499845"/>
      <w:r w:rsidRPr="00570BF0">
        <w:rPr>
          <w:rFonts w:ascii="Times New Roman" w:hAnsi="Times New Roman"/>
          <w:b/>
          <w:lang w:val="lv-LV"/>
        </w:rPr>
        <w:t>Norādīt paredzēto(</w:t>
      </w:r>
      <w:proofErr w:type="spellStart"/>
      <w:r w:rsidRPr="00570BF0">
        <w:rPr>
          <w:rFonts w:ascii="Times New Roman" w:hAnsi="Times New Roman"/>
          <w:b/>
          <w:lang w:val="lv-LV"/>
        </w:rPr>
        <w:t>os</w:t>
      </w:r>
      <w:proofErr w:type="spellEnd"/>
      <w:r w:rsidRPr="00570BF0">
        <w:rPr>
          <w:rFonts w:ascii="Times New Roman" w:hAnsi="Times New Roman"/>
          <w:b/>
          <w:lang w:val="lv-LV"/>
        </w:rPr>
        <w:t>) Programmas rezultātu(</w:t>
      </w:r>
      <w:proofErr w:type="spellStart"/>
      <w:r w:rsidRPr="00570BF0">
        <w:rPr>
          <w:rFonts w:ascii="Times New Roman" w:hAnsi="Times New Roman"/>
          <w:b/>
          <w:lang w:val="lv-LV"/>
        </w:rPr>
        <w:t>us</w:t>
      </w:r>
      <w:proofErr w:type="spellEnd"/>
      <w:r w:rsidRPr="00570BF0">
        <w:rPr>
          <w:rFonts w:ascii="Times New Roman" w:hAnsi="Times New Roman"/>
          <w:b/>
          <w:lang w:val="lv-LV"/>
        </w:rPr>
        <w:t>) un indikatoru(</w:t>
      </w:r>
      <w:proofErr w:type="spellStart"/>
      <w:r w:rsidRPr="00570BF0">
        <w:rPr>
          <w:rFonts w:ascii="Times New Roman" w:hAnsi="Times New Roman"/>
          <w:b/>
          <w:lang w:val="lv-LV"/>
        </w:rPr>
        <w:t>us</w:t>
      </w:r>
      <w:proofErr w:type="spellEnd"/>
      <w:r w:rsidRPr="00570BF0">
        <w:rPr>
          <w:rFonts w:ascii="Times New Roman" w:hAnsi="Times New Roman"/>
          <w:b/>
          <w:lang w:val="lv-LV"/>
        </w:rPr>
        <w:t>):</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
        <w:gridCol w:w="2146"/>
        <w:gridCol w:w="2186"/>
        <w:gridCol w:w="3261"/>
        <w:gridCol w:w="1134"/>
        <w:gridCol w:w="1275"/>
        <w:gridCol w:w="2835"/>
      </w:tblGrid>
      <w:tr w:rsidR="009F646B" w:rsidRPr="00AE40CC" w:rsidTr="00F279D4">
        <w:trPr>
          <w:trHeight w:val="185"/>
        </w:trPr>
        <w:tc>
          <w:tcPr>
            <w:tcW w:w="312" w:type="dxa"/>
            <w:shd w:val="clear" w:color="auto" w:fill="CCCCCC"/>
          </w:tcPr>
          <w:p w:rsidR="009F646B" w:rsidRPr="00AE40CC" w:rsidRDefault="00570BF0" w:rsidP="00A9482F">
            <w:pPr>
              <w:tabs>
                <w:tab w:val="right" w:pos="1878"/>
              </w:tabs>
              <w:jc w:val="center"/>
              <w:rPr>
                <w:rFonts w:ascii="Times New Roman" w:hAnsi="Times New Roman"/>
                <w:b/>
                <w:lang w:val="lv-LV"/>
              </w:rPr>
            </w:pPr>
            <w:bookmarkStart w:id="41" w:name="_Hlk294085480"/>
            <w:r w:rsidRPr="00570BF0">
              <w:rPr>
                <w:rFonts w:ascii="Times New Roman" w:hAnsi="Times New Roman"/>
                <w:b/>
                <w:lang w:val="lv-LV"/>
              </w:rPr>
              <w:t>#</w:t>
            </w:r>
          </w:p>
        </w:tc>
        <w:tc>
          <w:tcPr>
            <w:tcW w:w="2146" w:type="dxa"/>
            <w:shd w:val="clear" w:color="auto" w:fill="CCCCCC"/>
          </w:tcPr>
          <w:p w:rsidR="009F646B" w:rsidRPr="00AE40CC" w:rsidRDefault="00570BF0" w:rsidP="009E4AD6">
            <w:pPr>
              <w:tabs>
                <w:tab w:val="right" w:pos="1878"/>
              </w:tabs>
              <w:jc w:val="center"/>
              <w:rPr>
                <w:rFonts w:ascii="Times New Roman" w:hAnsi="Times New Roman"/>
                <w:b/>
                <w:lang w:val="lv-LV"/>
              </w:rPr>
            </w:pPr>
            <w:r w:rsidRPr="00570BF0">
              <w:rPr>
                <w:rFonts w:ascii="Times New Roman" w:hAnsi="Times New Roman"/>
                <w:b/>
                <w:lang w:val="lv-LV"/>
              </w:rPr>
              <w:t>Rezultāts</w:t>
            </w:r>
          </w:p>
        </w:tc>
        <w:tc>
          <w:tcPr>
            <w:tcW w:w="2186" w:type="dxa"/>
            <w:shd w:val="clear" w:color="auto" w:fill="CCCCCC"/>
          </w:tcPr>
          <w:p w:rsidR="009F646B" w:rsidRPr="00AE40CC" w:rsidRDefault="00570BF0" w:rsidP="009E4AD6">
            <w:pPr>
              <w:jc w:val="center"/>
              <w:rPr>
                <w:rFonts w:ascii="Times New Roman" w:hAnsi="Times New Roman"/>
                <w:b/>
                <w:lang w:val="lv-LV"/>
              </w:rPr>
            </w:pPr>
            <w:r w:rsidRPr="00570BF0">
              <w:rPr>
                <w:rFonts w:ascii="Times New Roman" w:hAnsi="Times New Roman"/>
                <w:b/>
                <w:lang w:val="lv-LV"/>
              </w:rPr>
              <w:t>Indikators</w:t>
            </w:r>
          </w:p>
        </w:tc>
        <w:tc>
          <w:tcPr>
            <w:tcW w:w="3261" w:type="dxa"/>
            <w:shd w:val="clear" w:color="auto" w:fill="CCCCCC"/>
          </w:tcPr>
          <w:p w:rsidR="009F646B" w:rsidRPr="00AE40CC" w:rsidRDefault="00570BF0" w:rsidP="009E4AD6">
            <w:pPr>
              <w:jc w:val="center"/>
              <w:rPr>
                <w:rFonts w:ascii="Times New Roman" w:hAnsi="Times New Roman"/>
                <w:b/>
                <w:lang w:val="lv-LV"/>
              </w:rPr>
            </w:pPr>
            <w:r w:rsidRPr="00570BF0">
              <w:rPr>
                <w:rFonts w:ascii="Times New Roman" w:hAnsi="Times New Roman"/>
                <w:b/>
                <w:lang w:val="lv-LV"/>
              </w:rPr>
              <w:t>Apraksts</w:t>
            </w:r>
          </w:p>
        </w:tc>
        <w:tc>
          <w:tcPr>
            <w:tcW w:w="2409" w:type="dxa"/>
            <w:gridSpan w:val="2"/>
            <w:shd w:val="clear" w:color="auto" w:fill="CCCCCC"/>
          </w:tcPr>
          <w:p w:rsidR="009F646B" w:rsidRPr="00AE40CC" w:rsidRDefault="00570BF0" w:rsidP="009E4AD6">
            <w:pPr>
              <w:jc w:val="center"/>
              <w:rPr>
                <w:rFonts w:ascii="Times New Roman" w:hAnsi="Times New Roman"/>
                <w:b/>
                <w:lang w:val="lv-LV"/>
              </w:rPr>
            </w:pPr>
            <w:r w:rsidRPr="00570BF0">
              <w:rPr>
                <w:rFonts w:ascii="Times New Roman" w:hAnsi="Times New Roman"/>
                <w:b/>
                <w:lang w:val="lv-LV"/>
              </w:rPr>
              <w:t>Indikatora vērtība</w:t>
            </w:r>
          </w:p>
        </w:tc>
        <w:tc>
          <w:tcPr>
            <w:tcW w:w="2835" w:type="dxa"/>
            <w:shd w:val="clear" w:color="auto" w:fill="CCCCCC"/>
          </w:tcPr>
          <w:p w:rsidR="009F646B" w:rsidRPr="00AE40CC" w:rsidRDefault="00570BF0" w:rsidP="009E4AD6">
            <w:pPr>
              <w:jc w:val="center"/>
              <w:rPr>
                <w:rFonts w:ascii="Times New Roman" w:hAnsi="Times New Roman"/>
                <w:b/>
                <w:lang w:val="lv-LV"/>
              </w:rPr>
            </w:pPr>
            <w:r w:rsidRPr="00570BF0">
              <w:rPr>
                <w:rFonts w:ascii="Times New Roman" w:hAnsi="Times New Roman"/>
                <w:b/>
                <w:lang w:val="lv-LV"/>
              </w:rPr>
              <w:t>Apliecinājuma avots</w:t>
            </w:r>
          </w:p>
        </w:tc>
      </w:tr>
      <w:tr w:rsidR="00F279D4" w:rsidRPr="00AE40CC" w:rsidTr="00F279D4">
        <w:trPr>
          <w:trHeight w:val="323"/>
        </w:trPr>
        <w:tc>
          <w:tcPr>
            <w:tcW w:w="312" w:type="dxa"/>
            <w:vMerge w:val="restart"/>
          </w:tcPr>
          <w:p w:rsidR="00F279D4" w:rsidRPr="00AE40CC" w:rsidRDefault="00570BF0" w:rsidP="00A9482F">
            <w:pPr>
              <w:jc w:val="center"/>
              <w:rPr>
                <w:rFonts w:ascii="Times New Roman" w:hAnsi="Times New Roman"/>
                <w:lang w:val="lv-LV"/>
              </w:rPr>
            </w:pPr>
            <w:r w:rsidRPr="00570BF0">
              <w:rPr>
                <w:rFonts w:ascii="Times New Roman" w:hAnsi="Times New Roman"/>
                <w:lang w:val="lv-LV"/>
              </w:rPr>
              <w:t>1</w:t>
            </w:r>
          </w:p>
        </w:tc>
        <w:tc>
          <w:tcPr>
            <w:tcW w:w="2146" w:type="dxa"/>
            <w:vMerge w:val="restart"/>
          </w:tcPr>
          <w:p w:rsidR="00F279D4" w:rsidRPr="00AE40CC" w:rsidRDefault="00570BF0" w:rsidP="00F279D4">
            <w:pPr>
              <w:jc w:val="both"/>
              <w:rPr>
                <w:rFonts w:ascii="Times New Roman" w:hAnsi="Times New Roman"/>
                <w:lang w:val="lv-LV"/>
              </w:rPr>
            </w:pPr>
            <w:r w:rsidRPr="00570BF0">
              <w:rPr>
                <w:rFonts w:ascii="Times New Roman" w:hAnsi="Times New Roman"/>
                <w:lang w:val="lv-LV"/>
              </w:rPr>
              <w:t>Eiropas ekonomikas „zaļošanas” biznesa iespēju realizācija</w:t>
            </w:r>
          </w:p>
        </w:tc>
        <w:tc>
          <w:tcPr>
            <w:tcW w:w="2186" w:type="dxa"/>
            <w:vMerge w:val="restart"/>
          </w:tcPr>
          <w:p w:rsidR="00F279D4" w:rsidRPr="00AE40CC" w:rsidRDefault="00570BF0" w:rsidP="00F279D4">
            <w:pPr>
              <w:jc w:val="both"/>
              <w:rPr>
                <w:rFonts w:ascii="Times New Roman" w:hAnsi="Times New Roman"/>
                <w:lang w:val="lv-LV"/>
              </w:rPr>
            </w:pPr>
            <w:r w:rsidRPr="00570BF0">
              <w:rPr>
                <w:rFonts w:ascii="Times New Roman" w:hAnsi="Times New Roman"/>
                <w:lang w:val="lv-LV"/>
              </w:rPr>
              <w:t xml:space="preserve">Uzlabotu/izstrādātu vides tehnoloģiju skaits </w:t>
            </w:r>
          </w:p>
        </w:tc>
        <w:tc>
          <w:tcPr>
            <w:tcW w:w="3261" w:type="dxa"/>
            <w:vMerge w:val="restart"/>
          </w:tcPr>
          <w:p w:rsidR="00F279D4" w:rsidRPr="00AE40CC" w:rsidRDefault="00570BF0" w:rsidP="00F279D4">
            <w:pPr>
              <w:spacing w:after="0"/>
              <w:jc w:val="both"/>
              <w:rPr>
                <w:rFonts w:ascii="Times New Roman" w:hAnsi="Times New Roman"/>
                <w:lang w:val="lv-LV"/>
              </w:rPr>
            </w:pPr>
            <w:r w:rsidRPr="00570BF0">
              <w:rPr>
                <w:rFonts w:ascii="Times New Roman" w:hAnsi="Times New Roman"/>
                <w:lang w:val="lv-LV"/>
              </w:rPr>
              <w:t xml:space="preserve">Novērtēt Programmas ietekmi saistībā ar Tehnoloģiju inkubatora ietvaros uzlaboto vai izstrādāto tehnoloģiju apjomu.  </w:t>
            </w:r>
          </w:p>
        </w:tc>
        <w:tc>
          <w:tcPr>
            <w:tcW w:w="1134" w:type="dxa"/>
            <w:vAlign w:val="center"/>
          </w:tcPr>
          <w:p w:rsidR="00F279D4" w:rsidRPr="00AE40CC" w:rsidRDefault="00570BF0" w:rsidP="009E4AD6">
            <w:pPr>
              <w:jc w:val="center"/>
              <w:rPr>
                <w:rFonts w:ascii="Times New Roman" w:hAnsi="Times New Roman"/>
                <w:lang w:val="lv-LV"/>
              </w:rPr>
            </w:pPr>
            <w:r w:rsidRPr="00570BF0">
              <w:rPr>
                <w:rFonts w:ascii="Times New Roman" w:hAnsi="Times New Roman"/>
                <w:lang w:val="lv-LV"/>
              </w:rPr>
              <w:t>Bāzes vērtība</w:t>
            </w:r>
          </w:p>
        </w:tc>
        <w:tc>
          <w:tcPr>
            <w:tcW w:w="1275" w:type="dxa"/>
            <w:vAlign w:val="center"/>
          </w:tcPr>
          <w:p w:rsidR="00F279D4" w:rsidRPr="00AE40CC" w:rsidRDefault="00570BF0" w:rsidP="009E4AD6">
            <w:pPr>
              <w:jc w:val="center"/>
              <w:rPr>
                <w:rFonts w:ascii="Times New Roman" w:hAnsi="Times New Roman"/>
                <w:lang w:val="lv-LV"/>
              </w:rPr>
            </w:pPr>
            <w:r w:rsidRPr="00570BF0">
              <w:rPr>
                <w:rFonts w:ascii="Times New Roman" w:hAnsi="Times New Roman"/>
                <w:lang w:val="lv-LV"/>
              </w:rPr>
              <w:t>Mērķa vērtība</w:t>
            </w:r>
          </w:p>
        </w:tc>
        <w:tc>
          <w:tcPr>
            <w:tcW w:w="2835" w:type="dxa"/>
            <w:vMerge w:val="restart"/>
          </w:tcPr>
          <w:p w:rsidR="00F279D4" w:rsidRPr="00AE40CC" w:rsidRDefault="00570BF0" w:rsidP="00F279D4">
            <w:pPr>
              <w:jc w:val="both"/>
              <w:rPr>
                <w:rFonts w:ascii="Times New Roman" w:hAnsi="Times New Roman"/>
                <w:lang w:val="lv-LV"/>
              </w:rPr>
            </w:pPr>
            <w:bookmarkStart w:id="42" w:name="OLE_LINK20"/>
            <w:bookmarkStart w:id="43" w:name="OLE_LINK21"/>
            <w:r w:rsidRPr="00570BF0">
              <w:rPr>
                <w:rFonts w:ascii="Times New Roman" w:hAnsi="Times New Roman"/>
                <w:lang w:val="lv-LV"/>
              </w:rPr>
              <w:t>Progress tiks novērtēts salīdzinājumā ar Tehnoloģiju inkubatora sasniegumiem. Apliecinājuma avots būs projekta iesniegumi un projekta un Programmas progresa ziņojumi.</w:t>
            </w:r>
            <w:bookmarkEnd w:id="42"/>
            <w:bookmarkEnd w:id="43"/>
          </w:p>
        </w:tc>
      </w:tr>
      <w:tr w:rsidR="00CE093A" w:rsidRPr="00AE40CC" w:rsidTr="00F279D4">
        <w:trPr>
          <w:trHeight w:val="802"/>
        </w:trPr>
        <w:tc>
          <w:tcPr>
            <w:tcW w:w="312" w:type="dxa"/>
            <w:vMerge/>
          </w:tcPr>
          <w:p w:rsidR="00CE093A" w:rsidRPr="00AE40CC" w:rsidRDefault="00CE093A" w:rsidP="00A9482F">
            <w:pPr>
              <w:jc w:val="center"/>
              <w:rPr>
                <w:rFonts w:ascii="Times New Roman" w:hAnsi="Times New Roman"/>
                <w:lang w:val="lv-LV"/>
              </w:rPr>
            </w:pPr>
          </w:p>
        </w:tc>
        <w:tc>
          <w:tcPr>
            <w:tcW w:w="2146" w:type="dxa"/>
            <w:vMerge/>
          </w:tcPr>
          <w:p w:rsidR="00CE093A" w:rsidRPr="00AE40CC" w:rsidRDefault="00CE093A" w:rsidP="00A9482F">
            <w:pPr>
              <w:rPr>
                <w:rFonts w:ascii="Times New Roman" w:hAnsi="Times New Roman"/>
                <w:lang w:val="lv-LV"/>
              </w:rPr>
            </w:pPr>
          </w:p>
        </w:tc>
        <w:tc>
          <w:tcPr>
            <w:tcW w:w="2186" w:type="dxa"/>
            <w:vMerge/>
          </w:tcPr>
          <w:p w:rsidR="00CE093A" w:rsidRPr="00AE40CC" w:rsidRDefault="00CE093A" w:rsidP="00A9482F">
            <w:pPr>
              <w:rPr>
                <w:rFonts w:ascii="Times New Roman" w:hAnsi="Times New Roman"/>
                <w:b/>
                <w:lang w:val="lv-LV"/>
              </w:rPr>
            </w:pPr>
          </w:p>
        </w:tc>
        <w:tc>
          <w:tcPr>
            <w:tcW w:w="3261" w:type="dxa"/>
            <w:vMerge/>
          </w:tcPr>
          <w:p w:rsidR="00CE093A" w:rsidRPr="00AE40CC" w:rsidRDefault="00CE093A" w:rsidP="00A9482F">
            <w:pPr>
              <w:rPr>
                <w:rFonts w:ascii="Times New Roman" w:hAnsi="Times New Roman"/>
                <w:lang w:val="lv-LV"/>
              </w:rPr>
            </w:pPr>
          </w:p>
        </w:tc>
        <w:tc>
          <w:tcPr>
            <w:tcW w:w="1134" w:type="dxa"/>
            <w:vAlign w:val="center"/>
          </w:tcPr>
          <w:p w:rsidR="00CE093A" w:rsidRPr="00AE40CC" w:rsidRDefault="00570BF0" w:rsidP="00A9482F">
            <w:pPr>
              <w:jc w:val="center"/>
              <w:rPr>
                <w:rFonts w:ascii="Times New Roman" w:hAnsi="Times New Roman"/>
                <w:lang w:val="lv-LV"/>
              </w:rPr>
            </w:pPr>
            <w:r w:rsidRPr="00570BF0">
              <w:rPr>
                <w:rFonts w:ascii="Times New Roman" w:hAnsi="Times New Roman"/>
                <w:lang w:val="lv-LV"/>
              </w:rPr>
              <w:t>0</w:t>
            </w:r>
          </w:p>
        </w:tc>
        <w:tc>
          <w:tcPr>
            <w:tcW w:w="1275" w:type="dxa"/>
            <w:vAlign w:val="center"/>
          </w:tcPr>
          <w:p w:rsidR="00CE093A" w:rsidRPr="00AE40CC" w:rsidRDefault="00570BF0" w:rsidP="00067FDC">
            <w:pPr>
              <w:jc w:val="center"/>
              <w:rPr>
                <w:rFonts w:ascii="Times New Roman" w:hAnsi="Times New Roman"/>
                <w:lang w:val="lv-LV"/>
              </w:rPr>
            </w:pPr>
            <w:r w:rsidRPr="00570BF0">
              <w:rPr>
                <w:rFonts w:ascii="Times New Roman" w:hAnsi="Times New Roman"/>
                <w:lang w:val="lv-LV"/>
              </w:rPr>
              <w:t xml:space="preserve">20 </w:t>
            </w:r>
          </w:p>
        </w:tc>
        <w:tc>
          <w:tcPr>
            <w:tcW w:w="2835" w:type="dxa"/>
            <w:vMerge/>
          </w:tcPr>
          <w:p w:rsidR="00CE093A" w:rsidRPr="00AE40CC" w:rsidRDefault="00CE093A" w:rsidP="00A9482F">
            <w:pPr>
              <w:rPr>
                <w:rFonts w:ascii="Times New Roman" w:hAnsi="Times New Roman"/>
                <w:lang w:val="lv-LV"/>
              </w:rPr>
            </w:pPr>
          </w:p>
        </w:tc>
      </w:tr>
      <w:tr w:rsidR="00F279D4" w:rsidRPr="00AE40CC" w:rsidTr="00F279D4">
        <w:trPr>
          <w:trHeight w:val="269"/>
        </w:trPr>
        <w:tc>
          <w:tcPr>
            <w:tcW w:w="312" w:type="dxa"/>
            <w:vMerge w:val="restart"/>
          </w:tcPr>
          <w:p w:rsidR="00F279D4" w:rsidRPr="00AE40CC" w:rsidRDefault="00570BF0" w:rsidP="00A9482F">
            <w:pPr>
              <w:jc w:val="center"/>
              <w:rPr>
                <w:rFonts w:ascii="Times New Roman" w:hAnsi="Times New Roman"/>
                <w:lang w:val="lv-LV"/>
              </w:rPr>
            </w:pPr>
            <w:r w:rsidRPr="00570BF0">
              <w:rPr>
                <w:rFonts w:ascii="Times New Roman" w:hAnsi="Times New Roman"/>
                <w:lang w:val="lv-LV"/>
              </w:rPr>
              <w:t>2</w:t>
            </w:r>
          </w:p>
        </w:tc>
        <w:tc>
          <w:tcPr>
            <w:tcW w:w="2146" w:type="dxa"/>
            <w:vMerge w:val="restart"/>
          </w:tcPr>
          <w:p w:rsidR="00F279D4" w:rsidRPr="00AE40CC" w:rsidRDefault="00570BF0" w:rsidP="00F279D4">
            <w:pPr>
              <w:rPr>
                <w:rFonts w:ascii="Times New Roman" w:hAnsi="Times New Roman"/>
                <w:lang w:val="lv-LV"/>
              </w:rPr>
            </w:pPr>
            <w:r w:rsidRPr="00570BF0">
              <w:rPr>
                <w:rFonts w:ascii="Times New Roman" w:hAnsi="Times New Roman"/>
                <w:lang w:val="lv-LV"/>
              </w:rPr>
              <w:t xml:space="preserve">Palielināta „zaļo” darba vietu radīšana un uzņēmējdarbība </w:t>
            </w:r>
          </w:p>
        </w:tc>
        <w:tc>
          <w:tcPr>
            <w:tcW w:w="2186" w:type="dxa"/>
            <w:vMerge w:val="restart"/>
          </w:tcPr>
          <w:p w:rsidR="00F279D4" w:rsidRPr="00AE40CC" w:rsidRDefault="00570BF0" w:rsidP="00F279D4">
            <w:pPr>
              <w:rPr>
                <w:rFonts w:ascii="Times New Roman" w:hAnsi="Times New Roman"/>
                <w:lang w:val="lv-LV"/>
              </w:rPr>
            </w:pPr>
            <w:r w:rsidRPr="00570BF0">
              <w:rPr>
                <w:rFonts w:ascii="Times New Roman" w:hAnsi="Times New Roman"/>
                <w:lang w:val="lv-LV"/>
              </w:rPr>
              <w:t xml:space="preserve">Radīto „zaļo” darba vietu skaits </w:t>
            </w:r>
          </w:p>
        </w:tc>
        <w:tc>
          <w:tcPr>
            <w:tcW w:w="3261" w:type="dxa"/>
            <w:vMerge w:val="restart"/>
          </w:tcPr>
          <w:p w:rsidR="00F279D4" w:rsidRPr="00AE40CC" w:rsidRDefault="00570BF0" w:rsidP="00F279D4">
            <w:pPr>
              <w:rPr>
                <w:rFonts w:ascii="Times New Roman" w:hAnsi="Times New Roman"/>
                <w:lang w:val="lv-LV"/>
              </w:rPr>
            </w:pPr>
            <w:r w:rsidRPr="00570BF0">
              <w:rPr>
                <w:rFonts w:ascii="Times New Roman" w:hAnsi="Times New Roman"/>
                <w:lang w:val="lv-LV"/>
              </w:rPr>
              <w:t xml:space="preserve">Novērtēt Programmas ieguldījumu „zaļās” ražošanas nozīmes palielināšanā Latvijas ekonomikā. </w:t>
            </w:r>
          </w:p>
        </w:tc>
        <w:tc>
          <w:tcPr>
            <w:tcW w:w="1134" w:type="dxa"/>
            <w:vAlign w:val="center"/>
          </w:tcPr>
          <w:p w:rsidR="00F279D4" w:rsidRPr="00AE40CC" w:rsidRDefault="00570BF0" w:rsidP="009E4AD6">
            <w:pPr>
              <w:jc w:val="center"/>
              <w:rPr>
                <w:rFonts w:ascii="Times New Roman" w:hAnsi="Times New Roman"/>
                <w:lang w:val="lv-LV"/>
              </w:rPr>
            </w:pPr>
            <w:r w:rsidRPr="00570BF0">
              <w:rPr>
                <w:rFonts w:ascii="Times New Roman" w:hAnsi="Times New Roman"/>
                <w:lang w:val="lv-LV"/>
              </w:rPr>
              <w:t>Bāzes vērtība</w:t>
            </w:r>
          </w:p>
        </w:tc>
        <w:tc>
          <w:tcPr>
            <w:tcW w:w="1275" w:type="dxa"/>
            <w:vAlign w:val="center"/>
          </w:tcPr>
          <w:p w:rsidR="00F279D4" w:rsidRPr="00AE40CC" w:rsidRDefault="00570BF0" w:rsidP="009E4AD6">
            <w:pPr>
              <w:jc w:val="center"/>
              <w:rPr>
                <w:rFonts w:ascii="Times New Roman" w:hAnsi="Times New Roman"/>
                <w:lang w:val="lv-LV"/>
              </w:rPr>
            </w:pPr>
            <w:r w:rsidRPr="00570BF0">
              <w:rPr>
                <w:rFonts w:ascii="Times New Roman" w:hAnsi="Times New Roman"/>
                <w:lang w:val="lv-LV"/>
              </w:rPr>
              <w:t>Mērķa vērtība</w:t>
            </w:r>
          </w:p>
        </w:tc>
        <w:tc>
          <w:tcPr>
            <w:tcW w:w="2835" w:type="dxa"/>
            <w:vMerge w:val="restart"/>
          </w:tcPr>
          <w:p w:rsidR="00F279D4" w:rsidRPr="00AE40CC" w:rsidRDefault="00570BF0" w:rsidP="00A9482F">
            <w:pPr>
              <w:jc w:val="both"/>
              <w:rPr>
                <w:rFonts w:ascii="Times New Roman" w:hAnsi="Times New Roman"/>
                <w:lang w:val="lv-LV"/>
              </w:rPr>
            </w:pPr>
            <w:bookmarkStart w:id="44" w:name="OLE_LINK22"/>
            <w:bookmarkStart w:id="45" w:name="OLE_LINK23"/>
            <w:r w:rsidRPr="00570BF0">
              <w:rPr>
                <w:rFonts w:ascii="Times New Roman" w:hAnsi="Times New Roman"/>
                <w:lang w:val="lv-LV"/>
              </w:rPr>
              <w:t>Progress tiks novērtēts salīdzinājumā ar Tehnoloģiju inkubatora sasniegumiem. Apliecinājuma avots būs projekta iesniegumi un projekta un Programmas progresa ziņojumi.</w:t>
            </w:r>
            <w:bookmarkEnd w:id="44"/>
            <w:bookmarkEnd w:id="45"/>
          </w:p>
        </w:tc>
      </w:tr>
      <w:tr w:rsidR="00A9482F" w:rsidRPr="00AE40CC" w:rsidTr="00F279D4">
        <w:trPr>
          <w:trHeight w:val="331"/>
        </w:trPr>
        <w:tc>
          <w:tcPr>
            <w:tcW w:w="312" w:type="dxa"/>
            <w:vMerge/>
          </w:tcPr>
          <w:p w:rsidR="00A9482F" w:rsidRPr="00AE40CC" w:rsidRDefault="00A9482F" w:rsidP="00A9482F">
            <w:pPr>
              <w:rPr>
                <w:rFonts w:ascii="Times New Roman" w:hAnsi="Times New Roman"/>
                <w:lang w:val="lv-LV"/>
              </w:rPr>
            </w:pPr>
          </w:p>
        </w:tc>
        <w:tc>
          <w:tcPr>
            <w:tcW w:w="2146" w:type="dxa"/>
            <w:vMerge/>
          </w:tcPr>
          <w:p w:rsidR="00A9482F" w:rsidRPr="00AE40CC" w:rsidRDefault="00A9482F" w:rsidP="00A9482F">
            <w:pPr>
              <w:rPr>
                <w:rFonts w:ascii="Times New Roman" w:hAnsi="Times New Roman"/>
                <w:lang w:val="lv-LV"/>
              </w:rPr>
            </w:pPr>
          </w:p>
        </w:tc>
        <w:tc>
          <w:tcPr>
            <w:tcW w:w="2186" w:type="dxa"/>
            <w:vMerge/>
          </w:tcPr>
          <w:p w:rsidR="00A9482F" w:rsidRPr="00AE40CC" w:rsidRDefault="00A9482F" w:rsidP="00A9482F">
            <w:pPr>
              <w:rPr>
                <w:rFonts w:ascii="Times New Roman" w:hAnsi="Times New Roman"/>
                <w:lang w:val="lv-LV"/>
              </w:rPr>
            </w:pPr>
          </w:p>
        </w:tc>
        <w:tc>
          <w:tcPr>
            <w:tcW w:w="3261" w:type="dxa"/>
            <w:vMerge/>
          </w:tcPr>
          <w:p w:rsidR="00A9482F" w:rsidRPr="00AE40CC" w:rsidRDefault="00A9482F" w:rsidP="00A9482F">
            <w:pPr>
              <w:rPr>
                <w:rFonts w:ascii="Times New Roman" w:hAnsi="Times New Roman"/>
                <w:lang w:val="lv-LV"/>
              </w:rPr>
            </w:pPr>
          </w:p>
        </w:tc>
        <w:tc>
          <w:tcPr>
            <w:tcW w:w="1134" w:type="dxa"/>
            <w:vAlign w:val="center"/>
          </w:tcPr>
          <w:p w:rsidR="00A9482F" w:rsidRPr="00AE40CC" w:rsidRDefault="00570BF0" w:rsidP="00A9482F">
            <w:pPr>
              <w:jc w:val="center"/>
              <w:rPr>
                <w:rFonts w:ascii="Times New Roman" w:hAnsi="Times New Roman"/>
                <w:lang w:val="lv-LV"/>
              </w:rPr>
            </w:pPr>
            <w:r w:rsidRPr="00570BF0">
              <w:rPr>
                <w:rFonts w:ascii="Times New Roman" w:hAnsi="Times New Roman"/>
                <w:lang w:val="lv-LV"/>
              </w:rPr>
              <w:t>0</w:t>
            </w:r>
          </w:p>
        </w:tc>
        <w:tc>
          <w:tcPr>
            <w:tcW w:w="1275" w:type="dxa"/>
            <w:vAlign w:val="center"/>
          </w:tcPr>
          <w:p w:rsidR="00A9482F" w:rsidRPr="00AE40CC" w:rsidRDefault="00570BF0" w:rsidP="00A9482F">
            <w:pPr>
              <w:jc w:val="center"/>
              <w:rPr>
                <w:rFonts w:ascii="Times New Roman" w:hAnsi="Times New Roman"/>
                <w:lang w:val="lv-LV"/>
              </w:rPr>
            </w:pPr>
            <w:r w:rsidRPr="00570BF0">
              <w:rPr>
                <w:rFonts w:ascii="Times New Roman" w:hAnsi="Times New Roman"/>
                <w:lang w:val="lv-LV"/>
              </w:rPr>
              <w:t>80</w:t>
            </w:r>
          </w:p>
        </w:tc>
        <w:tc>
          <w:tcPr>
            <w:tcW w:w="2835" w:type="dxa"/>
            <w:vMerge/>
          </w:tcPr>
          <w:p w:rsidR="00A9482F" w:rsidRPr="00AE40CC" w:rsidRDefault="00A9482F" w:rsidP="00A9482F">
            <w:pPr>
              <w:rPr>
                <w:rFonts w:ascii="Times New Roman" w:hAnsi="Times New Roman"/>
                <w:lang w:val="lv-LV"/>
              </w:rPr>
            </w:pPr>
          </w:p>
        </w:tc>
      </w:tr>
    </w:tbl>
    <w:bookmarkEnd w:id="41"/>
    <w:p w:rsidR="00A9482F" w:rsidRPr="00AE40CC" w:rsidRDefault="00570BF0" w:rsidP="00A9482F">
      <w:pPr>
        <w:tabs>
          <w:tab w:val="left" w:pos="360"/>
        </w:tabs>
        <w:spacing w:after="0"/>
        <w:rPr>
          <w:rFonts w:ascii="Times New Roman" w:hAnsi="Times New Roman"/>
          <w:lang w:val="lv-LV"/>
        </w:rPr>
      </w:pPr>
      <w:r w:rsidRPr="00570BF0">
        <w:rPr>
          <w:rFonts w:ascii="Times New Roman" w:hAnsi="Times New Roman"/>
          <w:b/>
          <w:lang w:val="lv-LV"/>
        </w:rPr>
        <w:t>Aprakstīt, kāpēc un kā noteiktie indikatori tika izvēlēti katram rezultātam.</w:t>
      </w:r>
      <w:r w:rsidRPr="00570BF0">
        <w:rPr>
          <w:rFonts w:ascii="Times New Roman" w:hAnsi="Times New Roman"/>
          <w:lang w:val="lv-LV"/>
        </w:rPr>
        <w:t xml:space="preserve"> </w:t>
      </w:r>
    </w:p>
    <w:p w:rsidR="00A9482F" w:rsidRPr="00AE40CC" w:rsidRDefault="00570BF0" w:rsidP="00A9482F">
      <w:pPr>
        <w:spacing w:after="0"/>
        <w:ind w:firstLine="284"/>
        <w:jc w:val="both"/>
        <w:rPr>
          <w:rFonts w:ascii="Times New Roman" w:hAnsi="Times New Roman"/>
          <w:lang w:val="lv-LV"/>
        </w:rPr>
      </w:pPr>
      <w:r w:rsidRPr="00570BF0">
        <w:rPr>
          <w:rFonts w:ascii="Times New Roman" w:hAnsi="Times New Roman"/>
          <w:lang w:val="lv-LV"/>
        </w:rPr>
        <w:t xml:space="preserve">Lai novērtētu Programmas rezultātus svarīgi ir gūt priekšstatu par tās ietekmi uz esošo situāciju. Tas tiks novērtēts, aprēķinot, cik vides tehnoloģijas ir uzlabotas vai izstrādātas Programmas ietvaros. Mērķa vērtība 20 tehnoloģijas tika izvēlēta, balstoties uz rezultātam „Eiropas ekonomikas „zaļošanas” biznesa iespēju realizācija” pieejamo finansējumu. Kopējais šim rezultātam pieejamais finansējums ir 4 575 563 lati (EUR 6 510 440) un vidēji katram no 20 projektiem būtu pieejami 228 778 lati (EUR 325 522).  </w:t>
      </w:r>
    </w:p>
    <w:p w:rsidR="00A9482F" w:rsidRPr="00AE40CC" w:rsidRDefault="00570BF0" w:rsidP="00E95165">
      <w:pPr>
        <w:ind w:firstLine="284"/>
        <w:jc w:val="both"/>
        <w:rPr>
          <w:rFonts w:ascii="Times New Roman" w:hAnsi="Times New Roman"/>
          <w:lang w:val="lv-LV"/>
        </w:rPr>
      </w:pPr>
      <w:r w:rsidRPr="00570BF0">
        <w:rPr>
          <w:rFonts w:ascii="Times New Roman" w:hAnsi="Times New Roman"/>
          <w:lang w:val="lv-LV"/>
        </w:rPr>
        <w:lastRenderedPageBreak/>
        <w:t xml:space="preserve">Rezultātam „Palielināta „zaļo” darba vietu radīšana un uzņēmējdarbība” donora valsts nav norādījusi indikatorus, no kuriem izvēlēties, tādēļ EM ir ierosinājusi savu indikatoru – „Radīto „zaļo” darba vietu skaits”. Šis indikators ir ļoti būtisks, jo tas norāda, kā ir pieaugusi „zaļo” nozaru nozīme Latvijā. Tāpat tas palīdzēs izvērtēt komersantu panākumus, pieņemot, ka nodarbinātības pieaugums nozīmē lielākus panākumus. Šis rādītājs ir nozīmīgs no valsts perspektīvas, jo tas samazina bezdarbu un nozīmē nodokļu maksājumu apjoma pieaugumu. Turklāt tas atbilst Norvēģijas Finanšu </w:t>
      </w:r>
      <w:r w:rsidR="003740CA">
        <w:rPr>
          <w:rFonts w:ascii="Times New Roman" w:hAnsi="Times New Roman"/>
          <w:lang w:val="lv-LV"/>
        </w:rPr>
        <w:t>instrumenta</w:t>
      </w:r>
      <w:r w:rsidR="003740CA" w:rsidRPr="00AE40CC">
        <w:rPr>
          <w:rFonts w:ascii="Times New Roman" w:hAnsi="Times New Roman"/>
          <w:lang w:val="lv-LV"/>
        </w:rPr>
        <w:t xml:space="preserve"> </w:t>
      </w:r>
      <w:r w:rsidR="00E95165" w:rsidRPr="00AE40CC">
        <w:rPr>
          <w:rFonts w:ascii="Times New Roman" w:hAnsi="Times New Roman"/>
          <w:lang w:val="lv-LV"/>
        </w:rPr>
        <w:t>vispārējam mērķim samazināt sociālās un ekonomiskās atšķirības Eiropas Ekonomikas zonā</w:t>
      </w:r>
      <w:r w:rsidR="00137FE3" w:rsidRPr="00AE40CC">
        <w:rPr>
          <w:rFonts w:ascii="Times New Roman" w:hAnsi="Times New Roman"/>
          <w:lang w:val="lv-LV"/>
        </w:rPr>
        <w:t xml:space="preserve">. </w:t>
      </w:r>
      <w:r w:rsidR="00A9470A" w:rsidRPr="00AE40CC">
        <w:rPr>
          <w:rFonts w:ascii="Times New Roman" w:hAnsi="Times New Roman"/>
          <w:lang w:val="lv-LV"/>
        </w:rPr>
        <w:t>Šī rādīt</w:t>
      </w:r>
      <w:r w:rsidR="00AF0D5A" w:rsidRPr="00AE40CC">
        <w:rPr>
          <w:rFonts w:ascii="Times New Roman" w:hAnsi="Times New Roman"/>
          <w:lang w:val="lv-LV"/>
        </w:rPr>
        <w:t>āja mērķa vērtība tika izvēlēta</w:t>
      </w:r>
      <w:r w:rsidR="00A9470A" w:rsidRPr="00AE40CC">
        <w:rPr>
          <w:rFonts w:ascii="Times New Roman" w:hAnsi="Times New Roman"/>
          <w:lang w:val="lv-LV"/>
        </w:rPr>
        <w:t>,</w:t>
      </w:r>
      <w:r w:rsidRPr="00570BF0">
        <w:rPr>
          <w:rFonts w:ascii="Times New Roman" w:hAnsi="Times New Roman"/>
          <w:lang w:val="lv-LV"/>
        </w:rPr>
        <w:t xml:space="preserve"> balstoties uz faktu, ka paredzēts 40 komersantiem sniegt inkubācijas pakalpojumus un atbalstot un attīstot jaunus komersantus, tiek sagaidīts, ka katrs no šiem komersantiem palielinās savu darbinieku skaitu vismaz par 2. </w:t>
      </w:r>
    </w:p>
    <w:bookmarkEnd w:id="34"/>
    <w:bookmarkEnd w:id="35"/>
    <w:bookmarkEnd w:id="36"/>
    <w:bookmarkEnd w:id="37"/>
    <w:p w:rsidR="00A9482F" w:rsidRPr="00AE40CC" w:rsidRDefault="00570BF0" w:rsidP="00A9482F">
      <w:pPr>
        <w:pStyle w:val="Heading3"/>
        <w:spacing w:before="0"/>
        <w:rPr>
          <w:rFonts w:ascii="Times New Roman" w:hAnsi="Times New Roman"/>
          <w:lang w:val="lv-LV"/>
        </w:rPr>
      </w:pPr>
      <w:r w:rsidRPr="00570BF0">
        <w:rPr>
          <w:rFonts w:ascii="Times New Roman" w:hAnsi="Times New Roman"/>
          <w:lang w:val="lv-LV"/>
        </w:rPr>
        <w:t xml:space="preserve">Programmas iznākumi </w:t>
      </w:r>
      <w:bookmarkEnd w:id="38"/>
    </w:p>
    <w:p w:rsidR="00A9482F" w:rsidRPr="00AE40CC" w:rsidRDefault="00570BF0" w:rsidP="00A9482F">
      <w:pPr>
        <w:spacing w:after="0"/>
        <w:rPr>
          <w:rFonts w:ascii="Times New Roman" w:hAnsi="Times New Roman"/>
          <w:lang w:val="lv-LV"/>
        </w:rPr>
      </w:pPr>
      <w:r w:rsidRPr="00570BF0">
        <w:rPr>
          <w:rFonts w:ascii="Times New Roman" w:hAnsi="Times New Roman"/>
          <w:b/>
          <w:lang w:val="lv-LV"/>
        </w:rPr>
        <w:t>Definēt vismaz 2 Programmas iznākumus ar pievienotiem indikatoriem katram plānotajam rezultātam.</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848"/>
        <w:gridCol w:w="2822"/>
        <w:gridCol w:w="1418"/>
        <w:gridCol w:w="1417"/>
        <w:gridCol w:w="2693"/>
      </w:tblGrid>
      <w:tr w:rsidR="005359C7" w:rsidRPr="00AE40CC">
        <w:trPr>
          <w:trHeight w:val="195"/>
        </w:trPr>
        <w:tc>
          <w:tcPr>
            <w:tcW w:w="1951" w:type="dxa"/>
            <w:shd w:val="clear" w:color="auto" w:fill="CCCCCC"/>
          </w:tcPr>
          <w:p w:rsidR="005359C7" w:rsidRPr="00AE40CC" w:rsidRDefault="00570BF0" w:rsidP="009E4AD6">
            <w:pPr>
              <w:jc w:val="center"/>
              <w:rPr>
                <w:rFonts w:ascii="Times New Roman" w:hAnsi="Times New Roman"/>
                <w:b/>
                <w:lang w:val="lv-LV"/>
              </w:rPr>
            </w:pPr>
            <w:r w:rsidRPr="00570BF0">
              <w:rPr>
                <w:rFonts w:ascii="Times New Roman" w:hAnsi="Times New Roman"/>
                <w:b/>
                <w:lang w:val="lv-LV"/>
              </w:rPr>
              <w:t>Rezultāts</w:t>
            </w:r>
          </w:p>
        </w:tc>
        <w:tc>
          <w:tcPr>
            <w:tcW w:w="2848" w:type="dxa"/>
            <w:shd w:val="clear" w:color="auto" w:fill="CCCCCC"/>
          </w:tcPr>
          <w:p w:rsidR="005359C7" w:rsidRPr="00AE40CC" w:rsidRDefault="00570BF0" w:rsidP="009E4AD6">
            <w:pPr>
              <w:jc w:val="center"/>
              <w:rPr>
                <w:rFonts w:ascii="Times New Roman" w:hAnsi="Times New Roman"/>
                <w:b/>
                <w:lang w:val="lv-LV"/>
              </w:rPr>
            </w:pPr>
            <w:r w:rsidRPr="00570BF0">
              <w:rPr>
                <w:rFonts w:ascii="Times New Roman" w:hAnsi="Times New Roman"/>
                <w:b/>
                <w:lang w:val="lv-LV"/>
              </w:rPr>
              <w:t>Iznākums</w:t>
            </w:r>
          </w:p>
        </w:tc>
        <w:tc>
          <w:tcPr>
            <w:tcW w:w="2822" w:type="dxa"/>
            <w:shd w:val="clear" w:color="auto" w:fill="CCCCCC"/>
          </w:tcPr>
          <w:p w:rsidR="005359C7" w:rsidRPr="00AE40CC" w:rsidRDefault="00570BF0" w:rsidP="009E4AD6">
            <w:pPr>
              <w:jc w:val="center"/>
              <w:rPr>
                <w:rFonts w:ascii="Times New Roman" w:hAnsi="Times New Roman"/>
                <w:b/>
                <w:lang w:val="lv-LV"/>
              </w:rPr>
            </w:pPr>
            <w:r w:rsidRPr="00570BF0">
              <w:rPr>
                <w:rFonts w:ascii="Times New Roman" w:hAnsi="Times New Roman"/>
                <w:b/>
                <w:lang w:val="lv-LV"/>
              </w:rPr>
              <w:t>Iznākuma indikators</w:t>
            </w:r>
          </w:p>
        </w:tc>
        <w:tc>
          <w:tcPr>
            <w:tcW w:w="2835" w:type="dxa"/>
            <w:gridSpan w:val="2"/>
            <w:shd w:val="clear" w:color="auto" w:fill="CCCCCC"/>
          </w:tcPr>
          <w:p w:rsidR="005359C7" w:rsidRPr="00AE40CC" w:rsidRDefault="00570BF0" w:rsidP="009E4AD6">
            <w:pPr>
              <w:ind w:left="-108" w:firstLine="108"/>
              <w:jc w:val="center"/>
              <w:rPr>
                <w:rFonts w:ascii="Times New Roman" w:hAnsi="Times New Roman"/>
                <w:b/>
                <w:lang w:val="lv-LV"/>
              </w:rPr>
            </w:pPr>
            <w:r w:rsidRPr="00570BF0">
              <w:rPr>
                <w:rFonts w:ascii="Times New Roman" w:hAnsi="Times New Roman"/>
                <w:b/>
                <w:lang w:val="lv-LV"/>
              </w:rPr>
              <w:t>Indikatora vērtība</w:t>
            </w:r>
          </w:p>
        </w:tc>
        <w:tc>
          <w:tcPr>
            <w:tcW w:w="2693" w:type="dxa"/>
            <w:shd w:val="clear" w:color="auto" w:fill="CCCCCC"/>
          </w:tcPr>
          <w:p w:rsidR="005359C7" w:rsidRPr="00AE40CC" w:rsidRDefault="00570BF0" w:rsidP="009E4AD6">
            <w:pPr>
              <w:jc w:val="center"/>
              <w:rPr>
                <w:rFonts w:ascii="Times New Roman" w:hAnsi="Times New Roman"/>
                <w:b/>
                <w:lang w:val="lv-LV"/>
              </w:rPr>
            </w:pPr>
            <w:r w:rsidRPr="00570BF0">
              <w:rPr>
                <w:rFonts w:ascii="Times New Roman" w:hAnsi="Times New Roman"/>
                <w:b/>
                <w:lang w:val="lv-LV"/>
              </w:rPr>
              <w:t>Apraksts</w:t>
            </w:r>
          </w:p>
        </w:tc>
      </w:tr>
      <w:tr w:rsidR="00924EEC" w:rsidRPr="00AE40CC">
        <w:trPr>
          <w:trHeight w:val="340"/>
        </w:trPr>
        <w:tc>
          <w:tcPr>
            <w:tcW w:w="1951" w:type="dxa"/>
            <w:vMerge w:val="restart"/>
            <w:tcBorders>
              <w:top w:val="single" w:sz="12" w:space="0" w:color="auto"/>
            </w:tcBorders>
            <w:vAlign w:val="center"/>
          </w:tcPr>
          <w:p w:rsidR="00924EEC" w:rsidRPr="00AE40CC" w:rsidRDefault="00570BF0" w:rsidP="00A9482F">
            <w:pPr>
              <w:jc w:val="center"/>
              <w:rPr>
                <w:rFonts w:ascii="Times New Roman" w:hAnsi="Times New Roman"/>
                <w:lang w:val="lv-LV"/>
              </w:rPr>
            </w:pPr>
            <w:r w:rsidRPr="00570BF0">
              <w:rPr>
                <w:rFonts w:ascii="Times New Roman" w:hAnsi="Times New Roman"/>
                <w:lang w:val="lv-LV"/>
              </w:rPr>
              <w:t>Eiropas ekonomikas „zaļošanas” biznesa iespēju realizācija</w:t>
            </w:r>
          </w:p>
        </w:tc>
        <w:tc>
          <w:tcPr>
            <w:tcW w:w="2848" w:type="dxa"/>
            <w:vMerge w:val="restart"/>
            <w:tcBorders>
              <w:top w:val="single" w:sz="12" w:space="0" w:color="auto"/>
            </w:tcBorders>
            <w:vAlign w:val="center"/>
          </w:tcPr>
          <w:p w:rsidR="00924EEC" w:rsidRPr="00AE40CC" w:rsidRDefault="00570BF0" w:rsidP="006C4D3E">
            <w:pPr>
              <w:jc w:val="center"/>
              <w:rPr>
                <w:rFonts w:ascii="Times New Roman" w:hAnsi="Times New Roman"/>
                <w:lang w:val="lv-LV"/>
              </w:rPr>
            </w:pPr>
            <w:r w:rsidRPr="00570BF0">
              <w:rPr>
                <w:rFonts w:ascii="Times New Roman" w:hAnsi="Times New Roman"/>
                <w:lang w:val="lv-LV"/>
              </w:rPr>
              <w:t>Palielināt komersantu investīcijas „zaļajās” nozarēs</w:t>
            </w:r>
          </w:p>
        </w:tc>
        <w:tc>
          <w:tcPr>
            <w:tcW w:w="2822" w:type="dxa"/>
            <w:vMerge w:val="restart"/>
            <w:tcBorders>
              <w:top w:val="single" w:sz="12" w:space="0" w:color="auto"/>
            </w:tcBorders>
            <w:vAlign w:val="center"/>
          </w:tcPr>
          <w:p w:rsidR="00924EEC" w:rsidRPr="00AE40CC" w:rsidRDefault="00570BF0" w:rsidP="00A9482F">
            <w:pPr>
              <w:jc w:val="center"/>
              <w:rPr>
                <w:rFonts w:ascii="Times New Roman" w:hAnsi="Times New Roman"/>
                <w:lang w:val="lv-LV"/>
              </w:rPr>
            </w:pPr>
            <w:r w:rsidRPr="00570BF0">
              <w:rPr>
                <w:rFonts w:ascii="Times New Roman" w:hAnsi="Times New Roman"/>
                <w:lang w:val="lv-LV"/>
              </w:rPr>
              <w:t>Privātā sektora investīciju apjoms „zaļajās” nozarēs</w:t>
            </w:r>
          </w:p>
          <w:p w:rsidR="00924EEC" w:rsidRPr="00AE40CC" w:rsidRDefault="00924EEC" w:rsidP="00A9482F">
            <w:pPr>
              <w:jc w:val="center"/>
              <w:rPr>
                <w:rFonts w:ascii="Times New Roman" w:hAnsi="Times New Roman"/>
                <w:lang w:val="lv-LV"/>
              </w:rPr>
            </w:pPr>
          </w:p>
        </w:tc>
        <w:tc>
          <w:tcPr>
            <w:tcW w:w="1418" w:type="dxa"/>
            <w:tcBorders>
              <w:top w:val="single" w:sz="12" w:space="0" w:color="auto"/>
              <w:bottom w:val="single" w:sz="4" w:space="0" w:color="auto"/>
            </w:tcBorders>
            <w:vAlign w:val="center"/>
          </w:tcPr>
          <w:p w:rsidR="00924EEC" w:rsidRPr="00AE40CC" w:rsidRDefault="00570BF0" w:rsidP="009E4AD6">
            <w:pPr>
              <w:jc w:val="center"/>
              <w:rPr>
                <w:rFonts w:ascii="Times New Roman" w:hAnsi="Times New Roman"/>
                <w:lang w:val="lv-LV"/>
              </w:rPr>
            </w:pPr>
            <w:r w:rsidRPr="00570BF0">
              <w:rPr>
                <w:rFonts w:ascii="Times New Roman" w:hAnsi="Times New Roman"/>
                <w:lang w:val="lv-LV"/>
              </w:rPr>
              <w:t>Bāzes vērtība</w:t>
            </w:r>
          </w:p>
        </w:tc>
        <w:tc>
          <w:tcPr>
            <w:tcW w:w="1417" w:type="dxa"/>
            <w:tcBorders>
              <w:top w:val="single" w:sz="12" w:space="0" w:color="auto"/>
              <w:bottom w:val="single" w:sz="4" w:space="0" w:color="auto"/>
            </w:tcBorders>
            <w:vAlign w:val="center"/>
          </w:tcPr>
          <w:p w:rsidR="00924EEC" w:rsidRPr="00AE40CC" w:rsidRDefault="00570BF0" w:rsidP="009E4AD6">
            <w:pPr>
              <w:jc w:val="center"/>
              <w:rPr>
                <w:rFonts w:ascii="Times New Roman" w:hAnsi="Times New Roman"/>
                <w:lang w:val="lv-LV"/>
              </w:rPr>
            </w:pPr>
            <w:r w:rsidRPr="00570BF0">
              <w:rPr>
                <w:rFonts w:ascii="Times New Roman" w:hAnsi="Times New Roman"/>
                <w:lang w:val="lv-LV"/>
              </w:rPr>
              <w:t>Mērķa vērtība</w:t>
            </w:r>
          </w:p>
        </w:tc>
        <w:tc>
          <w:tcPr>
            <w:tcW w:w="2693" w:type="dxa"/>
            <w:vMerge w:val="restart"/>
            <w:tcBorders>
              <w:top w:val="single" w:sz="12" w:space="0" w:color="auto"/>
            </w:tcBorders>
          </w:tcPr>
          <w:p w:rsidR="00924EEC" w:rsidRPr="00AE40CC" w:rsidRDefault="00570BF0" w:rsidP="00AF13CF">
            <w:pPr>
              <w:jc w:val="both"/>
              <w:rPr>
                <w:rFonts w:ascii="Times New Roman" w:hAnsi="Times New Roman"/>
                <w:color w:val="000000"/>
                <w:lang w:val="lv-LV"/>
              </w:rPr>
            </w:pPr>
            <w:r w:rsidRPr="00570BF0">
              <w:rPr>
                <w:rFonts w:ascii="Times New Roman" w:hAnsi="Times New Roman"/>
                <w:lang w:val="lv-LV"/>
              </w:rPr>
              <w:t>Progress tiks novērtēts salīdzinājumā ar Tehnoloģiju inkubatora sasniegumiem. Apliecinājuma avots būs projekta iesniegumi un projekta un Programmas progresa ziņojumi</w:t>
            </w:r>
            <w:r w:rsidRPr="00570BF0">
              <w:rPr>
                <w:rFonts w:ascii="Times New Roman" w:hAnsi="Times New Roman"/>
                <w:color w:val="000000"/>
                <w:lang w:val="lv-LV"/>
              </w:rPr>
              <w:t>.</w:t>
            </w:r>
          </w:p>
        </w:tc>
      </w:tr>
      <w:tr w:rsidR="00A9482F" w:rsidRPr="00AE40CC">
        <w:trPr>
          <w:trHeight w:val="568"/>
        </w:trPr>
        <w:tc>
          <w:tcPr>
            <w:tcW w:w="1951" w:type="dxa"/>
            <w:vMerge/>
            <w:textDirection w:val="btLr"/>
          </w:tcPr>
          <w:p w:rsidR="00A9482F" w:rsidRPr="00AE40CC" w:rsidRDefault="00A9482F" w:rsidP="00A9482F">
            <w:pPr>
              <w:ind w:left="113" w:right="113"/>
              <w:rPr>
                <w:rFonts w:ascii="Times New Roman" w:hAnsi="Times New Roman"/>
                <w:lang w:val="lv-LV"/>
              </w:rPr>
            </w:pPr>
          </w:p>
        </w:tc>
        <w:tc>
          <w:tcPr>
            <w:tcW w:w="2848" w:type="dxa"/>
            <w:vMerge/>
            <w:tcBorders>
              <w:top w:val="single" w:sz="12" w:space="0" w:color="auto"/>
            </w:tcBorders>
          </w:tcPr>
          <w:p w:rsidR="00A9482F" w:rsidRPr="00AE40CC" w:rsidRDefault="00A9482F" w:rsidP="00A9482F">
            <w:pPr>
              <w:rPr>
                <w:rFonts w:ascii="Times New Roman" w:hAnsi="Times New Roman"/>
                <w:b/>
                <w:lang w:val="lv-LV"/>
              </w:rPr>
            </w:pPr>
          </w:p>
        </w:tc>
        <w:tc>
          <w:tcPr>
            <w:tcW w:w="2822" w:type="dxa"/>
            <w:vMerge/>
            <w:tcBorders>
              <w:top w:val="single" w:sz="12" w:space="0" w:color="auto"/>
            </w:tcBorders>
          </w:tcPr>
          <w:p w:rsidR="00A9482F" w:rsidRPr="00AE40CC" w:rsidRDefault="00A9482F" w:rsidP="00A9482F">
            <w:pPr>
              <w:rPr>
                <w:rFonts w:ascii="Times New Roman" w:hAnsi="Times New Roman"/>
                <w:lang w:val="lv-LV"/>
              </w:rPr>
            </w:pPr>
          </w:p>
        </w:tc>
        <w:tc>
          <w:tcPr>
            <w:tcW w:w="1418" w:type="dxa"/>
            <w:tcBorders>
              <w:top w:val="single" w:sz="4" w:space="0" w:color="auto"/>
            </w:tcBorders>
            <w:vAlign w:val="center"/>
          </w:tcPr>
          <w:p w:rsidR="00A9482F" w:rsidRPr="00AE40CC" w:rsidRDefault="00570BF0" w:rsidP="00A9482F">
            <w:pPr>
              <w:jc w:val="center"/>
              <w:rPr>
                <w:rFonts w:ascii="Times New Roman" w:hAnsi="Times New Roman"/>
                <w:lang w:val="lv-LV"/>
              </w:rPr>
            </w:pPr>
            <w:r w:rsidRPr="00570BF0">
              <w:rPr>
                <w:rFonts w:ascii="Times New Roman" w:hAnsi="Times New Roman"/>
                <w:lang w:val="lv-LV"/>
              </w:rPr>
              <w:t>0</w:t>
            </w:r>
          </w:p>
        </w:tc>
        <w:tc>
          <w:tcPr>
            <w:tcW w:w="1417" w:type="dxa"/>
            <w:tcBorders>
              <w:top w:val="single" w:sz="4" w:space="0" w:color="auto"/>
            </w:tcBorders>
            <w:vAlign w:val="center"/>
          </w:tcPr>
          <w:p w:rsidR="000972D7" w:rsidRPr="00AE40CC" w:rsidRDefault="00570BF0" w:rsidP="00A9482F">
            <w:pPr>
              <w:spacing w:after="0"/>
              <w:jc w:val="center"/>
              <w:rPr>
                <w:rFonts w:ascii="Times New Roman" w:hAnsi="Times New Roman"/>
                <w:lang w:val="lv-LV"/>
              </w:rPr>
            </w:pPr>
            <w:r w:rsidRPr="00570BF0">
              <w:rPr>
                <w:rFonts w:ascii="Times New Roman" w:hAnsi="Times New Roman"/>
                <w:lang w:val="lv-LV"/>
              </w:rPr>
              <w:t>6 510 440</w:t>
            </w:r>
          </w:p>
          <w:p w:rsidR="00A9482F" w:rsidRPr="00AE40CC" w:rsidRDefault="00A9482F" w:rsidP="00A9482F">
            <w:pPr>
              <w:spacing w:after="0"/>
              <w:jc w:val="center"/>
              <w:rPr>
                <w:rFonts w:ascii="Times New Roman" w:hAnsi="Times New Roman"/>
                <w:lang w:val="lv-LV"/>
              </w:rPr>
            </w:pPr>
          </w:p>
        </w:tc>
        <w:tc>
          <w:tcPr>
            <w:tcW w:w="2693" w:type="dxa"/>
            <w:vMerge/>
            <w:tcBorders>
              <w:top w:val="single" w:sz="12" w:space="0" w:color="auto"/>
            </w:tcBorders>
          </w:tcPr>
          <w:p w:rsidR="00A9482F" w:rsidRPr="00AE40CC" w:rsidRDefault="00A9482F" w:rsidP="00A9482F">
            <w:pPr>
              <w:rPr>
                <w:rFonts w:ascii="Times New Roman" w:hAnsi="Times New Roman"/>
                <w:color w:val="000000"/>
                <w:lang w:val="lv-LV"/>
              </w:rPr>
            </w:pPr>
          </w:p>
        </w:tc>
      </w:tr>
      <w:tr w:rsidR="00924EEC" w:rsidRPr="00AE40CC">
        <w:trPr>
          <w:trHeight w:val="340"/>
        </w:trPr>
        <w:tc>
          <w:tcPr>
            <w:tcW w:w="1951" w:type="dxa"/>
            <w:vMerge/>
          </w:tcPr>
          <w:p w:rsidR="00924EEC" w:rsidRPr="00AE40CC" w:rsidRDefault="00924EEC" w:rsidP="00A9482F">
            <w:pPr>
              <w:rPr>
                <w:rFonts w:ascii="Times New Roman" w:hAnsi="Times New Roman"/>
                <w:lang w:val="lv-LV"/>
              </w:rPr>
            </w:pPr>
          </w:p>
        </w:tc>
        <w:tc>
          <w:tcPr>
            <w:tcW w:w="2848" w:type="dxa"/>
            <w:vMerge w:val="restart"/>
            <w:vAlign w:val="center"/>
          </w:tcPr>
          <w:p w:rsidR="00924EEC" w:rsidRPr="00AE40CC" w:rsidRDefault="00570BF0" w:rsidP="0000285E">
            <w:pPr>
              <w:jc w:val="center"/>
              <w:rPr>
                <w:rFonts w:ascii="Times New Roman" w:hAnsi="Times New Roman"/>
                <w:lang w:val="lv-LV"/>
              </w:rPr>
            </w:pPr>
            <w:r w:rsidRPr="00570BF0">
              <w:rPr>
                <w:rFonts w:ascii="Times New Roman" w:hAnsi="Times New Roman"/>
              </w:rPr>
              <w:t>Donorvalsts</w:t>
            </w:r>
            <w:r w:rsidRPr="00570BF0">
              <w:rPr>
                <w:rFonts w:ascii="Times New Roman" w:hAnsi="Times New Roman"/>
                <w:lang w:val="lv-LV"/>
              </w:rPr>
              <w:t xml:space="preserve"> valstu pārstāvju interese uzsāk partnerības projektus „zaļajās” nozarēs </w:t>
            </w:r>
          </w:p>
        </w:tc>
        <w:tc>
          <w:tcPr>
            <w:tcW w:w="2822" w:type="dxa"/>
            <w:vMerge w:val="restart"/>
            <w:vAlign w:val="center"/>
          </w:tcPr>
          <w:p w:rsidR="00924EEC" w:rsidRPr="00AE40CC" w:rsidRDefault="00570BF0" w:rsidP="00092845">
            <w:pPr>
              <w:jc w:val="center"/>
              <w:rPr>
                <w:rFonts w:ascii="Times New Roman" w:hAnsi="Times New Roman"/>
                <w:lang w:val="lv-LV"/>
              </w:rPr>
            </w:pPr>
            <w:r w:rsidRPr="00570BF0">
              <w:rPr>
                <w:rFonts w:ascii="Times New Roman" w:hAnsi="Times New Roman"/>
                <w:lang w:val="lv-LV"/>
              </w:rPr>
              <w:t>Projekti ar Norvēģijas partneriem</w:t>
            </w:r>
            <w:r w:rsidR="004D213B" w:rsidRPr="00AE40CC">
              <w:rPr>
                <w:rStyle w:val="FootnoteReference"/>
                <w:rFonts w:ascii="Times New Roman" w:hAnsi="Times New Roman"/>
                <w:lang w:val="lv-LV"/>
              </w:rPr>
              <w:footnoteReference w:id="9"/>
            </w:r>
            <w:r w:rsidR="0000285E" w:rsidRPr="00AE40CC">
              <w:rPr>
                <w:rFonts w:ascii="Times New Roman" w:hAnsi="Times New Roman"/>
                <w:lang w:val="lv-LV"/>
              </w:rPr>
              <w:t xml:space="preserve"> </w:t>
            </w:r>
          </w:p>
        </w:tc>
        <w:tc>
          <w:tcPr>
            <w:tcW w:w="1418" w:type="dxa"/>
            <w:vAlign w:val="center"/>
          </w:tcPr>
          <w:p w:rsidR="00924EEC" w:rsidRPr="00AE40CC" w:rsidRDefault="00570BF0" w:rsidP="009E4AD6">
            <w:pPr>
              <w:jc w:val="center"/>
              <w:rPr>
                <w:rFonts w:ascii="Times New Roman" w:hAnsi="Times New Roman"/>
                <w:lang w:val="lv-LV"/>
              </w:rPr>
            </w:pPr>
            <w:r w:rsidRPr="00570BF0">
              <w:rPr>
                <w:rFonts w:ascii="Times New Roman" w:hAnsi="Times New Roman"/>
                <w:lang w:val="lv-LV"/>
              </w:rPr>
              <w:t>Bāzes vērtība</w:t>
            </w:r>
          </w:p>
        </w:tc>
        <w:tc>
          <w:tcPr>
            <w:tcW w:w="1417" w:type="dxa"/>
            <w:vAlign w:val="center"/>
          </w:tcPr>
          <w:p w:rsidR="00924EEC" w:rsidRPr="00AE40CC" w:rsidRDefault="00570BF0" w:rsidP="009E4AD6">
            <w:pPr>
              <w:jc w:val="center"/>
              <w:rPr>
                <w:rFonts w:ascii="Times New Roman" w:hAnsi="Times New Roman"/>
                <w:lang w:val="lv-LV"/>
              </w:rPr>
            </w:pPr>
            <w:r w:rsidRPr="00570BF0">
              <w:rPr>
                <w:rFonts w:ascii="Times New Roman" w:hAnsi="Times New Roman"/>
                <w:lang w:val="lv-LV"/>
              </w:rPr>
              <w:t>Mērķa vērtība</w:t>
            </w:r>
          </w:p>
        </w:tc>
        <w:tc>
          <w:tcPr>
            <w:tcW w:w="2693" w:type="dxa"/>
            <w:vMerge w:val="restart"/>
          </w:tcPr>
          <w:p w:rsidR="00924EEC" w:rsidRPr="00AE40CC" w:rsidRDefault="00570BF0" w:rsidP="006C4D3E">
            <w:pPr>
              <w:spacing w:after="0"/>
              <w:jc w:val="both"/>
              <w:rPr>
                <w:rFonts w:ascii="Times New Roman" w:hAnsi="Times New Roman"/>
                <w:color w:val="000000"/>
                <w:lang w:val="lv-LV"/>
              </w:rPr>
            </w:pPr>
            <w:r w:rsidRPr="00570BF0">
              <w:rPr>
                <w:rFonts w:ascii="Times New Roman" w:hAnsi="Times New Roman"/>
                <w:lang w:val="lv-LV"/>
              </w:rPr>
              <w:t>Tiks vērtēts, cik Tehnoloģiju inkubatorā esošie komersanti nodibinās sakarus ar attiecīgām Norvēģijas iestādēm</w:t>
            </w:r>
            <w:r w:rsidRPr="00570BF0">
              <w:rPr>
                <w:rFonts w:ascii="Times New Roman" w:hAnsi="Times New Roman"/>
                <w:color w:val="000000"/>
                <w:lang w:val="lv-LV"/>
              </w:rPr>
              <w:t xml:space="preserve">. </w:t>
            </w:r>
            <w:r w:rsidRPr="00570BF0">
              <w:rPr>
                <w:rFonts w:ascii="Times New Roman" w:hAnsi="Times New Roman"/>
                <w:lang w:val="lv-LV"/>
              </w:rPr>
              <w:t>Apliecinājuma avots būs projekta un Programmas progresa ziņojumi</w:t>
            </w:r>
            <w:r w:rsidRPr="00570BF0">
              <w:rPr>
                <w:rFonts w:ascii="Times New Roman" w:hAnsi="Times New Roman"/>
                <w:color w:val="000000"/>
                <w:lang w:val="lv-LV"/>
              </w:rPr>
              <w:t>.</w:t>
            </w:r>
          </w:p>
        </w:tc>
      </w:tr>
      <w:tr w:rsidR="00A9482F" w:rsidRPr="00AE40CC">
        <w:trPr>
          <w:trHeight w:val="593"/>
        </w:trPr>
        <w:tc>
          <w:tcPr>
            <w:tcW w:w="1951" w:type="dxa"/>
            <w:vMerge/>
          </w:tcPr>
          <w:p w:rsidR="00A9482F" w:rsidRPr="00AE40CC" w:rsidRDefault="00A9482F" w:rsidP="00A9482F">
            <w:pPr>
              <w:spacing w:after="0"/>
              <w:rPr>
                <w:rFonts w:ascii="Times New Roman" w:hAnsi="Times New Roman"/>
                <w:lang w:val="lv-LV"/>
              </w:rPr>
            </w:pPr>
          </w:p>
        </w:tc>
        <w:tc>
          <w:tcPr>
            <w:tcW w:w="2848" w:type="dxa"/>
            <w:vMerge/>
          </w:tcPr>
          <w:p w:rsidR="00A9482F" w:rsidRPr="00AE40CC" w:rsidRDefault="00A9482F" w:rsidP="00A9482F">
            <w:pPr>
              <w:spacing w:after="0"/>
              <w:rPr>
                <w:rFonts w:ascii="Times New Roman" w:hAnsi="Times New Roman"/>
                <w:lang w:val="lv-LV"/>
              </w:rPr>
            </w:pPr>
          </w:p>
        </w:tc>
        <w:tc>
          <w:tcPr>
            <w:tcW w:w="2822" w:type="dxa"/>
            <w:vMerge/>
          </w:tcPr>
          <w:p w:rsidR="00A9482F" w:rsidRPr="00AE40CC" w:rsidRDefault="00A9482F" w:rsidP="00A9482F">
            <w:pPr>
              <w:spacing w:after="0"/>
              <w:rPr>
                <w:rFonts w:ascii="Times New Roman" w:hAnsi="Times New Roman"/>
                <w:b/>
                <w:lang w:val="lv-LV"/>
              </w:rPr>
            </w:pPr>
          </w:p>
        </w:tc>
        <w:tc>
          <w:tcPr>
            <w:tcW w:w="1418" w:type="dxa"/>
            <w:vAlign w:val="center"/>
          </w:tcPr>
          <w:p w:rsidR="00A9482F" w:rsidRPr="00AE40CC" w:rsidRDefault="00570BF0" w:rsidP="00A9482F">
            <w:pPr>
              <w:spacing w:after="0"/>
              <w:jc w:val="center"/>
              <w:rPr>
                <w:rFonts w:ascii="Times New Roman" w:hAnsi="Times New Roman"/>
                <w:lang w:val="lv-LV"/>
              </w:rPr>
            </w:pPr>
            <w:r w:rsidRPr="00570BF0">
              <w:rPr>
                <w:rFonts w:ascii="Times New Roman" w:hAnsi="Times New Roman"/>
                <w:lang w:val="lv-LV"/>
              </w:rPr>
              <w:t xml:space="preserve">0 </w:t>
            </w:r>
          </w:p>
        </w:tc>
        <w:tc>
          <w:tcPr>
            <w:tcW w:w="1417" w:type="dxa"/>
            <w:vAlign w:val="center"/>
          </w:tcPr>
          <w:p w:rsidR="00A9482F" w:rsidRPr="00AE40CC" w:rsidRDefault="00570BF0" w:rsidP="00A9482F">
            <w:pPr>
              <w:spacing w:after="0"/>
              <w:jc w:val="center"/>
              <w:rPr>
                <w:rFonts w:ascii="Times New Roman" w:hAnsi="Times New Roman"/>
                <w:lang w:val="lv-LV"/>
              </w:rPr>
            </w:pPr>
            <w:r w:rsidRPr="00570BF0">
              <w:rPr>
                <w:rFonts w:ascii="Times New Roman" w:hAnsi="Times New Roman"/>
                <w:lang w:val="lv-LV"/>
              </w:rPr>
              <w:t>15</w:t>
            </w:r>
          </w:p>
        </w:tc>
        <w:tc>
          <w:tcPr>
            <w:tcW w:w="2693" w:type="dxa"/>
            <w:vMerge/>
          </w:tcPr>
          <w:p w:rsidR="00A9482F" w:rsidRPr="00AE40CC" w:rsidRDefault="00A9482F" w:rsidP="00A9482F">
            <w:pPr>
              <w:spacing w:after="0"/>
              <w:rPr>
                <w:rFonts w:ascii="Times New Roman" w:hAnsi="Times New Roman"/>
                <w:b/>
                <w:color w:val="000000"/>
                <w:lang w:val="lv-LV"/>
              </w:rPr>
            </w:pPr>
          </w:p>
        </w:tc>
      </w:tr>
      <w:tr w:rsidR="0000285E" w:rsidRPr="00AE40CC">
        <w:trPr>
          <w:trHeight w:val="300"/>
        </w:trPr>
        <w:tc>
          <w:tcPr>
            <w:tcW w:w="1951" w:type="dxa"/>
            <w:vMerge w:val="restart"/>
            <w:vAlign w:val="center"/>
          </w:tcPr>
          <w:p w:rsidR="0000285E" w:rsidRPr="00AE40CC" w:rsidRDefault="00570BF0" w:rsidP="00306D4F">
            <w:pPr>
              <w:spacing w:after="0"/>
              <w:jc w:val="center"/>
              <w:rPr>
                <w:rFonts w:ascii="Times New Roman" w:hAnsi="Times New Roman"/>
                <w:lang w:val="lv-LV"/>
              </w:rPr>
            </w:pPr>
            <w:r w:rsidRPr="00570BF0">
              <w:rPr>
                <w:rFonts w:ascii="Times New Roman" w:hAnsi="Times New Roman"/>
                <w:lang w:val="lv-LV"/>
              </w:rPr>
              <w:t xml:space="preserve">Palielināta „zaļo” darba vietu </w:t>
            </w:r>
            <w:r w:rsidRPr="00570BF0">
              <w:rPr>
                <w:rFonts w:ascii="Times New Roman" w:hAnsi="Times New Roman"/>
                <w:lang w:val="lv-LV"/>
              </w:rPr>
              <w:lastRenderedPageBreak/>
              <w:t xml:space="preserve">radīšana un uzņēmējdarbība </w:t>
            </w:r>
          </w:p>
        </w:tc>
        <w:tc>
          <w:tcPr>
            <w:tcW w:w="2848" w:type="dxa"/>
            <w:vMerge w:val="restart"/>
            <w:vAlign w:val="center"/>
          </w:tcPr>
          <w:p w:rsidR="0000285E" w:rsidRPr="00AE40CC" w:rsidRDefault="00570BF0" w:rsidP="00041781">
            <w:pPr>
              <w:jc w:val="center"/>
              <w:rPr>
                <w:rFonts w:ascii="Times New Roman" w:hAnsi="Times New Roman"/>
                <w:lang w:val="lv-LV"/>
              </w:rPr>
            </w:pPr>
            <w:r w:rsidRPr="00570BF0">
              <w:rPr>
                <w:rFonts w:ascii="Times New Roman" w:hAnsi="Times New Roman"/>
                <w:lang w:val="lv-LV"/>
              </w:rPr>
              <w:lastRenderedPageBreak/>
              <w:t xml:space="preserve">Paaugstināta kompetence un biznesa ideju koncentrēšana </w:t>
            </w:r>
            <w:r w:rsidRPr="00570BF0">
              <w:rPr>
                <w:rFonts w:ascii="Times New Roman" w:hAnsi="Times New Roman"/>
                <w:lang w:val="lv-LV"/>
              </w:rPr>
              <w:lastRenderedPageBreak/>
              <w:t xml:space="preserve">„zaļajās” nozarēs </w:t>
            </w:r>
          </w:p>
        </w:tc>
        <w:tc>
          <w:tcPr>
            <w:tcW w:w="2822" w:type="dxa"/>
            <w:vMerge w:val="restart"/>
            <w:vAlign w:val="center"/>
          </w:tcPr>
          <w:p w:rsidR="0000285E" w:rsidRPr="00AE40CC" w:rsidRDefault="00570BF0" w:rsidP="004E26AB">
            <w:pPr>
              <w:jc w:val="center"/>
              <w:rPr>
                <w:rFonts w:ascii="Times New Roman" w:hAnsi="Times New Roman"/>
                <w:b/>
                <w:lang w:val="lv-LV"/>
              </w:rPr>
            </w:pPr>
            <w:r w:rsidRPr="00570BF0">
              <w:rPr>
                <w:rFonts w:ascii="Times New Roman" w:hAnsi="Times New Roman"/>
                <w:lang w:val="lv-LV"/>
              </w:rPr>
              <w:lastRenderedPageBreak/>
              <w:t xml:space="preserve">Apzinātas idejas ar biznesa potenciālu „zaļās” ražošanas </w:t>
            </w:r>
            <w:r w:rsidRPr="00570BF0">
              <w:rPr>
                <w:rFonts w:ascii="Times New Roman" w:hAnsi="Times New Roman"/>
                <w:lang w:val="lv-LV"/>
              </w:rPr>
              <w:lastRenderedPageBreak/>
              <w:t xml:space="preserve">jomā </w:t>
            </w:r>
          </w:p>
        </w:tc>
        <w:tc>
          <w:tcPr>
            <w:tcW w:w="1418" w:type="dxa"/>
            <w:vAlign w:val="center"/>
          </w:tcPr>
          <w:p w:rsidR="0000285E" w:rsidRPr="00AE40CC" w:rsidRDefault="00570BF0" w:rsidP="009E4AD6">
            <w:pPr>
              <w:jc w:val="center"/>
              <w:rPr>
                <w:rFonts w:ascii="Times New Roman" w:hAnsi="Times New Roman"/>
                <w:lang w:val="lv-LV"/>
              </w:rPr>
            </w:pPr>
            <w:r w:rsidRPr="00570BF0">
              <w:rPr>
                <w:rFonts w:ascii="Times New Roman" w:hAnsi="Times New Roman"/>
                <w:lang w:val="lv-LV"/>
              </w:rPr>
              <w:lastRenderedPageBreak/>
              <w:t>Bāzes vērtība</w:t>
            </w:r>
          </w:p>
        </w:tc>
        <w:tc>
          <w:tcPr>
            <w:tcW w:w="1417" w:type="dxa"/>
            <w:vAlign w:val="center"/>
          </w:tcPr>
          <w:p w:rsidR="0000285E" w:rsidRPr="00AE40CC" w:rsidRDefault="00570BF0" w:rsidP="009E4AD6">
            <w:pPr>
              <w:jc w:val="center"/>
              <w:rPr>
                <w:rFonts w:ascii="Times New Roman" w:hAnsi="Times New Roman"/>
                <w:lang w:val="lv-LV"/>
              </w:rPr>
            </w:pPr>
            <w:r w:rsidRPr="00570BF0">
              <w:rPr>
                <w:rFonts w:ascii="Times New Roman" w:hAnsi="Times New Roman"/>
                <w:lang w:val="lv-LV"/>
              </w:rPr>
              <w:t>Mērķa vērtība</w:t>
            </w:r>
          </w:p>
        </w:tc>
        <w:tc>
          <w:tcPr>
            <w:tcW w:w="2693" w:type="dxa"/>
            <w:vMerge w:val="restart"/>
          </w:tcPr>
          <w:p w:rsidR="0000285E" w:rsidRPr="00AE40CC" w:rsidRDefault="00570BF0" w:rsidP="004E26AB">
            <w:pPr>
              <w:spacing w:after="0"/>
              <w:jc w:val="both"/>
              <w:rPr>
                <w:rFonts w:ascii="Times New Roman" w:hAnsi="Times New Roman"/>
                <w:b/>
                <w:color w:val="000000"/>
                <w:lang w:val="lv-LV"/>
              </w:rPr>
            </w:pPr>
            <w:r w:rsidRPr="00570BF0">
              <w:rPr>
                <w:rFonts w:ascii="Times New Roman" w:hAnsi="Times New Roman"/>
                <w:lang w:val="lv-LV"/>
              </w:rPr>
              <w:t xml:space="preserve">Progress tiks novērtēts salīdzinājumā ar </w:t>
            </w:r>
            <w:r w:rsidRPr="00570BF0">
              <w:rPr>
                <w:rFonts w:ascii="Times New Roman" w:hAnsi="Times New Roman"/>
                <w:lang w:val="lv-LV"/>
              </w:rPr>
              <w:lastRenderedPageBreak/>
              <w:t>Tehnoloģiju inkubatora sasniegumiem. Apliecinājuma avots būs Tehnoloģiju inkubatora progresa ziņojumi un pirms inkubācijas finansējumam atbalstīto iesniegumu skaits</w:t>
            </w:r>
            <w:r w:rsidRPr="00570BF0">
              <w:rPr>
                <w:rFonts w:ascii="Times New Roman" w:hAnsi="Times New Roman"/>
                <w:color w:val="000000"/>
                <w:lang w:val="lv-LV"/>
              </w:rPr>
              <w:t>.</w:t>
            </w:r>
          </w:p>
        </w:tc>
      </w:tr>
      <w:tr w:rsidR="00A9482F" w:rsidRPr="00AE40CC">
        <w:trPr>
          <w:trHeight w:val="536"/>
        </w:trPr>
        <w:tc>
          <w:tcPr>
            <w:tcW w:w="1951" w:type="dxa"/>
            <w:vMerge/>
          </w:tcPr>
          <w:p w:rsidR="00A9482F" w:rsidRPr="00AE40CC" w:rsidRDefault="00A9482F" w:rsidP="00A9482F">
            <w:pPr>
              <w:rPr>
                <w:rFonts w:ascii="Times New Roman" w:hAnsi="Times New Roman"/>
                <w:lang w:val="lv-LV"/>
              </w:rPr>
            </w:pPr>
          </w:p>
        </w:tc>
        <w:tc>
          <w:tcPr>
            <w:tcW w:w="2848" w:type="dxa"/>
            <w:vMerge/>
            <w:vAlign w:val="center"/>
          </w:tcPr>
          <w:p w:rsidR="00A9482F" w:rsidRPr="00AE40CC" w:rsidRDefault="00A9482F" w:rsidP="00A9482F">
            <w:pPr>
              <w:jc w:val="center"/>
              <w:rPr>
                <w:rFonts w:ascii="Times New Roman" w:hAnsi="Times New Roman"/>
                <w:lang w:val="lv-LV"/>
              </w:rPr>
            </w:pPr>
          </w:p>
        </w:tc>
        <w:tc>
          <w:tcPr>
            <w:tcW w:w="2822" w:type="dxa"/>
            <w:vMerge/>
            <w:vAlign w:val="center"/>
          </w:tcPr>
          <w:p w:rsidR="00A9482F" w:rsidRPr="00AE40CC" w:rsidRDefault="00A9482F" w:rsidP="00A9482F">
            <w:pPr>
              <w:jc w:val="center"/>
              <w:rPr>
                <w:rFonts w:ascii="Times New Roman" w:hAnsi="Times New Roman"/>
                <w:b/>
                <w:lang w:val="lv-LV"/>
              </w:rPr>
            </w:pPr>
          </w:p>
        </w:tc>
        <w:tc>
          <w:tcPr>
            <w:tcW w:w="1418" w:type="dxa"/>
            <w:vAlign w:val="center"/>
          </w:tcPr>
          <w:p w:rsidR="00A9482F" w:rsidRPr="00AE40CC" w:rsidRDefault="00570BF0" w:rsidP="00A9482F">
            <w:pPr>
              <w:jc w:val="center"/>
              <w:rPr>
                <w:rFonts w:ascii="Times New Roman" w:hAnsi="Times New Roman"/>
                <w:lang w:val="lv-LV"/>
              </w:rPr>
            </w:pPr>
            <w:r w:rsidRPr="00570BF0">
              <w:rPr>
                <w:rFonts w:ascii="Times New Roman" w:hAnsi="Times New Roman"/>
                <w:lang w:val="lv-LV"/>
              </w:rPr>
              <w:t>0</w:t>
            </w:r>
          </w:p>
        </w:tc>
        <w:tc>
          <w:tcPr>
            <w:tcW w:w="1417" w:type="dxa"/>
            <w:vAlign w:val="center"/>
          </w:tcPr>
          <w:p w:rsidR="00A9482F" w:rsidRPr="00AE40CC" w:rsidRDefault="00570BF0" w:rsidP="00A9482F">
            <w:pPr>
              <w:jc w:val="center"/>
              <w:rPr>
                <w:rFonts w:ascii="Times New Roman" w:hAnsi="Times New Roman"/>
                <w:lang w:val="lv-LV"/>
              </w:rPr>
            </w:pPr>
            <w:r w:rsidRPr="00570BF0">
              <w:rPr>
                <w:rFonts w:ascii="Times New Roman" w:hAnsi="Times New Roman"/>
                <w:lang w:val="lv-LV"/>
              </w:rPr>
              <w:t>70</w:t>
            </w:r>
          </w:p>
        </w:tc>
        <w:tc>
          <w:tcPr>
            <w:tcW w:w="2693" w:type="dxa"/>
            <w:vMerge/>
          </w:tcPr>
          <w:p w:rsidR="00A9482F" w:rsidRPr="00AE40CC" w:rsidRDefault="00A9482F" w:rsidP="00A9482F">
            <w:pPr>
              <w:rPr>
                <w:rFonts w:ascii="Times New Roman" w:hAnsi="Times New Roman"/>
                <w:b/>
                <w:lang w:val="lv-LV"/>
              </w:rPr>
            </w:pPr>
          </w:p>
        </w:tc>
      </w:tr>
      <w:tr w:rsidR="0000285E" w:rsidRPr="00AE40CC">
        <w:trPr>
          <w:trHeight w:val="300"/>
        </w:trPr>
        <w:tc>
          <w:tcPr>
            <w:tcW w:w="1951" w:type="dxa"/>
            <w:vMerge/>
          </w:tcPr>
          <w:p w:rsidR="0000285E" w:rsidRPr="00AE40CC" w:rsidRDefault="0000285E" w:rsidP="00A9482F">
            <w:pPr>
              <w:rPr>
                <w:rFonts w:ascii="Times New Roman" w:hAnsi="Times New Roman"/>
                <w:lang w:val="lv-LV"/>
              </w:rPr>
            </w:pPr>
          </w:p>
        </w:tc>
        <w:tc>
          <w:tcPr>
            <w:tcW w:w="2848" w:type="dxa"/>
            <w:vMerge w:val="restart"/>
            <w:vAlign w:val="center"/>
          </w:tcPr>
          <w:p w:rsidR="0000285E" w:rsidRPr="00AE40CC" w:rsidRDefault="0000285E" w:rsidP="007F4FB1">
            <w:pPr>
              <w:jc w:val="center"/>
              <w:rPr>
                <w:rFonts w:ascii="Times New Roman" w:hAnsi="Times New Roman"/>
                <w:lang w:val="lv-LV"/>
              </w:rPr>
            </w:pPr>
          </w:p>
          <w:p w:rsidR="0000285E" w:rsidRPr="00AE40CC" w:rsidRDefault="00570BF0" w:rsidP="006A490B">
            <w:pPr>
              <w:jc w:val="center"/>
              <w:rPr>
                <w:rFonts w:ascii="Times New Roman" w:hAnsi="Times New Roman"/>
                <w:lang w:val="lv-LV"/>
              </w:rPr>
            </w:pPr>
            <w:r w:rsidRPr="00570BF0">
              <w:rPr>
                <w:rFonts w:ascii="Times New Roman" w:hAnsi="Times New Roman"/>
                <w:lang w:val="lv-LV"/>
              </w:rPr>
              <w:t xml:space="preserve">Nodibināta visaptveroša institūcija „zaļo” inovāciju veicināšanai Latvijā </w:t>
            </w:r>
          </w:p>
        </w:tc>
        <w:tc>
          <w:tcPr>
            <w:tcW w:w="2822" w:type="dxa"/>
            <w:vMerge w:val="restart"/>
            <w:vAlign w:val="center"/>
          </w:tcPr>
          <w:p w:rsidR="0000285E" w:rsidRPr="00AE40CC" w:rsidRDefault="0000285E" w:rsidP="00FA17BB">
            <w:pPr>
              <w:jc w:val="center"/>
              <w:rPr>
                <w:rFonts w:ascii="Times New Roman" w:hAnsi="Times New Roman"/>
                <w:lang w:val="lv-LV"/>
              </w:rPr>
            </w:pPr>
          </w:p>
          <w:p w:rsidR="0000285E" w:rsidRPr="00AE40CC" w:rsidRDefault="00570BF0" w:rsidP="00AA3676">
            <w:pPr>
              <w:jc w:val="center"/>
              <w:rPr>
                <w:rFonts w:ascii="Times New Roman" w:hAnsi="Times New Roman"/>
                <w:lang w:val="lv-LV"/>
              </w:rPr>
            </w:pPr>
            <w:r w:rsidRPr="00570BF0">
              <w:rPr>
                <w:rFonts w:ascii="Times New Roman" w:hAnsi="Times New Roman"/>
                <w:lang w:val="lv-LV"/>
              </w:rPr>
              <w:t xml:space="preserve">Tehnoloģiju inkubatora izveide Rīgā </w:t>
            </w:r>
          </w:p>
        </w:tc>
        <w:tc>
          <w:tcPr>
            <w:tcW w:w="1418" w:type="dxa"/>
            <w:vAlign w:val="center"/>
          </w:tcPr>
          <w:p w:rsidR="0000285E" w:rsidRPr="00AE40CC" w:rsidRDefault="00570BF0" w:rsidP="009E4AD6">
            <w:pPr>
              <w:jc w:val="center"/>
              <w:rPr>
                <w:rFonts w:ascii="Times New Roman" w:hAnsi="Times New Roman"/>
                <w:lang w:val="lv-LV"/>
              </w:rPr>
            </w:pPr>
            <w:r w:rsidRPr="00570BF0">
              <w:rPr>
                <w:rFonts w:ascii="Times New Roman" w:hAnsi="Times New Roman"/>
                <w:lang w:val="lv-LV"/>
              </w:rPr>
              <w:t>Bāzes vērtība</w:t>
            </w:r>
          </w:p>
        </w:tc>
        <w:tc>
          <w:tcPr>
            <w:tcW w:w="1417" w:type="dxa"/>
            <w:vAlign w:val="center"/>
          </w:tcPr>
          <w:p w:rsidR="0000285E" w:rsidRPr="00AE40CC" w:rsidRDefault="00570BF0" w:rsidP="009E4AD6">
            <w:pPr>
              <w:jc w:val="center"/>
              <w:rPr>
                <w:rFonts w:ascii="Times New Roman" w:hAnsi="Times New Roman"/>
                <w:lang w:val="lv-LV"/>
              </w:rPr>
            </w:pPr>
            <w:r w:rsidRPr="00570BF0">
              <w:rPr>
                <w:rFonts w:ascii="Times New Roman" w:hAnsi="Times New Roman"/>
                <w:lang w:val="lv-LV"/>
              </w:rPr>
              <w:t>Mērķa vērtība</w:t>
            </w:r>
          </w:p>
        </w:tc>
        <w:tc>
          <w:tcPr>
            <w:tcW w:w="2693" w:type="dxa"/>
            <w:vMerge w:val="restart"/>
          </w:tcPr>
          <w:p w:rsidR="0000285E" w:rsidRPr="00AE40CC" w:rsidRDefault="0000285E" w:rsidP="00AC0CBA">
            <w:pPr>
              <w:jc w:val="both"/>
              <w:rPr>
                <w:rFonts w:ascii="Times New Roman" w:hAnsi="Times New Roman"/>
                <w:lang w:val="lv-LV"/>
              </w:rPr>
            </w:pPr>
          </w:p>
          <w:p w:rsidR="0000285E" w:rsidRPr="00AE40CC" w:rsidRDefault="00570BF0" w:rsidP="00AA3676">
            <w:pPr>
              <w:jc w:val="both"/>
              <w:rPr>
                <w:rFonts w:ascii="Times New Roman" w:hAnsi="Times New Roman"/>
                <w:lang w:val="lv-LV"/>
              </w:rPr>
            </w:pPr>
            <w:r w:rsidRPr="00570BF0">
              <w:rPr>
                <w:rFonts w:ascii="Times New Roman" w:hAnsi="Times New Roman"/>
                <w:lang w:val="lv-LV"/>
              </w:rPr>
              <w:t>Tehnoloģiju</w:t>
            </w:r>
            <w:r w:rsidR="00AB22D6">
              <w:rPr>
                <w:rFonts w:ascii="Times New Roman" w:hAnsi="Times New Roman"/>
                <w:lang w:val="lv-LV"/>
              </w:rPr>
              <w:t xml:space="preserve"> inkubatora</w:t>
            </w:r>
            <w:r w:rsidRPr="00570BF0">
              <w:rPr>
                <w:rFonts w:ascii="Times New Roman" w:hAnsi="Times New Roman"/>
                <w:lang w:val="lv-LV"/>
              </w:rPr>
              <w:t xml:space="preserve"> izveide „zaļās” ražošanas jomā. Projektu iesniegumi un projekta progresa ziņojumi.</w:t>
            </w:r>
          </w:p>
        </w:tc>
      </w:tr>
      <w:tr w:rsidR="00A9482F" w:rsidRPr="00AE40CC">
        <w:trPr>
          <w:trHeight w:val="577"/>
        </w:trPr>
        <w:tc>
          <w:tcPr>
            <w:tcW w:w="1951" w:type="dxa"/>
            <w:vMerge/>
          </w:tcPr>
          <w:p w:rsidR="00A9482F" w:rsidRPr="00AE40CC" w:rsidRDefault="00A9482F" w:rsidP="00A9482F">
            <w:pPr>
              <w:rPr>
                <w:rFonts w:ascii="Times New Roman" w:hAnsi="Times New Roman"/>
                <w:lang w:val="lv-LV"/>
              </w:rPr>
            </w:pPr>
          </w:p>
        </w:tc>
        <w:tc>
          <w:tcPr>
            <w:tcW w:w="2848" w:type="dxa"/>
            <w:vMerge/>
          </w:tcPr>
          <w:p w:rsidR="00A9482F" w:rsidRPr="00AE40CC" w:rsidRDefault="00A9482F" w:rsidP="00A9482F">
            <w:pPr>
              <w:rPr>
                <w:rFonts w:ascii="Times New Roman" w:hAnsi="Times New Roman"/>
                <w:lang w:val="lv-LV"/>
              </w:rPr>
            </w:pPr>
          </w:p>
        </w:tc>
        <w:tc>
          <w:tcPr>
            <w:tcW w:w="2822" w:type="dxa"/>
            <w:vMerge/>
          </w:tcPr>
          <w:p w:rsidR="00A9482F" w:rsidRPr="00AE40CC" w:rsidRDefault="00A9482F" w:rsidP="00A9482F">
            <w:pPr>
              <w:rPr>
                <w:rFonts w:ascii="Times New Roman" w:hAnsi="Times New Roman"/>
                <w:b/>
                <w:lang w:val="lv-LV"/>
              </w:rPr>
            </w:pPr>
          </w:p>
        </w:tc>
        <w:tc>
          <w:tcPr>
            <w:tcW w:w="1418" w:type="dxa"/>
            <w:vAlign w:val="center"/>
          </w:tcPr>
          <w:p w:rsidR="00A9482F" w:rsidRPr="00AE40CC" w:rsidRDefault="00570BF0" w:rsidP="00A9482F">
            <w:pPr>
              <w:jc w:val="center"/>
              <w:rPr>
                <w:rFonts w:ascii="Times New Roman" w:hAnsi="Times New Roman"/>
                <w:lang w:val="lv-LV"/>
              </w:rPr>
            </w:pPr>
            <w:r w:rsidRPr="00570BF0">
              <w:rPr>
                <w:rFonts w:ascii="Times New Roman" w:hAnsi="Times New Roman"/>
                <w:lang w:val="lv-LV"/>
              </w:rPr>
              <w:t>0</w:t>
            </w:r>
          </w:p>
        </w:tc>
        <w:tc>
          <w:tcPr>
            <w:tcW w:w="1417" w:type="dxa"/>
            <w:vAlign w:val="center"/>
          </w:tcPr>
          <w:p w:rsidR="00A9482F" w:rsidRPr="00AE40CC" w:rsidRDefault="00570BF0" w:rsidP="00A9482F">
            <w:pPr>
              <w:jc w:val="center"/>
              <w:rPr>
                <w:rFonts w:ascii="Times New Roman" w:hAnsi="Times New Roman"/>
                <w:lang w:val="lv-LV"/>
              </w:rPr>
            </w:pPr>
            <w:r w:rsidRPr="00570BF0">
              <w:rPr>
                <w:rFonts w:ascii="Times New Roman" w:hAnsi="Times New Roman"/>
                <w:lang w:val="lv-LV"/>
              </w:rPr>
              <w:t>1</w:t>
            </w:r>
          </w:p>
        </w:tc>
        <w:tc>
          <w:tcPr>
            <w:tcW w:w="2693" w:type="dxa"/>
            <w:vMerge/>
          </w:tcPr>
          <w:p w:rsidR="00A9482F" w:rsidRPr="00AE40CC" w:rsidRDefault="00A9482F" w:rsidP="00A9482F">
            <w:pPr>
              <w:rPr>
                <w:rFonts w:ascii="Times New Roman" w:hAnsi="Times New Roman"/>
                <w:b/>
                <w:lang w:val="lv-LV"/>
              </w:rPr>
            </w:pPr>
          </w:p>
        </w:tc>
      </w:tr>
      <w:tr w:rsidR="0000285E" w:rsidRPr="00AE40CC" w:rsidTr="00DB5043">
        <w:trPr>
          <w:trHeight w:val="328"/>
        </w:trPr>
        <w:tc>
          <w:tcPr>
            <w:tcW w:w="1951" w:type="dxa"/>
            <w:vMerge w:val="restart"/>
            <w:tcBorders>
              <w:bottom w:val="single" w:sz="4" w:space="0" w:color="auto"/>
            </w:tcBorders>
            <w:vAlign w:val="center"/>
          </w:tcPr>
          <w:p w:rsidR="0000285E" w:rsidRPr="00AE40CC" w:rsidRDefault="00570BF0" w:rsidP="00484F6E">
            <w:pPr>
              <w:jc w:val="center"/>
              <w:rPr>
                <w:rFonts w:ascii="Times New Roman" w:hAnsi="Times New Roman"/>
                <w:lang w:val="lv-LV"/>
              </w:rPr>
            </w:pPr>
            <w:r w:rsidRPr="00570BF0">
              <w:rPr>
                <w:rFonts w:ascii="Times New Roman" w:hAnsi="Times New Roman"/>
                <w:lang w:val="lv-LV"/>
              </w:rPr>
              <w:t xml:space="preserve">Palielināta „zaļo” darba vietu radīšana un uzņēmējdarbība </w:t>
            </w:r>
          </w:p>
        </w:tc>
        <w:tc>
          <w:tcPr>
            <w:tcW w:w="2848" w:type="dxa"/>
            <w:vMerge w:val="restart"/>
            <w:tcBorders>
              <w:bottom w:val="single" w:sz="4" w:space="0" w:color="auto"/>
            </w:tcBorders>
            <w:vAlign w:val="center"/>
          </w:tcPr>
          <w:p w:rsidR="0000285E" w:rsidRPr="00AE40CC" w:rsidRDefault="00570BF0" w:rsidP="006A1EA2">
            <w:pPr>
              <w:jc w:val="center"/>
              <w:rPr>
                <w:rFonts w:ascii="Times New Roman" w:hAnsi="Times New Roman"/>
                <w:lang w:val="lv-LV"/>
              </w:rPr>
            </w:pPr>
            <w:r w:rsidRPr="00570BF0">
              <w:rPr>
                <w:rFonts w:ascii="Times New Roman" w:hAnsi="Times New Roman"/>
                <w:lang w:val="lv-LV"/>
              </w:rPr>
              <w:t xml:space="preserve">Komersantiem ir pieejams pietiekams finansējums uzņēmējdarbības vai jaunu darbību uzsākšanai </w:t>
            </w:r>
          </w:p>
        </w:tc>
        <w:tc>
          <w:tcPr>
            <w:tcW w:w="2822" w:type="dxa"/>
            <w:vMerge w:val="restart"/>
            <w:tcBorders>
              <w:bottom w:val="single" w:sz="4" w:space="0" w:color="auto"/>
            </w:tcBorders>
            <w:vAlign w:val="center"/>
          </w:tcPr>
          <w:p w:rsidR="0000285E" w:rsidRPr="00AE40CC" w:rsidRDefault="00570BF0" w:rsidP="006A1EA2">
            <w:pPr>
              <w:jc w:val="center"/>
              <w:rPr>
                <w:rFonts w:ascii="Times New Roman" w:hAnsi="Times New Roman"/>
                <w:b/>
                <w:lang w:val="lv-LV"/>
              </w:rPr>
            </w:pPr>
            <w:r w:rsidRPr="00570BF0">
              <w:rPr>
                <w:rFonts w:ascii="Times New Roman" w:hAnsi="Times New Roman"/>
                <w:lang w:val="lv-LV"/>
              </w:rPr>
              <w:t xml:space="preserve">Komersantiem piesaistītā privātā sektora investīciju apjoms </w:t>
            </w:r>
          </w:p>
        </w:tc>
        <w:tc>
          <w:tcPr>
            <w:tcW w:w="1418" w:type="dxa"/>
            <w:tcBorders>
              <w:bottom w:val="single" w:sz="4" w:space="0" w:color="auto"/>
            </w:tcBorders>
            <w:vAlign w:val="center"/>
          </w:tcPr>
          <w:p w:rsidR="0000285E" w:rsidRPr="00AE40CC" w:rsidRDefault="00570BF0" w:rsidP="009E4AD6">
            <w:pPr>
              <w:jc w:val="center"/>
              <w:rPr>
                <w:rFonts w:ascii="Times New Roman" w:hAnsi="Times New Roman"/>
                <w:lang w:val="lv-LV"/>
              </w:rPr>
            </w:pPr>
            <w:r w:rsidRPr="00570BF0">
              <w:rPr>
                <w:rFonts w:ascii="Times New Roman" w:hAnsi="Times New Roman"/>
                <w:lang w:val="lv-LV"/>
              </w:rPr>
              <w:t>Bāzes vērtība</w:t>
            </w:r>
          </w:p>
        </w:tc>
        <w:tc>
          <w:tcPr>
            <w:tcW w:w="1417" w:type="dxa"/>
            <w:tcBorders>
              <w:bottom w:val="single" w:sz="4" w:space="0" w:color="auto"/>
            </w:tcBorders>
            <w:vAlign w:val="center"/>
          </w:tcPr>
          <w:p w:rsidR="0000285E" w:rsidRPr="00AE40CC" w:rsidRDefault="00570BF0" w:rsidP="009E4AD6">
            <w:pPr>
              <w:jc w:val="center"/>
              <w:rPr>
                <w:rFonts w:ascii="Times New Roman" w:hAnsi="Times New Roman"/>
                <w:lang w:val="lv-LV"/>
              </w:rPr>
            </w:pPr>
            <w:r w:rsidRPr="00570BF0">
              <w:rPr>
                <w:rFonts w:ascii="Times New Roman" w:hAnsi="Times New Roman"/>
                <w:lang w:val="lv-LV"/>
              </w:rPr>
              <w:t>Mērķa vērtība</w:t>
            </w:r>
          </w:p>
        </w:tc>
        <w:tc>
          <w:tcPr>
            <w:tcW w:w="2693" w:type="dxa"/>
            <w:vMerge w:val="restart"/>
            <w:tcBorders>
              <w:bottom w:val="single" w:sz="4" w:space="0" w:color="auto"/>
            </w:tcBorders>
            <w:vAlign w:val="center"/>
          </w:tcPr>
          <w:p w:rsidR="0000285E" w:rsidRPr="00AE40CC" w:rsidRDefault="00570BF0" w:rsidP="008869D9">
            <w:pPr>
              <w:jc w:val="both"/>
              <w:rPr>
                <w:rFonts w:ascii="Times New Roman" w:hAnsi="Times New Roman"/>
                <w:b/>
                <w:lang w:val="lv-LV"/>
              </w:rPr>
            </w:pPr>
            <w:r w:rsidRPr="00570BF0">
              <w:rPr>
                <w:rFonts w:ascii="Times New Roman" w:hAnsi="Times New Roman"/>
                <w:lang w:val="lv-LV"/>
              </w:rPr>
              <w:t>Projektu iesniegumi un projekta progresa ziņojumi.</w:t>
            </w:r>
          </w:p>
        </w:tc>
      </w:tr>
      <w:tr w:rsidR="00DB5043" w:rsidRPr="00AE40CC" w:rsidTr="00484F6E">
        <w:trPr>
          <w:trHeight w:val="156"/>
        </w:trPr>
        <w:tc>
          <w:tcPr>
            <w:tcW w:w="1951" w:type="dxa"/>
            <w:vMerge/>
            <w:vAlign w:val="center"/>
          </w:tcPr>
          <w:p w:rsidR="00DB5043" w:rsidRPr="00AE40CC" w:rsidRDefault="00DB5043" w:rsidP="00484F6E">
            <w:pPr>
              <w:jc w:val="center"/>
              <w:rPr>
                <w:rFonts w:ascii="Times New Roman" w:hAnsi="Times New Roman"/>
                <w:lang w:val="lv-LV"/>
              </w:rPr>
            </w:pPr>
          </w:p>
        </w:tc>
        <w:tc>
          <w:tcPr>
            <w:tcW w:w="2848" w:type="dxa"/>
            <w:vMerge/>
            <w:vAlign w:val="center"/>
          </w:tcPr>
          <w:p w:rsidR="00DB5043" w:rsidRPr="00AE40CC" w:rsidRDefault="00DB5043" w:rsidP="00484F6E">
            <w:pPr>
              <w:jc w:val="center"/>
              <w:rPr>
                <w:rFonts w:ascii="Times New Roman" w:hAnsi="Times New Roman"/>
                <w:lang w:val="lv-LV"/>
              </w:rPr>
            </w:pPr>
          </w:p>
        </w:tc>
        <w:tc>
          <w:tcPr>
            <w:tcW w:w="2822" w:type="dxa"/>
            <w:vMerge/>
            <w:vAlign w:val="center"/>
          </w:tcPr>
          <w:p w:rsidR="00DB5043" w:rsidRPr="00AE40CC" w:rsidRDefault="00DB5043" w:rsidP="00484F6E">
            <w:pPr>
              <w:jc w:val="center"/>
              <w:rPr>
                <w:rFonts w:ascii="Times New Roman" w:hAnsi="Times New Roman"/>
                <w:lang w:val="lv-LV"/>
              </w:rPr>
            </w:pPr>
          </w:p>
        </w:tc>
        <w:tc>
          <w:tcPr>
            <w:tcW w:w="1418" w:type="dxa"/>
            <w:vAlign w:val="center"/>
          </w:tcPr>
          <w:p w:rsidR="00DB5043" w:rsidRPr="00AE40CC" w:rsidRDefault="00570BF0" w:rsidP="00484F6E">
            <w:pPr>
              <w:jc w:val="center"/>
              <w:rPr>
                <w:rFonts w:ascii="Times New Roman" w:hAnsi="Times New Roman"/>
                <w:lang w:val="lv-LV"/>
              </w:rPr>
            </w:pPr>
            <w:bookmarkStart w:id="46" w:name="OLE_LINK10"/>
            <w:bookmarkStart w:id="47" w:name="OLE_LINK11"/>
            <w:r w:rsidRPr="00570BF0">
              <w:rPr>
                <w:rFonts w:ascii="Times New Roman" w:hAnsi="Times New Roman"/>
                <w:lang w:val="lv-LV"/>
              </w:rPr>
              <w:t>0</w:t>
            </w:r>
            <w:bookmarkEnd w:id="46"/>
            <w:bookmarkEnd w:id="47"/>
          </w:p>
        </w:tc>
        <w:tc>
          <w:tcPr>
            <w:tcW w:w="1417" w:type="dxa"/>
            <w:vAlign w:val="center"/>
          </w:tcPr>
          <w:p w:rsidR="00DB5043" w:rsidRPr="00AE40CC" w:rsidRDefault="00570BF0" w:rsidP="00484F6E">
            <w:pPr>
              <w:jc w:val="center"/>
              <w:rPr>
                <w:rFonts w:ascii="Times New Roman" w:hAnsi="Times New Roman"/>
                <w:lang w:val="lv-LV"/>
              </w:rPr>
            </w:pPr>
            <w:r w:rsidRPr="00570BF0">
              <w:rPr>
                <w:rFonts w:ascii="Times New Roman" w:hAnsi="Times New Roman"/>
                <w:lang w:val="lv-LV"/>
              </w:rPr>
              <w:t>3 000 000</w:t>
            </w:r>
          </w:p>
        </w:tc>
        <w:tc>
          <w:tcPr>
            <w:tcW w:w="2693" w:type="dxa"/>
            <w:vMerge/>
            <w:vAlign w:val="center"/>
          </w:tcPr>
          <w:p w:rsidR="00DB5043" w:rsidRPr="00AE40CC" w:rsidRDefault="00DB5043" w:rsidP="00484F6E">
            <w:pPr>
              <w:jc w:val="center"/>
              <w:rPr>
                <w:rFonts w:ascii="Times New Roman" w:hAnsi="Times New Roman"/>
                <w:b/>
                <w:lang w:val="lv-LV"/>
              </w:rPr>
            </w:pPr>
          </w:p>
        </w:tc>
      </w:tr>
      <w:tr w:rsidR="0000285E" w:rsidRPr="00AE40CC" w:rsidTr="00484F6E">
        <w:trPr>
          <w:trHeight w:val="156"/>
        </w:trPr>
        <w:tc>
          <w:tcPr>
            <w:tcW w:w="1951" w:type="dxa"/>
            <w:vMerge/>
            <w:vAlign w:val="center"/>
          </w:tcPr>
          <w:p w:rsidR="0000285E" w:rsidRPr="00AE40CC" w:rsidRDefault="0000285E" w:rsidP="00484F6E">
            <w:pPr>
              <w:jc w:val="center"/>
              <w:rPr>
                <w:rFonts w:ascii="Times New Roman" w:hAnsi="Times New Roman"/>
                <w:lang w:val="lv-LV"/>
              </w:rPr>
            </w:pPr>
          </w:p>
        </w:tc>
        <w:tc>
          <w:tcPr>
            <w:tcW w:w="2848" w:type="dxa"/>
            <w:vMerge w:val="restart"/>
            <w:vAlign w:val="center"/>
          </w:tcPr>
          <w:p w:rsidR="0000285E" w:rsidRPr="00AE40CC" w:rsidRDefault="00570BF0" w:rsidP="00F01400">
            <w:pPr>
              <w:jc w:val="center"/>
              <w:rPr>
                <w:rFonts w:ascii="Times New Roman" w:hAnsi="Times New Roman"/>
                <w:lang w:val="lv-LV"/>
              </w:rPr>
            </w:pPr>
            <w:r w:rsidRPr="00570BF0">
              <w:rPr>
                <w:rFonts w:ascii="Times New Roman" w:hAnsi="Times New Roman"/>
                <w:lang w:val="lv-LV"/>
              </w:rPr>
              <w:t xml:space="preserve">Nodibināti komersanti, kas veiksmīgi darbojas un labvēlīgi ietekmē valsts un pašvaldību budžetu </w:t>
            </w:r>
          </w:p>
        </w:tc>
        <w:tc>
          <w:tcPr>
            <w:tcW w:w="2822" w:type="dxa"/>
            <w:vMerge w:val="restart"/>
            <w:vAlign w:val="center"/>
          </w:tcPr>
          <w:p w:rsidR="0000285E" w:rsidRPr="00AE40CC" w:rsidRDefault="00570BF0" w:rsidP="006C4D3E">
            <w:pPr>
              <w:jc w:val="center"/>
              <w:rPr>
                <w:rFonts w:ascii="Times New Roman" w:hAnsi="Times New Roman"/>
                <w:lang w:val="lv-LV"/>
              </w:rPr>
            </w:pPr>
            <w:r w:rsidRPr="00570BF0">
              <w:rPr>
                <w:rFonts w:ascii="Times New Roman" w:hAnsi="Times New Roman"/>
                <w:lang w:val="lv-LV"/>
              </w:rPr>
              <w:t xml:space="preserve">Neliela apjoma grantu shēmas ietvaros atbalstīto komersantu </w:t>
            </w:r>
            <w:r w:rsidR="00AB22D6">
              <w:rPr>
                <w:rFonts w:ascii="Times New Roman" w:hAnsi="Times New Roman"/>
                <w:lang w:val="lv-LV"/>
              </w:rPr>
              <w:t>sa</w:t>
            </w:r>
            <w:r w:rsidRPr="00570BF0">
              <w:rPr>
                <w:rFonts w:ascii="Times New Roman" w:hAnsi="Times New Roman"/>
                <w:lang w:val="lv-LV"/>
              </w:rPr>
              <w:t xml:space="preserve">maksāto nodokļu apjoms </w:t>
            </w:r>
          </w:p>
        </w:tc>
        <w:tc>
          <w:tcPr>
            <w:tcW w:w="1418" w:type="dxa"/>
            <w:vAlign w:val="center"/>
          </w:tcPr>
          <w:p w:rsidR="0000285E" w:rsidRPr="00AE40CC" w:rsidRDefault="00570BF0" w:rsidP="009E4AD6">
            <w:pPr>
              <w:jc w:val="center"/>
              <w:rPr>
                <w:rFonts w:ascii="Times New Roman" w:hAnsi="Times New Roman"/>
                <w:lang w:val="lv-LV"/>
              </w:rPr>
            </w:pPr>
            <w:r w:rsidRPr="00570BF0">
              <w:rPr>
                <w:rFonts w:ascii="Times New Roman" w:hAnsi="Times New Roman"/>
                <w:lang w:val="lv-LV"/>
              </w:rPr>
              <w:t>Bāzes vērtība</w:t>
            </w:r>
          </w:p>
        </w:tc>
        <w:tc>
          <w:tcPr>
            <w:tcW w:w="1417" w:type="dxa"/>
            <w:vAlign w:val="center"/>
          </w:tcPr>
          <w:p w:rsidR="0000285E" w:rsidRPr="00AE40CC" w:rsidRDefault="00570BF0" w:rsidP="009E4AD6">
            <w:pPr>
              <w:jc w:val="center"/>
              <w:rPr>
                <w:rFonts w:ascii="Times New Roman" w:hAnsi="Times New Roman"/>
                <w:lang w:val="lv-LV"/>
              </w:rPr>
            </w:pPr>
            <w:r w:rsidRPr="00570BF0">
              <w:rPr>
                <w:rFonts w:ascii="Times New Roman" w:hAnsi="Times New Roman"/>
                <w:lang w:val="lv-LV"/>
              </w:rPr>
              <w:t>Mērķa vērtība</w:t>
            </w:r>
          </w:p>
        </w:tc>
        <w:tc>
          <w:tcPr>
            <w:tcW w:w="2693" w:type="dxa"/>
            <w:vMerge w:val="restart"/>
            <w:vAlign w:val="center"/>
          </w:tcPr>
          <w:p w:rsidR="0000285E" w:rsidRPr="00AE40CC" w:rsidRDefault="00570BF0" w:rsidP="006C4D3E">
            <w:pPr>
              <w:spacing w:after="0"/>
              <w:jc w:val="both"/>
              <w:rPr>
                <w:rFonts w:ascii="Times New Roman" w:hAnsi="Times New Roman"/>
                <w:lang w:val="lv-LV"/>
              </w:rPr>
            </w:pPr>
            <w:r w:rsidRPr="00570BF0">
              <w:rPr>
                <w:rFonts w:ascii="Times New Roman" w:hAnsi="Times New Roman"/>
                <w:lang w:val="lv-LV"/>
              </w:rPr>
              <w:t>Tehnoloģiju inkubatora operatora ziņojumi. Komersantu ikgadējie ziņojumi. Projektu iesniegumi un projekta progresa ziņojumi.</w:t>
            </w:r>
          </w:p>
        </w:tc>
      </w:tr>
      <w:tr w:rsidR="00D10E21" w:rsidRPr="00AE40CC">
        <w:trPr>
          <w:trHeight w:val="156"/>
        </w:trPr>
        <w:tc>
          <w:tcPr>
            <w:tcW w:w="1951" w:type="dxa"/>
            <w:vMerge/>
          </w:tcPr>
          <w:p w:rsidR="00D10E21" w:rsidRPr="00AE40CC" w:rsidRDefault="00D10E21" w:rsidP="00A9482F">
            <w:pPr>
              <w:rPr>
                <w:rFonts w:ascii="Times New Roman" w:hAnsi="Times New Roman"/>
                <w:lang w:val="lv-LV"/>
              </w:rPr>
            </w:pPr>
          </w:p>
        </w:tc>
        <w:tc>
          <w:tcPr>
            <w:tcW w:w="2848" w:type="dxa"/>
            <w:vMerge/>
          </w:tcPr>
          <w:p w:rsidR="00D10E21" w:rsidRPr="00AE40CC" w:rsidRDefault="00D10E21" w:rsidP="00A9482F">
            <w:pPr>
              <w:rPr>
                <w:rFonts w:ascii="Times New Roman" w:hAnsi="Times New Roman"/>
                <w:lang w:val="lv-LV"/>
              </w:rPr>
            </w:pPr>
          </w:p>
        </w:tc>
        <w:tc>
          <w:tcPr>
            <w:tcW w:w="2822" w:type="dxa"/>
            <w:vMerge/>
          </w:tcPr>
          <w:p w:rsidR="00D10E21" w:rsidRPr="00AE40CC" w:rsidRDefault="00D10E21" w:rsidP="00A9482F">
            <w:pPr>
              <w:rPr>
                <w:rFonts w:ascii="Times New Roman" w:hAnsi="Times New Roman"/>
                <w:lang w:val="lv-LV"/>
              </w:rPr>
            </w:pPr>
          </w:p>
        </w:tc>
        <w:tc>
          <w:tcPr>
            <w:tcW w:w="1418" w:type="dxa"/>
            <w:vAlign w:val="center"/>
          </w:tcPr>
          <w:p w:rsidR="00D10E21" w:rsidRPr="00AE40CC" w:rsidRDefault="00570BF0" w:rsidP="00A9482F">
            <w:pPr>
              <w:jc w:val="center"/>
              <w:rPr>
                <w:rFonts w:ascii="Times New Roman" w:hAnsi="Times New Roman"/>
                <w:lang w:val="lv-LV"/>
              </w:rPr>
            </w:pPr>
            <w:r w:rsidRPr="00570BF0">
              <w:rPr>
                <w:rFonts w:ascii="Times New Roman" w:hAnsi="Times New Roman"/>
                <w:lang w:val="lv-LV"/>
              </w:rPr>
              <w:t>0</w:t>
            </w:r>
          </w:p>
        </w:tc>
        <w:tc>
          <w:tcPr>
            <w:tcW w:w="1417" w:type="dxa"/>
            <w:vAlign w:val="center"/>
          </w:tcPr>
          <w:p w:rsidR="00D10E21" w:rsidRPr="00AE40CC" w:rsidRDefault="00570BF0" w:rsidP="00A9482F">
            <w:pPr>
              <w:jc w:val="center"/>
              <w:rPr>
                <w:rFonts w:ascii="Times New Roman" w:hAnsi="Times New Roman"/>
                <w:lang w:val="lv-LV"/>
              </w:rPr>
            </w:pPr>
            <w:r w:rsidRPr="00570BF0">
              <w:rPr>
                <w:rFonts w:ascii="Times New Roman" w:hAnsi="Times New Roman"/>
                <w:lang w:val="lv-LV"/>
              </w:rPr>
              <w:t>512 160</w:t>
            </w:r>
          </w:p>
        </w:tc>
        <w:tc>
          <w:tcPr>
            <w:tcW w:w="2693" w:type="dxa"/>
            <w:vMerge/>
          </w:tcPr>
          <w:p w:rsidR="00D10E21" w:rsidRPr="00AE40CC" w:rsidRDefault="00D10E21" w:rsidP="00A9482F">
            <w:pPr>
              <w:rPr>
                <w:rFonts w:ascii="Times New Roman" w:hAnsi="Times New Roman"/>
                <w:b/>
                <w:lang w:val="lv-LV"/>
              </w:rPr>
            </w:pPr>
          </w:p>
        </w:tc>
      </w:tr>
    </w:tbl>
    <w:p w:rsidR="00A9482F" w:rsidRPr="00AE40CC" w:rsidRDefault="00570BF0" w:rsidP="00A9482F">
      <w:pPr>
        <w:tabs>
          <w:tab w:val="left" w:pos="360"/>
        </w:tabs>
        <w:spacing w:after="0"/>
        <w:rPr>
          <w:rFonts w:ascii="Times New Roman" w:hAnsi="Times New Roman"/>
          <w:lang w:val="lv-LV"/>
        </w:rPr>
      </w:pPr>
      <w:r w:rsidRPr="00570BF0">
        <w:rPr>
          <w:rFonts w:ascii="Times New Roman" w:hAnsi="Times New Roman"/>
          <w:b/>
          <w:lang w:val="lv-LV"/>
        </w:rPr>
        <w:t>Aprakstīt, kāpēc un, kā noteiktie iznākumi tika izvēlēti katram rezultātam un, kā un, kāpēc iznākuma indikatori tika izvēlēti katram iznākumam.</w:t>
      </w:r>
      <w:r w:rsidRPr="00570BF0">
        <w:rPr>
          <w:rFonts w:ascii="Times New Roman" w:hAnsi="Times New Roman"/>
          <w:lang w:val="lv-LV"/>
        </w:rPr>
        <w:t xml:space="preserve"> </w:t>
      </w:r>
    </w:p>
    <w:p w:rsidR="00865590" w:rsidRPr="00AE40CC" w:rsidRDefault="00570BF0" w:rsidP="00A9482F">
      <w:pPr>
        <w:spacing w:after="0"/>
        <w:ind w:firstLine="284"/>
        <w:jc w:val="both"/>
        <w:rPr>
          <w:rFonts w:ascii="Times New Roman" w:hAnsi="Times New Roman"/>
          <w:lang w:val="lv-LV"/>
        </w:rPr>
      </w:pPr>
      <w:r w:rsidRPr="00570BF0">
        <w:rPr>
          <w:rFonts w:ascii="Times New Roman" w:hAnsi="Times New Roman"/>
          <w:lang w:val="lv-LV"/>
        </w:rPr>
        <w:t xml:space="preserve">Rezultāta „Eiropas ekonomikas „zaļošanas” biznesa iespēju realizācija” ietvaros ir sasniedzami divi iznākumi, un abi paredz atbalstīt biznesa iespējas un paaugstināt informētību par Programmu. Ņemot vērā, ka viens no Programmas vispārīgajiem mērķiem ir stiprināt divpusējās attiecības, Programmas ietvaros tiks vērtēts projektu skaits, kas tiek īstenoti partnerībā ar Norvēģijas partneriem. Noteiktā mērķa vērtība ir vismaz 15 projekti. Iepriekš noteiktais projekts jau tiks īstenots sadarbībā ar Norvēģijas institūciju, tā kā projekta īstenošanā iesaistītas ir Latvijas Universitāte, Rīgas Tehniskā universitāte un SIVA. Pārējie 14 projekti tiks izvēlēti no 20 Atklātajā konkursā atbalstītajiem projektiem, jo grantu shēmā piedalās daudz nobriedušāki komersanti, tādēļ tiem būs vieglāk nodibināt partnerattiecības. Papildus Atklātā konkursa projektu iesniegumu </w:t>
      </w:r>
      <w:r w:rsidRPr="00570BF0">
        <w:rPr>
          <w:rFonts w:ascii="Times New Roman" w:hAnsi="Times New Roman"/>
          <w:lang w:val="lv-LV"/>
        </w:rPr>
        <w:lastRenderedPageBreak/>
        <w:t xml:space="preserve">vērtēšanas kritērijos ir noteikta prasība, ka katram projektam ir jāietver divpusējā sadarbība – projekta iesniedzējam investors, tehnoloģiju piegādātājs, klients vai piegādātājs ir no Norvēģijas. Papildus partnerības projekti tiks veicināti arī neliela apjoma grantu shēmas ietvaros. Tas nozīmē, ka arī neliela apjoma grantu shēmas projekti sniegs ieguldījumu </w:t>
      </w:r>
      <w:r w:rsidRPr="00570BF0">
        <w:rPr>
          <w:rFonts w:ascii="Times New Roman" w:hAnsi="Times New Roman"/>
        </w:rPr>
        <w:t>šī indikatora</w:t>
      </w:r>
      <w:r w:rsidRPr="00570BF0">
        <w:rPr>
          <w:rFonts w:ascii="Times New Roman" w:hAnsi="Times New Roman"/>
          <w:lang w:val="lv-LV"/>
        </w:rPr>
        <w:t xml:space="preserve"> izpildē.</w:t>
      </w:r>
    </w:p>
    <w:p w:rsidR="00A9482F" w:rsidRPr="00AE40CC" w:rsidRDefault="00570BF0" w:rsidP="00A9482F">
      <w:pPr>
        <w:spacing w:after="0"/>
        <w:ind w:firstLine="284"/>
        <w:jc w:val="both"/>
        <w:rPr>
          <w:rFonts w:ascii="Times New Roman" w:hAnsi="Times New Roman"/>
          <w:lang w:val="lv-LV"/>
        </w:rPr>
      </w:pPr>
      <w:r w:rsidRPr="00570BF0">
        <w:rPr>
          <w:rFonts w:ascii="Times New Roman" w:hAnsi="Times New Roman"/>
          <w:lang w:val="lv-LV"/>
        </w:rPr>
        <w:t>Visbeidzot, ļoti būtisks aspekts ir privātā sektora ieguldījums projekta īstenošanā, kas veicinātu tā lielāk</w:t>
      </w:r>
      <w:r w:rsidR="008E4423">
        <w:rPr>
          <w:rFonts w:ascii="Times New Roman" w:hAnsi="Times New Roman"/>
          <w:lang w:val="lv-LV"/>
        </w:rPr>
        <w:t xml:space="preserve">u iesaistīšanos. Aprēķinu </w:t>
      </w:r>
      <w:r w:rsidR="00E540C2">
        <w:rPr>
          <w:rFonts w:ascii="Times New Roman" w:hAnsi="Times New Roman"/>
          <w:lang w:val="lv-LV"/>
        </w:rPr>
        <w:t>veikšanai</w:t>
      </w:r>
      <w:r w:rsidRPr="00570BF0">
        <w:rPr>
          <w:rFonts w:ascii="Times New Roman" w:hAnsi="Times New Roman"/>
          <w:lang w:val="lv-LV"/>
        </w:rPr>
        <w:t xml:space="preserve"> ir izmantota atbalsta intensitāte 50 % no projektiem Atklātā konkursa ietvaros. Ņemot vērā, ka kopējais Atklātajam konkursam pieejamais publiskais finansējums būs 4 575 563 lati (6 510 440 EUR), privātā sektora ieguldījums arī būs jābūt vismaz 4 575 563 latiem (6 510 440 EUR). Par privātā sektora ieguldījumu tiks uzskatīts papildus Norvēģijas finanšu </w:t>
      </w:r>
      <w:r w:rsidR="003740CA">
        <w:rPr>
          <w:rFonts w:ascii="Times New Roman" w:hAnsi="Times New Roman"/>
          <w:lang w:val="lv-LV"/>
        </w:rPr>
        <w:t>instrumenta</w:t>
      </w:r>
      <w:r w:rsidR="003740CA" w:rsidRPr="00AE40CC">
        <w:rPr>
          <w:rFonts w:ascii="Times New Roman" w:hAnsi="Times New Roman"/>
          <w:lang w:val="lv-LV"/>
        </w:rPr>
        <w:t xml:space="preserve"> </w:t>
      </w:r>
      <w:r w:rsidR="00D654A4" w:rsidRPr="00AE40CC">
        <w:rPr>
          <w:rFonts w:ascii="Times New Roman" w:hAnsi="Times New Roman"/>
          <w:lang w:val="lv-LV"/>
        </w:rPr>
        <w:t>ietvaros piesaistītais finansējums</w:t>
      </w:r>
      <w:r w:rsidR="00137FE3" w:rsidRPr="00AE40CC">
        <w:rPr>
          <w:rFonts w:ascii="Times New Roman" w:hAnsi="Times New Roman"/>
          <w:lang w:val="lv-LV"/>
        </w:rPr>
        <w:t xml:space="preserve">. </w:t>
      </w:r>
    </w:p>
    <w:p w:rsidR="00067FDC" w:rsidRPr="00AE40CC" w:rsidRDefault="00570BF0" w:rsidP="00067FDC">
      <w:pPr>
        <w:spacing w:after="0"/>
        <w:ind w:firstLine="284"/>
        <w:jc w:val="both"/>
        <w:rPr>
          <w:rFonts w:ascii="Times New Roman" w:hAnsi="Times New Roman"/>
          <w:lang w:val="lv-LV"/>
        </w:rPr>
      </w:pPr>
      <w:r w:rsidRPr="00570BF0">
        <w:rPr>
          <w:rFonts w:ascii="Times New Roman" w:hAnsi="Times New Roman"/>
          <w:lang w:val="lv-LV"/>
        </w:rPr>
        <w:t xml:space="preserve">Rezultāta „Palielināta „zaļo” darba vietu radīšana un uzņēmējdarbība“ ietvaros ir sasniedzami četri iznākumi. Galvenais iznākums ir visaptverošas institūcijas nodibināšana „zaļo” inovāciju veicināšanai Latvijā, kas būs atbildīga par inkubācijā esošajiem komersantiem un starptautisku sakaru nodibināšanu, lai palielinātu Programmas ietekmi ārpus Latvijas. Šis rezultāts tiks sasniegts, īstenojot iepriekš noteikto projektu. </w:t>
      </w:r>
    </w:p>
    <w:p w:rsidR="00067FDC" w:rsidRPr="00AE40CC" w:rsidRDefault="00570BF0" w:rsidP="00067FDC">
      <w:pPr>
        <w:spacing w:after="0"/>
        <w:ind w:firstLine="284"/>
        <w:jc w:val="both"/>
        <w:rPr>
          <w:rFonts w:ascii="Times New Roman" w:hAnsi="Times New Roman"/>
          <w:lang w:val="lv-LV"/>
        </w:rPr>
      </w:pPr>
      <w:r w:rsidRPr="00570BF0">
        <w:rPr>
          <w:rFonts w:ascii="Times New Roman" w:hAnsi="Times New Roman"/>
          <w:lang w:val="lv-LV"/>
        </w:rPr>
        <w:t xml:space="preserve">Papildus komersantiem, kuri izmanto inkubācijas pakalpojumus, tiks vērtēts piesaistītā finansējuma apjoms. Saskaņā ar Programmas iesniegumā norādīto informāciju, jaundibinātiem komersantiem ir ierobežota pieeja finansējumam, tādēļ šis rādītājs tieši risinās šo problēmu. Paredzams, ka neliela apjoma grantu ietvaros kopumā tiks piesaistīti vismaz 2 108 412 lati (3 000 000 EUR). Tas nozīmē, ka vienam komersantam vidēji tiks piesaistīti 105 420 lati (150 000 EUR). Par komersantam piesaistīto finansējumu tiks uzskatīti banku aizdevumi, riska kapitāla ieguldījumi, biznesa eņģeļu ieguldījumi u. c. </w:t>
      </w:r>
    </w:p>
    <w:p w:rsidR="00067FDC" w:rsidRPr="00AE40CC" w:rsidRDefault="00570BF0" w:rsidP="00067FDC">
      <w:pPr>
        <w:spacing w:after="0"/>
        <w:ind w:firstLine="284"/>
        <w:jc w:val="both"/>
        <w:rPr>
          <w:rFonts w:ascii="Times New Roman" w:hAnsi="Times New Roman"/>
          <w:lang w:val="lv-LV"/>
        </w:rPr>
      </w:pPr>
      <w:r w:rsidRPr="00570BF0">
        <w:rPr>
          <w:rFonts w:ascii="Times New Roman" w:hAnsi="Times New Roman"/>
          <w:lang w:val="lv-LV"/>
        </w:rPr>
        <w:t xml:space="preserve">Vēl viens iznākums, kas tiks novērtēts ir vai komersants labvēlīgi ietekmē valsts un pašvaldību budžetu. Tas tiks novērtēts, aprēķinot nomaksāto nodokļu apjomu. Komersants ir uzskatāms par veiksmīgi funkcionējošu, ja tas spēj izpildīt savas finanšu saistības, tostarp nomaksāt visus attiecīgos nodokļus. Balstoties uz esošo pieredzi, 2010. gadā biznesa inkubatorā esošo komersantu nomaksāto nodokļu apjoms vidēji ir 4 450 lati (6 332 EUR). Aprēķinu mērķiem tiek pieņemts, ka neliela apjoma grantu shēmas ietvaros viens komersants gadā vidēji nomaksā nodokļus 4 500 lati (6 402 EUR) apmērā. Tāpat tiek ņemts vērā, ka Tehnoloģiju inkubatora otrajā gadā noslodze ir 50 % un aprēķināts, ka trešajā gadā noslodze būs 85%. Tādēļ kopējais apjoms varētu būt 360 000 lati (512 160 EUR). </w:t>
      </w:r>
    </w:p>
    <w:p w:rsidR="00067FDC" w:rsidRPr="00AE40CC" w:rsidRDefault="00570BF0" w:rsidP="00067FDC">
      <w:pPr>
        <w:spacing w:after="0"/>
        <w:ind w:firstLine="284"/>
        <w:jc w:val="both"/>
        <w:rPr>
          <w:rFonts w:ascii="Times New Roman" w:hAnsi="Times New Roman"/>
          <w:lang w:val="lv-LV"/>
        </w:rPr>
      </w:pPr>
      <w:r w:rsidRPr="00570BF0">
        <w:rPr>
          <w:rFonts w:ascii="Times New Roman" w:hAnsi="Times New Roman"/>
          <w:lang w:val="lv-LV"/>
        </w:rPr>
        <w:t xml:space="preserve">Tāpat tiks novērtēts, vai ir redzama paaugstināta biznesa ideju kompetence un koncentrēšana „zaļajās” nozarēs. Tas tiks novērtēts, aprēķinot, cik „zaļo” nozaru biznesa idejas ir apzinātas un cik biznesa idejām ir veikta biznesa koncepta pārbaude. Tas būs būtisks aspekts, vērtējot Tehnoloģijas inkubatora vadības komandas efektivitāti, un tās spēju nodrošināt pietiekamu privātā sektora interesi iesaistīties Programmā. Ir paredzēts, ka tiks atlasītas vismaz 70 biznesa idejas. </w:t>
      </w:r>
    </w:p>
    <w:p w:rsidR="00E4275C" w:rsidRPr="00AE40CC" w:rsidRDefault="00E4275C" w:rsidP="00067FDC">
      <w:pPr>
        <w:spacing w:after="0"/>
        <w:ind w:firstLine="284"/>
        <w:jc w:val="both"/>
        <w:rPr>
          <w:rFonts w:ascii="Times New Roman" w:hAnsi="Times New Roman"/>
          <w:lang w:val="lv-LV"/>
        </w:rPr>
      </w:pPr>
    </w:p>
    <w:p w:rsidR="00067FDC" w:rsidRPr="00AE40CC" w:rsidRDefault="00570BF0" w:rsidP="00067FDC">
      <w:pPr>
        <w:pStyle w:val="Heading2"/>
        <w:spacing w:before="0"/>
        <w:rPr>
          <w:rFonts w:ascii="Times New Roman" w:hAnsi="Times New Roman"/>
          <w:sz w:val="22"/>
          <w:szCs w:val="22"/>
          <w:lang w:val="lv-LV"/>
        </w:rPr>
      </w:pPr>
      <w:r w:rsidRPr="00570BF0">
        <w:rPr>
          <w:rFonts w:ascii="Times New Roman" w:hAnsi="Times New Roman"/>
          <w:sz w:val="22"/>
          <w:szCs w:val="22"/>
          <w:lang w:val="lv-LV"/>
        </w:rPr>
        <w:t xml:space="preserve">Programmas mērķa grupas </w:t>
      </w:r>
    </w:p>
    <w:p w:rsidR="00067FDC" w:rsidRPr="00AE40CC" w:rsidRDefault="00570BF0" w:rsidP="00067FDC">
      <w:pPr>
        <w:tabs>
          <w:tab w:val="left" w:pos="360"/>
        </w:tabs>
        <w:spacing w:after="0"/>
        <w:rPr>
          <w:rFonts w:ascii="Times New Roman" w:hAnsi="Times New Roman"/>
          <w:b/>
          <w:i/>
          <w:color w:val="339966"/>
          <w:lang w:val="lv-LV"/>
        </w:rPr>
      </w:pPr>
      <w:r w:rsidRPr="00570BF0">
        <w:rPr>
          <w:rFonts w:ascii="Times New Roman" w:hAnsi="Times New Roman"/>
          <w:b/>
          <w:lang w:val="lv-LV"/>
        </w:rPr>
        <w:t>Norādīt katra rezultāta mērķa grupas un aprakstīt, kā tiek sniegtas konsultācijas mērķa grupām plānošanas un īstenošanas laikā.</w:t>
      </w:r>
      <w:r w:rsidRPr="00570BF0">
        <w:rPr>
          <w:rFonts w:ascii="Times New Roman" w:hAnsi="Times New Roman"/>
          <w:color w:val="FF0000"/>
          <w:lang w:val="lv-LV"/>
        </w:rPr>
        <w:t xml:space="preserve"> </w:t>
      </w:r>
      <w:r w:rsidRPr="00570BF0">
        <w:rPr>
          <w:rFonts w:ascii="Times New Roman" w:hAnsi="Times New Roman"/>
          <w:b/>
          <w:i/>
          <w:color w:val="339966"/>
          <w:lang w:val="lv-LV"/>
        </w:rPr>
        <w:t>Nodrošināt, lai Statistikas pielikumā sniegtā informācija tiktu iekopēta arī šeit.</w:t>
      </w:r>
    </w:p>
    <w:p w:rsidR="00067FDC" w:rsidRPr="00AE40CC" w:rsidRDefault="00570BF0" w:rsidP="00067FDC">
      <w:pPr>
        <w:spacing w:after="0"/>
        <w:ind w:firstLine="284"/>
        <w:jc w:val="both"/>
        <w:rPr>
          <w:rFonts w:ascii="Times New Roman" w:hAnsi="Times New Roman"/>
          <w:lang w:val="lv-LV"/>
        </w:rPr>
      </w:pPr>
      <w:r w:rsidRPr="00570BF0">
        <w:rPr>
          <w:rFonts w:ascii="Times New Roman" w:hAnsi="Times New Roman"/>
          <w:lang w:val="lv-LV"/>
        </w:rPr>
        <w:t xml:space="preserve">Pārskatāmības nolūkos rezultāta „Palielināta „zaļo” darba vietu radīšana un uzņēmējdarbība” mērķa grupas ir sadalītas divās grupās, tā kā šis rezultāts ietver iepriekš noteikto projektu „Tehnoloģiju inkubators” un neliela apjoma grantu </w:t>
      </w:r>
      <w:r w:rsidR="00B87269" w:rsidRPr="00570BF0">
        <w:rPr>
          <w:rFonts w:ascii="Times New Roman" w:hAnsi="Times New Roman"/>
          <w:lang w:val="lv-LV"/>
        </w:rPr>
        <w:t>shēm</w:t>
      </w:r>
      <w:r w:rsidR="00B87269">
        <w:rPr>
          <w:rFonts w:ascii="Times New Roman" w:hAnsi="Times New Roman"/>
          <w:lang w:val="lv-LV"/>
        </w:rPr>
        <w:t>u</w:t>
      </w:r>
      <w:r w:rsidRPr="00570BF0">
        <w:rPr>
          <w:rFonts w:ascii="Times New Roman" w:hAnsi="Times New Roman"/>
          <w:lang w:val="lv-LV"/>
        </w:rPr>
        <w:t>.</w:t>
      </w:r>
    </w:p>
    <w:p w:rsidR="00067FDC" w:rsidRPr="00AE40CC" w:rsidRDefault="00570BF0" w:rsidP="00067FDC">
      <w:pPr>
        <w:spacing w:after="0"/>
        <w:ind w:firstLine="284"/>
        <w:jc w:val="both"/>
        <w:rPr>
          <w:rFonts w:ascii="Times New Roman" w:hAnsi="Times New Roman"/>
          <w:lang w:val="lv-LV"/>
        </w:rPr>
      </w:pPr>
      <w:r w:rsidRPr="00570BF0">
        <w:rPr>
          <w:rFonts w:ascii="Times New Roman" w:hAnsi="Times New Roman"/>
          <w:b/>
          <w:lang w:val="lv-LV"/>
        </w:rPr>
        <w:t>Iepriekš noteiktā projekta primārā mērķa grupa</w:t>
      </w:r>
      <w:r w:rsidRPr="00570BF0">
        <w:rPr>
          <w:rFonts w:ascii="Times New Roman" w:hAnsi="Times New Roman"/>
          <w:lang w:val="lv-LV"/>
        </w:rPr>
        <w:t xml:space="preserve"> ietver zinātniskās institūcijas, komersantus, kā arī nozares speciālistus un uzņēmējdarbības attīstībā pieredzējušus profesionāļus.</w:t>
      </w:r>
    </w:p>
    <w:p w:rsidR="00067FDC" w:rsidRPr="00AE40CC" w:rsidRDefault="00570BF0" w:rsidP="00067FDC">
      <w:pPr>
        <w:spacing w:after="0"/>
        <w:ind w:firstLine="284"/>
        <w:jc w:val="both"/>
        <w:rPr>
          <w:rFonts w:ascii="Times New Roman" w:hAnsi="Times New Roman"/>
          <w:lang w:val="lv-LV"/>
        </w:rPr>
      </w:pPr>
      <w:r w:rsidRPr="00570BF0">
        <w:rPr>
          <w:rFonts w:ascii="Times New Roman" w:hAnsi="Times New Roman"/>
          <w:b/>
          <w:lang w:val="lv-LV"/>
        </w:rPr>
        <w:lastRenderedPageBreak/>
        <w:t>Neliela apjoma grantu shēmas primārā mērķa grupa</w:t>
      </w:r>
      <w:r w:rsidRPr="00570BF0">
        <w:rPr>
          <w:rFonts w:ascii="Times New Roman" w:hAnsi="Times New Roman"/>
          <w:lang w:val="lv-LV"/>
        </w:rPr>
        <w:t xml:space="preserve"> ietver esošos un jaundibinātus komersantus, fiziskas personas ar mērķi uzsākt saimniecisko darbību (piemēram zinātniekus, inženierus, doktorantūras studentus, izgudrotājus).</w:t>
      </w:r>
    </w:p>
    <w:p w:rsidR="00067FDC" w:rsidRPr="00AE40CC" w:rsidRDefault="00570BF0" w:rsidP="00067FDC">
      <w:pPr>
        <w:spacing w:after="0"/>
        <w:ind w:firstLine="284"/>
        <w:jc w:val="both"/>
        <w:rPr>
          <w:rFonts w:ascii="Times New Roman" w:hAnsi="Times New Roman"/>
          <w:lang w:val="lv-LV"/>
        </w:rPr>
      </w:pPr>
      <w:r w:rsidRPr="00570BF0">
        <w:rPr>
          <w:rFonts w:ascii="Times New Roman" w:hAnsi="Times New Roman"/>
          <w:b/>
          <w:lang w:val="lv-LV"/>
        </w:rPr>
        <w:t>Rezultāta „Eiropas ekonomikas „zaļošanas” biznesa iespēju realizācija”</w:t>
      </w:r>
      <w:r w:rsidRPr="00570BF0">
        <w:rPr>
          <w:rFonts w:ascii="Times New Roman" w:hAnsi="Times New Roman"/>
          <w:lang w:val="lv-LV"/>
        </w:rPr>
        <w:t xml:space="preserve"> </w:t>
      </w:r>
      <w:r w:rsidRPr="00570BF0">
        <w:rPr>
          <w:rFonts w:ascii="Times New Roman" w:hAnsi="Times New Roman"/>
          <w:b/>
          <w:lang w:val="lv-LV"/>
        </w:rPr>
        <w:t>primārā mērķa grupa</w:t>
      </w:r>
      <w:r w:rsidRPr="00570BF0">
        <w:rPr>
          <w:rFonts w:ascii="Times New Roman" w:hAnsi="Times New Roman"/>
          <w:lang w:val="lv-LV"/>
        </w:rPr>
        <w:t xml:space="preserve"> ir komersanti.</w:t>
      </w:r>
    </w:p>
    <w:p w:rsidR="00067FDC" w:rsidRPr="00AE40CC" w:rsidRDefault="00570BF0" w:rsidP="00067FDC">
      <w:pPr>
        <w:spacing w:after="0"/>
        <w:ind w:firstLine="284"/>
        <w:jc w:val="both"/>
        <w:rPr>
          <w:rFonts w:ascii="Times New Roman" w:hAnsi="Times New Roman"/>
          <w:lang w:val="lv-LV"/>
        </w:rPr>
      </w:pPr>
      <w:r w:rsidRPr="00570BF0">
        <w:rPr>
          <w:rFonts w:ascii="Times New Roman" w:hAnsi="Times New Roman"/>
          <w:b/>
          <w:lang w:val="lv-LV"/>
        </w:rPr>
        <w:t>Programmas</w:t>
      </w:r>
      <w:r w:rsidRPr="00570BF0">
        <w:rPr>
          <w:rFonts w:ascii="Times New Roman" w:hAnsi="Times New Roman"/>
          <w:lang w:val="lv-LV"/>
        </w:rPr>
        <w:t xml:space="preserve"> </w:t>
      </w:r>
      <w:r w:rsidRPr="00570BF0">
        <w:rPr>
          <w:rFonts w:ascii="Times New Roman" w:hAnsi="Times New Roman"/>
          <w:b/>
          <w:lang w:val="lv-LV"/>
        </w:rPr>
        <w:t>sekundārā mērķa grupa</w:t>
      </w:r>
      <w:r w:rsidRPr="00570BF0">
        <w:rPr>
          <w:rFonts w:ascii="Times New Roman" w:hAnsi="Times New Roman"/>
          <w:lang w:val="lv-LV"/>
        </w:rPr>
        <w:t xml:space="preserve"> ir nozari pārstāvošas organizācijas, kredītiestādes, riska kapitāla investori, pašvaldības un bezdarbnieki, zinātniskie institūti un potenciālie piegādātāji.</w:t>
      </w:r>
    </w:p>
    <w:p w:rsidR="00067FDC" w:rsidRPr="00AE40CC" w:rsidRDefault="00570BF0" w:rsidP="00BC0D1D">
      <w:pPr>
        <w:spacing w:after="0"/>
        <w:ind w:firstLine="426"/>
        <w:jc w:val="both"/>
        <w:rPr>
          <w:rFonts w:ascii="Times New Roman" w:hAnsi="Times New Roman"/>
          <w:lang w:val="lv-LV"/>
        </w:rPr>
      </w:pPr>
      <w:r w:rsidRPr="00570BF0">
        <w:rPr>
          <w:rFonts w:ascii="Times New Roman" w:hAnsi="Times New Roman"/>
          <w:lang w:val="lv-LV"/>
        </w:rPr>
        <w:t>Daļa no mērķa grupām ir bijušas iesaistītas Programmas iesnieguma izstrādes procesā. Programmas iesnieguma projekts ir regulāri nosūtīts Latvijas Universitātei un Rīgas Tehniskajai universitātei un tāpat ir organizētas savstarpējas tikšanās, lai detalizēti apspriestu saistītos jautājumus. Ņemot vērā, ka Programma ir izstrādāta kopā ar divām lielākajām Latvijas universitātēm, tiek uzskatīts, ka līdz ar šīm iestādēm tiek pārstāvēts arī zinātnieku, pētnieku un doktorantu viedoklis</w:t>
      </w:r>
      <w:r w:rsidRPr="00D41006">
        <w:rPr>
          <w:rFonts w:ascii="Times New Roman" w:hAnsi="Times New Roman"/>
          <w:lang w:val="lv-LV"/>
        </w:rPr>
        <w:t xml:space="preserve">. Uzņēmēju viedoklis galvenokārt tika ņemts vērā, balstoties uz informatīvo ziņojumu </w:t>
      </w:r>
      <w:r w:rsidR="00D41006" w:rsidRPr="00D41006">
        <w:rPr>
          <w:rFonts w:ascii="Times New Roman" w:hAnsi="Times New Roman"/>
          <w:lang w:val="lv-LV"/>
        </w:rPr>
        <w:t>„</w:t>
      </w:r>
      <w:r w:rsidR="00D41006" w:rsidRPr="00D41006">
        <w:rPr>
          <w:rFonts w:ascii="Times New Roman" w:hAnsi="Times New Roman"/>
          <w:color w:val="2A2A2A"/>
        </w:rPr>
        <w:t>Par nepieciešamo atbalstu jaunu eksportspējīgu produktu radīšanai sadarbībā ar Latvijas zinātniekiem</w:t>
      </w:r>
      <w:r w:rsidR="00D41006" w:rsidRPr="00D41006">
        <w:rPr>
          <w:rFonts w:ascii="Times New Roman" w:hAnsi="Times New Roman"/>
          <w:lang w:val="lv-LV"/>
        </w:rPr>
        <w:t>” (Izglītības un zinātnes ministrija, apstiprināts 2010.gada 1.jūnijā)</w:t>
      </w:r>
      <w:r w:rsidRPr="00570BF0">
        <w:rPr>
          <w:rFonts w:ascii="Times New Roman" w:hAnsi="Times New Roman"/>
          <w:lang w:val="lv-LV"/>
        </w:rPr>
        <w:t>, kas tika sagatavots diskusijas rezultātā, kurā piedalījās zinātnieki, komersanti un augstas līmeņa dažādu ministriju amatpersonas. Bez tam, 2011. gada 14. decembrī EM piedalījās seminārā „Zaļās enerģijas ceļš Latvijā: no tehnoloģiskajiem risinājumiem līdz politikai”, kur tā prezentēja idejas par Programmu nozares speciālistiem, komersantiem, kas darbojas „zaļās” ražošanas jomā un citiem interesentiem.</w:t>
      </w:r>
    </w:p>
    <w:p w:rsidR="00067FDC" w:rsidRPr="00AE40CC" w:rsidRDefault="00570BF0" w:rsidP="00E375BC">
      <w:pPr>
        <w:spacing w:after="0"/>
        <w:ind w:firstLine="426"/>
        <w:jc w:val="both"/>
        <w:rPr>
          <w:rFonts w:ascii="Times New Roman" w:hAnsi="Times New Roman"/>
          <w:lang w:val="lv-LV"/>
        </w:rPr>
      </w:pPr>
      <w:r w:rsidRPr="00570BF0">
        <w:rPr>
          <w:rFonts w:ascii="Times New Roman" w:hAnsi="Times New Roman"/>
          <w:lang w:val="lv-LV"/>
        </w:rPr>
        <w:t xml:space="preserve">LIAA būs galvenā atbildīgā par iespējamo projektu pretendentu, tostarp mērķa grupu noteikšanu, informēšanu un konsultēšanu. Taču arī Tehnoloģiju inkubatora operatora un tā vadības komandas pieredze būs būtisks ieguldījums. Informācija gala lietotājiem tiks sniegta semināros un individuālās tikšanās. </w:t>
      </w:r>
    </w:p>
    <w:p w:rsidR="00067FDC" w:rsidRPr="00AE40CC" w:rsidRDefault="00570BF0" w:rsidP="00067FDC">
      <w:pPr>
        <w:spacing w:after="0"/>
        <w:ind w:firstLine="284"/>
        <w:jc w:val="both"/>
        <w:rPr>
          <w:rFonts w:ascii="Times New Roman" w:hAnsi="Times New Roman"/>
          <w:lang w:val="lv-LV"/>
        </w:rPr>
      </w:pPr>
      <w:r w:rsidRPr="00570BF0">
        <w:rPr>
          <w:rFonts w:ascii="Times New Roman" w:hAnsi="Times New Roman"/>
          <w:lang w:val="lv-LV"/>
        </w:rPr>
        <w:t xml:space="preserve">Izstrādājot Programmas Noteikumus, tiks organizēti semināri, kuru laikā potenciālie pretendenti tiks iepazīstināti ar Programmas dalības nosacījumiem un noteikumiem. Turklāt, 2012. gada beigās tiks organizēta programmas uzsākšanas </w:t>
      </w:r>
      <w:r w:rsidR="00A13927">
        <w:rPr>
          <w:rFonts w:ascii="Times New Roman" w:hAnsi="Times New Roman"/>
          <w:lang w:val="lv-LV"/>
        </w:rPr>
        <w:t>seminārs</w:t>
      </w:r>
      <w:r w:rsidRPr="00570BF0">
        <w:rPr>
          <w:rFonts w:ascii="Times New Roman" w:hAnsi="Times New Roman"/>
          <w:lang w:val="lv-LV"/>
        </w:rPr>
        <w:t xml:space="preserve">, lai paaugstinātu informētību par Programmu. Bez tam, pēc Programmas Noteikumu apstiprināšanas, tiks publicēta metodoloģija projekta iesnieguma sagatavošanai un projekta iesnieguma pieteikuma aizpildīšanai, kā arī projektu vērtēšanas metodoloģija. </w:t>
      </w:r>
    </w:p>
    <w:p w:rsidR="00067FDC" w:rsidRPr="00AE40CC" w:rsidRDefault="00570BF0" w:rsidP="00067FDC">
      <w:pPr>
        <w:spacing w:after="0"/>
        <w:ind w:firstLine="284"/>
        <w:jc w:val="both"/>
        <w:rPr>
          <w:rFonts w:ascii="Times New Roman" w:hAnsi="Times New Roman"/>
          <w:lang w:val="lv-LV"/>
        </w:rPr>
      </w:pPr>
      <w:r w:rsidRPr="00570BF0">
        <w:rPr>
          <w:rFonts w:ascii="Times New Roman" w:hAnsi="Times New Roman"/>
          <w:lang w:val="lv-LV"/>
        </w:rPr>
        <w:t>Pirms Programmas iesnieguma iesniegšanas Ministru kabinetā, Programmas iesniegums ir ticis nosūtīts izskatīšanai ieinteresētajām personām – Ventspils Augsto tehnoloģiju parks, Valmieras Biznesa un inovāciju inkubators, Kurzemes Biznesa inkubators, Biznesa inkubators „Magnus”, komersants „</w:t>
      </w:r>
      <w:proofErr w:type="spellStart"/>
      <w:r w:rsidRPr="00570BF0">
        <w:rPr>
          <w:rFonts w:ascii="Times New Roman" w:hAnsi="Times New Roman"/>
          <w:lang w:val="lv-LV"/>
        </w:rPr>
        <w:t>Ernst</w:t>
      </w:r>
      <w:proofErr w:type="spellEnd"/>
      <w:r w:rsidRPr="00570BF0">
        <w:rPr>
          <w:rFonts w:ascii="Times New Roman" w:hAnsi="Times New Roman"/>
          <w:lang w:val="lv-LV"/>
        </w:rPr>
        <w:t xml:space="preserve"> &amp;</w:t>
      </w:r>
      <w:proofErr w:type="spellStart"/>
      <w:r w:rsidRPr="00570BF0">
        <w:rPr>
          <w:rFonts w:ascii="Times New Roman" w:hAnsi="Times New Roman"/>
          <w:lang w:val="lv-LV"/>
        </w:rPr>
        <w:t>Young</w:t>
      </w:r>
      <w:proofErr w:type="spellEnd"/>
      <w:r w:rsidRPr="00570BF0">
        <w:rPr>
          <w:rFonts w:ascii="Times New Roman" w:hAnsi="Times New Roman"/>
          <w:lang w:val="lv-LV"/>
        </w:rPr>
        <w:t xml:space="preserve"> Baltic”, Latvijas Universitāte, Rīgas Tehniskā universitāte un Rīgas pilsētas dome, lai tādā veidā nodrošinātu pilnīgu Programmas atbilstību reālajai situācijai un paredzētu visas nepieciešamās prioritātes. Pēc konsultēšanās ar ieinteresētajām personām, tika nolemts grozīt Programmas iesniegumu, lai novērsto pārklāšanos ar šobrīd darbojošos ES fondu programmu „Biznesa inkubatori”. Lai to nodrošinātu, tika samazināta atbalsta intensitāte pakalpojumiem, tās nosakot vienādas abās programmās.    </w:t>
      </w:r>
    </w:p>
    <w:p w:rsidR="00067FDC" w:rsidRPr="00AE40CC" w:rsidRDefault="00067FDC" w:rsidP="00067FDC">
      <w:pPr>
        <w:spacing w:after="0"/>
        <w:ind w:firstLine="284"/>
        <w:jc w:val="both"/>
        <w:rPr>
          <w:rFonts w:ascii="Times New Roman" w:hAnsi="Times New Roman"/>
          <w:lang w:val="lv-LV"/>
        </w:rPr>
      </w:pPr>
    </w:p>
    <w:p w:rsidR="00067FDC" w:rsidRPr="00AE40CC" w:rsidRDefault="00067FDC" w:rsidP="00A237D2">
      <w:pPr>
        <w:spacing w:after="0"/>
        <w:ind w:firstLine="426"/>
        <w:jc w:val="both"/>
        <w:rPr>
          <w:rFonts w:ascii="Times New Roman" w:hAnsi="Times New Roman"/>
          <w:lang w:val="lv-LV"/>
        </w:rPr>
        <w:sectPr w:rsidR="00067FDC" w:rsidRPr="00AE40CC" w:rsidSect="00996E28">
          <w:pgSz w:w="15840" w:h="12240" w:orient="landscape"/>
          <w:pgMar w:top="2126" w:right="1440" w:bottom="1418" w:left="1440" w:header="709" w:footer="709" w:gutter="0"/>
          <w:cols w:space="720"/>
          <w:titlePg/>
          <w:docGrid w:linePitch="360"/>
        </w:sectPr>
      </w:pPr>
    </w:p>
    <w:bookmarkEnd w:id="39"/>
    <w:bookmarkEnd w:id="40"/>
    <w:p w:rsidR="00A9482F" w:rsidRPr="00AE40CC" w:rsidRDefault="00570BF0" w:rsidP="00115C40">
      <w:pPr>
        <w:pStyle w:val="Heading2"/>
        <w:spacing w:before="0"/>
        <w:rPr>
          <w:rFonts w:ascii="Times New Roman" w:hAnsi="Times New Roman"/>
          <w:sz w:val="22"/>
          <w:szCs w:val="22"/>
          <w:lang w:val="lv-LV"/>
        </w:rPr>
      </w:pPr>
      <w:r w:rsidRPr="00570BF0">
        <w:rPr>
          <w:rFonts w:ascii="Times New Roman" w:hAnsi="Times New Roman"/>
          <w:sz w:val="22"/>
          <w:szCs w:val="22"/>
          <w:lang w:val="lv-LV"/>
        </w:rPr>
        <w:lastRenderedPageBreak/>
        <w:t>Riski un neskaidrības</w:t>
      </w:r>
    </w:p>
    <w:p w:rsidR="00A9482F" w:rsidRPr="00AE40CC" w:rsidRDefault="00570BF0" w:rsidP="00A9482F">
      <w:pPr>
        <w:spacing w:after="0"/>
        <w:rPr>
          <w:rFonts w:ascii="Times New Roman" w:hAnsi="Times New Roman"/>
          <w:b/>
          <w:lang w:val="lv-LV"/>
        </w:rPr>
      </w:pPr>
      <w:bookmarkStart w:id="48" w:name="_Toc257373773"/>
      <w:r w:rsidRPr="00570BF0">
        <w:rPr>
          <w:rFonts w:ascii="Times New Roman" w:hAnsi="Times New Roman"/>
          <w:b/>
          <w:lang w:val="lv-LV"/>
        </w:rPr>
        <w:t>Identificēt un novērtēt attiecīgos riska faktorus, kas var ietekmēt Programmas plānotā(o) rezultāta(u) sasniegšanu. Minēt katru riska faktoru, analizēt attiecīgo risku un riska seku mazināšanas plānu</w:t>
      </w:r>
      <w:bookmarkEnd w:id="48"/>
      <w:r w:rsidRPr="00570BF0">
        <w:rPr>
          <w:rFonts w:ascii="Times New Roman" w:hAnsi="Times New Roman"/>
          <w:b/>
          <w:lang w:val="lv-LV"/>
        </w:rPr>
        <w:t>.</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2369"/>
        <w:gridCol w:w="3530"/>
        <w:gridCol w:w="1487"/>
        <w:gridCol w:w="1701"/>
        <w:gridCol w:w="3118"/>
      </w:tblGrid>
      <w:tr w:rsidR="00F512A8" w:rsidRPr="00AE40CC">
        <w:trPr>
          <w:trHeight w:val="340"/>
        </w:trPr>
        <w:tc>
          <w:tcPr>
            <w:tcW w:w="944" w:type="dxa"/>
            <w:vMerge w:val="restart"/>
            <w:shd w:val="clear" w:color="auto" w:fill="C0C0C0"/>
            <w:vAlign w:val="center"/>
          </w:tcPr>
          <w:p w:rsidR="00F512A8" w:rsidRPr="00AE40CC" w:rsidRDefault="00570BF0" w:rsidP="00A9482F">
            <w:pPr>
              <w:spacing w:after="0"/>
              <w:jc w:val="center"/>
              <w:rPr>
                <w:rFonts w:ascii="Times New Roman" w:hAnsi="Times New Roman"/>
                <w:b/>
                <w:lang w:val="lv-LV"/>
              </w:rPr>
            </w:pPr>
            <w:r w:rsidRPr="00570BF0">
              <w:rPr>
                <w:rFonts w:ascii="Times New Roman" w:hAnsi="Times New Roman"/>
                <w:b/>
                <w:lang w:val="lv-LV"/>
              </w:rPr>
              <w:t>Rezultāta nr.</w:t>
            </w:r>
          </w:p>
        </w:tc>
        <w:tc>
          <w:tcPr>
            <w:tcW w:w="2369" w:type="dxa"/>
            <w:vMerge w:val="restart"/>
            <w:shd w:val="clear" w:color="auto" w:fill="C0C0C0"/>
            <w:vAlign w:val="center"/>
          </w:tcPr>
          <w:p w:rsidR="00F512A8" w:rsidRPr="00AE40CC" w:rsidRDefault="00570BF0" w:rsidP="00DE25CD">
            <w:pPr>
              <w:jc w:val="center"/>
              <w:rPr>
                <w:rFonts w:ascii="Times New Roman" w:hAnsi="Times New Roman"/>
                <w:b/>
                <w:lang w:val="lv-LV"/>
              </w:rPr>
            </w:pPr>
            <w:r w:rsidRPr="00570BF0">
              <w:rPr>
                <w:rFonts w:ascii="Times New Roman" w:hAnsi="Times New Roman"/>
                <w:b/>
                <w:lang w:val="lv-LV"/>
              </w:rPr>
              <w:t>Rezultāts</w:t>
            </w:r>
          </w:p>
        </w:tc>
        <w:tc>
          <w:tcPr>
            <w:tcW w:w="3530" w:type="dxa"/>
            <w:vMerge w:val="restart"/>
            <w:shd w:val="clear" w:color="auto" w:fill="C0C0C0"/>
            <w:vAlign w:val="center"/>
          </w:tcPr>
          <w:p w:rsidR="00F512A8" w:rsidRPr="00AE40CC" w:rsidRDefault="00570BF0" w:rsidP="00DE25CD">
            <w:pPr>
              <w:jc w:val="center"/>
              <w:rPr>
                <w:rFonts w:ascii="Times New Roman" w:hAnsi="Times New Roman"/>
                <w:b/>
                <w:lang w:val="lv-LV"/>
              </w:rPr>
            </w:pPr>
            <w:r w:rsidRPr="00570BF0">
              <w:rPr>
                <w:rFonts w:ascii="Times New Roman" w:hAnsi="Times New Roman"/>
                <w:b/>
                <w:lang w:val="lv-LV"/>
              </w:rPr>
              <w:t>Riska apraksts</w:t>
            </w:r>
          </w:p>
        </w:tc>
        <w:tc>
          <w:tcPr>
            <w:tcW w:w="3188" w:type="dxa"/>
            <w:gridSpan w:val="2"/>
            <w:shd w:val="clear" w:color="auto" w:fill="C0C0C0"/>
          </w:tcPr>
          <w:p w:rsidR="00F512A8" w:rsidRPr="00AE40CC" w:rsidRDefault="00570BF0" w:rsidP="00DE25CD">
            <w:pPr>
              <w:jc w:val="center"/>
              <w:rPr>
                <w:rFonts w:ascii="Times New Roman" w:hAnsi="Times New Roman"/>
                <w:b/>
                <w:lang w:val="lv-LV"/>
              </w:rPr>
            </w:pPr>
            <w:r w:rsidRPr="00570BF0">
              <w:rPr>
                <w:rFonts w:ascii="Times New Roman" w:hAnsi="Times New Roman"/>
                <w:b/>
                <w:lang w:val="lv-LV"/>
              </w:rPr>
              <w:t>Novērtējums</w:t>
            </w:r>
          </w:p>
        </w:tc>
        <w:tc>
          <w:tcPr>
            <w:tcW w:w="3118" w:type="dxa"/>
            <w:vMerge w:val="restart"/>
            <w:shd w:val="clear" w:color="auto" w:fill="C0C0C0"/>
            <w:vAlign w:val="center"/>
          </w:tcPr>
          <w:p w:rsidR="00F512A8" w:rsidRPr="00AE40CC" w:rsidRDefault="00570BF0" w:rsidP="00DE25CD">
            <w:pPr>
              <w:jc w:val="center"/>
              <w:rPr>
                <w:rFonts w:ascii="Times New Roman" w:hAnsi="Times New Roman"/>
                <w:b/>
                <w:lang w:val="lv-LV"/>
              </w:rPr>
            </w:pPr>
            <w:r w:rsidRPr="00570BF0">
              <w:rPr>
                <w:rFonts w:ascii="Times New Roman" w:hAnsi="Times New Roman"/>
                <w:b/>
                <w:lang w:val="lv-LV"/>
              </w:rPr>
              <w:t>Riska seku mazināšanas plāns</w:t>
            </w:r>
          </w:p>
        </w:tc>
      </w:tr>
      <w:tr w:rsidR="00F512A8" w:rsidRPr="00AE40CC">
        <w:trPr>
          <w:trHeight w:val="416"/>
        </w:trPr>
        <w:tc>
          <w:tcPr>
            <w:tcW w:w="944" w:type="dxa"/>
            <w:vMerge/>
          </w:tcPr>
          <w:p w:rsidR="00F512A8" w:rsidRPr="00AE40CC" w:rsidRDefault="00F512A8" w:rsidP="00A9482F">
            <w:pPr>
              <w:jc w:val="center"/>
              <w:rPr>
                <w:rFonts w:ascii="Times New Roman" w:hAnsi="Times New Roman"/>
                <w:b/>
                <w:lang w:val="lv-LV"/>
              </w:rPr>
            </w:pPr>
          </w:p>
        </w:tc>
        <w:tc>
          <w:tcPr>
            <w:tcW w:w="2369" w:type="dxa"/>
            <w:vMerge/>
            <w:vAlign w:val="center"/>
          </w:tcPr>
          <w:p w:rsidR="00F512A8" w:rsidRPr="00AE40CC" w:rsidRDefault="00F512A8" w:rsidP="00A9482F">
            <w:pPr>
              <w:jc w:val="center"/>
              <w:rPr>
                <w:rFonts w:ascii="Times New Roman" w:hAnsi="Times New Roman"/>
                <w:b/>
                <w:lang w:val="lv-LV"/>
              </w:rPr>
            </w:pPr>
          </w:p>
        </w:tc>
        <w:tc>
          <w:tcPr>
            <w:tcW w:w="3530" w:type="dxa"/>
            <w:vMerge/>
            <w:vAlign w:val="center"/>
          </w:tcPr>
          <w:p w:rsidR="00F512A8" w:rsidRPr="00AE40CC" w:rsidRDefault="00F512A8" w:rsidP="00A9482F">
            <w:pPr>
              <w:jc w:val="center"/>
              <w:rPr>
                <w:rFonts w:ascii="Times New Roman" w:hAnsi="Times New Roman"/>
                <w:b/>
                <w:lang w:val="lv-LV"/>
              </w:rPr>
            </w:pPr>
          </w:p>
        </w:tc>
        <w:tc>
          <w:tcPr>
            <w:tcW w:w="1487" w:type="dxa"/>
            <w:shd w:val="clear" w:color="auto" w:fill="C0C0C0"/>
            <w:vAlign w:val="center"/>
          </w:tcPr>
          <w:p w:rsidR="00F512A8" w:rsidRPr="00AE40CC" w:rsidRDefault="00570BF0" w:rsidP="00DE25CD">
            <w:pPr>
              <w:jc w:val="center"/>
              <w:rPr>
                <w:rFonts w:ascii="Times New Roman" w:hAnsi="Times New Roman"/>
                <w:b/>
                <w:lang w:val="lv-LV"/>
              </w:rPr>
            </w:pPr>
            <w:r w:rsidRPr="00570BF0">
              <w:rPr>
                <w:rFonts w:ascii="Times New Roman" w:hAnsi="Times New Roman"/>
                <w:b/>
                <w:lang w:val="lv-LV"/>
              </w:rPr>
              <w:t>Varbūtība</w:t>
            </w:r>
            <w:r w:rsidRPr="00570BF0">
              <w:rPr>
                <w:rFonts w:ascii="Times New Roman" w:hAnsi="Times New Roman"/>
                <w:b/>
                <w:lang w:val="lv-LV"/>
              </w:rPr>
              <w:br/>
            </w:r>
            <w:r w:rsidRPr="00570BF0">
              <w:rPr>
                <w:rFonts w:ascii="Times New Roman" w:hAnsi="Times New Roman"/>
                <w:lang w:val="lv-LV"/>
              </w:rPr>
              <w:t>[zema/vidēja/augsta]</w:t>
            </w:r>
          </w:p>
        </w:tc>
        <w:tc>
          <w:tcPr>
            <w:tcW w:w="1701" w:type="dxa"/>
            <w:shd w:val="clear" w:color="auto" w:fill="C0C0C0"/>
            <w:vAlign w:val="center"/>
          </w:tcPr>
          <w:p w:rsidR="00F512A8" w:rsidRPr="00AE40CC" w:rsidRDefault="00570BF0" w:rsidP="00DE25CD">
            <w:pPr>
              <w:jc w:val="center"/>
              <w:rPr>
                <w:rFonts w:ascii="Times New Roman" w:hAnsi="Times New Roman"/>
                <w:b/>
                <w:lang w:val="lv-LV"/>
              </w:rPr>
            </w:pPr>
            <w:r w:rsidRPr="00570BF0">
              <w:rPr>
                <w:rFonts w:ascii="Times New Roman" w:hAnsi="Times New Roman"/>
                <w:b/>
                <w:lang w:val="lv-LV"/>
              </w:rPr>
              <w:t>Ietekme</w:t>
            </w:r>
            <w:r w:rsidRPr="00570BF0">
              <w:rPr>
                <w:rFonts w:ascii="Times New Roman" w:hAnsi="Times New Roman"/>
                <w:b/>
                <w:lang w:val="lv-LV"/>
              </w:rPr>
              <w:br/>
            </w:r>
            <w:r w:rsidRPr="00570BF0">
              <w:rPr>
                <w:rFonts w:ascii="Times New Roman" w:hAnsi="Times New Roman"/>
                <w:lang w:val="lv-LV"/>
              </w:rPr>
              <w:t>[zema/vidēja/augsta]</w:t>
            </w:r>
          </w:p>
        </w:tc>
        <w:tc>
          <w:tcPr>
            <w:tcW w:w="3118" w:type="dxa"/>
            <w:vMerge/>
            <w:shd w:val="clear" w:color="auto" w:fill="C0C0C0"/>
            <w:vAlign w:val="center"/>
          </w:tcPr>
          <w:p w:rsidR="00F512A8" w:rsidRPr="00AE40CC" w:rsidRDefault="00F512A8" w:rsidP="00A9482F">
            <w:pPr>
              <w:jc w:val="center"/>
              <w:rPr>
                <w:rFonts w:ascii="Times New Roman" w:hAnsi="Times New Roman"/>
                <w:b/>
                <w:lang w:val="lv-LV"/>
              </w:rPr>
            </w:pPr>
          </w:p>
        </w:tc>
      </w:tr>
      <w:tr w:rsidR="003B0B85" w:rsidRPr="00AE40CC" w:rsidTr="00782B83">
        <w:trPr>
          <w:trHeight w:val="581"/>
        </w:trPr>
        <w:tc>
          <w:tcPr>
            <w:tcW w:w="944" w:type="dxa"/>
            <w:vAlign w:val="center"/>
          </w:tcPr>
          <w:p w:rsidR="003B0B85" w:rsidRPr="00AE40CC" w:rsidRDefault="00570BF0" w:rsidP="00782B83">
            <w:pPr>
              <w:jc w:val="center"/>
              <w:rPr>
                <w:rFonts w:ascii="Times New Roman" w:hAnsi="Times New Roman"/>
                <w:lang w:val="lv-LV"/>
              </w:rPr>
            </w:pPr>
            <w:r w:rsidRPr="00570BF0">
              <w:rPr>
                <w:rFonts w:ascii="Times New Roman" w:hAnsi="Times New Roman"/>
                <w:lang w:val="lv-LV"/>
              </w:rPr>
              <w:t>1.</w:t>
            </w:r>
          </w:p>
        </w:tc>
        <w:tc>
          <w:tcPr>
            <w:tcW w:w="2369" w:type="dxa"/>
            <w:vAlign w:val="center"/>
          </w:tcPr>
          <w:p w:rsidR="003B0B85" w:rsidRPr="00AE40CC" w:rsidRDefault="00570BF0" w:rsidP="00A9482F">
            <w:pPr>
              <w:jc w:val="center"/>
              <w:rPr>
                <w:rFonts w:ascii="Times New Roman" w:hAnsi="Times New Roman"/>
                <w:lang w:val="lv-LV"/>
              </w:rPr>
            </w:pPr>
            <w:r w:rsidRPr="00570BF0">
              <w:rPr>
                <w:rFonts w:ascii="Times New Roman" w:hAnsi="Times New Roman"/>
                <w:lang w:val="lv-LV"/>
              </w:rPr>
              <w:t>Eiropas ekonomikas „zaļošanas” biznesa iespēju realizācija</w:t>
            </w:r>
          </w:p>
        </w:tc>
        <w:tc>
          <w:tcPr>
            <w:tcW w:w="3530" w:type="dxa"/>
            <w:vAlign w:val="center"/>
          </w:tcPr>
          <w:p w:rsidR="003B0B85" w:rsidRPr="00AE40CC" w:rsidRDefault="00570BF0" w:rsidP="00A9482F">
            <w:pPr>
              <w:jc w:val="center"/>
              <w:rPr>
                <w:rFonts w:ascii="Times New Roman" w:hAnsi="Times New Roman"/>
                <w:lang w:val="lv-LV"/>
              </w:rPr>
            </w:pPr>
            <w:r w:rsidRPr="00570BF0">
              <w:rPr>
                <w:rFonts w:ascii="Times New Roman" w:hAnsi="Times New Roman"/>
                <w:lang w:val="lv-LV"/>
              </w:rPr>
              <w:t>Nepietiekams biznesa ideju skaits saistībā ar „zaļajām” nozarēm</w:t>
            </w:r>
          </w:p>
        </w:tc>
        <w:tc>
          <w:tcPr>
            <w:tcW w:w="1487" w:type="dxa"/>
            <w:vAlign w:val="center"/>
          </w:tcPr>
          <w:p w:rsidR="003B0B85" w:rsidRPr="00AE40CC" w:rsidRDefault="00570BF0" w:rsidP="003B0B85">
            <w:pPr>
              <w:jc w:val="center"/>
              <w:rPr>
                <w:rFonts w:ascii="Times New Roman" w:hAnsi="Times New Roman"/>
                <w:lang w:val="lv-LV"/>
              </w:rPr>
            </w:pPr>
            <w:r w:rsidRPr="00570BF0">
              <w:rPr>
                <w:rFonts w:ascii="Times New Roman" w:hAnsi="Times New Roman"/>
                <w:lang w:val="lv-LV"/>
              </w:rPr>
              <w:t>Vidējs</w:t>
            </w:r>
          </w:p>
        </w:tc>
        <w:tc>
          <w:tcPr>
            <w:tcW w:w="1701" w:type="dxa"/>
            <w:vAlign w:val="center"/>
          </w:tcPr>
          <w:p w:rsidR="003B0B85" w:rsidRPr="00AE40CC" w:rsidRDefault="00570BF0" w:rsidP="00DE25CD">
            <w:pPr>
              <w:jc w:val="center"/>
              <w:rPr>
                <w:rFonts w:ascii="Times New Roman" w:hAnsi="Times New Roman"/>
                <w:lang w:val="lv-LV"/>
              </w:rPr>
            </w:pPr>
            <w:r w:rsidRPr="00570BF0">
              <w:rPr>
                <w:rFonts w:ascii="Times New Roman" w:hAnsi="Times New Roman"/>
                <w:lang w:val="lv-LV"/>
              </w:rPr>
              <w:t>Augsts</w:t>
            </w:r>
          </w:p>
        </w:tc>
        <w:tc>
          <w:tcPr>
            <w:tcW w:w="3118" w:type="dxa"/>
            <w:vAlign w:val="center"/>
          </w:tcPr>
          <w:p w:rsidR="003B0B85" w:rsidRPr="00AE40CC" w:rsidRDefault="00570BF0" w:rsidP="003B0B85">
            <w:pPr>
              <w:jc w:val="center"/>
              <w:rPr>
                <w:rFonts w:ascii="Times New Roman" w:hAnsi="Times New Roman"/>
                <w:lang w:val="lv-LV"/>
              </w:rPr>
            </w:pPr>
            <w:r w:rsidRPr="00570BF0">
              <w:rPr>
                <w:rFonts w:ascii="Times New Roman" w:hAnsi="Times New Roman"/>
                <w:lang w:val="lv-LV"/>
              </w:rPr>
              <w:t>Iesaistītas zinātniskās institūcijas</w:t>
            </w:r>
          </w:p>
          <w:p w:rsidR="003B0B85" w:rsidRPr="00AE40CC" w:rsidRDefault="00570BF0" w:rsidP="003B0B85">
            <w:pPr>
              <w:jc w:val="center"/>
              <w:rPr>
                <w:rFonts w:ascii="Times New Roman" w:hAnsi="Times New Roman"/>
                <w:lang w:val="lv-LV"/>
              </w:rPr>
            </w:pPr>
            <w:r w:rsidRPr="00570BF0">
              <w:rPr>
                <w:rFonts w:ascii="Times New Roman" w:hAnsi="Times New Roman"/>
                <w:lang w:val="lv-LV"/>
              </w:rPr>
              <w:t>Izveidots Tehnoloģiju inkubators Rīgā</w:t>
            </w:r>
          </w:p>
          <w:p w:rsidR="003B0B85" w:rsidRPr="00AE40CC" w:rsidRDefault="00570BF0" w:rsidP="003B0B85">
            <w:pPr>
              <w:jc w:val="center"/>
              <w:rPr>
                <w:rFonts w:ascii="Times New Roman" w:hAnsi="Times New Roman"/>
                <w:lang w:val="lv-LV"/>
              </w:rPr>
            </w:pPr>
            <w:r w:rsidRPr="00570BF0">
              <w:rPr>
                <w:rFonts w:ascii="Times New Roman" w:hAnsi="Times New Roman"/>
                <w:lang w:val="lv-LV"/>
              </w:rPr>
              <w:t>Veicināšanas aktivitātes, lai informētu iespējamos dalībniekus</w:t>
            </w:r>
          </w:p>
        </w:tc>
      </w:tr>
      <w:tr w:rsidR="00756891" w:rsidRPr="00AE40CC" w:rsidTr="00782B83">
        <w:trPr>
          <w:trHeight w:val="1036"/>
        </w:trPr>
        <w:tc>
          <w:tcPr>
            <w:tcW w:w="944" w:type="dxa"/>
            <w:vAlign w:val="center"/>
          </w:tcPr>
          <w:p w:rsidR="00756891" w:rsidRPr="00AE40CC" w:rsidRDefault="00570BF0" w:rsidP="00782B83">
            <w:pPr>
              <w:jc w:val="center"/>
              <w:rPr>
                <w:rFonts w:ascii="Times New Roman" w:hAnsi="Times New Roman"/>
                <w:lang w:val="lv-LV"/>
              </w:rPr>
            </w:pPr>
            <w:r w:rsidRPr="00570BF0">
              <w:rPr>
                <w:rFonts w:ascii="Times New Roman" w:hAnsi="Times New Roman"/>
                <w:lang w:val="lv-LV"/>
              </w:rPr>
              <w:t>1.</w:t>
            </w:r>
          </w:p>
        </w:tc>
        <w:tc>
          <w:tcPr>
            <w:tcW w:w="2369" w:type="dxa"/>
            <w:vAlign w:val="center"/>
          </w:tcPr>
          <w:p w:rsidR="00756891" w:rsidRPr="00AE40CC" w:rsidRDefault="00570BF0" w:rsidP="00A9482F">
            <w:pPr>
              <w:jc w:val="center"/>
              <w:rPr>
                <w:rFonts w:ascii="Times New Roman" w:hAnsi="Times New Roman"/>
                <w:lang w:val="lv-LV"/>
              </w:rPr>
            </w:pPr>
            <w:r w:rsidRPr="00570BF0">
              <w:rPr>
                <w:rFonts w:ascii="Times New Roman" w:hAnsi="Times New Roman"/>
                <w:lang w:val="lv-LV"/>
              </w:rPr>
              <w:t>Eiropas ekonomikas „zaļošanas” biznesa iespēju realizācija</w:t>
            </w:r>
          </w:p>
        </w:tc>
        <w:tc>
          <w:tcPr>
            <w:tcW w:w="3530" w:type="dxa"/>
            <w:vAlign w:val="center"/>
          </w:tcPr>
          <w:p w:rsidR="00756891" w:rsidRPr="00AE40CC" w:rsidRDefault="00570BF0" w:rsidP="00796BFD">
            <w:pPr>
              <w:jc w:val="center"/>
              <w:rPr>
                <w:rFonts w:ascii="Times New Roman" w:hAnsi="Times New Roman"/>
                <w:lang w:val="lv-LV"/>
              </w:rPr>
            </w:pPr>
            <w:r w:rsidRPr="00570BF0">
              <w:rPr>
                <w:rFonts w:ascii="Times New Roman" w:hAnsi="Times New Roman"/>
                <w:lang w:val="lv-LV"/>
              </w:rPr>
              <w:t>Nepietiekama iespējamo Norvēģijas partneru interese</w:t>
            </w:r>
          </w:p>
        </w:tc>
        <w:tc>
          <w:tcPr>
            <w:tcW w:w="1487" w:type="dxa"/>
            <w:vAlign w:val="center"/>
          </w:tcPr>
          <w:p w:rsidR="00756891" w:rsidRPr="00AE40CC" w:rsidRDefault="00570BF0" w:rsidP="00DE25CD">
            <w:pPr>
              <w:jc w:val="center"/>
              <w:rPr>
                <w:rFonts w:ascii="Times New Roman" w:hAnsi="Times New Roman"/>
                <w:lang w:val="lv-LV"/>
              </w:rPr>
            </w:pPr>
            <w:r w:rsidRPr="00570BF0">
              <w:rPr>
                <w:rFonts w:ascii="Times New Roman" w:hAnsi="Times New Roman"/>
                <w:lang w:val="lv-LV"/>
              </w:rPr>
              <w:t>Vidējs</w:t>
            </w:r>
          </w:p>
        </w:tc>
        <w:tc>
          <w:tcPr>
            <w:tcW w:w="1701" w:type="dxa"/>
            <w:vAlign w:val="center"/>
          </w:tcPr>
          <w:p w:rsidR="00756891" w:rsidRPr="00AE40CC" w:rsidRDefault="00570BF0" w:rsidP="00DE25CD">
            <w:pPr>
              <w:jc w:val="center"/>
              <w:rPr>
                <w:rFonts w:ascii="Times New Roman" w:hAnsi="Times New Roman"/>
                <w:lang w:val="lv-LV"/>
              </w:rPr>
            </w:pPr>
            <w:r w:rsidRPr="00570BF0">
              <w:rPr>
                <w:rFonts w:ascii="Times New Roman" w:hAnsi="Times New Roman"/>
                <w:lang w:val="lv-LV"/>
              </w:rPr>
              <w:t>Vidējs</w:t>
            </w:r>
          </w:p>
        </w:tc>
        <w:tc>
          <w:tcPr>
            <w:tcW w:w="3118" w:type="dxa"/>
            <w:vAlign w:val="center"/>
          </w:tcPr>
          <w:p w:rsidR="00756891" w:rsidRPr="00AE40CC" w:rsidRDefault="00570BF0" w:rsidP="00756891">
            <w:pPr>
              <w:jc w:val="center"/>
              <w:rPr>
                <w:rFonts w:ascii="Times New Roman" w:hAnsi="Times New Roman"/>
                <w:lang w:val="lv-LV"/>
              </w:rPr>
            </w:pPr>
            <w:r w:rsidRPr="00570BF0">
              <w:rPr>
                <w:rFonts w:ascii="Times New Roman" w:hAnsi="Times New Roman"/>
                <w:lang w:val="lv-LV"/>
              </w:rPr>
              <w:t>Profesionāls Tehnoloģiju inkubatora operatora atbalsts ārējo sakaru nodibināšanai</w:t>
            </w:r>
          </w:p>
          <w:p w:rsidR="00756891" w:rsidRPr="00AE40CC" w:rsidRDefault="00570BF0" w:rsidP="00756891">
            <w:pPr>
              <w:jc w:val="center"/>
              <w:rPr>
                <w:rFonts w:ascii="Times New Roman" w:hAnsi="Times New Roman"/>
                <w:lang w:val="lv-LV"/>
              </w:rPr>
            </w:pPr>
            <w:r w:rsidRPr="00570BF0">
              <w:rPr>
                <w:rFonts w:ascii="Times New Roman" w:hAnsi="Times New Roman"/>
                <w:lang w:val="lv-LV"/>
              </w:rPr>
              <w:t>Darba grupas, vizītes, prioritāte partnerībās īstenotiem projektiem</w:t>
            </w:r>
          </w:p>
          <w:p w:rsidR="00756891" w:rsidRPr="00AE40CC" w:rsidRDefault="00570BF0" w:rsidP="00BC00DD">
            <w:pPr>
              <w:jc w:val="center"/>
              <w:rPr>
                <w:rFonts w:ascii="Times New Roman" w:hAnsi="Times New Roman"/>
                <w:lang w:val="lv-LV"/>
              </w:rPr>
            </w:pPr>
            <w:r w:rsidRPr="00570BF0">
              <w:rPr>
                <w:rFonts w:ascii="Times New Roman" w:hAnsi="Times New Roman"/>
                <w:lang w:val="lv-LV"/>
              </w:rPr>
              <w:t xml:space="preserve">Norvēģijas Inovāciju aģentūras un SIVA konsultācijas un atbalsts saistībā ar </w:t>
            </w:r>
            <w:r w:rsidR="00BC00DD">
              <w:rPr>
                <w:rFonts w:ascii="Times New Roman" w:hAnsi="Times New Roman"/>
                <w:lang w:val="lv-LV"/>
              </w:rPr>
              <w:t>kontaktiem</w:t>
            </w:r>
            <w:r w:rsidR="00BC00DD" w:rsidRPr="00570BF0">
              <w:rPr>
                <w:rFonts w:ascii="Times New Roman" w:hAnsi="Times New Roman"/>
                <w:lang w:val="lv-LV"/>
              </w:rPr>
              <w:t xml:space="preserve"> </w:t>
            </w:r>
          </w:p>
        </w:tc>
      </w:tr>
      <w:tr w:rsidR="00BF079A" w:rsidRPr="00AE40CC" w:rsidTr="00DE25CD">
        <w:trPr>
          <w:trHeight w:val="1036"/>
        </w:trPr>
        <w:tc>
          <w:tcPr>
            <w:tcW w:w="944" w:type="dxa"/>
            <w:vAlign w:val="center"/>
          </w:tcPr>
          <w:p w:rsidR="00BF079A" w:rsidRPr="00AE40CC" w:rsidRDefault="00570BF0" w:rsidP="00782B83">
            <w:pPr>
              <w:jc w:val="center"/>
              <w:rPr>
                <w:rFonts w:ascii="Times New Roman" w:hAnsi="Times New Roman"/>
                <w:lang w:val="lv-LV"/>
              </w:rPr>
            </w:pPr>
            <w:r w:rsidRPr="00570BF0">
              <w:rPr>
                <w:rFonts w:ascii="Times New Roman" w:hAnsi="Times New Roman"/>
                <w:lang w:val="lv-LV"/>
              </w:rPr>
              <w:t>1.</w:t>
            </w:r>
          </w:p>
        </w:tc>
        <w:tc>
          <w:tcPr>
            <w:tcW w:w="2369" w:type="dxa"/>
          </w:tcPr>
          <w:p w:rsidR="00BF079A" w:rsidRPr="00AE40CC" w:rsidRDefault="00BF079A" w:rsidP="002E6DB8">
            <w:pPr>
              <w:jc w:val="center"/>
              <w:rPr>
                <w:rFonts w:ascii="Times New Roman" w:hAnsi="Times New Roman"/>
                <w:lang w:val="lv-LV"/>
              </w:rPr>
            </w:pPr>
          </w:p>
          <w:p w:rsidR="00BF079A" w:rsidRPr="00AE40CC" w:rsidRDefault="00570BF0" w:rsidP="002E6DB8">
            <w:pPr>
              <w:jc w:val="center"/>
              <w:rPr>
                <w:lang w:val="lv-LV"/>
              </w:rPr>
            </w:pPr>
            <w:r w:rsidRPr="00570BF0">
              <w:rPr>
                <w:rFonts w:ascii="Times New Roman" w:hAnsi="Times New Roman"/>
                <w:lang w:val="lv-LV"/>
              </w:rPr>
              <w:t>Eiropas ekonomikas „zaļošanas” biznesa iespēju realizācija</w:t>
            </w:r>
          </w:p>
        </w:tc>
        <w:tc>
          <w:tcPr>
            <w:tcW w:w="3530" w:type="dxa"/>
            <w:vAlign w:val="center"/>
          </w:tcPr>
          <w:p w:rsidR="00BF079A" w:rsidRPr="00AE40CC" w:rsidRDefault="00570BF0" w:rsidP="00A9482F">
            <w:pPr>
              <w:jc w:val="center"/>
              <w:rPr>
                <w:rFonts w:ascii="Times New Roman" w:hAnsi="Times New Roman"/>
                <w:lang w:val="lv-LV"/>
              </w:rPr>
            </w:pPr>
            <w:r w:rsidRPr="00570BF0">
              <w:rPr>
                <w:rFonts w:ascii="Times New Roman" w:hAnsi="Times New Roman"/>
                <w:lang w:val="lv-LV"/>
              </w:rPr>
              <w:t>Laika ierobežojumi Programmas īstenošanā</w:t>
            </w:r>
          </w:p>
        </w:tc>
        <w:tc>
          <w:tcPr>
            <w:tcW w:w="1487" w:type="dxa"/>
            <w:vAlign w:val="center"/>
          </w:tcPr>
          <w:p w:rsidR="00BF079A" w:rsidRPr="00AE40CC" w:rsidRDefault="00570BF0" w:rsidP="00DE25CD">
            <w:pPr>
              <w:jc w:val="center"/>
              <w:rPr>
                <w:rFonts w:ascii="Times New Roman" w:hAnsi="Times New Roman"/>
                <w:lang w:val="lv-LV"/>
              </w:rPr>
            </w:pPr>
            <w:r w:rsidRPr="00570BF0">
              <w:rPr>
                <w:rFonts w:ascii="Times New Roman" w:hAnsi="Times New Roman"/>
                <w:lang w:val="lv-LV"/>
              </w:rPr>
              <w:t>Vidējs</w:t>
            </w:r>
          </w:p>
        </w:tc>
        <w:tc>
          <w:tcPr>
            <w:tcW w:w="1701" w:type="dxa"/>
            <w:vAlign w:val="center"/>
          </w:tcPr>
          <w:p w:rsidR="00BF079A" w:rsidRPr="00AE40CC" w:rsidRDefault="00570BF0" w:rsidP="00DE25CD">
            <w:pPr>
              <w:jc w:val="center"/>
              <w:rPr>
                <w:rFonts w:ascii="Times New Roman" w:hAnsi="Times New Roman"/>
                <w:lang w:val="lv-LV"/>
              </w:rPr>
            </w:pPr>
            <w:r w:rsidRPr="00570BF0">
              <w:rPr>
                <w:rFonts w:ascii="Times New Roman" w:hAnsi="Times New Roman"/>
                <w:lang w:val="lv-LV"/>
              </w:rPr>
              <w:t>Vidējs</w:t>
            </w:r>
          </w:p>
        </w:tc>
        <w:tc>
          <w:tcPr>
            <w:tcW w:w="3118" w:type="dxa"/>
            <w:vAlign w:val="center"/>
          </w:tcPr>
          <w:p w:rsidR="00FD39A7" w:rsidRPr="00AE40CC" w:rsidRDefault="00570BF0" w:rsidP="00FD39A7">
            <w:pPr>
              <w:jc w:val="center"/>
              <w:rPr>
                <w:rFonts w:ascii="Times New Roman" w:hAnsi="Times New Roman"/>
                <w:lang w:val="lv-LV"/>
              </w:rPr>
            </w:pPr>
            <w:r w:rsidRPr="00570BF0">
              <w:rPr>
                <w:rFonts w:ascii="Times New Roman" w:hAnsi="Times New Roman"/>
                <w:lang w:val="lv-LV"/>
              </w:rPr>
              <w:t>Laikus uzsāktas veicināšanas aktivitātes</w:t>
            </w:r>
          </w:p>
          <w:p w:rsidR="00BF079A" w:rsidRPr="00AE40CC" w:rsidRDefault="00570BF0" w:rsidP="00FD39A7">
            <w:pPr>
              <w:jc w:val="center"/>
              <w:rPr>
                <w:rFonts w:ascii="Times New Roman" w:hAnsi="Times New Roman"/>
                <w:lang w:val="lv-LV"/>
              </w:rPr>
            </w:pPr>
            <w:r w:rsidRPr="00570BF0">
              <w:rPr>
                <w:rFonts w:ascii="Times New Roman" w:hAnsi="Times New Roman"/>
                <w:lang w:val="lv-LV"/>
              </w:rPr>
              <w:t xml:space="preserve">Ieinteresēto personu iesaistīšanās Programmas </w:t>
            </w:r>
            <w:r w:rsidRPr="00570BF0">
              <w:rPr>
                <w:rFonts w:ascii="Times New Roman" w:hAnsi="Times New Roman"/>
                <w:lang w:val="lv-LV"/>
              </w:rPr>
              <w:lastRenderedPageBreak/>
              <w:t>sagatavošanā</w:t>
            </w:r>
          </w:p>
        </w:tc>
      </w:tr>
      <w:tr w:rsidR="002E6DB8" w:rsidRPr="00AE40CC" w:rsidTr="00044A81">
        <w:trPr>
          <w:trHeight w:val="1036"/>
        </w:trPr>
        <w:tc>
          <w:tcPr>
            <w:tcW w:w="944" w:type="dxa"/>
            <w:vAlign w:val="center"/>
          </w:tcPr>
          <w:p w:rsidR="002E6DB8" w:rsidRPr="00AE40CC" w:rsidRDefault="00570BF0" w:rsidP="00782B83">
            <w:pPr>
              <w:jc w:val="center"/>
              <w:rPr>
                <w:rFonts w:ascii="Times New Roman" w:hAnsi="Times New Roman"/>
                <w:lang w:val="lv-LV"/>
              </w:rPr>
            </w:pPr>
            <w:r w:rsidRPr="00570BF0">
              <w:rPr>
                <w:rFonts w:ascii="Times New Roman" w:hAnsi="Times New Roman"/>
                <w:lang w:val="lv-LV"/>
              </w:rPr>
              <w:lastRenderedPageBreak/>
              <w:t>1.</w:t>
            </w:r>
          </w:p>
        </w:tc>
        <w:tc>
          <w:tcPr>
            <w:tcW w:w="2369" w:type="dxa"/>
            <w:vAlign w:val="center"/>
          </w:tcPr>
          <w:p w:rsidR="002E6DB8" w:rsidRPr="00AE40CC" w:rsidRDefault="002E6DB8" w:rsidP="00044A81">
            <w:pPr>
              <w:jc w:val="center"/>
              <w:rPr>
                <w:rFonts w:ascii="Times New Roman" w:hAnsi="Times New Roman"/>
                <w:lang w:val="lv-LV"/>
              </w:rPr>
            </w:pPr>
          </w:p>
          <w:p w:rsidR="002E6DB8" w:rsidRPr="00AE40CC" w:rsidRDefault="00570BF0" w:rsidP="00044A81">
            <w:pPr>
              <w:jc w:val="center"/>
              <w:rPr>
                <w:lang w:val="lv-LV"/>
              </w:rPr>
            </w:pPr>
            <w:r w:rsidRPr="00570BF0">
              <w:rPr>
                <w:rFonts w:ascii="Times New Roman" w:hAnsi="Times New Roman"/>
                <w:lang w:val="lv-LV"/>
              </w:rPr>
              <w:t>Eiropas ekonomikas „zaļošanas” biznesa iespēju realizācija</w:t>
            </w:r>
          </w:p>
        </w:tc>
        <w:tc>
          <w:tcPr>
            <w:tcW w:w="3530" w:type="dxa"/>
            <w:vAlign w:val="center"/>
          </w:tcPr>
          <w:p w:rsidR="002E6DB8" w:rsidRPr="00AE40CC" w:rsidRDefault="00570BF0" w:rsidP="00B9627A">
            <w:pPr>
              <w:jc w:val="center"/>
              <w:rPr>
                <w:rFonts w:ascii="Times New Roman" w:hAnsi="Times New Roman"/>
                <w:lang w:val="lv-LV"/>
              </w:rPr>
            </w:pPr>
            <w:r w:rsidRPr="00570BF0">
              <w:rPr>
                <w:rFonts w:ascii="Times New Roman" w:hAnsi="Times New Roman"/>
                <w:lang w:val="lv-LV"/>
              </w:rPr>
              <w:t xml:space="preserve">Pārāk liels pretendentu skaits </w:t>
            </w:r>
          </w:p>
        </w:tc>
        <w:tc>
          <w:tcPr>
            <w:tcW w:w="1487" w:type="dxa"/>
            <w:vAlign w:val="center"/>
          </w:tcPr>
          <w:p w:rsidR="002E6DB8" w:rsidRPr="00AE40CC" w:rsidRDefault="00570BF0" w:rsidP="00A9482F">
            <w:pPr>
              <w:jc w:val="center"/>
              <w:rPr>
                <w:rFonts w:ascii="Times New Roman" w:hAnsi="Times New Roman"/>
                <w:lang w:val="lv-LV"/>
              </w:rPr>
            </w:pPr>
            <w:r w:rsidRPr="00570BF0">
              <w:rPr>
                <w:rFonts w:ascii="Times New Roman" w:hAnsi="Times New Roman"/>
                <w:lang w:val="lv-LV"/>
              </w:rPr>
              <w:t xml:space="preserve">Vidējs </w:t>
            </w:r>
          </w:p>
        </w:tc>
        <w:tc>
          <w:tcPr>
            <w:tcW w:w="1701" w:type="dxa"/>
            <w:vAlign w:val="center"/>
          </w:tcPr>
          <w:p w:rsidR="002E6DB8" w:rsidRPr="00AE40CC" w:rsidRDefault="00570BF0" w:rsidP="00A9482F">
            <w:pPr>
              <w:jc w:val="center"/>
              <w:rPr>
                <w:rFonts w:ascii="Times New Roman" w:hAnsi="Times New Roman"/>
                <w:lang w:val="lv-LV"/>
              </w:rPr>
            </w:pPr>
            <w:r w:rsidRPr="00570BF0">
              <w:rPr>
                <w:rFonts w:ascii="Times New Roman" w:hAnsi="Times New Roman"/>
                <w:lang w:val="lv-LV"/>
              </w:rPr>
              <w:t xml:space="preserve">Zems </w:t>
            </w:r>
          </w:p>
        </w:tc>
        <w:tc>
          <w:tcPr>
            <w:tcW w:w="3118" w:type="dxa"/>
            <w:vAlign w:val="center"/>
          </w:tcPr>
          <w:p w:rsidR="002E6DB8" w:rsidRPr="00AE40CC" w:rsidRDefault="00570BF0" w:rsidP="00D41C32">
            <w:pPr>
              <w:jc w:val="center"/>
              <w:rPr>
                <w:rFonts w:ascii="Times New Roman" w:hAnsi="Times New Roman"/>
                <w:lang w:val="lv-LV"/>
              </w:rPr>
            </w:pPr>
            <w:r w:rsidRPr="00570BF0">
              <w:rPr>
                <w:rFonts w:ascii="Times New Roman" w:hAnsi="Times New Roman"/>
                <w:lang w:val="lv-LV"/>
              </w:rPr>
              <w:t xml:space="preserve">LIAA sniegs informāciju par alternatīvām iespējām saņemt finansējumu </w:t>
            </w:r>
          </w:p>
        </w:tc>
      </w:tr>
      <w:tr w:rsidR="00B9627A" w:rsidRPr="00AE40CC" w:rsidTr="00044A81">
        <w:trPr>
          <w:trHeight w:val="1036"/>
        </w:trPr>
        <w:tc>
          <w:tcPr>
            <w:tcW w:w="944" w:type="dxa"/>
            <w:vAlign w:val="center"/>
          </w:tcPr>
          <w:p w:rsidR="00B9627A" w:rsidRPr="00AE40CC" w:rsidRDefault="00570BF0" w:rsidP="00782B83">
            <w:pPr>
              <w:jc w:val="center"/>
              <w:rPr>
                <w:rFonts w:ascii="Times New Roman" w:hAnsi="Times New Roman"/>
                <w:lang w:val="lv-LV"/>
              </w:rPr>
            </w:pPr>
            <w:r w:rsidRPr="00570BF0">
              <w:rPr>
                <w:rFonts w:ascii="Times New Roman" w:hAnsi="Times New Roman"/>
                <w:lang w:val="lv-LV"/>
              </w:rPr>
              <w:t>1.</w:t>
            </w:r>
          </w:p>
        </w:tc>
        <w:tc>
          <w:tcPr>
            <w:tcW w:w="2369" w:type="dxa"/>
            <w:vAlign w:val="center"/>
          </w:tcPr>
          <w:p w:rsidR="00B9627A" w:rsidRPr="00AE40CC" w:rsidRDefault="00B9627A" w:rsidP="00044A81">
            <w:pPr>
              <w:jc w:val="center"/>
              <w:rPr>
                <w:rFonts w:ascii="Times New Roman" w:hAnsi="Times New Roman"/>
                <w:lang w:val="lv-LV"/>
              </w:rPr>
            </w:pPr>
          </w:p>
          <w:p w:rsidR="00B9627A" w:rsidRPr="00AE40CC" w:rsidRDefault="00570BF0" w:rsidP="00044A81">
            <w:pPr>
              <w:jc w:val="center"/>
              <w:rPr>
                <w:lang w:val="lv-LV"/>
              </w:rPr>
            </w:pPr>
            <w:r w:rsidRPr="00570BF0">
              <w:rPr>
                <w:rFonts w:ascii="Times New Roman" w:hAnsi="Times New Roman"/>
                <w:lang w:val="lv-LV"/>
              </w:rPr>
              <w:t>Eiropas ekonomikas „zaļošanas” biznesa iespēju realizācija</w:t>
            </w:r>
          </w:p>
        </w:tc>
        <w:tc>
          <w:tcPr>
            <w:tcW w:w="3530" w:type="dxa"/>
            <w:vAlign w:val="center"/>
          </w:tcPr>
          <w:p w:rsidR="00B9627A" w:rsidRPr="00AE40CC" w:rsidRDefault="00570BF0" w:rsidP="00E1474F">
            <w:pPr>
              <w:jc w:val="center"/>
              <w:rPr>
                <w:rFonts w:ascii="Times New Roman" w:hAnsi="Times New Roman"/>
                <w:lang w:val="lv-LV"/>
              </w:rPr>
            </w:pPr>
            <w:r w:rsidRPr="00570BF0">
              <w:rPr>
                <w:rFonts w:ascii="Times New Roman" w:hAnsi="Times New Roman"/>
                <w:lang w:val="lv-LV"/>
              </w:rPr>
              <w:t xml:space="preserve">Programma nesniegs nozīmīgu pozitīvu ietekmi uz vides problēmām </w:t>
            </w:r>
          </w:p>
        </w:tc>
        <w:tc>
          <w:tcPr>
            <w:tcW w:w="1487" w:type="dxa"/>
            <w:vAlign w:val="center"/>
          </w:tcPr>
          <w:p w:rsidR="00B9627A" w:rsidRPr="00AE40CC" w:rsidRDefault="00570BF0" w:rsidP="00DE25CD">
            <w:pPr>
              <w:jc w:val="center"/>
              <w:rPr>
                <w:rFonts w:ascii="Times New Roman" w:hAnsi="Times New Roman"/>
                <w:lang w:val="lv-LV"/>
              </w:rPr>
            </w:pPr>
            <w:r w:rsidRPr="00570BF0">
              <w:rPr>
                <w:rFonts w:ascii="Times New Roman" w:hAnsi="Times New Roman"/>
                <w:lang w:val="lv-LV"/>
              </w:rPr>
              <w:t>Vidējs</w:t>
            </w:r>
          </w:p>
        </w:tc>
        <w:tc>
          <w:tcPr>
            <w:tcW w:w="1701" w:type="dxa"/>
            <w:vAlign w:val="center"/>
          </w:tcPr>
          <w:p w:rsidR="00B9627A" w:rsidRPr="00AE40CC" w:rsidRDefault="00570BF0" w:rsidP="00DE25CD">
            <w:pPr>
              <w:jc w:val="center"/>
              <w:rPr>
                <w:rFonts w:ascii="Times New Roman" w:hAnsi="Times New Roman"/>
                <w:lang w:val="lv-LV"/>
              </w:rPr>
            </w:pPr>
            <w:r w:rsidRPr="00570BF0">
              <w:rPr>
                <w:rFonts w:ascii="Times New Roman" w:hAnsi="Times New Roman"/>
                <w:lang w:val="lv-LV"/>
              </w:rPr>
              <w:t>Augsts</w:t>
            </w:r>
          </w:p>
        </w:tc>
        <w:tc>
          <w:tcPr>
            <w:tcW w:w="3118" w:type="dxa"/>
            <w:vAlign w:val="center"/>
          </w:tcPr>
          <w:p w:rsidR="00B9627A" w:rsidRPr="00BC00DD" w:rsidRDefault="00570BF0" w:rsidP="00A9482F">
            <w:pPr>
              <w:jc w:val="center"/>
              <w:rPr>
                <w:rFonts w:ascii="Times New Roman" w:hAnsi="Times New Roman"/>
                <w:lang w:val="lv-LV"/>
              </w:rPr>
            </w:pPr>
            <w:r w:rsidRPr="00BC00DD">
              <w:rPr>
                <w:rFonts w:ascii="Times New Roman" w:hAnsi="Times New Roman"/>
                <w:lang w:val="lv-LV"/>
              </w:rPr>
              <w:t xml:space="preserve">Atlases kritēriji piešķirs punktus par projekta pozitīvu ietekmi uz vidi </w:t>
            </w:r>
          </w:p>
          <w:p w:rsidR="00B9627A" w:rsidRPr="00AE40CC" w:rsidRDefault="00E66674" w:rsidP="00B9627A">
            <w:pPr>
              <w:jc w:val="center"/>
              <w:rPr>
                <w:rFonts w:ascii="Times New Roman" w:hAnsi="Times New Roman"/>
                <w:lang w:val="lv-LV"/>
              </w:rPr>
            </w:pPr>
            <w:r w:rsidRPr="00E66674">
              <w:rPr>
                <w:rFonts w:ascii="Times New Roman" w:hAnsi="Times New Roman"/>
                <w:lang w:val="lv-LV"/>
              </w:rPr>
              <w:t xml:space="preserve">Tehnoloģiju inkubatora </w:t>
            </w:r>
            <w:r w:rsidR="00570BF0" w:rsidRPr="00BC00DD">
              <w:rPr>
                <w:rFonts w:ascii="Times New Roman" w:hAnsi="Times New Roman"/>
                <w:lang w:val="lv-LV"/>
              </w:rPr>
              <w:t>eksperti sniegs pieredzi un zināšanas, novērtējot iespējamo ietekmi uz vidi</w:t>
            </w:r>
            <w:r w:rsidR="00570BF0" w:rsidRPr="00570BF0">
              <w:rPr>
                <w:rFonts w:ascii="Times New Roman" w:hAnsi="Times New Roman"/>
                <w:lang w:val="lv-LV"/>
              </w:rPr>
              <w:t xml:space="preserve"> </w:t>
            </w:r>
          </w:p>
        </w:tc>
      </w:tr>
      <w:tr w:rsidR="000869AF" w:rsidRPr="00AE40CC" w:rsidTr="00044A81">
        <w:trPr>
          <w:trHeight w:val="1036"/>
        </w:trPr>
        <w:tc>
          <w:tcPr>
            <w:tcW w:w="944" w:type="dxa"/>
            <w:vAlign w:val="center"/>
          </w:tcPr>
          <w:p w:rsidR="000869AF" w:rsidRPr="00AE40CC" w:rsidRDefault="00570BF0" w:rsidP="00044A81">
            <w:pPr>
              <w:jc w:val="center"/>
              <w:rPr>
                <w:rFonts w:ascii="Times New Roman" w:hAnsi="Times New Roman"/>
                <w:lang w:val="lv-LV"/>
              </w:rPr>
            </w:pPr>
            <w:r w:rsidRPr="00570BF0">
              <w:rPr>
                <w:rFonts w:ascii="Times New Roman" w:hAnsi="Times New Roman"/>
                <w:lang w:val="lv-LV"/>
              </w:rPr>
              <w:t>1.</w:t>
            </w:r>
          </w:p>
        </w:tc>
        <w:tc>
          <w:tcPr>
            <w:tcW w:w="2369" w:type="dxa"/>
            <w:vAlign w:val="center"/>
          </w:tcPr>
          <w:p w:rsidR="000869AF" w:rsidRPr="00AE40CC" w:rsidRDefault="00570BF0" w:rsidP="00044A81">
            <w:pPr>
              <w:jc w:val="center"/>
              <w:rPr>
                <w:lang w:val="lv-LV"/>
              </w:rPr>
            </w:pPr>
            <w:r w:rsidRPr="00570BF0">
              <w:rPr>
                <w:rFonts w:ascii="Times New Roman" w:hAnsi="Times New Roman"/>
                <w:lang w:val="lv-LV"/>
              </w:rPr>
              <w:t>Eiropas ekonomikas „zaļošanas” biznesa iespēju realizācija</w:t>
            </w:r>
          </w:p>
        </w:tc>
        <w:tc>
          <w:tcPr>
            <w:tcW w:w="3530" w:type="dxa"/>
            <w:vAlign w:val="center"/>
          </w:tcPr>
          <w:p w:rsidR="000869AF" w:rsidRPr="00AE40CC" w:rsidRDefault="00570BF0" w:rsidP="00B9627A">
            <w:pPr>
              <w:jc w:val="center"/>
              <w:rPr>
                <w:rFonts w:ascii="Times New Roman" w:hAnsi="Times New Roman"/>
                <w:lang w:val="lv-LV"/>
              </w:rPr>
            </w:pPr>
            <w:r w:rsidRPr="00570BF0">
              <w:rPr>
                <w:rFonts w:ascii="Times New Roman" w:hAnsi="Times New Roman"/>
                <w:lang w:val="lv-LV"/>
              </w:rPr>
              <w:t>Jaunie nosacījumi noteikumos, lai piešķirtu reģionālo ieguldījumu atbalstu</w:t>
            </w:r>
          </w:p>
        </w:tc>
        <w:tc>
          <w:tcPr>
            <w:tcW w:w="1487" w:type="dxa"/>
            <w:vAlign w:val="center"/>
          </w:tcPr>
          <w:p w:rsidR="000869AF" w:rsidRPr="00AE40CC" w:rsidRDefault="00570BF0" w:rsidP="00DE25CD">
            <w:pPr>
              <w:jc w:val="center"/>
              <w:rPr>
                <w:rFonts w:ascii="Times New Roman" w:hAnsi="Times New Roman"/>
                <w:lang w:val="lv-LV"/>
              </w:rPr>
            </w:pPr>
            <w:r w:rsidRPr="00570BF0">
              <w:rPr>
                <w:rFonts w:ascii="Times New Roman" w:hAnsi="Times New Roman"/>
                <w:lang w:val="lv-LV"/>
              </w:rPr>
              <w:t>Zems</w:t>
            </w:r>
          </w:p>
        </w:tc>
        <w:tc>
          <w:tcPr>
            <w:tcW w:w="1701" w:type="dxa"/>
            <w:vAlign w:val="center"/>
          </w:tcPr>
          <w:p w:rsidR="000869AF" w:rsidRPr="00AE40CC" w:rsidRDefault="00570BF0" w:rsidP="00DE25CD">
            <w:pPr>
              <w:jc w:val="center"/>
              <w:rPr>
                <w:rFonts w:ascii="Times New Roman" w:hAnsi="Times New Roman"/>
                <w:lang w:val="lv-LV"/>
              </w:rPr>
            </w:pPr>
            <w:r w:rsidRPr="00570BF0">
              <w:rPr>
                <w:rFonts w:ascii="Times New Roman" w:hAnsi="Times New Roman"/>
                <w:lang w:val="lv-LV"/>
              </w:rPr>
              <w:t>Augsts</w:t>
            </w:r>
          </w:p>
        </w:tc>
        <w:tc>
          <w:tcPr>
            <w:tcW w:w="3118" w:type="dxa"/>
            <w:vAlign w:val="center"/>
          </w:tcPr>
          <w:p w:rsidR="000869AF" w:rsidRPr="00BC00DD" w:rsidRDefault="00570BF0" w:rsidP="00A9482F">
            <w:pPr>
              <w:jc w:val="center"/>
              <w:rPr>
                <w:rFonts w:ascii="Times New Roman" w:hAnsi="Times New Roman"/>
                <w:lang w:val="lv-LV"/>
              </w:rPr>
            </w:pPr>
            <w:r w:rsidRPr="00BC00DD">
              <w:rPr>
                <w:rFonts w:ascii="Times New Roman" w:hAnsi="Times New Roman"/>
                <w:lang w:val="lv-LV"/>
              </w:rPr>
              <w:t>Atbalsta intensitāte Atklātajā konkursā ir zema (</w:t>
            </w:r>
            <w:r w:rsidR="00BC00DD">
              <w:rPr>
                <w:rFonts w:ascii="Times New Roman" w:hAnsi="Times New Roman"/>
                <w:lang w:val="lv-LV"/>
              </w:rPr>
              <w:t>līdz</w:t>
            </w:r>
            <w:r w:rsidR="00BC00DD" w:rsidRPr="00BC00DD">
              <w:rPr>
                <w:rFonts w:ascii="Times New Roman" w:hAnsi="Times New Roman"/>
                <w:lang w:val="lv-LV"/>
              </w:rPr>
              <w:t xml:space="preserve"> </w:t>
            </w:r>
            <w:r w:rsidRPr="00BC00DD">
              <w:rPr>
                <w:rFonts w:ascii="Times New Roman" w:hAnsi="Times New Roman"/>
                <w:lang w:val="lv-LV"/>
              </w:rPr>
              <w:t xml:space="preserve">35%) </w:t>
            </w:r>
            <w:r w:rsidR="00E66674" w:rsidRPr="00E66674">
              <w:rPr>
                <w:rFonts w:ascii="Times New Roman" w:hAnsi="Times New Roman"/>
                <w:lang w:val="lv-LV"/>
              </w:rPr>
              <w:t xml:space="preserve">atbilstoši indikācijām, ka atbalsta intensitātes jaunajos noteikumos </w:t>
            </w:r>
            <w:r w:rsidRPr="00BC00DD">
              <w:rPr>
                <w:rFonts w:ascii="Times New Roman" w:hAnsi="Times New Roman"/>
                <w:lang w:val="lv-LV"/>
              </w:rPr>
              <w:t xml:space="preserve"> būs zemākas</w:t>
            </w:r>
          </w:p>
          <w:p w:rsidR="00044A81" w:rsidRPr="00AE40CC" w:rsidRDefault="00570BF0" w:rsidP="00A9482F">
            <w:pPr>
              <w:jc w:val="center"/>
              <w:rPr>
                <w:rFonts w:ascii="Times New Roman" w:hAnsi="Times New Roman"/>
                <w:lang w:val="lv-LV"/>
              </w:rPr>
            </w:pPr>
            <w:r w:rsidRPr="00BC00DD">
              <w:rPr>
                <w:rFonts w:ascii="Times New Roman" w:hAnsi="Times New Roman"/>
                <w:lang w:val="lv-LV"/>
              </w:rPr>
              <w:t>Ja nepieciešams tiks grozīti Programmas Noteikumi un informēti projekta iesniedzēji</w:t>
            </w:r>
          </w:p>
        </w:tc>
      </w:tr>
      <w:tr w:rsidR="000869AF" w:rsidRPr="00AE40CC" w:rsidTr="00044A81">
        <w:trPr>
          <w:trHeight w:val="596"/>
        </w:trPr>
        <w:tc>
          <w:tcPr>
            <w:tcW w:w="944" w:type="dxa"/>
            <w:vAlign w:val="center"/>
          </w:tcPr>
          <w:p w:rsidR="000869AF" w:rsidRPr="00AE40CC" w:rsidRDefault="00570BF0" w:rsidP="00782B83">
            <w:pPr>
              <w:jc w:val="center"/>
              <w:rPr>
                <w:rFonts w:ascii="Times New Roman" w:hAnsi="Times New Roman"/>
                <w:lang w:val="lv-LV"/>
              </w:rPr>
            </w:pPr>
            <w:r w:rsidRPr="00570BF0">
              <w:rPr>
                <w:rFonts w:ascii="Times New Roman" w:hAnsi="Times New Roman"/>
                <w:lang w:val="lv-LV"/>
              </w:rPr>
              <w:t>2.</w:t>
            </w:r>
          </w:p>
        </w:tc>
        <w:tc>
          <w:tcPr>
            <w:tcW w:w="2369" w:type="dxa"/>
            <w:vAlign w:val="center"/>
          </w:tcPr>
          <w:p w:rsidR="000869AF" w:rsidRPr="00AE40CC" w:rsidRDefault="000869AF" w:rsidP="00044A81">
            <w:pPr>
              <w:jc w:val="center"/>
              <w:rPr>
                <w:rFonts w:ascii="Times New Roman" w:hAnsi="Times New Roman"/>
                <w:lang w:val="lv-LV"/>
              </w:rPr>
            </w:pPr>
          </w:p>
          <w:p w:rsidR="000869AF" w:rsidRPr="00AE40CC" w:rsidRDefault="00570BF0" w:rsidP="00044A81">
            <w:pPr>
              <w:jc w:val="center"/>
              <w:rPr>
                <w:lang w:val="lv-LV"/>
              </w:rPr>
            </w:pPr>
            <w:r w:rsidRPr="00570BF0">
              <w:rPr>
                <w:rFonts w:ascii="Times New Roman" w:hAnsi="Times New Roman"/>
                <w:lang w:val="lv-LV"/>
              </w:rPr>
              <w:t>Palielināta „zaļo” darba vietu radīšana un uzņēmējdarbība</w:t>
            </w:r>
          </w:p>
        </w:tc>
        <w:tc>
          <w:tcPr>
            <w:tcW w:w="3530" w:type="dxa"/>
            <w:vAlign w:val="center"/>
          </w:tcPr>
          <w:p w:rsidR="000869AF" w:rsidRPr="00AE40CC" w:rsidRDefault="00570BF0" w:rsidP="00D67791">
            <w:pPr>
              <w:jc w:val="center"/>
              <w:rPr>
                <w:rFonts w:ascii="Times New Roman" w:hAnsi="Times New Roman"/>
                <w:lang w:val="lv-LV"/>
              </w:rPr>
            </w:pPr>
            <w:r w:rsidRPr="00570BF0">
              <w:rPr>
                <w:rFonts w:ascii="Times New Roman" w:hAnsi="Times New Roman"/>
                <w:lang w:val="lv-LV"/>
              </w:rPr>
              <w:t>Ārējais risks:</w:t>
            </w:r>
          </w:p>
          <w:p w:rsidR="000869AF" w:rsidRPr="00AE40CC" w:rsidRDefault="00570BF0" w:rsidP="00D67791">
            <w:pPr>
              <w:jc w:val="center"/>
              <w:rPr>
                <w:rFonts w:ascii="Times New Roman" w:hAnsi="Times New Roman"/>
                <w:b/>
                <w:lang w:val="lv-LV"/>
              </w:rPr>
            </w:pPr>
            <w:r w:rsidRPr="00570BF0">
              <w:rPr>
                <w:rFonts w:ascii="Times New Roman" w:hAnsi="Times New Roman"/>
                <w:lang w:val="lv-LV"/>
              </w:rPr>
              <w:t>Pasaules ekonomikas lejupslīde</w:t>
            </w:r>
          </w:p>
        </w:tc>
        <w:tc>
          <w:tcPr>
            <w:tcW w:w="1487" w:type="dxa"/>
            <w:vAlign w:val="center"/>
          </w:tcPr>
          <w:p w:rsidR="000869AF" w:rsidRPr="00AE40CC" w:rsidRDefault="00570BF0" w:rsidP="00DE25CD">
            <w:pPr>
              <w:jc w:val="center"/>
              <w:rPr>
                <w:rFonts w:ascii="Times New Roman" w:hAnsi="Times New Roman"/>
                <w:lang w:val="lv-LV"/>
              </w:rPr>
            </w:pPr>
            <w:r w:rsidRPr="00570BF0">
              <w:rPr>
                <w:rFonts w:ascii="Times New Roman" w:hAnsi="Times New Roman"/>
                <w:lang w:val="lv-LV"/>
              </w:rPr>
              <w:t>Vidējs</w:t>
            </w:r>
          </w:p>
        </w:tc>
        <w:tc>
          <w:tcPr>
            <w:tcW w:w="1701" w:type="dxa"/>
            <w:vAlign w:val="center"/>
          </w:tcPr>
          <w:p w:rsidR="000869AF" w:rsidRPr="00AE40CC" w:rsidRDefault="00570BF0" w:rsidP="00DE25CD">
            <w:pPr>
              <w:jc w:val="center"/>
              <w:rPr>
                <w:rFonts w:ascii="Times New Roman" w:hAnsi="Times New Roman"/>
                <w:lang w:val="lv-LV"/>
              </w:rPr>
            </w:pPr>
            <w:r w:rsidRPr="00570BF0">
              <w:rPr>
                <w:rFonts w:ascii="Times New Roman" w:hAnsi="Times New Roman"/>
                <w:lang w:val="lv-LV"/>
              </w:rPr>
              <w:t>Vidējs</w:t>
            </w:r>
          </w:p>
        </w:tc>
        <w:tc>
          <w:tcPr>
            <w:tcW w:w="3118" w:type="dxa"/>
            <w:vAlign w:val="center"/>
          </w:tcPr>
          <w:p w:rsidR="000869AF" w:rsidRPr="00AE40CC" w:rsidRDefault="00570BF0" w:rsidP="0068778C">
            <w:pPr>
              <w:jc w:val="center"/>
              <w:rPr>
                <w:rFonts w:ascii="Times New Roman" w:hAnsi="Times New Roman"/>
                <w:lang w:val="lv-LV"/>
              </w:rPr>
            </w:pPr>
            <w:r w:rsidRPr="00570BF0">
              <w:rPr>
                <w:rFonts w:ascii="Times New Roman" w:hAnsi="Times New Roman"/>
                <w:lang w:val="lv-LV"/>
              </w:rPr>
              <w:t>Rūpīgi izvērtēts katras biznesa idejas tirgus potenciāls</w:t>
            </w:r>
          </w:p>
          <w:p w:rsidR="00D41C32" w:rsidRPr="00AE40CC" w:rsidRDefault="00570BF0" w:rsidP="00D41C32">
            <w:pPr>
              <w:jc w:val="center"/>
              <w:rPr>
                <w:rFonts w:ascii="Times New Roman" w:hAnsi="Times New Roman"/>
                <w:lang w:val="lv-LV"/>
              </w:rPr>
            </w:pPr>
            <w:r w:rsidRPr="00570BF0">
              <w:rPr>
                <w:rFonts w:ascii="Times New Roman" w:hAnsi="Times New Roman"/>
                <w:lang w:val="lv-LV"/>
              </w:rPr>
              <w:t>Ciešu sakaru nodibināšana ar ārējiem investoriem ārpus Programmas</w:t>
            </w:r>
          </w:p>
        </w:tc>
      </w:tr>
      <w:tr w:rsidR="000869AF" w:rsidRPr="00AE40CC" w:rsidTr="00044A81">
        <w:trPr>
          <w:trHeight w:val="596"/>
        </w:trPr>
        <w:tc>
          <w:tcPr>
            <w:tcW w:w="944" w:type="dxa"/>
            <w:vAlign w:val="center"/>
          </w:tcPr>
          <w:p w:rsidR="000869AF" w:rsidRPr="00AE40CC" w:rsidRDefault="00570BF0" w:rsidP="00782B83">
            <w:pPr>
              <w:jc w:val="center"/>
              <w:rPr>
                <w:rFonts w:ascii="Times New Roman" w:hAnsi="Times New Roman"/>
                <w:lang w:val="lv-LV"/>
              </w:rPr>
            </w:pPr>
            <w:r w:rsidRPr="00570BF0">
              <w:rPr>
                <w:rFonts w:ascii="Times New Roman" w:hAnsi="Times New Roman"/>
                <w:lang w:val="lv-LV"/>
              </w:rPr>
              <w:lastRenderedPageBreak/>
              <w:t>2.</w:t>
            </w:r>
          </w:p>
        </w:tc>
        <w:tc>
          <w:tcPr>
            <w:tcW w:w="2369" w:type="dxa"/>
            <w:vAlign w:val="center"/>
          </w:tcPr>
          <w:p w:rsidR="000869AF" w:rsidRPr="00AE40CC" w:rsidRDefault="000869AF" w:rsidP="00044A81">
            <w:pPr>
              <w:jc w:val="center"/>
              <w:rPr>
                <w:rFonts w:ascii="Times New Roman" w:hAnsi="Times New Roman"/>
                <w:lang w:val="lv-LV"/>
              </w:rPr>
            </w:pPr>
          </w:p>
          <w:p w:rsidR="000869AF" w:rsidRPr="00AE40CC" w:rsidRDefault="00570BF0" w:rsidP="00044A81">
            <w:pPr>
              <w:jc w:val="center"/>
              <w:rPr>
                <w:lang w:val="lv-LV"/>
              </w:rPr>
            </w:pPr>
            <w:r w:rsidRPr="00570BF0">
              <w:rPr>
                <w:rFonts w:ascii="Times New Roman" w:hAnsi="Times New Roman"/>
                <w:lang w:val="lv-LV"/>
              </w:rPr>
              <w:t>Palielināta „zaļo”  darba vietu radīšana un uzņēmējdarbība</w:t>
            </w:r>
          </w:p>
        </w:tc>
        <w:tc>
          <w:tcPr>
            <w:tcW w:w="3530" w:type="dxa"/>
            <w:vAlign w:val="center"/>
          </w:tcPr>
          <w:p w:rsidR="000869AF" w:rsidRPr="00AE40CC" w:rsidRDefault="00570BF0" w:rsidP="006C4D3E">
            <w:pPr>
              <w:spacing w:after="0"/>
              <w:jc w:val="center"/>
              <w:rPr>
                <w:rFonts w:ascii="Times New Roman" w:hAnsi="Times New Roman"/>
                <w:lang w:val="lv-LV"/>
              </w:rPr>
            </w:pPr>
            <w:r w:rsidRPr="00570BF0">
              <w:rPr>
                <w:rFonts w:ascii="Times New Roman" w:hAnsi="Times New Roman"/>
                <w:lang w:val="lv-LV"/>
              </w:rPr>
              <w:t xml:space="preserve">Jaundibinātu komersantu spēja īstenot projektus un piesaistīt ārējo finansējumu </w:t>
            </w:r>
          </w:p>
        </w:tc>
        <w:tc>
          <w:tcPr>
            <w:tcW w:w="1487" w:type="dxa"/>
            <w:vAlign w:val="center"/>
          </w:tcPr>
          <w:p w:rsidR="000869AF" w:rsidRPr="00AE40CC" w:rsidRDefault="00570BF0" w:rsidP="00DE25CD">
            <w:pPr>
              <w:jc w:val="center"/>
              <w:rPr>
                <w:rFonts w:ascii="Times New Roman" w:hAnsi="Times New Roman"/>
                <w:lang w:val="lv-LV"/>
              </w:rPr>
            </w:pPr>
            <w:r w:rsidRPr="00570BF0">
              <w:rPr>
                <w:rFonts w:ascii="Times New Roman" w:hAnsi="Times New Roman"/>
                <w:lang w:val="lv-LV"/>
              </w:rPr>
              <w:t>Vidējs</w:t>
            </w:r>
          </w:p>
        </w:tc>
        <w:tc>
          <w:tcPr>
            <w:tcW w:w="1701" w:type="dxa"/>
            <w:vAlign w:val="center"/>
          </w:tcPr>
          <w:p w:rsidR="000869AF" w:rsidRPr="00AE40CC" w:rsidRDefault="00570BF0" w:rsidP="00DE25CD">
            <w:pPr>
              <w:jc w:val="center"/>
              <w:rPr>
                <w:rFonts w:ascii="Times New Roman" w:hAnsi="Times New Roman"/>
                <w:lang w:val="lv-LV"/>
              </w:rPr>
            </w:pPr>
            <w:r w:rsidRPr="00570BF0">
              <w:rPr>
                <w:rFonts w:ascii="Times New Roman" w:hAnsi="Times New Roman"/>
                <w:lang w:val="lv-LV"/>
              </w:rPr>
              <w:t>Augsts</w:t>
            </w:r>
          </w:p>
        </w:tc>
        <w:tc>
          <w:tcPr>
            <w:tcW w:w="3118" w:type="dxa"/>
            <w:vAlign w:val="center"/>
          </w:tcPr>
          <w:p w:rsidR="000869AF" w:rsidRPr="00AE40CC" w:rsidRDefault="00570BF0" w:rsidP="00A9482F">
            <w:pPr>
              <w:jc w:val="center"/>
              <w:rPr>
                <w:rFonts w:ascii="Times New Roman" w:hAnsi="Times New Roman"/>
                <w:lang w:val="lv-LV"/>
              </w:rPr>
            </w:pPr>
            <w:r w:rsidRPr="00570BF0">
              <w:rPr>
                <w:rFonts w:ascii="Times New Roman" w:hAnsi="Times New Roman"/>
                <w:lang w:val="lv-LV"/>
              </w:rPr>
              <w:t xml:space="preserve">Tehnoloģiju inkubatora vadības komandas spēja kritiski izvērtēt projektus un nodrošināt nepieciešamo pieredzi </w:t>
            </w:r>
          </w:p>
          <w:p w:rsidR="000869AF" w:rsidRPr="00AE40CC" w:rsidRDefault="00570BF0" w:rsidP="00D4067B">
            <w:pPr>
              <w:jc w:val="center"/>
              <w:rPr>
                <w:rFonts w:ascii="Times New Roman" w:hAnsi="Times New Roman"/>
                <w:lang w:val="lv-LV"/>
              </w:rPr>
            </w:pPr>
            <w:r w:rsidRPr="00570BF0">
              <w:rPr>
                <w:rFonts w:ascii="Times New Roman" w:hAnsi="Times New Roman"/>
                <w:lang w:val="lv-LV"/>
              </w:rPr>
              <w:t xml:space="preserve">Vērtēšanas komisija izvērtējums pirms atbalsta piešķiršanas </w:t>
            </w:r>
          </w:p>
        </w:tc>
      </w:tr>
      <w:tr w:rsidR="000869AF" w:rsidRPr="00AE40CC" w:rsidTr="00782B83">
        <w:trPr>
          <w:trHeight w:val="596"/>
        </w:trPr>
        <w:tc>
          <w:tcPr>
            <w:tcW w:w="944" w:type="dxa"/>
            <w:vAlign w:val="center"/>
          </w:tcPr>
          <w:p w:rsidR="000869AF" w:rsidRPr="00AE40CC" w:rsidRDefault="00570BF0" w:rsidP="00782B83">
            <w:pPr>
              <w:jc w:val="center"/>
              <w:rPr>
                <w:rFonts w:ascii="Times New Roman" w:hAnsi="Times New Roman"/>
                <w:lang w:val="lv-LV"/>
              </w:rPr>
            </w:pPr>
            <w:r w:rsidRPr="00570BF0">
              <w:rPr>
                <w:rFonts w:ascii="Times New Roman" w:hAnsi="Times New Roman"/>
                <w:lang w:val="lv-LV"/>
              </w:rPr>
              <w:t>2.</w:t>
            </w:r>
          </w:p>
        </w:tc>
        <w:tc>
          <w:tcPr>
            <w:tcW w:w="2369" w:type="dxa"/>
            <w:vAlign w:val="center"/>
          </w:tcPr>
          <w:p w:rsidR="000869AF" w:rsidRPr="00AE40CC" w:rsidRDefault="00570BF0" w:rsidP="00A9482F">
            <w:pPr>
              <w:jc w:val="center"/>
              <w:rPr>
                <w:rFonts w:ascii="Times New Roman" w:hAnsi="Times New Roman"/>
                <w:lang w:val="lv-LV"/>
              </w:rPr>
            </w:pPr>
            <w:r w:rsidRPr="00570BF0">
              <w:rPr>
                <w:rFonts w:ascii="Times New Roman" w:hAnsi="Times New Roman"/>
                <w:lang w:val="lv-LV"/>
              </w:rPr>
              <w:t>Palielināta „zaļo”  darba vietu radīšana un uzņēmējdarbība</w:t>
            </w:r>
          </w:p>
        </w:tc>
        <w:tc>
          <w:tcPr>
            <w:tcW w:w="3530" w:type="dxa"/>
            <w:vAlign w:val="center"/>
          </w:tcPr>
          <w:p w:rsidR="000869AF" w:rsidRPr="00AE40CC" w:rsidRDefault="00570BF0" w:rsidP="000619CD">
            <w:pPr>
              <w:spacing w:after="0"/>
              <w:jc w:val="center"/>
              <w:rPr>
                <w:rFonts w:ascii="Times New Roman" w:hAnsi="Times New Roman"/>
                <w:lang w:val="lv-LV"/>
              </w:rPr>
            </w:pPr>
            <w:r w:rsidRPr="00570BF0">
              <w:rPr>
                <w:rFonts w:ascii="Times New Roman" w:hAnsi="Times New Roman"/>
                <w:lang w:val="lv-LV"/>
              </w:rPr>
              <w:t xml:space="preserve">Pārklāšanās ar citiem atbalsta instrumentiem </w:t>
            </w:r>
          </w:p>
        </w:tc>
        <w:tc>
          <w:tcPr>
            <w:tcW w:w="1487" w:type="dxa"/>
            <w:vAlign w:val="center"/>
          </w:tcPr>
          <w:p w:rsidR="000869AF" w:rsidRPr="00AE40CC" w:rsidRDefault="00570BF0" w:rsidP="00A9482F">
            <w:pPr>
              <w:jc w:val="center"/>
              <w:rPr>
                <w:rFonts w:ascii="Times New Roman" w:hAnsi="Times New Roman"/>
                <w:lang w:val="lv-LV"/>
              </w:rPr>
            </w:pPr>
            <w:r w:rsidRPr="00570BF0">
              <w:rPr>
                <w:rFonts w:ascii="Times New Roman" w:hAnsi="Times New Roman"/>
                <w:lang w:val="lv-LV"/>
              </w:rPr>
              <w:t>Zems</w:t>
            </w:r>
          </w:p>
        </w:tc>
        <w:tc>
          <w:tcPr>
            <w:tcW w:w="1701" w:type="dxa"/>
            <w:vAlign w:val="center"/>
          </w:tcPr>
          <w:p w:rsidR="000869AF" w:rsidRPr="00AE40CC" w:rsidRDefault="00570BF0" w:rsidP="00A9482F">
            <w:pPr>
              <w:jc w:val="center"/>
              <w:rPr>
                <w:rFonts w:ascii="Times New Roman" w:hAnsi="Times New Roman"/>
                <w:lang w:val="lv-LV"/>
              </w:rPr>
            </w:pPr>
            <w:r w:rsidRPr="00570BF0">
              <w:rPr>
                <w:rFonts w:ascii="Times New Roman" w:hAnsi="Times New Roman"/>
                <w:lang w:val="lv-LV"/>
              </w:rPr>
              <w:t>Vidējs</w:t>
            </w:r>
          </w:p>
        </w:tc>
        <w:tc>
          <w:tcPr>
            <w:tcW w:w="3118" w:type="dxa"/>
            <w:vAlign w:val="center"/>
          </w:tcPr>
          <w:p w:rsidR="000869AF" w:rsidRPr="00AE40CC" w:rsidRDefault="000869AF" w:rsidP="005C4D0F">
            <w:pPr>
              <w:jc w:val="center"/>
              <w:rPr>
                <w:rFonts w:ascii="Times New Roman" w:hAnsi="Times New Roman"/>
                <w:lang w:val="lv-LV"/>
              </w:rPr>
            </w:pPr>
          </w:p>
          <w:p w:rsidR="000869AF" w:rsidRPr="00AE40CC" w:rsidRDefault="00570BF0" w:rsidP="005C4D0F">
            <w:pPr>
              <w:jc w:val="center"/>
              <w:rPr>
                <w:rFonts w:ascii="Times New Roman" w:hAnsi="Times New Roman"/>
                <w:lang w:val="lv-LV"/>
              </w:rPr>
            </w:pPr>
            <w:r w:rsidRPr="00570BF0">
              <w:rPr>
                <w:rFonts w:ascii="Times New Roman" w:hAnsi="Times New Roman"/>
                <w:lang w:val="lv-LV"/>
              </w:rPr>
              <w:t>Reģionālā</w:t>
            </w:r>
            <w:r w:rsidR="0058246C">
              <w:rPr>
                <w:rFonts w:ascii="Times New Roman" w:hAnsi="Times New Roman"/>
                <w:lang w:val="lv-LV"/>
              </w:rPr>
              <w:t xml:space="preserve"> demarkācija</w:t>
            </w:r>
            <w:r w:rsidRPr="00570BF0">
              <w:rPr>
                <w:rFonts w:ascii="Times New Roman" w:hAnsi="Times New Roman"/>
                <w:lang w:val="lv-LV"/>
              </w:rPr>
              <w:t xml:space="preserve">, jo Tehnoloģiju inkubators tiks izveidots Rīgā </w:t>
            </w:r>
          </w:p>
          <w:p w:rsidR="000869AF" w:rsidRPr="00AE40CC" w:rsidRDefault="00570BF0" w:rsidP="008C340B">
            <w:pPr>
              <w:jc w:val="center"/>
              <w:rPr>
                <w:rFonts w:ascii="Times New Roman" w:hAnsi="Times New Roman"/>
                <w:lang w:val="lv-LV"/>
              </w:rPr>
            </w:pPr>
            <w:r w:rsidRPr="00570BF0">
              <w:rPr>
                <w:rFonts w:ascii="Times New Roman" w:hAnsi="Times New Roman"/>
                <w:lang w:val="lv-LV"/>
              </w:rPr>
              <w:t>LIAA izvērtēs dubultās finansēšanas riskus</w:t>
            </w:r>
          </w:p>
        </w:tc>
      </w:tr>
      <w:tr w:rsidR="00044A81" w:rsidRPr="00AE40CC" w:rsidTr="00782B83">
        <w:trPr>
          <w:trHeight w:val="596"/>
        </w:trPr>
        <w:tc>
          <w:tcPr>
            <w:tcW w:w="944" w:type="dxa"/>
            <w:vAlign w:val="center"/>
          </w:tcPr>
          <w:p w:rsidR="00044A81" w:rsidRPr="00AE40CC" w:rsidRDefault="00570BF0" w:rsidP="00782B83">
            <w:pPr>
              <w:jc w:val="center"/>
              <w:rPr>
                <w:rFonts w:ascii="Times New Roman" w:hAnsi="Times New Roman"/>
                <w:lang w:val="lv-LV"/>
              </w:rPr>
            </w:pPr>
            <w:bookmarkStart w:id="49" w:name="_Toc258487853"/>
            <w:bookmarkStart w:id="50" w:name="_Toc258489900"/>
            <w:bookmarkStart w:id="51" w:name="_Toc258491171"/>
            <w:bookmarkStart w:id="52" w:name="_Toc258496060"/>
            <w:bookmarkStart w:id="53" w:name="_Toc258498742"/>
            <w:bookmarkStart w:id="54" w:name="_Toc258499853"/>
            <w:bookmarkStart w:id="55" w:name="_Toc258503653"/>
            <w:bookmarkStart w:id="56" w:name="_Toc258504831"/>
            <w:bookmarkStart w:id="57" w:name="_Toc262213662"/>
            <w:r w:rsidRPr="00570BF0">
              <w:rPr>
                <w:rFonts w:ascii="Times New Roman" w:hAnsi="Times New Roman"/>
                <w:lang w:val="lv-LV"/>
              </w:rPr>
              <w:t>2.</w:t>
            </w:r>
          </w:p>
        </w:tc>
        <w:tc>
          <w:tcPr>
            <w:tcW w:w="2369" w:type="dxa"/>
            <w:vAlign w:val="center"/>
          </w:tcPr>
          <w:p w:rsidR="00044A81" w:rsidRPr="00AE40CC" w:rsidRDefault="00570BF0" w:rsidP="00A9482F">
            <w:pPr>
              <w:jc w:val="center"/>
              <w:rPr>
                <w:rFonts w:ascii="Times New Roman" w:hAnsi="Times New Roman"/>
                <w:lang w:val="lv-LV"/>
              </w:rPr>
            </w:pPr>
            <w:r w:rsidRPr="00570BF0">
              <w:rPr>
                <w:rFonts w:ascii="Times New Roman" w:hAnsi="Times New Roman"/>
                <w:lang w:val="lv-LV"/>
              </w:rPr>
              <w:t>Palielināta „zaļo”  darba vietu radīšana un uzņēmējdarbība</w:t>
            </w:r>
          </w:p>
        </w:tc>
        <w:tc>
          <w:tcPr>
            <w:tcW w:w="3530" w:type="dxa"/>
            <w:vAlign w:val="center"/>
          </w:tcPr>
          <w:p w:rsidR="00044A81" w:rsidRPr="00AE40CC" w:rsidRDefault="00570BF0" w:rsidP="00D31D74">
            <w:pPr>
              <w:spacing w:after="0"/>
              <w:jc w:val="center"/>
              <w:rPr>
                <w:rFonts w:ascii="Times New Roman" w:hAnsi="Times New Roman"/>
                <w:lang w:val="lv-LV"/>
              </w:rPr>
            </w:pPr>
            <w:r w:rsidRPr="00570BF0">
              <w:rPr>
                <w:rFonts w:ascii="Times New Roman" w:hAnsi="Times New Roman"/>
                <w:lang w:val="lv-LV"/>
              </w:rPr>
              <w:t>Nosacījumi jaunajos noteikum</w:t>
            </w:r>
            <w:r w:rsidR="00D31D74">
              <w:rPr>
                <w:rFonts w:ascii="Times New Roman" w:hAnsi="Times New Roman"/>
                <w:lang w:val="lv-LV"/>
              </w:rPr>
              <w:t>o</w:t>
            </w:r>
            <w:r w:rsidRPr="00570BF0">
              <w:rPr>
                <w:rFonts w:ascii="Times New Roman" w:hAnsi="Times New Roman"/>
                <w:lang w:val="lv-LV"/>
              </w:rPr>
              <w:t>s, lai piešķirtu de minimis atbalstu un ad hoc atbalstu</w:t>
            </w:r>
          </w:p>
        </w:tc>
        <w:tc>
          <w:tcPr>
            <w:tcW w:w="1487" w:type="dxa"/>
            <w:vAlign w:val="center"/>
          </w:tcPr>
          <w:p w:rsidR="00044A81" w:rsidRPr="00AE40CC" w:rsidRDefault="00570BF0" w:rsidP="00A9482F">
            <w:pPr>
              <w:jc w:val="center"/>
              <w:rPr>
                <w:rFonts w:ascii="Times New Roman" w:hAnsi="Times New Roman"/>
                <w:lang w:val="lv-LV"/>
              </w:rPr>
            </w:pPr>
            <w:r w:rsidRPr="00570BF0">
              <w:rPr>
                <w:rFonts w:ascii="Times New Roman" w:hAnsi="Times New Roman"/>
                <w:lang w:val="lv-LV"/>
              </w:rPr>
              <w:t>Zems</w:t>
            </w:r>
          </w:p>
        </w:tc>
        <w:tc>
          <w:tcPr>
            <w:tcW w:w="1701" w:type="dxa"/>
            <w:vAlign w:val="center"/>
          </w:tcPr>
          <w:p w:rsidR="00044A81" w:rsidRPr="00AE40CC" w:rsidRDefault="00570BF0" w:rsidP="00A9482F">
            <w:pPr>
              <w:jc w:val="center"/>
              <w:rPr>
                <w:rFonts w:ascii="Times New Roman" w:hAnsi="Times New Roman"/>
                <w:lang w:val="lv-LV"/>
              </w:rPr>
            </w:pPr>
            <w:r w:rsidRPr="00570BF0">
              <w:rPr>
                <w:rFonts w:ascii="Times New Roman" w:hAnsi="Times New Roman"/>
                <w:lang w:val="lv-LV"/>
              </w:rPr>
              <w:t>Augsts</w:t>
            </w:r>
          </w:p>
        </w:tc>
        <w:tc>
          <w:tcPr>
            <w:tcW w:w="3118" w:type="dxa"/>
            <w:vAlign w:val="center"/>
          </w:tcPr>
          <w:p w:rsidR="00044A81" w:rsidRPr="00AE40CC" w:rsidRDefault="00570BF0" w:rsidP="005C4D0F">
            <w:pPr>
              <w:jc w:val="center"/>
              <w:rPr>
                <w:rFonts w:ascii="Times New Roman" w:hAnsi="Times New Roman"/>
                <w:lang w:val="lv-LV"/>
              </w:rPr>
            </w:pPr>
            <w:r w:rsidRPr="00570BF0">
              <w:rPr>
                <w:rFonts w:ascii="Times New Roman" w:hAnsi="Times New Roman"/>
                <w:lang w:val="lv-LV"/>
              </w:rPr>
              <w:t>Ja nepieciešams tiks grozīti Programmas Noteikumi un informēti projekta iesniedzēji</w:t>
            </w:r>
          </w:p>
          <w:p w:rsidR="00044A81" w:rsidRPr="00AE40CC" w:rsidRDefault="00570BF0" w:rsidP="005C4D0F">
            <w:pPr>
              <w:jc w:val="center"/>
              <w:rPr>
                <w:rFonts w:ascii="Times New Roman" w:hAnsi="Times New Roman"/>
                <w:lang w:val="lv-LV"/>
              </w:rPr>
            </w:pPr>
            <w:r w:rsidRPr="00570BF0">
              <w:rPr>
                <w:rFonts w:ascii="Times New Roman" w:hAnsi="Times New Roman"/>
                <w:lang w:val="lv-LV"/>
              </w:rPr>
              <w:t xml:space="preserve">Laicīgi uzsākts ad hoc atbalsta notifikācijas process, lai piešķirtu visu atbalstu rekonstrukcijas darbiem un iekārtu iegādei atbilstoši pašreiz spēkā esošajam regulējumam. </w:t>
            </w:r>
          </w:p>
        </w:tc>
      </w:tr>
      <w:tr w:rsidR="00044A81" w:rsidRPr="00AE40CC" w:rsidTr="00782B83">
        <w:trPr>
          <w:trHeight w:val="596"/>
        </w:trPr>
        <w:tc>
          <w:tcPr>
            <w:tcW w:w="944" w:type="dxa"/>
            <w:vAlign w:val="center"/>
          </w:tcPr>
          <w:p w:rsidR="00044A81" w:rsidRPr="00AE40CC" w:rsidRDefault="00570BF0" w:rsidP="00782B83">
            <w:pPr>
              <w:jc w:val="center"/>
              <w:rPr>
                <w:rFonts w:ascii="Times New Roman" w:hAnsi="Times New Roman"/>
                <w:lang w:val="lv-LV"/>
              </w:rPr>
            </w:pPr>
            <w:r w:rsidRPr="00570BF0">
              <w:rPr>
                <w:rFonts w:ascii="Times New Roman" w:hAnsi="Times New Roman"/>
                <w:lang w:val="lv-LV"/>
              </w:rPr>
              <w:t>2.</w:t>
            </w:r>
          </w:p>
        </w:tc>
        <w:tc>
          <w:tcPr>
            <w:tcW w:w="2369" w:type="dxa"/>
            <w:vAlign w:val="center"/>
          </w:tcPr>
          <w:p w:rsidR="00044A81" w:rsidRPr="00AE40CC" w:rsidRDefault="00570BF0" w:rsidP="00A9482F">
            <w:pPr>
              <w:jc w:val="center"/>
              <w:rPr>
                <w:rFonts w:ascii="Times New Roman" w:hAnsi="Times New Roman"/>
                <w:lang w:val="lv-LV"/>
              </w:rPr>
            </w:pPr>
            <w:r w:rsidRPr="00570BF0">
              <w:rPr>
                <w:rFonts w:ascii="Times New Roman" w:hAnsi="Times New Roman"/>
                <w:lang w:val="lv-LV"/>
              </w:rPr>
              <w:t>Palielināta „zaļo”  darba vietu radīšana un uzņēmējdarbība</w:t>
            </w:r>
          </w:p>
        </w:tc>
        <w:tc>
          <w:tcPr>
            <w:tcW w:w="3530" w:type="dxa"/>
            <w:vAlign w:val="center"/>
          </w:tcPr>
          <w:p w:rsidR="00044A81" w:rsidRPr="00AE40CC" w:rsidRDefault="00570BF0" w:rsidP="006C4D3E">
            <w:pPr>
              <w:spacing w:after="0"/>
              <w:jc w:val="center"/>
              <w:rPr>
                <w:rFonts w:ascii="Times New Roman" w:hAnsi="Times New Roman"/>
                <w:lang w:val="lv-LV"/>
              </w:rPr>
            </w:pPr>
            <w:r w:rsidRPr="00570BF0">
              <w:rPr>
                <w:rFonts w:ascii="Times New Roman" w:hAnsi="Times New Roman"/>
                <w:lang w:val="lv-LV"/>
              </w:rPr>
              <w:t>De minimis atbalsta finansējuma ierobežojuma ievērošana Tehnoloģiju inkubatora un komersantu gadījumā</w:t>
            </w:r>
          </w:p>
        </w:tc>
        <w:tc>
          <w:tcPr>
            <w:tcW w:w="1487" w:type="dxa"/>
            <w:vAlign w:val="center"/>
          </w:tcPr>
          <w:p w:rsidR="00044A81" w:rsidRPr="00AE40CC" w:rsidRDefault="00570BF0" w:rsidP="00A9482F">
            <w:pPr>
              <w:jc w:val="center"/>
              <w:rPr>
                <w:rFonts w:ascii="Times New Roman" w:hAnsi="Times New Roman"/>
                <w:lang w:val="lv-LV"/>
              </w:rPr>
            </w:pPr>
            <w:r w:rsidRPr="00570BF0">
              <w:rPr>
                <w:rFonts w:ascii="Times New Roman" w:hAnsi="Times New Roman"/>
                <w:lang w:val="lv-LV"/>
              </w:rPr>
              <w:t>Vidējs</w:t>
            </w:r>
          </w:p>
        </w:tc>
        <w:tc>
          <w:tcPr>
            <w:tcW w:w="1701" w:type="dxa"/>
            <w:vAlign w:val="center"/>
          </w:tcPr>
          <w:p w:rsidR="00044A81" w:rsidRPr="00AE40CC" w:rsidRDefault="00570BF0" w:rsidP="00A9482F">
            <w:pPr>
              <w:jc w:val="center"/>
              <w:rPr>
                <w:rFonts w:ascii="Times New Roman" w:hAnsi="Times New Roman"/>
                <w:lang w:val="lv-LV"/>
              </w:rPr>
            </w:pPr>
            <w:r w:rsidRPr="00570BF0">
              <w:rPr>
                <w:rFonts w:ascii="Times New Roman" w:hAnsi="Times New Roman"/>
                <w:lang w:val="lv-LV"/>
              </w:rPr>
              <w:t>Augsts</w:t>
            </w:r>
          </w:p>
        </w:tc>
        <w:tc>
          <w:tcPr>
            <w:tcW w:w="3118" w:type="dxa"/>
            <w:vAlign w:val="center"/>
          </w:tcPr>
          <w:p w:rsidR="00044A81" w:rsidRPr="00AE40CC" w:rsidRDefault="00570BF0" w:rsidP="005C4D0F">
            <w:pPr>
              <w:jc w:val="center"/>
              <w:rPr>
                <w:rFonts w:ascii="Times New Roman" w:hAnsi="Times New Roman"/>
                <w:lang w:val="lv-LV"/>
              </w:rPr>
            </w:pPr>
            <w:r w:rsidRPr="00570BF0">
              <w:rPr>
                <w:rFonts w:ascii="Times New Roman" w:hAnsi="Times New Roman"/>
                <w:lang w:val="lv-LV"/>
              </w:rPr>
              <w:t>LIAA jau ir pieredze uzskaitīt de minimis atbalstu</w:t>
            </w:r>
          </w:p>
          <w:p w:rsidR="00FE041C" w:rsidRPr="00AE40CC" w:rsidRDefault="00570BF0" w:rsidP="00FE041C">
            <w:pPr>
              <w:jc w:val="center"/>
              <w:rPr>
                <w:rFonts w:ascii="Times New Roman" w:hAnsi="Times New Roman"/>
                <w:lang w:val="lv-LV"/>
              </w:rPr>
            </w:pPr>
            <w:r w:rsidRPr="00570BF0">
              <w:rPr>
                <w:rFonts w:ascii="Times New Roman" w:hAnsi="Times New Roman"/>
                <w:lang w:val="lv-LV"/>
              </w:rPr>
              <w:t>Projekta iesniedzējiem būs jāiesniedz de minimis veidlapa norādot visu iepriekš saņemto de minimis atbalstu</w:t>
            </w:r>
          </w:p>
        </w:tc>
      </w:tr>
    </w:tbl>
    <w:p w:rsidR="001A733F" w:rsidRPr="00AE40CC" w:rsidRDefault="001A733F" w:rsidP="00A9482F">
      <w:pPr>
        <w:pStyle w:val="Heading2"/>
        <w:rPr>
          <w:rFonts w:ascii="Times New Roman" w:hAnsi="Times New Roman"/>
          <w:sz w:val="22"/>
          <w:szCs w:val="22"/>
          <w:lang w:val="lv-LV"/>
        </w:rPr>
        <w:sectPr w:rsidR="001A733F" w:rsidRPr="00AE40CC" w:rsidSect="001A733F">
          <w:pgSz w:w="15840" w:h="12240" w:orient="landscape"/>
          <w:pgMar w:top="2126" w:right="1440" w:bottom="1797" w:left="1440" w:header="709" w:footer="709" w:gutter="0"/>
          <w:cols w:space="720"/>
          <w:titlePg/>
          <w:docGrid w:linePitch="360"/>
        </w:sectPr>
      </w:pPr>
    </w:p>
    <w:bookmarkEnd w:id="49"/>
    <w:bookmarkEnd w:id="50"/>
    <w:bookmarkEnd w:id="51"/>
    <w:bookmarkEnd w:id="52"/>
    <w:bookmarkEnd w:id="53"/>
    <w:bookmarkEnd w:id="54"/>
    <w:bookmarkEnd w:id="55"/>
    <w:bookmarkEnd w:id="56"/>
    <w:bookmarkEnd w:id="57"/>
    <w:p w:rsidR="00A9482F" w:rsidRPr="00AE40CC" w:rsidRDefault="00570BF0" w:rsidP="00A9482F">
      <w:pPr>
        <w:pStyle w:val="Heading2"/>
        <w:rPr>
          <w:rFonts w:ascii="Times New Roman" w:hAnsi="Times New Roman"/>
          <w:sz w:val="22"/>
          <w:szCs w:val="22"/>
          <w:lang w:val="lv-LV"/>
        </w:rPr>
      </w:pPr>
      <w:r w:rsidRPr="00570BF0">
        <w:rPr>
          <w:rFonts w:ascii="Times New Roman" w:hAnsi="Times New Roman"/>
          <w:sz w:val="22"/>
          <w:szCs w:val="22"/>
          <w:lang w:val="lv-LV"/>
        </w:rPr>
        <w:lastRenderedPageBreak/>
        <w:t>Divpusējas attiecības</w:t>
      </w:r>
    </w:p>
    <w:p w:rsidR="00A9482F" w:rsidRPr="00AE40CC" w:rsidRDefault="00570BF0" w:rsidP="00A9482F">
      <w:pPr>
        <w:tabs>
          <w:tab w:val="left" w:pos="360"/>
        </w:tabs>
        <w:spacing w:after="0"/>
        <w:rPr>
          <w:rFonts w:ascii="Times New Roman" w:hAnsi="Times New Roman"/>
          <w:b/>
          <w:lang w:val="lv-LV"/>
        </w:rPr>
      </w:pPr>
      <w:r w:rsidRPr="00570BF0">
        <w:rPr>
          <w:rFonts w:ascii="Times New Roman" w:hAnsi="Times New Roman"/>
          <w:b/>
          <w:lang w:val="lv-LV"/>
        </w:rPr>
        <w:t>Aprakstīt, kā tiks veicinātas divpusējās attiecības starp Saņēmējvalstīm un Donorvalstīm.</w:t>
      </w:r>
    </w:p>
    <w:p w:rsidR="00A9482F" w:rsidRPr="00AE40CC" w:rsidRDefault="00570BF0" w:rsidP="00A9482F">
      <w:pPr>
        <w:tabs>
          <w:tab w:val="left" w:pos="360"/>
        </w:tabs>
        <w:spacing w:after="0"/>
        <w:jc w:val="both"/>
        <w:rPr>
          <w:rFonts w:ascii="Times New Roman" w:hAnsi="Times New Roman"/>
          <w:lang w:val="lv-LV"/>
        </w:rPr>
      </w:pPr>
      <w:r w:rsidRPr="00570BF0">
        <w:rPr>
          <w:rFonts w:ascii="Times New Roman" w:hAnsi="Times New Roman"/>
          <w:lang w:val="lv-LV"/>
        </w:rPr>
        <w:tab/>
        <w:t>Programmas apsaimniekotāja līmenī EM sadarbosies a</w:t>
      </w:r>
      <w:r w:rsidR="005F2EE6">
        <w:rPr>
          <w:rFonts w:ascii="Times New Roman" w:hAnsi="Times New Roman"/>
          <w:lang w:val="lv-LV"/>
        </w:rPr>
        <w:t xml:space="preserve">r Norvēģijas Inovāciju aģentūru, ar ko </w:t>
      </w:r>
      <w:r w:rsidRPr="00570BF0">
        <w:rPr>
          <w:rFonts w:ascii="Times New Roman" w:hAnsi="Times New Roman"/>
          <w:lang w:val="lv-LV"/>
        </w:rPr>
        <w:t xml:space="preserve">kopīgi </w:t>
      </w:r>
      <w:r w:rsidR="005059E2">
        <w:rPr>
          <w:rFonts w:ascii="Times New Roman" w:hAnsi="Times New Roman"/>
          <w:lang w:val="lv-LV"/>
        </w:rPr>
        <w:t>ir ticis izstrādāts</w:t>
      </w:r>
      <w:r w:rsidR="005059E2" w:rsidRPr="00570BF0">
        <w:rPr>
          <w:rFonts w:ascii="Times New Roman" w:hAnsi="Times New Roman"/>
          <w:lang w:val="lv-LV"/>
        </w:rPr>
        <w:t xml:space="preserve"> </w:t>
      </w:r>
      <w:r w:rsidRPr="00570BF0">
        <w:rPr>
          <w:rFonts w:ascii="Times New Roman" w:hAnsi="Times New Roman"/>
          <w:lang w:val="lv-LV"/>
        </w:rPr>
        <w:t>Programmas iesniegum</w:t>
      </w:r>
      <w:r w:rsidR="005059E2">
        <w:rPr>
          <w:rFonts w:ascii="Times New Roman" w:hAnsi="Times New Roman"/>
          <w:lang w:val="lv-LV"/>
        </w:rPr>
        <w:t>s</w:t>
      </w:r>
      <w:r w:rsidRPr="00570BF0">
        <w:rPr>
          <w:rFonts w:ascii="Times New Roman" w:hAnsi="Times New Roman"/>
          <w:lang w:val="lv-LV"/>
        </w:rPr>
        <w:t xml:space="preserve">. Norvēģijas Inovāciju aģentūra būs pārstāvēta Sadarbības komitejā un pieņems lēmumus attiecībā uz Programmas iesnieguma apstiprināšanu un ierosinās nepieciešamās izmaiņas tajā. Pārstāvji no SIVA, Finanšu </w:t>
      </w:r>
      <w:r w:rsidR="003740CA">
        <w:rPr>
          <w:rFonts w:ascii="Times New Roman" w:hAnsi="Times New Roman"/>
          <w:lang w:val="lv-LV"/>
        </w:rPr>
        <w:t>instrumenta</w:t>
      </w:r>
      <w:r w:rsidR="003740CA" w:rsidRPr="00AE40CC">
        <w:rPr>
          <w:rFonts w:ascii="Times New Roman" w:hAnsi="Times New Roman"/>
          <w:lang w:val="lv-LV"/>
        </w:rPr>
        <w:t xml:space="preserve"> </w:t>
      </w:r>
      <w:r w:rsidR="00961CD3" w:rsidRPr="00AE40CC">
        <w:rPr>
          <w:rFonts w:ascii="Times New Roman" w:hAnsi="Times New Roman"/>
          <w:lang w:val="lv-LV"/>
        </w:rPr>
        <w:t>biroja un Norvēģijas Vēstniecības, Norvēģijas Ārlietu ministriju līdzdarbosies Sadarbības komitejā kā novērotāji</w:t>
      </w:r>
      <w:r w:rsidR="00137FE3" w:rsidRPr="00AE40CC">
        <w:rPr>
          <w:rFonts w:ascii="Times New Roman" w:hAnsi="Times New Roman"/>
          <w:lang w:val="lv-LV"/>
        </w:rPr>
        <w:t xml:space="preserve">. </w:t>
      </w:r>
    </w:p>
    <w:p w:rsidR="00A32B73" w:rsidRPr="00AE40CC" w:rsidRDefault="00570BF0" w:rsidP="00A9482F">
      <w:pPr>
        <w:tabs>
          <w:tab w:val="left" w:pos="360"/>
        </w:tabs>
        <w:spacing w:after="0"/>
        <w:jc w:val="both"/>
        <w:rPr>
          <w:rFonts w:ascii="Times New Roman" w:hAnsi="Times New Roman"/>
          <w:lang w:val="lv-LV"/>
        </w:rPr>
      </w:pPr>
      <w:r w:rsidRPr="00570BF0">
        <w:rPr>
          <w:rFonts w:ascii="Times New Roman" w:hAnsi="Times New Roman"/>
          <w:lang w:val="lv-LV"/>
        </w:rPr>
        <w:tab/>
        <w:t xml:space="preserve">2.6 % (206 624 lati vai 294 000 EUR) no kopējā Programmas finansējuma ir piešķirti sadarbības veicināšanai ar Norvēģijas iestādēm. </w:t>
      </w:r>
      <w:r w:rsidRPr="00570BF0">
        <w:rPr>
          <w:rFonts w:ascii="Times New Roman" w:hAnsi="Times New Roman"/>
        </w:rPr>
        <w:t>Tas pārsniedz</w:t>
      </w:r>
      <w:r w:rsidRPr="00570BF0">
        <w:rPr>
          <w:rFonts w:ascii="Times New Roman" w:hAnsi="Times New Roman"/>
          <w:lang w:val="lv-LV"/>
        </w:rPr>
        <w:t xml:space="preserve"> Noteikumu </w:t>
      </w:r>
      <w:r w:rsidR="00AD4EF8">
        <w:rPr>
          <w:rFonts w:ascii="Times New Roman" w:hAnsi="Times New Roman"/>
          <w:lang w:val="lv-LV"/>
        </w:rPr>
        <w:t xml:space="preserve">3.6.pantā </w:t>
      </w:r>
      <w:r w:rsidRPr="00570BF0">
        <w:rPr>
          <w:rFonts w:ascii="Times New Roman" w:hAnsi="Times New Roman"/>
          <w:lang w:val="lv-LV"/>
        </w:rPr>
        <w:t xml:space="preserve">„Līdzekļi savstarpējām attiecībām nacionālā līmenī” </w:t>
      </w:r>
      <w:r w:rsidR="00AD4EF8">
        <w:rPr>
          <w:rFonts w:ascii="Times New Roman" w:hAnsi="Times New Roman"/>
          <w:lang w:val="lv-LV"/>
        </w:rPr>
        <w:t>1.</w:t>
      </w:r>
      <w:r w:rsidRPr="00570BF0">
        <w:rPr>
          <w:rFonts w:ascii="Times New Roman" w:hAnsi="Times New Roman"/>
          <w:lang w:val="lv-LV"/>
        </w:rPr>
        <w:t xml:space="preserve"> </w:t>
      </w:r>
      <w:r w:rsidR="006E4CDD">
        <w:rPr>
          <w:rFonts w:ascii="Times New Roman" w:hAnsi="Times New Roman"/>
          <w:lang w:val="lv-LV"/>
        </w:rPr>
        <w:t>daļā</w:t>
      </w:r>
      <w:r w:rsidR="006E4CDD" w:rsidRPr="00570BF0">
        <w:rPr>
          <w:rFonts w:ascii="Times New Roman" w:hAnsi="Times New Roman"/>
          <w:lang w:val="lv-LV"/>
        </w:rPr>
        <w:t xml:space="preserve"> </w:t>
      </w:r>
      <w:r w:rsidRPr="00570BF0">
        <w:rPr>
          <w:rFonts w:ascii="Times New Roman" w:hAnsi="Times New Roman"/>
          <w:lang w:val="lv-LV"/>
        </w:rPr>
        <w:t xml:space="preserve">noteikto slieksni 1.5 %. Programmai ir noteikts ļoti augsts mērķis nodibināt ciešu sadarbību starp Latvijas un Norvēģijas institūcijām, kuras rezultātā veidotos ilgtermiņa partnerības. No šī finansējuma plānots atbalstīt sakaru nodibināšanas aktivitātes, zinošu ekspertu vizītes uz Latviju, zināšanu apmaiņu, partnerības projektu sagatavošanu un daudzas citas aktivitātes, kas nodrošinās, lai Programma </w:t>
      </w:r>
      <w:r w:rsidR="00240633" w:rsidRPr="00570BF0">
        <w:rPr>
          <w:rFonts w:ascii="Times New Roman" w:hAnsi="Times New Roman"/>
          <w:lang w:val="lv-LV"/>
        </w:rPr>
        <w:t>bū</w:t>
      </w:r>
      <w:r w:rsidR="00240633">
        <w:rPr>
          <w:rFonts w:ascii="Times New Roman" w:hAnsi="Times New Roman"/>
          <w:lang w:val="lv-LV"/>
        </w:rPr>
        <w:t>tu</w:t>
      </w:r>
      <w:r w:rsidR="00240633" w:rsidRPr="00570BF0">
        <w:rPr>
          <w:rFonts w:ascii="Times New Roman" w:hAnsi="Times New Roman"/>
          <w:lang w:val="lv-LV"/>
        </w:rPr>
        <w:t xml:space="preserve"> </w:t>
      </w:r>
      <w:r w:rsidRPr="00570BF0">
        <w:rPr>
          <w:rFonts w:ascii="Times New Roman" w:hAnsi="Times New Roman"/>
          <w:lang w:val="lv-LV"/>
        </w:rPr>
        <w:t xml:space="preserve">abpusēji izdevīga. LIAA uzraudzīs šos līdzekļus un konsultēsies ar EM, Norvēģijas Inovāciju aģentūru un Tehnoloģiju inkubatoru, lai pieņemtu lēmumu par nepieciešamajiem pasākumiem. Norvēģijas Inovāciju aģentūras un Tehnoloģiju inkubatora līdzdalība šajā procesā ir ļoti būtisks aspekts, jo paredzams, ka abām šīm iestādēm ir nozīmīga ietekme, lai nodibinātu sakarus ar Norvēģijas partneriem un tām ir plašs iespējamo kontaktu saraksts un nepieciešamā pieredze partnerības projektu veicināšanai.  </w:t>
      </w:r>
    </w:p>
    <w:p w:rsidR="0045070C" w:rsidRPr="00AE40CC" w:rsidRDefault="00570BF0" w:rsidP="00753C64">
      <w:pPr>
        <w:tabs>
          <w:tab w:val="left" w:pos="360"/>
        </w:tabs>
        <w:spacing w:after="0"/>
        <w:ind w:firstLine="426"/>
        <w:jc w:val="both"/>
        <w:rPr>
          <w:rFonts w:ascii="Times New Roman" w:hAnsi="Times New Roman"/>
          <w:lang w:val="lv-LV"/>
        </w:rPr>
      </w:pPr>
      <w:r w:rsidRPr="00570BF0">
        <w:rPr>
          <w:rFonts w:ascii="Times New Roman" w:hAnsi="Times New Roman"/>
          <w:lang w:val="lv-LV"/>
        </w:rPr>
        <w:t xml:space="preserve">Papildus ir panākta vienošanās ar Norvēģijas Inovāciju aģentūru un SIVA par iespējumu tādu Norvēģijas tehnoloģiju parku/inkubatoru kā PRONEO, </w:t>
      </w:r>
      <w:proofErr w:type="spellStart"/>
      <w:r w:rsidRPr="00570BF0">
        <w:rPr>
          <w:rFonts w:ascii="Times New Roman" w:hAnsi="Times New Roman"/>
          <w:lang w:val="lv-LV"/>
        </w:rPr>
        <w:t>Campus</w:t>
      </w:r>
      <w:proofErr w:type="spellEnd"/>
      <w:r w:rsidRPr="00570BF0">
        <w:rPr>
          <w:rFonts w:ascii="Times New Roman" w:hAnsi="Times New Roman"/>
          <w:lang w:val="lv-LV"/>
        </w:rPr>
        <w:t xml:space="preserve"> </w:t>
      </w:r>
      <w:proofErr w:type="spellStart"/>
      <w:r w:rsidRPr="00570BF0">
        <w:rPr>
          <w:rFonts w:ascii="Times New Roman" w:hAnsi="Times New Roman"/>
          <w:lang w:val="lv-LV"/>
        </w:rPr>
        <w:t>Kjeller</w:t>
      </w:r>
      <w:proofErr w:type="spellEnd"/>
      <w:r w:rsidRPr="00570BF0">
        <w:rPr>
          <w:rFonts w:ascii="Times New Roman" w:hAnsi="Times New Roman"/>
          <w:lang w:val="lv-LV"/>
        </w:rPr>
        <w:t xml:space="preserve"> iesaistīšanos un savas pieredzes sniegšanu Tehnoloģiju inkubatoram un komersantiem Programmas ietvaros.</w:t>
      </w:r>
    </w:p>
    <w:p w:rsidR="00A9482F" w:rsidRPr="00AE40CC" w:rsidRDefault="00570BF0" w:rsidP="00312E86">
      <w:pPr>
        <w:tabs>
          <w:tab w:val="left" w:pos="360"/>
        </w:tabs>
        <w:spacing w:after="0"/>
        <w:ind w:firstLine="426"/>
        <w:jc w:val="both"/>
        <w:rPr>
          <w:rFonts w:ascii="Times New Roman" w:hAnsi="Times New Roman"/>
          <w:lang w:val="lv-LV"/>
        </w:rPr>
      </w:pPr>
      <w:r w:rsidRPr="00570BF0">
        <w:rPr>
          <w:rFonts w:ascii="Times New Roman" w:hAnsi="Times New Roman"/>
          <w:lang w:val="lv-LV"/>
        </w:rPr>
        <w:t>Tāpat partnerība tiks stiprināta projektu iesniegumu vērtēšanā, jo Atklātā konkursa un iepriekš noteikta projekta Vērtēšanas komisijās darbosies Norvēģijas Inovāciju aģentūras balsstiesīgie pārstāvji.</w:t>
      </w:r>
    </w:p>
    <w:p w:rsidR="00E36D11" w:rsidRPr="00AE40CC" w:rsidRDefault="00570BF0" w:rsidP="00A9482F">
      <w:pPr>
        <w:tabs>
          <w:tab w:val="left" w:pos="360"/>
        </w:tabs>
        <w:spacing w:after="0"/>
        <w:jc w:val="both"/>
        <w:rPr>
          <w:rFonts w:ascii="Times New Roman" w:hAnsi="Times New Roman"/>
          <w:lang w:val="lv-LV"/>
        </w:rPr>
      </w:pPr>
      <w:r w:rsidRPr="00570BF0">
        <w:rPr>
          <w:rFonts w:ascii="Times New Roman" w:hAnsi="Times New Roman"/>
          <w:lang w:val="lv-LV"/>
        </w:rPr>
        <w:tab/>
        <w:t xml:space="preserve">Atlasē priekšroka tiks dota tiem projektiem, kas tiek īstenoti partnerībā ar Norvēģijas komersantiem, ja šādas prasības iekļaušana būs atbilstoša Latvijas normatīvo aktu prasībām. </w:t>
      </w:r>
    </w:p>
    <w:p w:rsidR="003479D7" w:rsidRPr="00AE40CC" w:rsidRDefault="00570BF0" w:rsidP="00E36D11">
      <w:pPr>
        <w:tabs>
          <w:tab w:val="left" w:pos="360"/>
        </w:tabs>
        <w:spacing w:after="0"/>
        <w:ind w:firstLine="426"/>
        <w:jc w:val="both"/>
        <w:rPr>
          <w:rFonts w:ascii="Times New Roman" w:hAnsi="Times New Roman"/>
          <w:lang w:val="lv-LV"/>
        </w:rPr>
      </w:pPr>
      <w:r w:rsidRPr="00570BF0">
        <w:rPr>
          <w:rFonts w:ascii="Times New Roman" w:hAnsi="Times New Roman"/>
          <w:lang w:val="lv-LV"/>
        </w:rPr>
        <w:t xml:space="preserve">  </w:t>
      </w:r>
    </w:p>
    <w:p w:rsidR="00A9482F" w:rsidRPr="00AE40CC" w:rsidRDefault="00570BF0" w:rsidP="00A9482F">
      <w:pPr>
        <w:pStyle w:val="Heading3"/>
        <w:spacing w:before="0"/>
        <w:rPr>
          <w:rFonts w:ascii="Times New Roman" w:hAnsi="Times New Roman"/>
          <w:lang w:val="lv-LV"/>
        </w:rPr>
      </w:pPr>
      <w:r w:rsidRPr="00570BF0">
        <w:rPr>
          <w:rFonts w:ascii="Times New Roman" w:hAnsi="Times New Roman"/>
          <w:lang w:val="lv-LV"/>
        </w:rPr>
        <w:t>Donoru programmas partneri</w:t>
      </w:r>
    </w:p>
    <w:p w:rsidR="00A9482F" w:rsidRPr="00AE40CC" w:rsidRDefault="00570BF0" w:rsidP="00A43318">
      <w:pPr>
        <w:tabs>
          <w:tab w:val="left" w:pos="360"/>
        </w:tabs>
        <w:spacing w:after="0"/>
        <w:jc w:val="both"/>
        <w:rPr>
          <w:rFonts w:ascii="Times New Roman" w:hAnsi="Times New Roman"/>
          <w:b/>
          <w:lang w:val="lv-LV"/>
        </w:rPr>
      </w:pPr>
      <w:r w:rsidRPr="00570BF0">
        <w:rPr>
          <w:rFonts w:ascii="Times New Roman" w:hAnsi="Times New Roman"/>
          <w:b/>
          <w:lang w:val="lv-LV"/>
        </w:rPr>
        <w:t xml:space="preserve">Aprakstīt donoru programmas partneru saistību ar Programmu un iesaistīšanos Programmas iesnieguma sagatavošanā. Aprakstīt iepriekšējo sadarbību starp Programmas apsaimniekotāju un donoru programmas partneri (ja </w:t>
      </w:r>
      <w:r w:rsidR="000A7B6C" w:rsidRPr="000A7B6C">
        <w:rPr>
          <w:rFonts w:ascii="Times New Roman" w:hAnsi="Times New Roman"/>
          <w:b/>
          <w:lang w:val="lv-LV"/>
        </w:rPr>
        <w:t>tāda ir bijusi).</w:t>
      </w:r>
    </w:p>
    <w:p w:rsidR="00560C57" w:rsidRPr="00AE40CC" w:rsidRDefault="00570BF0" w:rsidP="00E36D11">
      <w:pPr>
        <w:spacing w:after="0"/>
        <w:ind w:firstLine="426"/>
        <w:jc w:val="both"/>
        <w:rPr>
          <w:rFonts w:ascii="Times New Roman" w:hAnsi="Times New Roman"/>
          <w:iCs/>
          <w:color w:val="000000"/>
          <w:lang w:val="lv-LV"/>
        </w:rPr>
      </w:pPr>
      <w:r w:rsidRPr="00570BF0">
        <w:rPr>
          <w:rFonts w:ascii="Times New Roman" w:hAnsi="Times New Roman"/>
          <w:lang w:val="lv-LV"/>
        </w:rPr>
        <w:t xml:space="preserve">Norvēģijas Inovāciju aģentūra ir iesaistīta Programmas iesnieguma sagatavošanā. </w:t>
      </w:r>
      <w:r w:rsidRPr="00570BF0">
        <w:rPr>
          <w:rFonts w:ascii="Times New Roman" w:hAnsi="Times New Roman"/>
          <w:color w:val="000000"/>
          <w:lang w:val="lv-LV"/>
        </w:rPr>
        <w:t xml:space="preserve">Primārā kontaktpersona ir </w:t>
      </w:r>
      <w:r w:rsidRPr="00416FB2">
        <w:rPr>
          <w:rFonts w:ascii="Times New Roman" w:hAnsi="Times New Roman"/>
          <w:iCs/>
          <w:color w:val="000000"/>
          <w:lang w:val="lv-LV"/>
        </w:rPr>
        <w:t>Tore Lasse By</w:t>
      </w:r>
      <w:r w:rsidRPr="00570BF0">
        <w:rPr>
          <w:rFonts w:ascii="Times New Roman" w:hAnsi="Times New Roman"/>
          <w:color w:val="000000"/>
          <w:lang w:val="lv-LV"/>
        </w:rPr>
        <w:t xml:space="preserve"> – direktors, EEZ finansējuma koordinators</w:t>
      </w:r>
      <w:r w:rsidRPr="00570BF0">
        <w:rPr>
          <w:rFonts w:ascii="Times New Roman" w:hAnsi="Times New Roman"/>
          <w:iCs/>
          <w:color w:val="000000"/>
          <w:lang w:val="lv-LV"/>
        </w:rPr>
        <w:t>. Norvēģijas Inovāciju aģentūras mērķis ir sniegt atbalstu inovācijām Norvēģijas komersantos un veicināt nozares kopējo izaugsmi. Programmas partnera kontaktinformācija ir pieejama 2.Pielikumā „Statistikas pielikums”.</w:t>
      </w:r>
    </w:p>
    <w:p w:rsidR="00A9482F" w:rsidRPr="00AE40CC" w:rsidRDefault="00570BF0" w:rsidP="00A9482F">
      <w:pPr>
        <w:tabs>
          <w:tab w:val="left" w:pos="360"/>
        </w:tabs>
        <w:spacing w:after="0"/>
        <w:ind w:firstLine="426"/>
        <w:jc w:val="both"/>
        <w:rPr>
          <w:rFonts w:ascii="Times New Roman" w:hAnsi="Times New Roman"/>
          <w:lang w:val="lv-LV"/>
        </w:rPr>
      </w:pPr>
      <w:r w:rsidRPr="00570BF0">
        <w:rPr>
          <w:rFonts w:ascii="Times New Roman" w:hAnsi="Times New Roman"/>
          <w:lang w:val="lv-LV"/>
        </w:rPr>
        <w:t xml:space="preserve">2011. gada 20. janvārī EM organizēja tikšanos, kurā piedalījās Norvēģijas Inovāciju aģentūras, Norvēģijas vēstniecības Latvijā, </w:t>
      </w:r>
      <w:r w:rsidR="00673EBB">
        <w:rPr>
          <w:rFonts w:ascii="Times New Roman" w:hAnsi="Times New Roman"/>
          <w:lang w:val="lv-LV"/>
        </w:rPr>
        <w:t>VI</w:t>
      </w:r>
      <w:r w:rsidR="00D43284" w:rsidRPr="00AE40CC">
        <w:rPr>
          <w:rFonts w:ascii="Times New Roman" w:hAnsi="Times New Roman"/>
          <w:lang w:val="lv-LV"/>
        </w:rPr>
        <w:t xml:space="preserve"> (Latvijas Republikas Finanšu ministrija) un LIAA pārstāvji</w:t>
      </w:r>
      <w:r w:rsidRPr="00570BF0">
        <w:rPr>
          <w:rFonts w:ascii="Times New Roman" w:hAnsi="Times New Roman"/>
          <w:color w:val="000000"/>
          <w:lang w:val="lv-LV"/>
        </w:rPr>
        <w:t xml:space="preserve">. </w:t>
      </w:r>
      <w:r w:rsidRPr="00570BF0">
        <w:rPr>
          <w:rFonts w:ascii="Times New Roman" w:hAnsi="Times New Roman"/>
          <w:lang w:val="lv-LV"/>
        </w:rPr>
        <w:t>Tikšanās laikā tika apspriesti Programmas pamatjautājumi</w:t>
      </w:r>
      <w:r w:rsidRPr="00570BF0">
        <w:rPr>
          <w:rFonts w:ascii="Times New Roman" w:hAnsi="Times New Roman"/>
          <w:color w:val="000000"/>
          <w:lang w:val="lv-LV"/>
        </w:rPr>
        <w:t xml:space="preserve">. </w:t>
      </w:r>
      <w:r w:rsidRPr="00570BF0">
        <w:rPr>
          <w:rFonts w:ascii="Times New Roman" w:hAnsi="Times New Roman"/>
          <w:lang w:val="lv-LV"/>
        </w:rPr>
        <w:t xml:space="preserve">Nākamā tikšanās notika 2011. gada 18. augustā, kas bija darba tikšanās, lai sīki apspriestu Programmas ieviešanai svarīgus jautājumus un plānotu turpmāku rīcību. Tikšanās laikā nolēma, ka Norvēģijas Inovāciju aģentūra pārskatīs Programmas iesniegumu pirms iesniegšanas. Nākamā tikšanās tika organizēta 2011.gada 20.oktobrī Latvijā, un pēc tās tika organizēta divu dienu vizīte no 2011.gada 27. līdz 28.oktobrim Trondheimā (Norvēģijā), lai turpinātu darba sarunas par Programmas iesnieguma izstrādi, kā arī apmeklētu tehnoloģiju inkubatorus Norvēģijā, un izvērtētu kā to labākā pieredze var tikt ieviesta Latvijā. Vēl viena darba līmeņa tikšanā notika </w:t>
      </w:r>
      <w:r w:rsidRPr="00570BF0">
        <w:rPr>
          <w:rFonts w:ascii="Times New Roman" w:hAnsi="Times New Roman"/>
          <w:lang w:val="lv-LV"/>
        </w:rPr>
        <w:lastRenderedPageBreak/>
        <w:t xml:space="preserve">2011. gada 1. decembrī, lai tuvinātu nobeigumam Programmas iesnieguma sagatavošanu. Sadarbības komitejas noslēguma tikšanās pirms Programmas iesnieguma iesniegšanas Finanšu </w:t>
      </w:r>
      <w:r w:rsidR="003740CA">
        <w:rPr>
          <w:rFonts w:ascii="Times New Roman" w:hAnsi="Times New Roman"/>
          <w:lang w:val="lv-LV"/>
        </w:rPr>
        <w:t>instrumenta</w:t>
      </w:r>
      <w:r w:rsidR="003740CA" w:rsidRPr="00AE40CC">
        <w:rPr>
          <w:rFonts w:ascii="Times New Roman" w:hAnsi="Times New Roman"/>
          <w:lang w:val="lv-LV"/>
        </w:rPr>
        <w:t xml:space="preserve"> </w:t>
      </w:r>
      <w:r w:rsidR="00D43284" w:rsidRPr="00AE40CC">
        <w:rPr>
          <w:rFonts w:ascii="Times New Roman" w:hAnsi="Times New Roman"/>
          <w:lang w:val="lv-LV"/>
        </w:rPr>
        <w:t xml:space="preserve">birojam </w:t>
      </w:r>
      <w:r w:rsidR="001E4106" w:rsidRPr="00AE40CC">
        <w:rPr>
          <w:rFonts w:ascii="Times New Roman" w:hAnsi="Times New Roman"/>
          <w:lang w:val="lv-LV"/>
        </w:rPr>
        <w:t>notika</w:t>
      </w:r>
      <w:r w:rsidR="00D43284" w:rsidRPr="00AE40CC">
        <w:rPr>
          <w:rFonts w:ascii="Times New Roman" w:hAnsi="Times New Roman"/>
          <w:lang w:val="lv-LV"/>
        </w:rPr>
        <w:t xml:space="preserve"> 2012. gada 30. janvārī</w:t>
      </w:r>
      <w:r w:rsidR="002910A2" w:rsidRPr="00AE40CC">
        <w:rPr>
          <w:rFonts w:ascii="Times New Roman" w:hAnsi="Times New Roman"/>
          <w:lang w:val="lv-LV"/>
        </w:rPr>
        <w:t>.</w:t>
      </w:r>
      <w:r w:rsidR="001E4106" w:rsidRPr="00AE40CC">
        <w:rPr>
          <w:rFonts w:ascii="Times New Roman" w:hAnsi="Times New Roman"/>
          <w:lang w:val="lv-LV"/>
        </w:rPr>
        <w:t xml:space="preserve"> Programmas </w:t>
      </w:r>
      <w:r w:rsidR="00E67D21" w:rsidRPr="00AE40CC">
        <w:rPr>
          <w:rFonts w:ascii="Times New Roman" w:hAnsi="Times New Roman"/>
          <w:lang w:val="lv-LV"/>
        </w:rPr>
        <w:t>i</w:t>
      </w:r>
      <w:r w:rsidR="001E4106" w:rsidRPr="00AE40CC">
        <w:rPr>
          <w:rFonts w:ascii="Times New Roman" w:hAnsi="Times New Roman"/>
          <w:lang w:val="lv-LV"/>
        </w:rPr>
        <w:t>esniegums tiks apstiprināts Sadarbības komitejas rakstiskajā procedūrā.</w:t>
      </w:r>
    </w:p>
    <w:p w:rsidR="001E4106" w:rsidRPr="00AE40CC" w:rsidRDefault="001E4106" w:rsidP="00A9482F">
      <w:pPr>
        <w:tabs>
          <w:tab w:val="left" w:pos="360"/>
        </w:tabs>
        <w:spacing w:after="0"/>
        <w:ind w:firstLine="426"/>
        <w:jc w:val="both"/>
        <w:rPr>
          <w:rFonts w:ascii="Times New Roman" w:hAnsi="Times New Roman"/>
          <w:lang w:val="lv-LV"/>
        </w:rPr>
      </w:pPr>
    </w:p>
    <w:p w:rsidR="00A9482F" w:rsidRPr="00AE40CC" w:rsidRDefault="00570BF0" w:rsidP="00A43318">
      <w:pPr>
        <w:pStyle w:val="Heading3"/>
        <w:spacing w:before="0"/>
        <w:rPr>
          <w:rFonts w:ascii="Times New Roman" w:hAnsi="Times New Roman"/>
          <w:lang w:val="lv-LV"/>
        </w:rPr>
      </w:pPr>
      <w:bookmarkStart w:id="58" w:name="_Toc258498745"/>
      <w:bookmarkStart w:id="59" w:name="_Toc258499856"/>
      <w:bookmarkStart w:id="60" w:name="_Toc258503656"/>
      <w:bookmarkStart w:id="61" w:name="_Toc258504834"/>
      <w:bookmarkStart w:id="62" w:name="_Toc262213665"/>
      <w:r w:rsidRPr="00570BF0">
        <w:rPr>
          <w:rFonts w:ascii="Times New Roman" w:hAnsi="Times New Roman"/>
          <w:lang w:val="lv-LV"/>
        </w:rPr>
        <w:t>Donoru partnerības projekti</w:t>
      </w:r>
    </w:p>
    <w:p w:rsidR="00A9482F" w:rsidRPr="00AE40CC" w:rsidRDefault="00570BF0" w:rsidP="00A9482F">
      <w:pPr>
        <w:spacing w:after="0"/>
        <w:rPr>
          <w:rFonts w:ascii="Times New Roman" w:hAnsi="Times New Roman"/>
          <w:b/>
          <w:lang w:val="lv-LV"/>
        </w:rPr>
      </w:pPr>
      <w:r w:rsidRPr="00570BF0">
        <w:rPr>
          <w:rFonts w:ascii="Times New Roman" w:hAnsi="Times New Roman"/>
          <w:b/>
          <w:lang w:val="lv-LV"/>
        </w:rPr>
        <w:t>Aprakstīt, kā ir plānots noteikt potenciālos partnerus, to lomu un saistību ar Programmas projektiem.</w:t>
      </w:r>
    </w:p>
    <w:p w:rsidR="00A9482F" w:rsidRPr="00AE40CC" w:rsidRDefault="00570BF0" w:rsidP="009111E8">
      <w:pPr>
        <w:spacing w:after="0"/>
        <w:ind w:firstLine="426"/>
        <w:jc w:val="both"/>
        <w:rPr>
          <w:rFonts w:ascii="Times New Roman" w:hAnsi="Times New Roman"/>
          <w:lang w:val="lv-LV"/>
        </w:rPr>
      </w:pPr>
      <w:r w:rsidRPr="00570BF0">
        <w:rPr>
          <w:rFonts w:ascii="Times New Roman" w:hAnsi="Times New Roman"/>
          <w:lang w:val="lv-LV"/>
        </w:rPr>
        <w:t>Ļoti nozīmīgs ir Norvēģijas Inovāciju aģentūras un SIVA atbalsts, jo partnerības projektiem Programmā ir pievērsta pastiprināta uzmanība. Iepriekš noteiktais projekts tiks īstenots sadarbībā ar Latvijas Universitāti, Rīgas Tehnisko universitāti un SIVA. SIVA līdzdalība ir nozīmīga, jo tai ir iepriekšēja pieredze Tehnoloģiju inkubatora darbībā.</w:t>
      </w:r>
    </w:p>
    <w:p w:rsidR="004029D4" w:rsidRPr="00AE40CC" w:rsidRDefault="00570BF0" w:rsidP="009111E8">
      <w:pPr>
        <w:spacing w:after="0"/>
        <w:ind w:firstLine="426"/>
        <w:jc w:val="both"/>
        <w:rPr>
          <w:rFonts w:ascii="Times New Roman" w:hAnsi="Times New Roman"/>
          <w:lang w:val="lv-LV"/>
        </w:rPr>
      </w:pPr>
      <w:r w:rsidRPr="00570BF0">
        <w:rPr>
          <w:rFonts w:ascii="Times New Roman" w:hAnsi="Times New Roman"/>
          <w:lang w:val="lv-LV"/>
        </w:rPr>
        <w:t>Bez tam partnerība tiks būtiski stiprināta neliela apjoma grantu shēmas un Atklātā konkursa ietvaros, jo projektus vērtēs pēc to ieguldījuma divpusējās attiecībās. Paredzams, ka Norvēģijas partneriem būs investoru, tehnoloģiju piegādātāju, klientu vai piegādātāju loma sadarbībā ar Latvijas komersantiem.</w:t>
      </w:r>
    </w:p>
    <w:bookmarkEnd w:id="58"/>
    <w:bookmarkEnd w:id="59"/>
    <w:bookmarkEnd w:id="60"/>
    <w:bookmarkEnd w:id="61"/>
    <w:bookmarkEnd w:id="62"/>
    <w:p w:rsidR="00A9482F" w:rsidRPr="00AE40CC" w:rsidRDefault="00570BF0" w:rsidP="009111E8">
      <w:pPr>
        <w:tabs>
          <w:tab w:val="left" w:pos="360"/>
        </w:tabs>
        <w:spacing w:after="0"/>
        <w:jc w:val="both"/>
        <w:rPr>
          <w:rFonts w:ascii="Times New Roman" w:hAnsi="Times New Roman"/>
          <w:b/>
          <w:lang w:val="lv-LV"/>
        </w:rPr>
      </w:pPr>
      <w:r w:rsidRPr="00570BF0">
        <w:rPr>
          <w:rFonts w:ascii="Times New Roman" w:hAnsi="Times New Roman"/>
          <w:b/>
          <w:lang w:val="lv-LV"/>
        </w:rPr>
        <w:t>Aprakstīt un pamatot, kādi pasākumi bilaterālā partnerības fonda ietvaros tiks attiecināti uz fondu. Pamatot attiecību starp abiem pasākumiem.</w:t>
      </w:r>
    </w:p>
    <w:p w:rsidR="005956E7" w:rsidRPr="00AE40CC" w:rsidRDefault="00570BF0" w:rsidP="00A9482F">
      <w:pPr>
        <w:tabs>
          <w:tab w:val="left" w:pos="360"/>
        </w:tabs>
        <w:spacing w:after="0"/>
        <w:ind w:firstLine="426"/>
        <w:jc w:val="both"/>
        <w:rPr>
          <w:rFonts w:ascii="Times New Roman" w:hAnsi="Times New Roman"/>
          <w:lang w:val="lv-LV"/>
        </w:rPr>
      </w:pPr>
      <w:r w:rsidRPr="00570BF0">
        <w:rPr>
          <w:rFonts w:ascii="Times New Roman" w:hAnsi="Times New Roman"/>
          <w:lang w:val="lv-LV"/>
        </w:rPr>
        <w:t>Programmas ietvaros ir paredzēts izmantot 2.6% (206 624 lati vai 294 000 EUR) no kopējā Programmas finansējuma, lai finansētu abus pasākumus atbilstoši Noteikumu 3.6. panta</w:t>
      </w:r>
      <w:r w:rsidR="00AD4EF8">
        <w:rPr>
          <w:rFonts w:ascii="Times New Roman" w:hAnsi="Times New Roman"/>
          <w:lang w:val="lv-LV"/>
        </w:rPr>
        <w:t>m</w:t>
      </w:r>
      <w:r w:rsidRPr="00570BF0">
        <w:rPr>
          <w:rFonts w:ascii="Times New Roman" w:hAnsi="Times New Roman"/>
          <w:lang w:val="lv-LV"/>
        </w:rPr>
        <w:t xml:space="preserve"> „Līdzekļi divpusējām attiecībām Programmas līmenī”. </w:t>
      </w:r>
    </w:p>
    <w:p w:rsidR="00A9482F" w:rsidRPr="00AE40CC" w:rsidRDefault="00570BF0" w:rsidP="00A9482F">
      <w:pPr>
        <w:tabs>
          <w:tab w:val="left" w:pos="360"/>
        </w:tabs>
        <w:spacing w:after="0"/>
        <w:ind w:firstLine="426"/>
        <w:jc w:val="both"/>
        <w:rPr>
          <w:rFonts w:ascii="Times New Roman" w:hAnsi="Times New Roman"/>
          <w:lang w:val="lv-LV"/>
        </w:rPr>
      </w:pPr>
      <w:r w:rsidRPr="00570BF0">
        <w:rPr>
          <w:rFonts w:ascii="Times New Roman" w:hAnsi="Times New Roman"/>
          <w:lang w:val="lv-LV"/>
        </w:rPr>
        <w:t xml:space="preserve">Kopējā līdzekļu procentuālā attiecība projektu partneru meklēšanai Norvēģijā pirms projekta iesnieguma sagatavošanas vai tās laikā, šādu partnerību attīstībai Norvēģijas un Latvijas apmaiņas vizīšu veidā, semināriem un darba grupām un partnerības projektu sagatavošanai ir </w:t>
      </w:r>
      <w:r w:rsidRPr="00570BF0">
        <w:rPr>
          <w:rFonts w:ascii="Times New Roman" w:hAnsi="Times New Roman"/>
          <w:lang w:val="lv-LV" w:eastAsia="lv-LV"/>
        </w:rPr>
        <w:t>50 % (103 312 lati vai 147 000 EUR)</w:t>
      </w:r>
      <w:r w:rsidRPr="00570BF0">
        <w:rPr>
          <w:rFonts w:ascii="Times New Roman" w:hAnsi="Times New Roman"/>
          <w:lang w:val="lv-LV"/>
        </w:rPr>
        <w:t xml:space="preserve">. </w:t>
      </w:r>
    </w:p>
    <w:p w:rsidR="00A9482F" w:rsidRPr="00AE40CC" w:rsidRDefault="00570BF0" w:rsidP="00B35654">
      <w:pPr>
        <w:tabs>
          <w:tab w:val="left" w:pos="360"/>
        </w:tabs>
        <w:spacing w:after="0"/>
        <w:ind w:firstLine="426"/>
        <w:jc w:val="both"/>
        <w:rPr>
          <w:rFonts w:ascii="Times New Roman" w:hAnsi="Times New Roman"/>
          <w:lang w:val="lv-LV"/>
        </w:rPr>
      </w:pPr>
      <w:r w:rsidRPr="00570BF0">
        <w:rPr>
          <w:rFonts w:ascii="Times New Roman" w:hAnsi="Times New Roman"/>
          <w:lang w:val="lv-LV"/>
        </w:rPr>
        <w:t xml:space="preserve">Pārējā finansējuma daļa jeb </w:t>
      </w:r>
      <w:r w:rsidRPr="00570BF0">
        <w:rPr>
          <w:rFonts w:ascii="Times New Roman" w:hAnsi="Times New Roman"/>
          <w:lang w:val="lv-LV" w:eastAsia="lv-LV"/>
        </w:rPr>
        <w:t>50</w:t>
      </w:r>
      <w:r w:rsidRPr="00570BF0">
        <w:rPr>
          <w:rFonts w:ascii="Times New Roman" w:hAnsi="Times New Roman"/>
          <w:lang w:val="lv-LV"/>
        </w:rPr>
        <w:t> % (</w:t>
      </w:r>
      <w:r w:rsidRPr="00570BF0">
        <w:rPr>
          <w:rFonts w:ascii="Times New Roman" w:hAnsi="Times New Roman"/>
          <w:lang w:val="lv-LV" w:eastAsia="lv-LV"/>
        </w:rPr>
        <w:t>103 312 lati vai 147 000 EUR</w:t>
      </w:r>
      <w:r w:rsidRPr="00570BF0">
        <w:rPr>
          <w:rFonts w:ascii="Times New Roman" w:hAnsi="Times New Roman"/>
          <w:lang w:val="lv-LV"/>
        </w:rPr>
        <w:t>) ir paredzēta kontaktu apmaiņai, zināšanu, tehnoloģiju, pieredzes un labās prakses apmaiņai un pārnesei projekta līmenī.</w:t>
      </w:r>
    </w:p>
    <w:p w:rsidR="005910FF" w:rsidRPr="00AE40CC" w:rsidRDefault="00570BF0" w:rsidP="00A9482F">
      <w:pPr>
        <w:tabs>
          <w:tab w:val="left" w:pos="360"/>
        </w:tabs>
        <w:spacing w:after="0"/>
        <w:ind w:firstLine="426"/>
        <w:jc w:val="both"/>
        <w:rPr>
          <w:rFonts w:ascii="Times New Roman" w:hAnsi="Times New Roman"/>
          <w:lang w:val="lv-LV"/>
        </w:rPr>
      </w:pPr>
      <w:r w:rsidRPr="00570BF0">
        <w:rPr>
          <w:rFonts w:ascii="Times New Roman" w:hAnsi="Times New Roman"/>
          <w:lang w:val="lv-LV"/>
        </w:rPr>
        <w:t xml:space="preserve">Sadarbības komitejai būs tiesības lemt par līdzekļu pārdali starp abiem bilaterālā fonda pasākumiem. </w:t>
      </w:r>
    </w:p>
    <w:p w:rsidR="00A9482F" w:rsidRPr="00AE40CC" w:rsidRDefault="00570BF0" w:rsidP="009111E8">
      <w:pPr>
        <w:spacing w:after="0"/>
        <w:jc w:val="both"/>
        <w:rPr>
          <w:rFonts w:ascii="Times New Roman" w:hAnsi="Times New Roman"/>
          <w:b/>
          <w:lang w:val="lv-LV"/>
        </w:rPr>
      </w:pPr>
      <w:r w:rsidRPr="00570BF0">
        <w:rPr>
          <w:rFonts w:ascii="Times New Roman" w:hAnsi="Times New Roman"/>
          <w:b/>
          <w:lang w:val="lv-LV"/>
        </w:rPr>
        <w:t xml:space="preserve">Aprakstīt plānotos operatīvos un informatīvos pasākumus (piemēram, atlases kārtība, granta likme, </w:t>
      </w:r>
      <w:r w:rsidR="000A7B6C" w:rsidRPr="000A7B6C">
        <w:rPr>
          <w:rFonts w:ascii="Times New Roman" w:hAnsi="Times New Roman"/>
          <w:b/>
          <w:lang w:val="lv-LV"/>
        </w:rPr>
        <w:t xml:space="preserve">maksimālais granta apjoms, informējošais darbs, padomi par publiskajiem iepirkumiem un valsts atbalstu u. c.). </w:t>
      </w:r>
    </w:p>
    <w:p w:rsidR="00475DE8" w:rsidRPr="00AE40CC" w:rsidRDefault="00570BF0" w:rsidP="0038587E">
      <w:pPr>
        <w:spacing w:after="0"/>
        <w:ind w:firstLine="426"/>
        <w:jc w:val="both"/>
        <w:rPr>
          <w:rFonts w:ascii="Times New Roman" w:hAnsi="Times New Roman"/>
          <w:lang w:val="lv-LV"/>
        </w:rPr>
      </w:pPr>
      <w:r w:rsidRPr="00570BF0">
        <w:rPr>
          <w:rFonts w:ascii="Times New Roman" w:hAnsi="Times New Roman"/>
          <w:lang w:val="lv-LV"/>
        </w:rPr>
        <w:t xml:space="preserve">Informācija par Programmu latviešu un angļu valodās būs pieejama LIAA tīmekļa vietnē. LIAA tīmekļa vietnē būs īpaši </w:t>
      </w:r>
      <w:r w:rsidR="00467B69">
        <w:rPr>
          <w:rFonts w:ascii="Times New Roman" w:hAnsi="Times New Roman"/>
          <w:lang w:val="lv-LV"/>
        </w:rPr>
        <w:t>Programmai un tās ietvaros plānotajiem konkursiem (t.sk. par iespējām saņemt atbalstu bilaterālā fonda ietvaros)</w:t>
      </w:r>
      <w:r w:rsidR="0038587E" w:rsidRPr="00AE40CC">
        <w:rPr>
          <w:rFonts w:ascii="Times New Roman" w:hAnsi="Times New Roman"/>
          <w:lang w:val="lv-LV"/>
        </w:rPr>
        <w:t xml:space="preserve"> veltīta sadaļa. Izstrādājot </w:t>
      </w:r>
      <w:r w:rsidR="001C3E7A" w:rsidRPr="00AE40CC">
        <w:rPr>
          <w:rFonts w:ascii="Times New Roman" w:hAnsi="Times New Roman"/>
          <w:lang w:val="lv-LV"/>
        </w:rPr>
        <w:t>Programmas Noteikumus</w:t>
      </w:r>
      <w:r w:rsidR="0038587E" w:rsidRPr="00AE40CC">
        <w:rPr>
          <w:rFonts w:ascii="Times New Roman" w:hAnsi="Times New Roman"/>
          <w:lang w:val="lv-LV"/>
        </w:rPr>
        <w:t xml:space="preserve">, EM sadarbībā ar Norvēģijas </w:t>
      </w:r>
      <w:r w:rsidRPr="00570BF0">
        <w:rPr>
          <w:rFonts w:ascii="Times New Roman" w:hAnsi="Times New Roman"/>
          <w:lang w:val="lv-LV"/>
        </w:rPr>
        <w:t xml:space="preserve">Inovāciju aģentūru un LIAA izstrādās iesnieguma veidlapu un citus saistītos dokumentus neliela apjoma granta shēmas un Atklātā konkursa atbalsta saņemšanai. Lai izplatītu informāciju Norvēģijā, tiks izmantots Norvēģijas Inovāciju aģentūras, SIVA un, iespējams, citu iestāžu atbalsts. </w:t>
      </w:r>
    </w:p>
    <w:p w:rsidR="00475DE8" w:rsidRPr="00AE40CC" w:rsidRDefault="00570BF0" w:rsidP="00475DE8">
      <w:pPr>
        <w:spacing w:after="0"/>
        <w:ind w:firstLine="426"/>
        <w:jc w:val="both"/>
        <w:rPr>
          <w:rFonts w:ascii="Times New Roman" w:hAnsi="Times New Roman"/>
          <w:lang w:val="lv-LV"/>
        </w:rPr>
      </w:pPr>
      <w:r w:rsidRPr="00570BF0">
        <w:rPr>
          <w:rFonts w:ascii="Times New Roman" w:hAnsi="Times New Roman"/>
          <w:lang w:val="lv-LV"/>
        </w:rPr>
        <w:t>Projektiem, kas īstenoti sadarbībā ar Latvijas komersantiem būs jābūt savstarpēji izdevīgiem. Galvenais kritērijs, izvēloties Norvēģijas partnerus, būtu to ieguldījums „zaļo” nozaru jomā un ekonomiskais labums.</w:t>
      </w:r>
    </w:p>
    <w:p w:rsidR="004029D4" w:rsidRPr="00AE40CC" w:rsidRDefault="00570BF0" w:rsidP="004029D4">
      <w:pPr>
        <w:tabs>
          <w:tab w:val="left" w:pos="360"/>
        </w:tabs>
        <w:spacing w:after="0"/>
        <w:ind w:firstLine="426"/>
        <w:jc w:val="both"/>
        <w:rPr>
          <w:rFonts w:ascii="Times New Roman" w:hAnsi="Times New Roman"/>
          <w:lang w:val="lv-LV"/>
        </w:rPr>
      </w:pPr>
      <w:r w:rsidRPr="00570BF0">
        <w:rPr>
          <w:rFonts w:ascii="Times New Roman" w:hAnsi="Times New Roman"/>
          <w:lang w:val="lv-LV"/>
        </w:rPr>
        <w:t xml:space="preserve">Komersanti, piesakoties neliela apjoma grantu shēmas atbalstam, kopā ar Tehnoloģiju inkubatora operatoru nolems, kurās aktivitātēs tiem būtu jāpiedalās bilaterālā fonda ietvaros. SIVA kā dalībnieks Tehnoloģiju inkubatorā izteiks viedokli par iespējām konkrētajam projektam sameklēt partnerības Norvēģijā. Bilaterālā fonda ietvaros komersantiem sniegtais valsts atbalsts tiks sniegts kā de minimis atbalsts. </w:t>
      </w:r>
    </w:p>
    <w:p w:rsidR="004029D4" w:rsidRPr="00AE40CC" w:rsidRDefault="00570BF0" w:rsidP="004029D4">
      <w:pPr>
        <w:spacing w:after="0"/>
        <w:ind w:firstLine="426"/>
        <w:jc w:val="both"/>
        <w:rPr>
          <w:rFonts w:ascii="Times New Roman" w:hAnsi="Times New Roman"/>
          <w:lang w:val="lv-LV"/>
        </w:rPr>
      </w:pPr>
      <w:r w:rsidRPr="00570BF0">
        <w:rPr>
          <w:rFonts w:ascii="Times New Roman" w:hAnsi="Times New Roman"/>
          <w:lang w:val="lv-LV"/>
        </w:rPr>
        <w:t xml:space="preserve">Papildus arī Atklātā konkursa ietvaros LIAA izmantos bilaterālo fondu, lai veicinātu sadarbību.  </w:t>
      </w:r>
    </w:p>
    <w:p w:rsidR="00651EA6" w:rsidRPr="00734278" w:rsidRDefault="00570BF0" w:rsidP="004029D4">
      <w:pPr>
        <w:spacing w:after="0"/>
        <w:ind w:firstLine="426"/>
        <w:jc w:val="both"/>
        <w:rPr>
          <w:rFonts w:ascii="Times New Roman" w:hAnsi="Times New Roman"/>
          <w:lang w:val="lv-LV"/>
        </w:rPr>
      </w:pPr>
      <w:r w:rsidRPr="00570BF0">
        <w:rPr>
          <w:rFonts w:ascii="Times New Roman" w:hAnsi="Times New Roman"/>
          <w:lang w:val="lv-LV"/>
        </w:rPr>
        <w:lastRenderedPageBreak/>
        <w:t xml:space="preserve">Bilaterālā fonda ietvaros piešķirtais atbalsts ir ierobežots līdz 50 000 latiem (71 144 EUR) </w:t>
      </w:r>
      <w:r w:rsidRPr="00734278">
        <w:rPr>
          <w:rFonts w:ascii="Times New Roman" w:hAnsi="Times New Roman"/>
          <w:lang w:val="lv-LV"/>
        </w:rPr>
        <w:t xml:space="preserve">vienam komersantam. </w:t>
      </w:r>
      <w:r w:rsidR="00416FB2" w:rsidRPr="00734278">
        <w:rPr>
          <w:rFonts w:ascii="Times New Roman" w:hAnsi="Times New Roman"/>
          <w:lang w:val="lv-LV"/>
        </w:rPr>
        <w:t>Maksimālā a</w:t>
      </w:r>
      <w:r w:rsidRPr="00734278">
        <w:rPr>
          <w:rFonts w:ascii="Times New Roman" w:hAnsi="Times New Roman"/>
          <w:lang w:val="lv-LV"/>
        </w:rPr>
        <w:t xml:space="preserve">tbalsta intensitāte Bilaterālā fonda atbalstam būs līdz 100 %. Ir plānots piešķirt atbalsta intensitāti līdz 85% </w:t>
      </w:r>
      <w:r w:rsidR="00416FB2" w:rsidRPr="00734278">
        <w:rPr>
          <w:rFonts w:ascii="Times New Roman" w:hAnsi="Times New Roman"/>
          <w:lang w:val="lv-LV"/>
        </w:rPr>
        <w:t xml:space="preserve">projekta ietvaros </w:t>
      </w:r>
      <w:r w:rsidRPr="00734278">
        <w:rPr>
          <w:rFonts w:ascii="Times New Roman" w:hAnsi="Times New Roman"/>
          <w:lang w:val="lv-LV"/>
        </w:rPr>
        <w:t>par vizītēm uz Norvēģiju, partnerības projektu sagatavošanu un zināšanu, tehnoloģiju, pieredzes un labās prakses apmaiņai un pārnesei, kas ir attiecināms uz konkrētu komersantu vai fizisko personu ar mērķi uzsākt saimniecisko darbību. Atbalsts intensitāte 100% apmērā būs pieejama par semināriem, darba grupām, kontaktu apmaiņai, zināšanu, tehnoloģiju, pieredzes un labās prakses apmaiņai un pārnesei, kas attiecas horizontāli uz komersantiem un fiziskām personām ar mērķi uzsākt saimniecisko darbību</w:t>
      </w:r>
      <w:r w:rsidR="00416FB2" w:rsidRPr="00734278">
        <w:rPr>
          <w:rFonts w:ascii="Times New Roman" w:hAnsi="Times New Roman"/>
          <w:lang w:val="lv-LV"/>
        </w:rPr>
        <w:t xml:space="preserve"> un kurus organizē pati LIAA vai sadarbībā ar Tehnoloģiju inkubatoru</w:t>
      </w:r>
      <w:r w:rsidRPr="00734278">
        <w:rPr>
          <w:rFonts w:ascii="Times New Roman" w:hAnsi="Times New Roman"/>
          <w:lang w:val="lv-LV"/>
        </w:rPr>
        <w:t>.</w:t>
      </w:r>
    </w:p>
    <w:p w:rsidR="00A5588C" w:rsidRPr="00AE40CC" w:rsidRDefault="00570BF0" w:rsidP="004029D4">
      <w:pPr>
        <w:spacing w:after="0"/>
        <w:ind w:firstLine="426"/>
        <w:jc w:val="both"/>
        <w:rPr>
          <w:rFonts w:ascii="Times New Roman" w:hAnsi="Times New Roman"/>
          <w:lang w:val="lv-LV"/>
        </w:rPr>
      </w:pPr>
      <w:r w:rsidRPr="00734278">
        <w:rPr>
          <w:rFonts w:ascii="Times New Roman" w:hAnsi="Times New Roman"/>
          <w:lang w:val="lv-LV"/>
        </w:rPr>
        <w:t>Pieteikšanās bilaterālā fonda aktivitātēm notiks vienlaikus ar pieteikšanos atbalstam neliela apjoma grantu shēmas un atvērtā konkursa</w:t>
      </w:r>
      <w:r w:rsidRPr="00570BF0">
        <w:rPr>
          <w:rFonts w:ascii="Times New Roman" w:hAnsi="Times New Roman"/>
          <w:lang w:val="lv-LV"/>
        </w:rPr>
        <w:t xml:space="preserve"> ietvaros. Šim mērķim projekta iesnieguma veidlapā būs paredzēta atsevišķa sadaļa, kurā projekta iesniedzējs norādīs plānotās aktivitātes bilaterālā fonda ietvaros. LIAA, pieņemot lēmumu apstiprināt projektu neliela apjoma grantu shēmas un </w:t>
      </w:r>
      <w:r w:rsidR="00416FB2">
        <w:rPr>
          <w:rFonts w:ascii="Times New Roman" w:hAnsi="Times New Roman"/>
          <w:lang w:val="lv-LV"/>
        </w:rPr>
        <w:t>A</w:t>
      </w:r>
      <w:r w:rsidRPr="00570BF0">
        <w:rPr>
          <w:rFonts w:ascii="Times New Roman" w:hAnsi="Times New Roman"/>
          <w:lang w:val="lv-LV"/>
        </w:rPr>
        <w:t xml:space="preserve">tklātā konkursa ietvaros, vienlaikus apstiprinātu arī nepieciešamās bilaterālā fonda aktivitātes. </w:t>
      </w:r>
    </w:p>
    <w:p w:rsidR="00475DE8" w:rsidRPr="00AE40CC" w:rsidRDefault="00475DE8" w:rsidP="00475DE8">
      <w:pPr>
        <w:tabs>
          <w:tab w:val="left" w:pos="360"/>
        </w:tabs>
        <w:spacing w:after="0"/>
        <w:ind w:firstLine="426"/>
        <w:jc w:val="both"/>
        <w:rPr>
          <w:rFonts w:ascii="Times New Roman" w:hAnsi="Times New Roman"/>
          <w:lang w:val="lv-LV"/>
        </w:rPr>
      </w:pPr>
    </w:p>
    <w:p w:rsidR="00A9482F" w:rsidRPr="00AE40CC" w:rsidRDefault="00570BF0" w:rsidP="00A9482F">
      <w:pPr>
        <w:pStyle w:val="Heading3"/>
        <w:spacing w:before="0"/>
        <w:rPr>
          <w:rFonts w:ascii="Times New Roman" w:hAnsi="Times New Roman"/>
          <w:lang w:val="lv-LV"/>
        </w:rPr>
      </w:pPr>
      <w:r w:rsidRPr="00570BF0">
        <w:rPr>
          <w:rFonts w:ascii="Times New Roman" w:hAnsi="Times New Roman"/>
          <w:lang w:val="lv-LV"/>
        </w:rPr>
        <w:t>Donorvalstu kandidāti</w:t>
      </w:r>
    </w:p>
    <w:p w:rsidR="00A9482F" w:rsidRPr="00AE40CC" w:rsidRDefault="00570BF0" w:rsidP="00A9482F">
      <w:pPr>
        <w:tabs>
          <w:tab w:val="left" w:pos="360"/>
        </w:tabs>
        <w:spacing w:after="0"/>
        <w:rPr>
          <w:rFonts w:ascii="Times New Roman" w:hAnsi="Times New Roman"/>
          <w:b/>
          <w:lang w:val="lv-LV"/>
        </w:rPr>
      </w:pPr>
      <w:r w:rsidRPr="00570BF0">
        <w:rPr>
          <w:rFonts w:ascii="Times New Roman" w:hAnsi="Times New Roman"/>
          <w:b/>
          <w:lang w:val="lv-LV"/>
        </w:rPr>
        <w:t>Aprakstīt un pamatot ierobežojumus, kas tiks piemēroti donorvalstu kandidātu tiesībām tikt izvēlētiem.</w:t>
      </w:r>
    </w:p>
    <w:p w:rsidR="00A9482F" w:rsidRPr="00AE40CC" w:rsidRDefault="00570BF0" w:rsidP="00A9482F">
      <w:pPr>
        <w:tabs>
          <w:tab w:val="left" w:pos="360"/>
        </w:tabs>
        <w:spacing w:after="0"/>
        <w:ind w:firstLine="426"/>
        <w:jc w:val="both"/>
        <w:rPr>
          <w:rFonts w:ascii="Times New Roman" w:hAnsi="Times New Roman"/>
          <w:lang w:val="lv-LV"/>
        </w:rPr>
      </w:pPr>
      <w:r w:rsidRPr="00570BF0">
        <w:rPr>
          <w:rFonts w:ascii="Times New Roman" w:hAnsi="Times New Roman"/>
          <w:lang w:val="lv-LV"/>
        </w:rPr>
        <w:t>n/i</w:t>
      </w:r>
    </w:p>
    <w:p w:rsidR="00A9482F" w:rsidRPr="00AE40CC" w:rsidRDefault="00570BF0" w:rsidP="00F864D4">
      <w:pPr>
        <w:pStyle w:val="Heading2"/>
        <w:spacing w:before="0"/>
        <w:rPr>
          <w:rFonts w:ascii="Times New Roman" w:hAnsi="Times New Roman"/>
          <w:sz w:val="22"/>
          <w:szCs w:val="22"/>
          <w:lang w:val="lv-LV"/>
        </w:rPr>
      </w:pPr>
      <w:r w:rsidRPr="00570BF0">
        <w:rPr>
          <w:rFonts w:ascii="Times New Roman" w:hAnsi="Times New Roman"/>
          <w:sz w:val="22"/>
          <w:szCs w:val="22"/>
          <w:lang w:val="lv-LV"/>
        </w:rPr>
        <w:t>Iepriekš noteikti projekti</w:t>
      </w:r>
    </w:p>
    <w:p w:rsidR="00A9482F" w:rsidRPr="00AE40CC" w:rsidRDefault="00570BF0" w:rsidP="00F43CF1">
      <w:pPr>
        <w:tabs>
          <w:tab w:val="left" w:pos="360"/>
        </w:tabs>
        <w:spacing w:after="0"/>
        <w:rPr>
          <w:rFonts w:ascii="Times New Roman" w:hAnsi="Times New Roman"/>
          <w:b/>
          <w:lang w:val="lv-LV"/>
        </w:rPr>
      </w:pPr>
      <w:r w:rsidRPr="00570BF0">
        <w:rPr>
          <w:rFonts w:ascii="Times New Roman" w:hAnsi="Times New Roman"/>
          <w:b/>
          <w:lang w:val="lv-LV"/>
        </w:rPr>
        <w:t xml:space="preserve">Informācija par iepriekš noteiktiem projektiem tiek iekļauta Programmas iesnieguma Pielikumā. Identificēt un aprakstīt plānotos iepriekš noteiktos projektus un to, kā tie atbilst attiecīgajam </w:t>
      </w:r>
      <w:r w:rsidR="000A7B6C" w:rsidRPr="000A7B6C">
        <w:rPr>
          <w:rFonts w:ascii="Times New Roman" w:hAnsi="Times New Roman"/>
          <w:b/>
          <w:lang w:val="lv-LV"/>
        </w:rPr>
        <w:t>Programmas rezultātam.</w:t>
      </w:r>
    </w:p>
    <w:p w:rsidR="00846EA4" w:rsidRPr="00AE40CC" w:rsidRDefault="00570BF0" w:rsidP="00732219">
      <w:pPr>
        <w:tabs>
          <w:tab w:val="left" w:pos="360"/>
        </w:tabs>
        <w:spacing w:after="0"/>
        <w:ind w:firstLine="426"/>
        <w:jc w:val="both"/>
        <w:rPr>
          <w:rFonts w:ascii="Times New Roman" w:hAnsi="Times New Roman"/>
          <w:lang w:val="lv-LV"/>
        </w:rPr>
      </w:pPr>
      <w:r w:rsidRPr="00570BF0">
        <w:rPr>
          <w:rFonts w:ascii="Times New Roman" w:hAnsi="Times New Roman"/>
          <w:lang w:val="lv-LV"/>
        </w:rPr>
        <w:t>Tehnoloģiju inkubators būs iepriekš noteikts projekts. Iepriekš noteiktā projekta mērķis ir izveidot visaptverošu institūciju, kas veicinātu jaunu komersantu izaugsmi un izveidi „zaļo” inovāciju jomā</w:t>
      </w:r>
      <w:r w:rsidRPr="00570BF0">
        <w:rPr>
          <w:rFonts w:ascii="Times New Roman" w:hAnsi="Times New Roman"/>
          <w:iCs/>
          <w:lang w:val="lv-LV" w:eastAsia="lv-LV"/>
        </w:rPr>
        <w:t>.</w:t>
      </w:r>
      <w:r w:rsidRPr="00570BF0">
        <w:rPr>
          <w:rFonts w:ascii="Times New Roman" w:hAnsi="Times New Roman"/>
          <w:lang w:val="lv-LV"/>
        </w:rPr>
        <w:t xml:space="preserve"> </w:t>
      </w:r>
    </w:p>
    <w:p w:rsidR="009D1030" w:rsidRPr="00AE40CC" w:rsidRDefault="00570BF0" w:rsidP="00732219">
      <w:pPr>
        <w:tabs>
          <w:tab w:val="left" w:pos="360"/>
        </w:tabs>
        <w:spacing w:after="0"/>
        <w:ind w:firstLine="426"/>
        <w:jc w:val="both"/>
        <w:rPr>
          <w:rFonts w:ascii="Times New Roman" w:hAnsi="Times New Roman"/>
          <w:lang w:val="lv-LV"/>
        </w:rPr>
      </w:pPr>
      <w:r w:rsidRPr="00570BF0">
        <w:rPr>
          <w:rFonts w:ascii="Times New Roman" w:hAnsi="Times New Roman"/>
          <w:lang w:val="lv-LV"/>
        </w:rPr>
        <w:t xml:space="preserve">Paredzētais finansējums no Programmas finansējuma priekš iepriekš noteiktā projekta ir 783 627 lati (1 115 000 EUR). Tehnoloģiju inkubatora operators sniegs visu nepieciešamo atbalstu komersantu attīstībai „zaļās” ražošanas jomā. Profesionāla projektu uzraudzība, kompetence un partneru tīkls ir būtiskākie aspekti, lai Tehnoloģiju inkubatora operators sekmētu komersantu attīstību. Tāpēc iepriekš noteiktais projekts ir tieši saistīts ar abu Programmas rezultātu sasniegšanu, taču galvenokārt tas orientējas uz rezultātu „Palielināta „zaļo” darba vietu radīšana un uzņēmējdarbība”. </w:t>
      </w:r>
    </w:p>
    <w:p w:rsidR="00A9482F" w:rsidRPr="00AE40CC" w:rsidRDefault="00570BF0" w:rsidP="00732219">
      <w:pPr>
        <w:tabs>
          <w:tab w:val="left" w:pos="360"/>
        </w:tabs>
        <w:spacing w:after="0"/>
        <w:ind w:firstLine="426"/>
        <w:jc w:val="both"/>
        <w:rPr>
          <w:rFonts w:ascii="Times New Roman" w:hAnsi="Times New Roman"/>
          <w:lang w:val="lv-LV"/>
        </w:rPr>
      </w:pPr>
      <w:r w:rsidRPr="00570BF0">
        <w:rPr>
          <w:rFonts w:ascii="Times New Roman" w:hAnsi="Times New Roman"/>
          <w:lang w:val="lv-LV"/>
        </w:rPr>
        <w:t xml:space="preserve">Tehnoloģiju inkubators būs bezpeļņas organizācija, t.i. tas investēs visu peļņu savā darbībā, līdz ar to nebūs nepieciešams samazināt atbalsta intensitāti ņemot vērā tā peļņas apmēru. </w:t>
      </w:r>
    </w:p>
    <w:p w:rsidR="00DE0C48" w:rsidRPr="00AE40CC" w:rsidRDefault="00570BF0" w:rsidP="00732219">
      <w:pPr>
        <w:tabs>
          <w:tab w:val="left" w:pos="360"/>
        </w:tabs>
        <w:spacing w:after="0"/>
        <w:ind w:firstLine="426"/>
        <w:jc w:val="both"/>
        <w:rPr>
          <w:rFonts w:ascii="Times New Roman" w:hAnsi="Times New Roman"/>
          <w:lang w:val="lv-LV"/>
        </w:rPr>
      </w:pPr>
      <w:r w:rsidRPr="00570BF0">
        <w:rPr>
          <w:rFonts w:ascii="Times New Roman" w:hAnsi="Times New Roman"/>
          <w:lang w:val="lv-LV"/>
        </w:rPr>
        <w:t>Plašāka informācija par iepriekš noteikto projektu ir pieejama 3. Pielikumā (Iepriekš noteiktā projekta kopsavilkums).</w:t>
      </w:r>
      <w:r w:rsidR="008E137D" w:rsidRPr="00AE40CC">
        <w:rPr>
          <w:rFonts w:ascii="Times New Roman" w:hAnsi="Times New Roman"/>
          <w:lang w:val="lv-LV"/>
        </w:rPr>
        <w:t xml:space="preserve"> </w:t>
      </w:r>
    </w:p>
    <w:p w:rsidR="00A9482F" w:rsidRPr="00AE40CC" w:rsidRDefault="00570BF0" w:rsidP="00A9482F">
      <w:pPr>
        <w:pStyle w:val="Heading2"/>
        <w:rPr>
          <w:rFonts w:ascii="Times New Roman" w:hAnsi="Times New Roman"/>
          <w:sz w:val="22"/>
          <w:szCs w:val="22"/>
          <w:lang w:val="lv-LV"/>
        </w:rPr>
      </w:pPr>
      <w:bookmarkStart w:id="63" w:name="_Toc257373771"/>
      <w:bookmarkStart w:id="64" w:name="_Toc257374568"/>
      <w:bookmarkStart w:id="65" w:name="_Toc257374728"/>
      <w:bookmarkStart w:id="66" w:name="_Toc257617547"/>
      <w:bookmarkStart w:id="67" w:name="_Toc257816067"/>
      <w:bookmarkStart w:id="68" w:name="_Toc258483728"/>
      <w:bookmarkStart w:id="69" w:name="_Toc258487859"/>
      <w:bookmarkStart w:id="70" w:name="_Toc258489906"/>
      <w:bookmarkStart w:id="71" w:name="_Toc258491177"/>
      <w:bookmarkStart w:id="72" w:name="_Toc258496066"/>
      <w:bookmarkStart w:id="73" w:name="_Toc258498748"/>
      <w:bookmarkStart w:id="74" w:name="_Toc258499859"/>
      <w:bookmarkStart w:id="75" w:name="_Toc258503659"/>
      <w:bookmarkStart w:id="76" w:name="_Toc258504837"/>
      <w:bookmarkStart w:id="77" w:name="_Toc262213667"/>
      <w:r w:rsidRPr="00570BF0">
        <w:rPr>
          <w:rFonts w:ascii="Times New Roman" w:hAnsi="Times New Roman"/>
          <w:sz w:val="22"/>
          <w:szCs w:val="22"/>
          <w:lang w:val="lv-LV"/>
        </w:rPr>
        <w:t xml:space="preserve">Neliela apjoma grantu shēmas </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DE25CD" w:rsidRPr="00AE40CC" w:rsidRDefault="00570BF0" w:rsidP="00DE25CD">
      <w:pPr>
        <w:tabs>
          <w:tab w:val="left" w:pos="360"/>
        </w:tabs>
        <w:spacing w:after="0"/>
        <w:rPr>
          <w:rFonts w:ascii="Times New Roman" w:hAnsi="Times New Roman"/>
          <w:b/>
          <w:lang w:val="lv-LV"/>
        </w:rPr>
      </w:pPr>
      <w:r w:rsidRPr="00570BF0">
        <w:rPr>
          <w:rFonts w:ascii="Times New Roman" w:hAnsi="Times New Roman"/>
          <w:b/>
          <w:lang w:val="lv-LV"/>
        </w:rPr>
        <w:t>Pamatot neliela apjoma grantu shēmu mērķi, tostarp mērķa grupu un tās ieguldījumu Programmā kopumā.</w:t>
      </w:r>
    </w:p>
    <w:p w:rsidR="00DE25CD" w:rsidRPr="00AE40CC" w:rsidRDefault="00570BF0" w:rsidP="00DE25CD">
      <w:pPr>
        <w:tabs>
          <w:tab w:val="left" w:pos="360"/>
        </w:tabs>
        <w:spacing w:after="0"/>
        <w:rPr>
          <w:rFonts w:ascii="Times New Roman" w:hAnsi="Times New Roman"/>
          <w:b/>
          <w:lang w:val="lv-LV"/>
        </w:rPr>
      </w:pPr>
      <w:r w:rsidRPr="00570BF0">
        <w:rPr>
          <w:rFonts w:ascii="Times New Roman" w:hAnsi="Times New Roman"/>
          <w:b/>
          <w:lang w:val="lv-LV"/>
        </w:rPr>
        <w:t>Sniegt tehnisku informāciju par neliela apjoma grantu shēmām.</w:t>
      </w:r>
    </w:p>
    <w:p w:rsidR="00A9482F" w:rsidRPr="00AE40CC" w:rsidRDefault="00570BF0" w:rsidP="008438B4">
      <w:pPr>
        <w:tabs>
          <w:tab w:val="left" w:pos="360"/>
        </w:tabs>
        <w:spacing w:after="0"/>
        <w:jc w:val="both"/>
        <w:rPr>
          <w:rFonts w:ascii="Times New Roman" w:hAnsi="Times New Roman"/>
          <w:b/>
          <w:lang w:val="lv-LV"/>
        </w:rPr>
      </w:pPr>
      <w:r w:rsidRPr="00570BF0">
        <w:rPr>
          <w:rFonts w:ascii="Times New Roman" w:hAnsi="Times New Roman"/>
          <w:b/>
          <w:lang w:val="lv-LV"/>
        </w:rPr>
        <w:t xml:space="preserve">Pamatot un aprakstīt situācijas, kad neliela apjoma grantu shēmas tiek piešķirtas ārējam apsaimniekotājam. </w:t>
      </w:r>
    </w:p>
    <w:p w:rsidR="00F43CF1" w:rsidRPr="00AE40CC" w:rsidRDefault="00570BF0" w:rsidP="00F43CF1">
      <w:pPr>
        <w:tabs>
          <w:tab w:val="left" w:pos="360"/>
        </w:tabs>
        <w:spacing w:after="0"/>
        <w:ind w:firstLine="426"/>
        <w:jc w:val="both"/>
        <w:rPr>
          <w:rFonts w:ascii="Times New Roman" w:hAnsi="Times New Roman"/>
          <w:color w:val="000000"/>
          <w:lang w:val="lv-LV"/>
        </w:rPr>
      </w:pPr>
      <w:r w:rsidRPr="00570BF0">
        <w:rPr>
          <w:rFonts w:ascii="Times New Roman" w:hAnsi="Times New Roman"/>
          <w:lang w:val="lv-LV"/>
        </w:rPr>
        <w:t>Programmā ir paredzēta neliela apjoma grantu shēma.</w:t>
      </w:r>
      <w:r w:rsidRPr="00570BF0">
        <w:rPr>
          <w:rFonts w:ascii="Times New Roman" w:hAnsi="Times New Roman"/>
          <w:color w:val="000000"/>
          <w:lang w:val="lv-LV"/>
        </w:rPr>
        <w:t xml:space="preserve"> Neliela apjoma grantu shēmas mērķis ir sniegt agrīnās stadijas ierobežota apjoma kuponus un grantus. Neliela apjoma grantu shēmu administrēs LIAA. </w:t>
      </w:r>
    </w:p>
    <w:p w:rsidR="00010E6B" w:rsidRPr="00AE40CC" w:rsidRDefault="00570BF0" w:rsidP="00271A9B">
      <w:pPr>
        <w:tabs>
          <w:tab w:val="left" w:pos="360"/>
        </w:tabs>
        <w:spacing w:after="0"/>
        <w:ind w:firstLine="426"/>
        <w:jc w:val="both"/>
        <w:rPr>
          <w:rFonts w:ascii="Times New Roman" w:hAnsi="Times New Roman"/>
          <w:lang w:val="lv-LV"/>
        </w:rPr>
      </w:pPr>
      <w:r w:rsidRPr="00570BF0">
        <w:rPr>
          <w:rFonts w:ascii="Times New Roman" w:hAnsi="Times New Roman"/>
          <w:lang w:val="lv-LV"/>
        </w:rPr>
        <w:lastRenderedPageBreak/>
        <w:t xml:space="preserve">Neliela apjoma granta shēmu mērķis ir nodrošināt pietiekamu agrīnās stadijas finansējumu, lai veicinātu jaunu komersantu izveidi. Vienlaikus apzinot Latvijas līdzšinējo pieredzi ir skaidrs, daudziem komersantiem būs grūti realizēt 119 470 latu (170 000 EUR) lielus projektus pirms-inkubācijas un inkubācijas pasākumu ietvaros. Līdz ar to Programmas ietvaros nav iespējams ievērot Noteikumu 5.4. panta „Grantu intensitāte un minimālais grantu apjoms”, 7. </w:t>
      </w:r>
      <w:r w:rsidR="006E4CDD">
        <w:rPr>
          <w:rFonts w:ascii="Times New Roman" w:hAnsi="Times New Roman"/>
          <w:lang w:val="lv-LV"/>
        </w:rPr>
        <w:t>daļu</w:t>
      </w:r>
      <w:r w:rsidRPr="00570BF0">
        <w:rPr>
          <w:rFonts w:ascii="Times New Roman" w:hAnsi="Times New Roman"/>
          <w:lang w:val="lv-LV"/>
        </w:rPr>
        <w:t>, kas nosaka, ka grantu apjoms nedrīkst būt mazāks par 119 470 latiem (170 000 EUR). Turklāt, Programma ir vērsta uz tehnoloģiski intensīviem komersantiem, kas bieži vien ietver zināmu risku, un līdz ar to tie varētu neizdzīvot visu inkubācijas periodu. Balstoties uz iepriekš minēto ir uzskatāms, ka neliela apjoma grantu shēmas iekļaušana Programmā ir obligāta nepieciešamība, lai nodrošinātu tās atbilstību Noteikumiem.</w:t>
      </w:r>
    </w:p>
    <w:p w:rsidR="00271A9B" w:rsidRPr="00AE40CC" w:rsidRDefault="00570BF0" w:rsidP="00650A2E">
      <w:pPr>
        <w:tabs>
          <w:tab w:val="left" w:pos="360"/>
        </w:tabs>
        <w:spacing w:after="0"/>
        <w:ind w:firstLine="426"/>
        <w:jc w:val="both"/>
        <w:rPr>
          <w:rFonts w:ascii="Times New Roman" w:hAnsi="Times New Roman"/>
          <w:color w:val="000000"/>
          <w:lang w:val="lv-LV"/>
        </w:rPr>
      </w:pPr>
      <w:r w:rsidRPr="00570BF0">
        <w:rPr>
          <w:rFonts w:ascii="Times New Roman" w:hAnsi="Times New Roman"/>
          <w:lang w:val="lv-LV"/>
        </w:rPr>
        <w:t>Neliela apjoma grantu shēmu veido pirms-inkubācijas pasākums no 3 514 latiem (5 000 EUR) līdz 7 028 latiem (10 000 EUR) vienam projektam. To varēs saņemt gan komersanti, gan fiziskas personas ar mērķi uzsākt saimniecisko darbību. Atbalsts tiks sniegts kuponu formā un komersanti vai fiziskas personas ar mērķi uzsākt saimniecisko darbību to varēs izmantot, lai saņemtu konsultācijas un segtu Tehnoloģiju inkubatora ekspertu izmaksas (t.i. kupons sedz piesaistīto ekspertu izdevumus – galvenokārt algas), kas nepieciešamas uzņēmējdarbības uzsākšanai un kvalitatīva biznesa plāna izstrādei un saistītajām darbībām (piem., pētījumu vai analīzes iegāde, izpētes veikšana vai tirgus novērtēšana utt.</w:t>
      </w:r>
      <w:r w:rsidRPr="00570BF0">
        <w:rPr>
          <w:rFonts w:ascii="Times New Roman" w:hAnsi="Times New Roman"/>
          <w:color w:val="000000"/>
          <w:lang w:val="lv-LV"/>
        </w:rPr>
        <w:t xml:space="preserve">). Lai turpinātu saņemt inkubācijas atbalstu, fiziskām personām </w:t>
      </w:r>
      <w:bookmarkStart w:id="78" w:name="OLE_LINK1"/>
      <w:r w:rsidRPr="00570BF0">
        <w:rPr>
          <w:rFonts w:ascii="Times New Roman" w:hAnsi="Times New Roman"/>
          <w:lang w:val="lv-LV"/>
        </w:rPr>
        <w:t>ar mērķi uzsākt saimniecisko darbību</w:t>
      </w:r>
      <w:r w:rsidRPr="00570BF0">
        <w:rPr>
          <w:rFonts w:ascii="Times New Roman" w:hAnsi="Times New Roman"/>
          <w:color w:val="000000"/>
          <w:lang w:val="lv-LV"/>
        </w:rPr>
        <w:t xml:space="preserve"> </w:t>
      </w:r>
      <w:bookmarkEnd w:id="78"/>
      <w:r w:rsidRPr="00570BF0">
        <w:rPr>
          <w:rFonts w:ascii="Times New Roman" w:hAnsi="Times New Roman"/>
          <w:color w:val="000000"/>
          <w:lang w:val="lv-LV"/>
        </w:rPr>
        <w:t>būs jāreģistrē komersants.</w:t>
      </w:r>
    </w:p>
    <w:p w:rsidR="00271A9B" w:rsidRPr="00AE40CC" w:rsidRDefault="00570BF0" w:rsidP="00271A9B">
      <w:pPr>
        <w:spacing w:after="0" w:line="210" w:lineRule="atLeast"/>
        <w:ind w:left="360"/>
        <w:textAlignment w:val="baseline"/>
        <w:rPr>
          <w:rFonts w:ascii="Times New Roman" w:hAnsi="Times New Roman"/>
          <w:color w:val="000000"/>
          <w:lang w:val="lv-LV" w:eastAsia="lv-LV"/>
        </w:rPr>
      </w:pPr>
      <w:r w:rsidRPr="00570BF0">
        <w:rPr>
          <w:rFonts w:ascii="Times New Roman" w:hAnsi="Times New Roman"/>
          <w:color w:val="000000"/>
          <w:lang w:val="lv-LV" w:eastAsia="lv-LV"/>
        </w:rPr>
        <w:t>Primārie pirms-inkubācijas pasākuma mērķi:</w:t>
      </w:r>
    </w:p>
    <w:p w:rsidR="00271A9B" w:rsidRPr="00AE40CC" w:rsidRDefault="00570BF0" w:rsidP="00877666">
      <w:pPr>
        <w:pStyle w:val="ListParagraph"/>
        <w:numPr>
          <w:ilvl w:val="0"/>
          <w:numId w:val="14"/>
        </w:numPr>
        <w:spacing w:after="0" w:line="210" w:lineRule="atLeast"/>
        <w:textAlignment w:val="baseline"/>
        <w:rPr>
          <w:rFonts w:ascii="Times New Roman" w:hAnsi="Times New Roman"/>
          <w:color w:val="000000"/>
          <w:lang w:val="lv-LV" w:eastAsia="lv-LV"/>
        </w:rPr>
      </w:pPr>
      <w:r w:rsidRPr="00570BF0">
        <w:rPr>
          <w:rFonts w:ascii="Times New Roman" w:hAnsi="Times New Roman"/>
          <w:color w:val="000000"/>
          <w:lang w:val="lv-LV" w:eastAsia="lv-LV"/>
        </w:rPr>
        <w:t>Apmācīt iespējamos akadēmiskos un nozares komersantus izveidot un vadīt savu komersantu;</w:t>
      </w:r>
    </w:p>
    <w:p w:rsidR="00271A9B" w:rsidRPr="00AE40CC" w:rsidRDefault="00570BF0" w:rsidP="00877666">
      <w:pPr>
        <w:pStyle w:val="ListParagraph"/>
        <w:numPr>
          <w:ilvl w:val="0"/>
          <w:numId w:val="14"/>
        </w:numPr>
        <w:spacing w:before="45" w:after="0" w:line="210" w:lineRule="atLeast"/>
        <w:textAlignment w:val="baseline"/>
        <w:rPr>
          <w:rFonts w:ascii="Times New Roman" w:hAnsi="Times New Roman"/>
          <w:color w:val="000000"/>
          <w:lang w:val="lv-LV" w:eastAsia="lv-LV"/>
        </w:rPr>
      </w:pPr>
      <w:r w:rsidRPr="00570BF0">
        <w:rPr>
          <w:rFonts w:ascii="Times New Roman" w:hAnsi="Times New Roman"/>
          <w:color w:val="000000"/>
          <w:lang w:val="lv-LV" w:eastAsia="lv-LV"/>
        </w:rPr>
        <w:t xml:space="preserve">Palielināt </w:t>
      </w:r>
      <w:r w:rsidR="00CB55CB">
        <w:rPr>
          <w:rFonts w:ascii="Times New Roman" w:hAnsi="Times New Roman"/>
          <w:color w:val="000000"/>
          <w:lang w:val="lv-LV" w:eastAsia="lv-LV"/>
        </w:rPr>
        <w:t xml:space="preserve">jaunu </w:t>
      </w:r>
      <w:r w:rsidRPr="00570BF0">
        <w:rPr>
          <w:rFonts w:ascii="Times New Roman" w:hAnsi="Times New Roman"/>
          <w:color w:val="000000"/>
          <w:lang w:val="lv-LV" w:eastAsia="lv-LV"/>
        </w:rPr>
        <w:t>komersantu</w:t>
      </w:r>
      <w:r w:rsidR="00CB55CB">
        <w:rPr>
          <w:rFonts w:ascii="Times New Roman" w:hAnsi="Times New Roman"/>
          <w:color w:val="000000"/>
          <w:lang w:val="lv-LV" w:eastAsia="lv-LV"/>
        </w:rPr>
        <w:t xml:space="preserve"> </w:t>
      </w:r>
      <w:r w:rsidR="00CB55CB" w:rsidRPr="00CB55CB">
        <w:rPr>
          <w:rFonts w:ascii="Times New Roman" w:hAnsi="Times New Roman"/>
          <w:i/>
          <w:color w:val="000000"/>
          <w:lang w:val="en-US" w:eastAsia="lv-LV"/>
        </w:rPr>
        <w:t>(spin-off</w:t>
      </w:r>
      <w:r w:rsidR="00CB55CB" w:rsidRPr="00CB55CB">
        <w:rPr>
          <w:rFonts w:ascii="Times New Roman" w:hAnsi="Times New Roman"/>
          <w:i/>
          <w:color w:val="000000"/>
          <w:lang w:val="lv-LV" w:eastAsia="lv-LV"/>
        </w:rPr>
        <w:t>)</w:t>
      </w:r>
      <w:r w:rsidRPr="00570BF0">
        <w:rPr>
          <w:rFonts w:ascii="Times New Roman" w:hAnsi="Times New Roman"/>
          <w:color w:val="000000"/>
          <w:lang w:val="lv-LV" w:eastAsia="lv-LV"/>
        </w:rPr>
        <w:t xml:space="preserve"> skaitu;</w:t>
      </w:r>
    </w:p>
    <w:p w:rsidR="00271A9B" w:rsidRPr="00AE40CC" w:rsidRDefault="00570BF0" w:rsidP="00877666">
      <w:pPr>
        <w:pStyle w:val="ListParagraph"/>
        <w:numPr>
          <w:ilvl w:val="0"/>
          <w:numId w:val="14"/>
        </w:numPr>
        <w:spacing w:before="45" w:after="0" w:line="210" w:lineRule="atLeast"/>
        <w:textAlignment w:val="baseline"/>
        <w:rPr>
          <w:rFonts w:ascii="Times New Roman" w:hAnsi="Times New Roman"/>
          <w:color w:val="000000"/>
          <w:lang w:val="lv-LV" w:eastAsia="lv-LV"/>
        </w:rPr>
      </w:pPr>
      <w:r w:rsidRPr="00570BF0">
        <w:rPr>
          <w:rFonts w:ascii="Times New Roman" w:hAnsi="Times New Roman"/>
          <w:color w:val="000000"/>
          <w:lang w:val="lv-LV" w:eastAsia="lv-LV"/>
        </w:rPr>
        <w:t>Izveidot jaunus un ilgtspējīgus komersantus;</w:t>
      </w:r>
    </w:p>
    <w:p w:rsidR="00271A9B" w:rsidRPr="00AE40CC" w:rsidRDefault="00570BF0" w:rsidP="00877666">
      <w:pPr>
        <w:pStyle w:val="ListParagraph"/>
        <w:numPr>
          <w:ilvl w:val="0"/>
          <w:numId w:val="14"/>
        </w:numPr>
        <w:spacing w:before="45" w:after="0" w:line="210" w:lineRule="atLeast"/>
        <w:textAlignment w:val="baseline"/>
        <w:rPr>
          <w:rFonts w:ascii="Times New Roman" w:hAnsi="Times New Roman"/>
          <w:color w:val="000000"/>
          <w:lang w:val="lv-LV" w:eastAsia="lv-LV"/>
        </w:rPr>
      </w:pPr>
      <w:r w:rsidRPr="00570BF0">
        <w:rPr>
          <w:rFonts w:ascii="Times New Roman" w:hAnsi="Times New Roman"/>
          <w:color w:val="000000"/>
          <w:lang w:val="lv-LV" w:eastAsia="lv-LV"/>
        </w:rPr>
        <w:t>Izveidot labu jaunā komersanta vadības komandu;</w:t>
      </w:r>
    </w:p>
    <w:p w:rsidR="00271A9B" w:rsidRPr="00AE40CC" w:rsidRDefault="00570BF0" w:rsidP="00877666">
      <w:pPr>
        <w:pStyle w:val="ListParagraph"/>
        <w:numPr>
          <w:ilvl w:val="0"/>
          <w:numId w:val="14"/>
        </w:numPr>
        <w:spacing w:before="45" w:after="0" w:line="210" w:lineRule="atLeast"/>
        <w:textAlignment w:val="baseline"/>
        <w:rPr>
          <w:rFonts w:ascii="Times New Roman" w:hAnsi="Times New Roman"/>
          <w:color w:val="000000"/>
          <w:lang w:val="lv-LV" w:eastAsia="lv-LV"/>
        </w:rPr>
      </w:pPr>
      <w:r w:rsidRPr="00570BF0">
        <w:rPr>
          <w:rFonts w:ascii="Times New Roman" w:hAnsi="Times New Roman"/>
          <w:color w:val="000000"/>
          <w:lang w:val="lv-LV" w:eastAsia="lv-LV"/>
        </w:rPr>
        <w:t>Pārbaudīt projekta finanšu un tehnisko potenciālu pirms ievērojamu ieguldījumu veikšanas projektā.</w:t>
      </w:r>
    </w:p>
    <w:p w:rsidR="00650A2E" w:rsidRPr="00AE40CC" w:rsidRDefault="00570BF0" w:rsidP="00650A2E">
      <w:pPr>
        <w:tabs>
          <w:tab w:val="left" w:pos="360"/>
        </w:tabs>
        <w:spacing w:after="0"/>
        <w:ind w:firstLine="426"/>
        <w:jc w:val="both"/>
        <w:rPr>
          <w:rFonts w:ascii="Times New Roman" w:hAnsi="Times New Roman"/>
          <w:lang w:val="lv-LV"/>
        </w:rPr>
      </w:pPr>
      <w:r w:rsidRPr="00570BF0">
        <w:rPr>
          <w:rFonts w:ascii="Times New Roman" w:hAnsi="Times New Roman"/>
          <w:color w:val="000000"/>
          <w:lang w:val="lv-LV"/>
        </w:rPr>
        <w:t xml:space="preserve">EM ierosina iekļaut fiziskas personas </w:t>
      </w:r>
      <w:r w:rsidRPr="00570BF0">
        <w:rPr>
          <w:rFonts w:ascii="Times New Roman" w:hAnsi="Times New Roman"/>
          <w:lang w:val="lv-LV"/>
        </w:rPr>
        <w:t>ar mērķi uzsākt saimniecisko darbību</w:t>
      </w:r>
      <w:r w:rsidRPr="00570BF0">
        <w:rPr>
          <w:rFonts w:ascii="Times New Roman" w:hAnsi="Times New Roman"/>
          <w:color w:val="000000"/>
          <w:lang w:val="lv-LV"/>
        </w:rPr>
        <w:t xml:space="preserve"> kā iespējamos pirms-inkubācijas atbalsta saņēmējus, jo biznesa idejas sākuma stadijā parasti ir vāji sagatavotas un investēšana tajās var būt nelietderīga. Lai to novērstu ir nepieciešams izvērtēt potenciālo tirgu un klientu bāzi. Šīs darbības tiek veiktas pirms-inkubācijas pasākuma ietvaros. Šādā situācijā, kad ir liela neskaidrība par biznesa idejas turpmāko potenciālu, bieži vien nav izdevīgi veidot uzreiz komersantu, lai pēc pāris mēnešiem to slēgtu. </w:t>
      </w:r>
      <w:r w:rsidRPr="00570BF0">
        <w:rPr>
          <w:rFonts w:ascii="Times New Roman" w:hAnsi="Times New Roman"/>
          <w:lang w:val="lv-LV"/>
        </w:rPr>
        <w:t xml:space="preserve">Komersanta reģistrēšana parasti tiek veikta pēc veiksmīga pirms-inkubācijas perioda, kad akadēmiskās nozares pārstāvji vai to tā vadības komanda ir ieguvusi pietiekamas zināšanas, prasmes un pieredzi sava komersanta vadīšanai. Papildus šī pieeja, iekļaujot fiziskas personas ar mērķi uzsākt saimniecisko darbību, kā potenciālos kuponu saņēmējus, ir labvēlīga projekta iesniedzējiem, un tas varētu veicināt dalību Programmā. </w:t>
      </w:r>
    </w:p>
    <w:p w:rsidR="007C6845" w:rsidRPr="00AE40CC" w:rsidRDefault="00570BF0" w:rsidP="00483B85">
      <w:pPr>
        <w:tabs>
          <w:tab w:val="left" w:pos="360"/>
        </w:tabs>
        <w:spacing w:after="0"/>
        <w:ind w:firstLine="426"/>
        <w:jc w:val="both"/>
        <w:rPr>
          <w:rFonts w:ascii="Times New Roman" w:hAnsi="Times New Roman"/>
          <w:lang w:val="lv-LV"/>
        </w:rPr>
      </w:pPr>
      <w:r w:rsidRPr="00570BF0">
        <w:rPr>
          <w:rFonts w:ascii="Times New Roman" w:hAnsi="Times New Roman"/>
          <w:lang w:val="lv-LV"/>
        </w:rPr>
        <w:t>Otra neliela apjoma grantu shēmas daļa ir paredzēta inkubācijas atbalsta saņemšanai – kuponi pakalpojumu saņemšanai</w:t>
      </w:r>
      <w:r w:rsidR="00A21609">
        <w:rPr>
          <w:rFonts w:ascii="Times New Roman" w:hAnsi="Times New Roman"/>
          <w:lang w:val="lv-LV"/>
        </w:rPr>
        <w:t>,</w:t>
      </w:r>
      <w:r w:rsidRPr="00570BF0">
        <w:rPr>
          <w:rFonts w:ascii="Times New Roman" w:hAnsi="Times New Roman"/>
          <w:lang w:val="lv-LV"/>
        </w:rPr>
        <w:t xml:space="preserve"> Tehnoloģijas inkubatora ekspertu konsultācijām par divpusējās partnerības jautājumiem un granti komersanta vadības atalgojuma izmaksu segšanai. Inkubācijas pakalpojumos ietilpst: konsultācijas par intelektuālā īpašuma aizsardzību, konsultācijas par pētniecību un attīstību, pārbaudes un laboratoriskās pārbaudes utt. Neliela apjoma grantu shēmas ietvaros ieguldījumi pamatlīdzekļos netiks atbalstīti. Atbalsta apjoms būs robežās starp 7 028 latiem (EUR 10 000) </w:t>
      </w:r>
      <w:bookmarkStart w:id="79" w:name="OLE_LINK14"/>
      <w:r w:rsidRPr="00570BF0">
        <w:rPr>
          <w:rFonts w:ascii="Times New Roman" w:hAnsi="Times New Roman"/>
          <w:lang w:val="lv-LV"/>
        </w:rPr>
        <w:t xml:space="preserve">līdz 119 470 latiem </w:t>
      </w:r>
      <w:bookmarkEnd w:id="79"/>
      <w:r w:rsidRPr="00570BF0">
        <w:rPr>
          <w:rFonts w:ascii="Times New Roman" w:hAnsi="Times New Roman"/>
          <w:lang w:val="lv-LV"/>
        </w:rPr>
        <w:t xml:space="preserve">(EUR 170 000). </w:t>
      </w:r>
    </w:p>
    <w:p w:rsidR="00813D98" w:rsidRPr="00AE40CC" w:rsidRDefault="00570BF0" w:rsidP="00813D98">
      <w:pPr>
        <w:spacing w:after="0"/>
        <w:ind w:firstLine="284"/>
        <w:jc w:val="both"/>
        <w:rPr>
          <w:rFonts w:ascii="Times New Roman" w:hAnsi="Times New Roman"/>
          <w:lang w:val="lv-LV"/>
        </w:rPr>
      </w:pPr>
      <w:r w:rsidRPr="00570BF0">
        <w:rPr>
          <w:rFonts w:ascii="Times New Roman" w:hAnsi="Times New Roman"/>
          <w:lang w:val="lv-LV"/>
        </w:rPr>
        <w:t>Neliela apjoma grantu shēmas primārā mērķa grupa ietver esoš</w:t>
      </w:r>
      <w:r w:rsidR="00456523">
        <w:rPr>
          <w:rFonts w:ascii="Times New Roman" w:hAnsi="Times New Roman"/>
          <w:lang w:val="lv-LV"/>
        </w:rPr>
        <w:t xml:space="preserve">os un jaundibinātos komersantus </w:t>
      </w:r>
      <w:r w:rsidRPr="00570BF0">
        <w:rPr>
          <w:rFonts w:ascii="Times New Roman" w:hAnsi="Times New Roman"/>
          <w:lang w:val="lv-LV"/>
        </w:rPr>
        <w:t xml:space="preserve"> </w:t>
      </w:r>
      <w:r w:rsidR="00456523">
        <w:rPr>
          <w:rFonts w:ascii="Times New Roman" w:hAnsi="Times New Roman"/>
          <w:lang w:val="lv-LV"/>
        </w:rPr>
        <w:t>un fiziskas personas ar mērķi uzsākt saimniecisko darbību (</w:t>
      </w:r>
      <w:r w:rsidRPr="00570BF0">
        <w:rPr>
          <w:rFonts w:ascii="Times New Roman" w:hAnsi="Times New Roman"/>
          <w:lang w:val="lv-LV"/>
        </w:rPr>
        <w:t>zinātniekus, inženierus, doktorantus, izgudrotājus</w:t>
      </w:r>
      <w:r w:rsidR="00456523">
        <w:rPr>
          <w:rFonts w:ascii="Times New Roman" w:hAnsi="Times New Roman"/>
          <w:lang w:val="lv-LV"/>
        </w:rPr>
        <w:t>)</w:t>
      </w:r>
      <w:r w:rsidRPr="00570BF0">
        <w:rPr>
          <w:rFonts w:ascii="Times New Roman" w:hAnsi="Times New Roman"/>
          <w:lang w:val="lv-LV"/>
        </w:rPr>
        <w:t>.</w:t>
      </w:r>
    </w:p>
    <w:p w:rsidR="008F4DDA" w:rsidRPr="00AE40CC" w:rsidRDefault="00570BF0" w:rsidP="00813D98">
      <w:pPr>
        <w:tabs>
          <w:tab w:val="left" w:pos="360"/>
        </w:tabs>
        <w:spacing w:after="0"/>
        <w:ind w:firstLine="426"/>
        <w:jc w:val="both"/>
        <w:rPr>
          <w:rFonts w:ascii="Times New Roman" w:hAnsi="Times New Roman"/>
          <w:lang w:val="lv-LV"/>
        </w:rPr>
      </w:pPr>
      <w:r w:rsidRPr="00570BF0">
        <w:rPr>
          <w:rFonts w:ascii="Times New Roman" w:hAnsi="Times New Roman"/>
          <w:lang w:val="lv-LV"/>
        </w:rPr>
        <w:lastRenderedPageBreak/>
        <w:t>Neliela apjoma grantu shēmas atbalstam var pieteikties fiziskas personas (t.i. inženieri un izgudrotāji, zinātnieki, pētnieki un doktoranti) ar mērķi uzsākt saimniecisko darbību</w:t>
      </w:r>
      <w:r w:rsidRPr="00570BF0">
        <w:rPr>
          <w:rFonts w:ascii="Times New Roman" w:hAnsi="Times New Roman"/>
          <w:color w:val="000000"/>
          <w:lang w:val="lv-LV"/>
        </w:rPr>
        <w:t xml:space="preserve"> </w:t>
      </w:r>
      <w:r w:rsidRPr="00570BF0">
        <w:rPr>
          <w:rFonts w:ascii="Times New Roman" w:hAnsi="Times New Roman"/>
          <w:lang w:val="lv-LV"/>
        </w:rPr>
        <w:t xml:space="preserve">un komersanti. </w:t>
      </w:r>
    </w:p>
    <w:p w:rsidR="005F1454" w:rsidRPr="00AE40CC" w:rsidRDefault="00570BF0" w:rsidP="00F43CF1">
      <w:pPr>
        <w:tabs>
          <w:tab w:val="left" w:pos="360"/>
        </w:tabs>
        <w:spacing w:after="0"/>
        <w:ind w:firstLine="426"/>
        <w:jc w:val="both"/>
        <w:rPr>
          <w:rFonts w:ascii="Times New Roman" w:hAnsi="Times New Roman"/>
          <w:lang w:val="lv-LV"/>
        </w:rPr>
      </w:pPr>
      <w:r w:rsidRPr="00570BF0">
        <w:rPr>
          <w:rFonts w:ascii="Times New Roman" w:hAnsi="Times New Roman"/>
          <w:lang w:val="lv-LV"/>
        </w:rPr>
        <w:t xml:space="preserve">Neliela apjoma grantu shēma ir papildinoša Programmai, jo biznesa idejas izvērtēšana ir obligāts solis pirms komersanta izveides. Tāpat inkubācijas pakalpojumu saņemšana ir būtiska, lai nodrošinātu komersanta tālāku attīstību. </w:t>
      </w:r>
    </w:p>
    <w:p w:rsidR="00831B8C" w:rsidRPr="00AE40CC" w:rsidRDefault="00570BF0" w:rsidP="00D45152">
      <w:pPr>
        <w:tabs>
          <w:tab w:val="left" w:pos="360"/>
        </w:tabs>
        <w:spacing w:after="0"/>
        <w:ind w:firstLine="426"/>
        <w:jc w:val="both"/>
        <w:rPr>
          <w:rFonts w:ascii="Times New Roman" w:hAnsi="Times New Roman"/>
          <w:lang w:val="lv-LV"/>
        </w:rPr>
      </w:pPr>
      <w:r w:rsidRPr="00570BF0">
        <w:rPr>
          <w:rFonts w:ascii="Times New Roman" w:hAnsi="Times New Roman"/>
          <w:lang w:val="lv-LV"/>
        </w:rPr>
        <w:t>Grantu shēmai tiks nodrošināts finansējums līdz 1 592 272 latiem (EUR 2 265 600), līdz ar to tas nepārsniegs 20 % ierobežojumu atbilstoši Noteikumu 5.6.panta „Neliela apjoma grantu shēma programmā” 2.</w:t>
      </w:r>
      <w:r w:rsidR="006E4CDD">
        <w:rPr>
          <w:rFonts w:ascii="Times New Roman" w:hAnsi="Times New Roman"/>
          <w:lang w:val="lv-LV"/>
        </w:rPr>
        <w:t>daļā</w:t>
      </w:r>
      <w:r w:rsidR="006E4CDD" w:rsidRPr="00570BF0">
        <w:rPr>
          <w:rFonts w:ascii="Times New Roman" w:hAnsi="Times New Roman"/>
          <w:lang w:val="lv-LV"/>
        </w:rPr>
        <w:t xml:space="preserve"> </w:t>
      </w:r>
      <w:r w:rsidRPr="00570BF0">
        <w:rPr>
          <w:rFonts w:ascii="Times New Roman" w:hAnsi="Times New Roman"/>
          <w:lang w:val="lv-LV"/>
        </w:rPr>
        <w:t xml:space="preserve">noteikto ierobežojumu. Finansējums abiem neliela apjoma grantu shēmas pasākumiem ir sadalīts šādi: 245 981 lati (EUR 350 000) pirms-inkubācijas pasākums (kupons) un 1 346 291 lati (EUR 1 915 600 EUR) inkubācijas pakalpojumiem (kupons un grants (skaidras naudas maksājumi)). </w:t>
      </w:r>
    </w:p>
    <w:p w:rsidR="00471A0E" w:rsidRPr="00AE40CC" w:rsidRDefault="00570BF0" w:rsidP="00D45152">
      <w:pPr>
        <w:tabs>
          <w:tab w:val="left" w:pos="360"/>
        </w:tabs>
        <w:spacing w:after="0"/>
        <w:ind w:firstLine="426"/>
        <w:jc w:val="both"/>
        <w:rPr>
          <w:rFonts w:ascii="Times New Roman" w:hAnsi="Times New Roman"/>
          <w:lang w:val="lv-LV"/>
        </w:rPr>
      </w:pPr>
      <w:r w:rsidRPr="00570BF0">
        <w:rPr>
          <w:rFonts w:ascii="Times New Roman" w:hAnsi="Times New Roman"/>
          <w:lang w:val="lv-LV"/>
        </w:rPr>
        <w:t>Programmas ieviešanas laikā būs iespējams pārdalīt finansējumu starp pirms-inkubācijas un inkubācijas pasākumu atbilstoši sasniegtajam progresam. Visbeidzot tā kā lielākais pieprasījums ir sagaidāms Atklātā konkursa ietvaros, tad 2014.gada sākumā tiks izvērtēts vai ir nepieciešams pārdalīt papildus finansējumu uz Atklāto konkursu. Lēmums par izmaiņām finansējumā tiks pieņemts Sadarbības komitejā.</w:t>
      </w:r>
    </w:p>
    <w:p w:rsidR="00A9482F" w:rsidRPr="00AE40CC" w:rsidRDefault="00570BF0" w:rsidP="00A9482F">
      <w:pPr>
        <w:pStyle w:val="Heading2"/>
        <w:rPr>
          <w:rFonts w:ascii="Times New Roman" w:hAnsi="Times New Roman"/>
          <w:sz w:val="22"/>
          <w:szCs w:val="22"/>
          <w:lang w:val="lv-LV"/>
        </w:rPr>
      </w:pPr>
      <w:r w:rsidRPr="00570BF0">
        <w:rPr>
          <w:rFonts w:ascii="Times New Roman" w:hAnsi="Times New Roman"/>
          <w:sz w:val="22"/>
          <w:szCs w:val="22"/>
          <w:lang w:val="lv-LV"/>
        </w:rPr>
        <w:t>Horizontālās prioritātes</w:t>
      </w:r>
    </w:p>
    <w:p w:rsidR="00A9482F" w:rsidRPr="00AE40CC" w:rsidRDefault="00570BF0" w:rsidP="00C40F33">
      <w:pPr>
        <w:pStyle w:val="Heading3"/>
        <w:spacing w:before="0"/>
        <w:rPr>
          <w:rFonts w:ascii="Times New Roman" w:hAnsi="Times New Roman"/>
          <w:lang w:val="lv-LV"/>
        </w:rPr>
      </w:pPr>
      <w:bookmarkStart w:id="80" w:name="_Toc262213669"/>
      <w:r w:rsidRPr="00570BF0">
        <w:rPr>
          <w:rFonts w:ascii="Times New Roman" w:hAnsi="Times New Roman"/>
          <w:lang w:val="lv-LV"/>
        </w:rPr>
        <w:t>Laba pārvaldība</w:t>
      </w:r>
    </w:p>
    <w:p w:rsidR="00A9482F" w:rsidRPr="00AE40CC" w:rsidRDefault="00570BF0" w:rsidP="00FD50E3">
      <w:pPr>
        <w:spacing w:after="0"/>
        <w:jc w:val="both"/>
        <w:rPr>
          <w:rFonts w:ascii="Times New Roman" w:hAnsi="Times New Roman"/>
          <w:b/>
          <w:lang w:val="lv-LV"/>
        </w:rPr>
      </w:pPr>
      <w:r w:rsidRPr="00570BF0">
        <w:rPr>
          <w:rFonts w:ascii="Times New Roman" w:hAnsi="Times New Roman"/>
          <w:b/>
          <w:lang w:val="lv-LV"/>
        </w:rPr>
        <w:t>Aprakstīt konkrētus pasākumus, kas paredzēti, lai nodrošinātu, ka Programmas plānošanā un īstenošanā, kā arī Programmas ietvaros atbalstītajo</w:t>
      </w:r>
      <w:r w:rsidR="000A7B6C" w:rsidRPr="000A7B6C">
        <w:rPr>
          <w:rFonts w:ascii="Times New Roman" w:hAnsi="Times New Roman"/>
          <w:b/>
          <w:lang w:val="lv-LV"/>
        </w:rPr>
        <w:t xml:space="preserve">s projektos tiktu ievērots labas pārvaldības princips. </w:t>
      </w:r>
    </w:p>
    <w:p w:rsidR="00211026" w:rsidRPr="00AE40CC" w:rsidRDefault="00570BF0" w:rsidP="00211026">
      <w:pPr>
        <w:spacing w:after="0"/>
        <w:ind w:firstLine="284"/>
        <w:jc w:val="both"/>
        <w:rPr>
          <w:rFonts w:ascii="Times New Roman" w:hAnsi="Times New Roman"/>
          <w:lang w:val="lv-LV"/>
        </w:rPr>
      </w:pPr>
      <w:r w:rsidRPr="00570BF0">
        <w:rPr>
          <w:rFonts w:ascii="Times New Roman" w:hAnsi="Times New Roman"/>
          <w:lang w:val="lv-LV"/>
        </w:rPr>
        <w:t xml:space="preserve">Ieviešot Programmu, tiks ievēroti labas pārvaldības principi. </w:t>
      </w:r>
      <w:r w:rsidR="00D83580">
        <w:rPr>
          <w:rFonts w:ascii="Times New Roman" w:hAnsi="Times New Roman"/>
          <w:lang w:val="lv-LV"/>
        </w:rPr>
        <w:t>Ir</w:t>
      </w:r>
      <w:r w:rsidR="00D83580" w:rsidRPr="00570BF0">
        <w:rPr>
          <w:rFonts w:ascii="Times New Roman" w:hAnsi="Times New Roman"/>
          <w:lang w:val="lv-LV"/>
        </w:rPr>
        <w:t xml:space="preserve"> </w:t>
      </w:r>
      <w:r w:rsidRPr="00570BF0">
        <w:rPr>
          <w:rFonts w:ascii="Times New Roman" w:hAnsi="Times New Roman"/>
          <w:lang w:val="lv-LV"/>
        </w:rPr>
        <w:t>izveidota Sadarbības komiteja, kurā darbosies Latvijas un Norvēģijas pārstāvji, tādejādi tiks ņemti vērā abu pušu viedokļi. Arī Atklātā konkursa un iepriekš noteiktā projekta Vērtēšanas komisijā</w:t>
      </w:r>
      <w:r w:rsidR="00D83580">
        <w:rPr>
          <w:rFonts w:ascii="Times New Roman" w:hAnsi="Times New Roman"/>
          <w:lang w:val="lv-LV"/>
        </w:rPr>
        <w:t>s</w:t>
      </w:r>
      <w:r w:rsidRPr="00570BF0">
        <w:rPr>
          <w:rFonts w:ascii="Times New Roman" w:hAnsi="Times New Roman"/>
          <w:lang w:val="lv-LV"/>
        </w:rPr>
        <w:t xml:space="preserve"> darbosies Latvijas un Norvēģijas pārstāvji. </w:t>
      </w:r>
    </w:p>
    <w:p w:rsidR="00211026" w:rsidRPr="00E540B7" w:rsidRDefault="00570BF0" w:rsidP="00211026">
      <w:pPr>
        <w:spacing w:after="0"/>
        <w:ind w:firstLine="284"/>
        <w:jc w:val="both"/>
        <w:rPr>
          <w:rFonts w:ascii="Times New Roman" w:hAnsi="Times New Roman"/>
          <w:lang w:val="lv-LV"/>
        </w:rPr>
      </w:pPr>
      <w:r w:rsidRPr="00E540B7">
        <w:rPr>
          <w:rFonts w:ascii="Times New Roman" w:hAnsi="Times New Roman"/>
          <w:bCs/>
          <w:lang w:val="lv-LV"/>
        </w:rPr>
        <w:t xml:space="preserve">Turklāt visus kritērijus un nosacījumus attiecībā uz Programmu apstiprinās Ministru kabinets, un ieinteresētās puses var iebilst vai ierosināt izmaiņas līdz Programmas iesniegšanai un apstiprināšanai Ministru kabinetā. </w:t>
      </w:r>
    </w:p>
    <w:p w:rsidR="000C548E" w:rsidRPr="00AE40CC" w:rsidRDefault="00570BF0" w:rsidP="00A9482F">
      <w:pPr>
        <w:spacing w:after="0"/>
        <w:ind w:firstLine="284"/>
        <w:jc w:val="both"/>
        <w:rPr>
          <w:rFonts w:ascii="Times New Roman" w:hAnsi="Times New Roman"/>
          <w:lang w:val="lv-LV"/>
        </w:rPr>
      </w:pPr>
      <w:r w:rsidRPr="00570BF0">
        <w:rPr>
          <w:rFonts w:ascii="Times New Roman" w:hAnsi="Times New Roman"/>
          <w:lang w:val="lv-LV"/>
        </w:rPr>
        <w:t xml:space="preserve">Lai nodrošinātu labu pārvaldību, projekti tiks atlasīti, balstoties uz iepriekš publicētiem atlases kritērijiem, kas būs publiski pieejami ikvienam interesentam. Tāpat tiks novērsts interešu konflikts lēmuma pieņemšanas procesā. Vērtēšanas komisijas balsstiesīgie biedriem būs jāinformē pārējie Vērtēšanas komisijas biedri, ja tie būs nonākuši interešu konflikta situācijā. </w:t>
      </w:r>
    </w:p>
    <w:p w:rsidR="00594B5D" w:rsidRPr="008C66BA" w:rsidRDefault="00570BF0" w:rsidP="00A9482F">
      <w:pPr>
        <w:spacing w:after="0"/>
        <w:ind w:firstLine="284"/>
        <w:jc w:val="both"/>
        <w:rPr>
          <w:rFonts w:ascii="Times New Roman" w:hAnsi="Times New Roman"/>
          <w:color w:val="000000"/>
          <w:lang w:val="lv-LV"/>
        </w:rPr>
      </w:pPr>
      <w:r w:rsidRPr="00570BF0">
        <w:rPr>
          <w:rFonts w:ascii="Times New Roman" w:hAnsi="Times New Roman"/>
          <w:lang w:val="lv-LV"/>
        </w:rPr>
        <w:t xml:space="preserve">Visbeidzot, ikviens projekta iesniedzējs tiks informēts par saņemto punktu skaitu un līdz ar to tā projekta </w:t>
      </w:r>
      <w:r w:rsidRPr="008C66BA">
        <w:rPr>
          <w:rFonts w:ascii="Times New Roman" w:hAnsi="Times New Roman"/>
          <w:color w:val="000000"/>
          <w:lang w:val="lv-LV"/>
        </w:rPr>
        <w:t xml:space="preserve">apstiprināšanu vai noraidīšanu. Visas darbības tiks veiktas saskaņā ar LIAA procedūrām, kuras tiks saskaņotas ar EM. </w:t>
      </w:r>
    </w:p>
    <w:p w:rsidR="00B912B7" w:rsidRPr="008C66BA" w:rsidRDefault="00570BF0" w:rsidP="00A9482F">
      <w:pPr>
        <w:spacing w:after="0"/>
        <w:ind w:firstLine="284"/>
        <w:jc w:val="both"/>
        <w:rPr>
          <w:rFonts w:ascii="Times New Roman" w:hAnsi="Times New Roman"/>
          <w:color w:val="000000"/>
          <w:lang w:val="lv-LV"/>
        </w:rPr>
      </w:pPr>
      <w:r w:rsidRPr="008C66BA">
        <w:rPr>
          <w:rFonts w:ascii="Times New Roman" w:hAnsi="Times New Roman"/>
          <w:color w:val="000000"/>
          <w:lang w:val="lv-LV"/>
        </w:rPr>
        <w:t xml:space="preserve">Projekta iesniedzējiem atbilstoši </w:t>
      </w:r>
      <w:r w:rsidRPr="008C66BA">
        <w:rPr>
          <w:rFonts w:ascii="Times New Roman" w:hAnsi="Times New Roman"/>
          <w:color w:val="000000"/>
          <w:lang w:val="lv-LV" w:eastAsia="lv-LV"/>
        </w:rPr>
        <w:t>Eiropas Ekonomikas zonas finanšu instrumenta un Norvēģijas finanšu instrumenta 2009.—2014.gada perioda vadības likumam būs tiesības apstrīdēt un pārsūdzēt LIAA pieņemto lēmumu.</w:t>
      </w:r>
    </w:p>
    <w:p w:rsidR="00D36F41" w:rsidRPr="00AE40CC" w:rsidRDefault="00570BF0" w:rsidP="00A9482F">
      <w:pPr>
        <w:spacing w:after="0"/>
        <w:ind w:firstLine="284"/>
        <w:jc w:val="both"/>
        <w:rPr>
          <w:rFonts w:ascii="Times New Roman" w:hAnsi="Times New Roman"/>
          <w:lang w:val="lv-LV"/>
        </w:rPr>
      </w:pPr>
      <w:r w:rsidRPr="00570BF0">
        <w:rPr>
          <w:rFonts w:ascii="Times New Roman" w:hAnsi="Times New Roman"/>
          <w:lang w:val="lv-LV"/>
        </w:rPr>
        <w:t>Pirms projektu pieteikumu iesniegšanas tiks organizēti semināri, lai palīdzētu pieteikumu sagatavošanas procesā.</w:t>
      </w:r>
    </w:p>
    <w:p w:rsidR="006B31E1" w:rsidRPr="00AE40CC" w:rsidRDefault="006B31E1" w:rsidP="00A9482F">
      <w:pPr>
        <w:spacing w:after="0"/>
        <w:ind w:firstLine="284"/>
        <w:jc w:val="both"/>
        <w:rPr>
          <w:rFonts w:ascii="Times New Roman" w:hAnsi="Times New Roman"/>
          <w:lang w:val="lv-LV"/>
        </w:rPr>
      </w:pPr>
    </w:p>
    <w:p w:rsidR="00A9482F" w:rsidRPr="00AE40CC" w:rsidRDefault="00570BF0" w:rsidP="00D36F41">
      <w:pPr>
        <w:pStyle w:val="Heading3"/>
        <w:spacing w:before="0"/>
        <w:rPr>
          <w:rFonts w:ascii="Times New Roman" w:hAnsi="Times New Roman"/>
          <w:lang w:val="lv-LV"/>
        </w:rPr>
      </w:pPr>
      <w:r w:rsidRPr="00570BF0">
        <w:rPr>
          <w:rFonts w:ascii="Times New Roman" w:hAnsi="Times New Roman"/>
          <w:lang w:val="lv-LV"/>
        </w:rPr>
        <w:t>Vides apsvērumi</w:t>
      </w:r>
    </w:p>
    <w:p w:rsidR="00A9482F" w:rsidRPr="00AE40CC" w:rsidRDefault="00570BF0" w:rsidP="00CF3A67">
      <w:pPr>
        <w:spacing w:after="0"/>
        <w:jc w:val="both"/>
        <w:rPr>
          <w:rFonts w:ascii="Times New Roman" w:hAnsi="Times New Roman"/>
          <w:b/>
          <w:lang w:val="lv-LV"/>
        </w:rPr>
      </w:pPr>
      <w:r w:rsidRPr="00570BF0">
        <w:rPr>
          <w:rFonts w:ascii="Times New Roman" w:hAnsi="Times New Roman"/>
          <w:b/>
          <w:lang w:val="lv-LV"/>
        </w:rPr>
        <w:t>Novērtēt, vai Programma, kā arī Programmas ietvaros atbalstītie projekti pozitīvi vai negatīvi ietekmē vidi. Aprakstīt konkrētus pasākumus, kas ir/tiks veikti, lai nodrošinātu, ka videi netiek nodarīts kaitējums, un kā tas tiek pārbaudīts.</w:t>
      </w:r>
    </w:p>
    <w:p w:rsidR="008D4EDE" w:rsidRPr="00AE40CC" w:rsidRDefault="00570BF0" w:rsidP="00052A3C">
      <w:pPr>
        <w:spacing w:after="0"/>
        <w:ind w:firstLine="284"/>
        <w:jc w:val="both"/>
        <w:rPr>
          <w:rFonts w:ascii="Times New Roman" w:hAnsi="Times New Roman"/>
          <w:lang w:val="lv-LV"/>
        </w:rPr>
      </w:pPr>
      <w:r w:rsidRPr="00570BF0">
        <w:rPr>
          <w:rFonts w:ascii="Times New Roman" w:hAnsi="Times New Roman"/>
          <w:lang w:val="lv-LV"/>
        </w:rPr>
        <w:t xml:space="preserve">Ņemot vērā, ka Programma tiek ieviesta 21. jomā: „Inovācija „zaļās” ražošanas jomā”, tai būs tieša pozitīva ietekme uz vides problēmām, uzlabojot tehnoloģijas un izstrādājot videi draudzīgus produktus. </w:t>
      </w:r>
    </w:p>
    <w:p w:rsidR="00751A50" w:rsidRPr="00AE40CC" w:rsidRDefault="00570BF0" w:rsidP="00A9482F">
      <w:pPr>
        <w:spacing w:after="0"/>
        <w:ind w:firstLine="284"/>
        <w:jc w:val="both"/>
        <w:rPr>
          <w:rFonts w:ascii="Times New Roman" w:eastAsia="Calibri" w:hAnsi="Times New Roman"/>
          <w:lang w:val="lv-LV"/>
        </w:rPr>
      </w:pPr>
      <w:r w:rsidRPr="00570BF0">
        <w:rPr>
          <w:rFonts w:ascii="Times New Roman" w:hAnsi="Times New Roman"/>
          <w:lang w:val="lv-LV"/>
        </w:rPr>
        <w:lastRenderedPageBreak/>
        <w:t xml:space="preserve">Komersanti projektu pieteikumos skaidri norādīs, kā projekts veicinās „zaļo” nozaru inovācijas. Komersanti tiks vērtēti, balstoties uz šo informāciju. </w:t>
      </w:r>
      <w:r w:rsidRPr="00570BF0">
        <w:rPr>
          <w:rFonts w:ascii="Times New Roman" w:eastAsia="Calibri" w:hAnsi="Times New Roman"/>
          <w:lang w:val="lv-LV"/>
        </w:rPr>
        <w:t>Tādēļ paredzams, ka ikvienam projektam būs pozitīva ietekme.</w:t>
      </w:r>
    </w:p>
    <w:p w:rsidR="00A9482F" w:rsidRPr="00AE40CC" w:rsidRDefault="00570BF0" w:rsidP="00A9482F">
      <w:pPr>
        <w:spacing w:after="0"/>
        <w:ind w:firstLine="284"/>
        <w:jc w:val="both"/>
        <w:rPr>
          <w:rFonts w:ascii="Times New Roman" w:hAnsi="Times New Roman"/>
          <w:lang w:val="lv-LV"/>
        </w:rPr>
      </w:pPr>
      <w:r w:rsidRPr="00570BF0">
        <w:rPr>
          <w:rFonts w:ascii="Times New Roman" w:eastAsia="Calibri" w:hAnsi="Times New Roman"/>
          <w:lang w:val="lv-LV"/>
        </w:rPr>
        <w:t>Projektu atlases kritērijos ietilpst gan atbilstības kritēriji, gan kvalitātes kritēriju, kuros piešķirs punktus par projekta atbilstību „zaļās” ražošanas inovāciju jomai</w:t>
      </w:r>
      <w:r w:rsidRPr="00570BF0">
        <w:rPr>
          <w:rFonts w:ascii="Times New Roman" w:hAnsi="Times New Roman"/>
          <w:lang w:val="lv-LV"/>
        </w:rPr>
        <w:t>.</w:t>
      </w:r>
    </w:p>
    <w:p w:rsidR="00197324" w:rsidRPr="00AE40CC" w:rsidRDefault="00197324" w:rsidP="00A9482F">
      <w:pPr>
        <w:spacing w:after="0"/>
        <w:ind w:firstLine="284"/>
        <w:jc w:val="both"/>
        <w:rPr>
          <w:rFonts w:ascii="Times New Roman" w:eastAsia="Calibri" w:hAnsi="Times New Roman"/>
          <w:lang w:val="lv-LV"/>
        </w:rPr>
      </w:pPr>
    </w:p>
    <w:p w:rsidR="00A9482F" w:rsidRPr="00AE40CC" w:rsidRDefault="00570BF0" w:rsidP="0056594F">
      <w:pPr>
        <w:pStyle w:val="Heading3"/>
        <w:spacing w:before="0"/>
        <w:rPr>
          <w:rFonts w:ascii="Times New Roman" w:hAnsi="Times New Roman"/>
          <w:lang w:val="lv-LV"/>
        </w:rPr>
      </w:pPr>
      <w:r w:rsidRPr="00570BF0">
        <w:rPr>
          <w:rFonts w:ascii="Times New Roman" w:hAnsi="Times New Roman"/>
          <w:lang w:val="lv-LV"/>
        </w:rPr>
        <w:t>Ekonomiskā ilgtspēja</w:t>
      </w:r>
    </w:p>
    <w:p w:rsidR="0065125A" w:rsidRPr="00AE40CC" w:rsidRDefault="00570BF0" w:rsidP="00871521">
      <w:pPr>
        <w:spacing w:after="0"/>
        <w:rPr>
          <w:rFonts w:ascii="Times New Roman" w:hAnsi="Times New Roman"/>
          <w:lang w:val="lv-LV"/>
        </w:rPr>
      </w:pPr>
      <w:r w:rsidRPr="00570BF0">
        <w:rPr>
          <w:rFonts w:ascii="Times New Roman" w:hAnsi="Times New Roman"/>
          <w:b/>
          <w:lang w:val="lv-LV"/>
        </w:rPr>
        <w:t>Aprakstīt, kā tiks nodrošināta projektu ekonomiskā ilgtspēja.</w:t>
      </w:r>
      <w:r w:rsidRPr="00570BF0">
        <w:rPr>
          <w:rFonts w:ascii="Times New Roman" w:hAnsi="Times New Roman"/>
          <w:lang w:val="lv-LV"/>
        </w:rPr>
        <w:t xml:space="preserve">  </w:t>
      </w:r>
    </w:p>
    <w:p w:rsidR="00A9482F" w:rsidRPr="00AE40CC" w:rsidRDefault="00570BF0" w:rsidP="0065125A">
      <w:pPr>
        <w:spacing w:after="0"/>
        <w:ind w:firstLine="284"/>
        <w:jc w:val="both"/>
        <w:rPr>
          <w:rFonts w:ascii="Times New Roman" w:hAnsi="Times New Roman"/>
          <w:lang w:val="lv-LV"/>
        </w:rPr>
      </w:pPr>
      <w:r w:rsidRPr="00570BF0">
        <w:rPr>
          <w:rFonts w:ascii="Times New Roman" w:hAnsi="Times New Roman"/>
          <w:lang w:val="lv-LV"/>
        </w:rPr>
        <w:t>Tehnoloģiju inkubatorā uzņemto komersantu ilgtspēju nodrošinās atlases process, jo komersantiem būs jāsniedz informācija, kā tie plāno turpināt savu darbību pēc projekta noslēguma. Tāpat komersantiem</w:t>
      </w:r>
      <w:r w:rsidR="00D83580">
        <w:rPr>
          <w:rFonts w:ascii="Times New Roman" w:hAnsi="Times New Roman"/>
          <w:lang w:val="lv-LV"/>
        </w:rPr>
        <w:t xml:space="preserve"> un fiziskām personām ar mērķi uzsākt saimniecisko darbību</w:t>
      </w:r>
      <w:r w:rsidRPr="00570BF0">
        <w:rPr>
          <w:rFonts w:ascii="Times New Roman" w:hAnsi="Times New Roman"/>
          <w:lang w:val="lv-LV"/>
        </w:rPr>
        <w:t xml:space="preserve"> tiks piešķirts atbalsts, lai pārbaudītu to biznesa idejas un tirgus potenciālu. Turklāt Tehnoloģiju inkubatora </w:t>
      </w:r>
      <w:r w:rsidR="00D83580">
        <w:rPr>
          <w:rFonts w:ascii="Times New Roman" w:hAnsi="Times New Roman"/>
          <w:lang w:val="lv-LV"/>
        </w:rPr>
        <w:t>vadības</w:t>
      </w:r>
      <w:r w:rsidR="00D83580" w:rsidRPr="00570BF0">
        <w:rPr>
          <w:rFonts w:ascii="Times New Roman" w:hAnsi="Times New Roman"/>
          <w:lang w:val="lv-LV"/>
        </w:rPr>
        <w:t xml:space="preserve"> </w:t>
      </w:r>
      <w:r w:rsidRPr="00570BF0">
        <w:rPr>
          <w:rFonts w:ascii="Times New Roman" w:hAnsi="Times New Roman"/>
          <w:lang w:val="lv-LV"/>
        </w:rPr>
        <w:t xml:space="preserve">komandā būs profesionāļi, kuri novērtēs ierosināto biznesa ideju potenciālu un kuru viedokli ņems vērā gan LIAA, gan Vērtēšanas komisija. Plānots, ka atlases posmi nodrošinās labāko projektu atlasi. </w:t>
      </w:r>
    </w:p>
    <w:p w:rsidR="005D7340" w:rsidRPr="00AE40CC" w:rsidRDefault="00570BF0" w:rsidP="0065125A">
      <w:pPr>
        <w:spacing w:after="0"/>
        <w:ind w:firstLine="284"/>
        <w:jc w:val="both"/>
        <w:rPr>
          <w:rFonts w:ascii="Times New Roman" w:hAnsi="Times New Roman"/>
          <w:lang w:val="lv-LV"/>
        </w:rPr>
      </w:pPr>
      <w:r w:rsidRPr="00570BF0">
        <w:rPr>
          <w:rFonts w:ascii="Times New Roman" w:hAnsi="Times New Roman"/>
          <w:lang w:val="lv-LV"/>
        </w:rPr>
        <w:t>Atklātā konkursa atlases ietvaros projektu ilgtspēju novērtēs eksperti un Vērtēšanas komisija atbilstoši iesniegtajam biznesa plānam un projekta pieteikuma veidlapai.</w:t>
      </w:r>
    </w:p>
    <w:p w:rsidR="00197324" w:rsidRPr="00AE40CC" w:rsidRDefault="00197324" w:rsidP="0065125A">
      <w:pPr>
        <w:spacing w:after="0"/>
        <w:ind w:firstLine="284"/>
        <w:jc w:val="both"/>
        <w:rPr>
          <w:rFonts w:ascii="Times New Roman" w:hAnsi="Times New Roman"/>
          <w:lang w:val="lv-LV"/>
        </w:rPr>
      </w:pPr>
    </w:p>
    <w:p w:rsidR="00A9482F" w:rsidRPr="00AE40CC" w:rsidRDefault="00570BF0" w:rsidP="0056594F">
      <w:pPr>
        <w:pStyle w:val="Heading3"/>
        <w:spacing w:before="0"/>
        <w:rPr>
          <w:rFonts w:ascii="Times New Roman" w:hAnsi="Times New Roman"/>
          <w:lang w:val="lv-LV"/>
        </w:rPr>
      </w:pPr>
      <w:r w:rsidRPr="00570BF0">
        <w:rPr>
          <w:rFonts w:ascii="Times New Roman" w:hAnsi="Times New Roman"/>
          <w:lang w:val="lv-LV"/>
        </w:rPr>
        <w:t>Sociālā ilgtspēja</w:t>
      </w:r>
    </w:p>
    <w:p w:rsidR="00A9482F" w:rsidRPr="00AE40CC" w:rsidRDefault="00570BF0" w:rsidP="00A9482F">
      <w:pPr>
        <w:spacing w:after="0"/>
        <w:rPr>
          <w:rFonts w:ascii="Times New Roman" w:hAnsi="Times New Roman"/>
          <w:b/>
          <w:lang w:val="lv-LV"/>
        </w:rPr>
      </w:pPr>
      <w:r w:rsidRPr="00570BF0">
        <w:rPr>
          <w:rFonts w:ascii="Times New Roman" w:hAnsi="Times New Roman"/>
          <w:b/>
          <w:lang w:val="lv-LV"/>
        </w:rPr>
        <w:t>Aprakstīt, kā tiks nodrošināta projektu sociālā ilgtspēja.</w:t>
      </w:r>
    </w:p>
    <w:p w:rsidR="00E977A2" w:rsidRPr="00AE40CC" w:rsidRDefault="00570BF0" w:rsidP="009A4422">
      <w:pPr>
        <w:spacing w:after="0"/>
        <w:ind w:firstLine="284"/>
        <w:jc w:val="both"/>
        <w:rPr>
          <w:rFonts w:ascii="Times New Roman" w:hAnsi="Times New Roman"/>
          <w:lang w:val="lv-LV"/>
        </w:rPr>
      </w:pPr>
      <w:r w:rsidRPr="00570BF0">
        <w:rPr>
          <w:rFonts w:ascii="Times New Roman" w:hAnsi="Times New Roman"/>
          <w:lang w:val="lv-LV"/>
        </w:rPr>
        <w:t>Projektu atlases kritērijos ir iekļauts speciāls kritērijs par vienlīdzīgām tiesībām projektiem, kas iesniegti inkubācijas atbalsta saņemšanai neliela apjoma grantu shēmas ietvaros. Pirmkārt, projekta iesniedzējs saņems punktus, ja projekta ietvaros tiks nodarbinātas personas, kuras atbilst nelabvēlīgā situācijā esoša darba ņēmēja un strādājošas personas ar invaliditāti definīcijai un šādi darbinieki veidos ne mazāk kā 15 % no kopējā projektā iesaistīto darbinieku skaita. „Nelabvēlīgā situācijā esošs darba ņēmējs” un „strādājoša persona ar invaliditāti” ir jebkura persona, kura atbilst Komisijas Regulas (EK) Nr. 800/2008 2. panta 18., 19. un 20. punktā noteiktajām definīcijām</w:t>
      </w:r>
      <w:r>
        <w:rPr>
          <w:rStyle w:val="apple-style-span"/>
          <w:rFonts w:ascii="Times New Roman" w:hAnsi="Times New Roman"/>
          <w:lang w:val="lv-LV"/>
        </w:rPr>
        <w:t>. Otrkārt, punkti tiks piešķirti, ja projekta iesniedzējs būs ievācis informāciju par mērķa grupas sociālo stāvokli, tostarp to sadalījumu pēc dzimuma, vecuma un invaliditātes</w:t>
      </w:r>
      <w:r>
        <w:rPr>
          <w:rFonts w:ascii="Times New Roman" w:hAnsi="Times New Roman"/>
          <w:lang w:val="lv-LV"/>
        </w:rPr>
        <w:t xml:space="preserve">. Treškārt, punkti tiks piešķirti, ja, balstoties uz iepriekšējiem punktiem, projektā ir paredzētas noteiktas aktivitātes, ņemot vērā dažādas darbinieku vajadzības saistībā ar to dzimumu, vecumu un citiem iespējamiem sociālās atstumtības riskiem. Ceturtkārt, papildu punkti tiks piešķirti, ja vismaz 40 % no komersanta vadības veido sievietes. </w:t>
      </w:r>
    </w:p>
    <w:p w:rsidR="00C22ACF" w:rsidRPr="00AE40CC" w:rsidRDefault="00570BF0" w:rsidP="009A4422">
      <w:pPr>
        <w:spacing w:after="0"/>
        <w:ind w:firstLine="284"/>
        <w:jc w:val="both"/>
        <w:rPr>
          <w:rFonts w:ascii="Times New Roman" w:hAnsi="Times New Roman"/>
          <w:lang w:val="lv-LV"/>
        </w:rPr>
      </w:pPr>
      <w:r>
        <w:rPr>
          <w:rFonts w:ascii="Times New Roman" w:hAnsi="Times New Roman"/>
          <w:lang w:val="lv-LV"/>
        </w:rPr>
        <w:t xml:space="preserve">Uzņēmējdarbības veicināšana risinās problēmas saistībā ar nabadzību un sociālo atstumtību, jo cilvēkiem tiks sniegtas lielākas darba iespējas. Uzņēmējdarbības veicināšana ir tieši saistīta arī ar citu ilgtspējīgas attīstības principu no sociālās perspektīvas – darba iespējas. </w:t>
      </w:r>
    </w:p>
    <w:p w:rsidR="001516CA" w:rsidRPr="00AE40CC" w:rsidRDefault="00570BF0" w:rsidP="009A4422">
      <w:pPr>
        <w:spacing w:after="0"/>
        <w:ind w:firstLine="284"/>
        <w:jc w:val="both"/>
        <w:rPr>
          <w:rFonts w:ascii="Times New Roman" w:hAnsi="Times New Roman"/>
          <w:lang w:val="lv-LV"/>
        </w:rPr>
      </w:pPr>
      <w:r>
        <w:rPr>
          <w:rFonts w:ascii="Times New Roman" w:hAnsi="Times New Roman"/>
          <w:lang w:val="lv-LV"/>
        </w:rPr>
        <w:t>Visbeidzot, plānots, ka uzņēmēji, Programmas laikā strādājot kopā un saņemot ekspertu palīdzību, uzlabos savas prasmes, kas ir vēl viens ilgtspējīgas attīstības princips no sociālās perspektīvas.</w:t>
      </w:r>
    </w:p>
    <w:p w:rsidR="00197324" w:rsidRPr="00AE40CC" w:rsidRDefault="00197324" w:rsidP="009A4422">
      <w:pPr>
        <w:spacing w:after="0"/>
        <w:ind w:firstLine="284"/>
        <w:jc w:val="both"/>
        <w:rPr>
          <w:rFonts w:ascii="Times New Roman" w:hAnsi="Times New Roman"/>
          <w:lang w:val="lv-LV"/>
        </w:rPr>
      </w:pPr>
    </w:p>
    <w:p w:rsidR="00A9482F" w:rsidRPr="00AE40CC" w:rsidRDefault="00570BF0" w:rsidP="00A9482F">
      <w:pPr>
        <w:pStyle w:val="Heading3"/>
        <w:spacing w:before="0"/>
        <w:rPr>
          <w:rFonts w:ascii="Times New Roman" w:hAnsi="Times New Roman"/>
          <w:lang w:val="lv-LV"/>
        </w:rPr>
      </w:pPr>
      <w:r>
        <w:rPr>
          <w:rFonts w:ascii="Times New Roman" w:hAnsi="Times New Roman"/>
          <w:lang w:val="lv-LV"/>
        </w:rPr>
        <w:t>Dzimumu līdztiesība</w:t>
      </w:r>
    </w:p>
    <w:p w:rsidR="00A9482F" w:rsidRPr="00AE40CC" w:rsidRDefault="00570BF0" w:rsidP="00CF3A67">
      <w:pPr>
        <w:spacing w:after="0"/>
        <w:jc w:val="both"/>
        <w:rPr>
          <w:rFonts w:ascii="Times New Roman" w:hAnsi="Times New Roman"/>
          <w:b/>
          <w:lang w:val="lv-LV"/>
        </w:rPr>
      </w:pPr>
      <w:r>
        <w:rPr>
          <w:rFonts w:ascii="Times New Roman" w:hAnsi="Times New Roman"/>
          <w:b/>
          <w:lang w:val="lv-LV"/>
        </w:rPr>
        <w:t>Aprakstīt konkrētus pasākumus, kas paredzēti, lai nodrošinātu, ka Programmas plānošanā un īstenošanā, kā arī Programmas ietvaros atbalstītajos projektos tiktu ievērots dzimumu līdztiesības princips. Aprakstīt Programmas pozitīvo ietekmi uz dzimumu līdztiesību.</w:t>
      </w:r>
    </w:p>
    <w:p w:rsidR="00A9482F" w:rsidRPr="00AE40CC" w:rsidRDefault="00570BF0" w:rsidP="008600F8">
      <w:pPr>
        <w:spacing w:after="0"/>
        <w:ind w:firstLine="284"/>
        <w:jc w:val="both"/>
        <w:rPr>
          <w:rFonts w:ascii="Times New Roman" w:hAnsi="Times New Roman"/>
          <w:lang w:val="lv-LV"/>
        </w:rPr>
      </w:pPr>
      <w:bookmarkStart w:id="81" w:name="OLE_LINK2"/>
      <w:bookmarkStart w:id="82" w:name="OLE_LINK4"/>
      <w:r>
        <w:rPr>
          <w:rFonts w:ascii="Times New Roman" w:hAnsi="Times New Roman"/>
          <w:lang w:val="lv-LV"/>
        </w:rPr>
        <w:t xml:space="preserve">Atlases procesā komersantiem, kuri savos projekta pieteikumos ir paredzējuši darbības attiecībā uz dzimumu vienlīdzību, tiks piešķirti papildu punkti. Tiks izvērtēts cik personas, kuras atbilst darbiniekiem nelabvēlīgā stāvoklī, procentuāli tiek pieņemtas darbā, kā arī cik ir </w:t>
      </w:r>
      <w:r>
        <w:rPr>
          <w:rFonts w:ascii="Times New Roman" w:hAnsi="Times New Roman"/>
          <w:lang w:val="lv-LV"/>
        </w:rPr>
        <w:lastRenderedPageBreak/>
        <w:t>procentuāli sievietes komersanta vadībā. Piemēram, ja komersanta vadībā ir vairāk kā 40% sieviešu, tas saņems papildus punktus, kad tiks uzņemts Tehnoloģiju inkubatorā.</w:t>
      </w:r>
      <w:bookmarkEnd w:id="81"/>
      <w:bookmarkEnd w:id="82"/>
      <w:r>
        <w:rPr>
          <w:rFonts w:ascii="Times New Roman" w:hAnsi="Times New Roman"/>
          <w:lang w:val="lv-LV"/>
        </w:rPr>
        <w:t xml:space="preserve"> </w:t>
      </w:r>
    </w:p>
    <w:bookmarkEnd w:id="80"/>
    <w:p w:rsidR="00A9482F" w:rsidRPr="00AE40CC" w:rsidRDefault="00570BF0" w:rsidP="00A9482F">
      <w:pPr>
        <w:pStyle w:val="Heading2"/>
        <w:rPr>
          <w:rFonts w:ascii="Times New Roman" w:hAnsi="Times New Roman"/>
          <w:sz w:val="22"/>
          <w:szCs w:val="22"/>
          <w:lang w:val="lv-LV"/>
        </w:rPr>
      </w:pPr>
      <w:r>
        <w:rPr>
          <w:rFonts w:ascii="Times New Roman" w:hAnsi="Times New Roman"/>
          <w:sz w:val="22"/>
          <w:szCs w:val="22"/>
          <w:lang w:val="lv-LV"/>
        </w:rPr>
        <w:t>Programmas apsaimniekotāja veikta projekta uzraudzība</w:t>
      </w:r>
    </w:p>
    <w:p w:rsidR="00186332" w:rsidRPr="00AE40CC" w:rsidRDefault="00570BF0" w:rsidP="00CF3A67">
      <w:pPr>
        <w:spacing w:after="0"/>
        <w:jc w:val="both"/>
        <w:rPr>
          <w:rFonts w:ascii="Times New Roman" w:hAnsi="Times New Roman"/>
          <w:b/>
          <w:lang w:val="lv-LV"/>
        </w:rPr>
      </w:pPr>
      <w:r>
        <w:rPr>
          <w:rFonts w:ascii="Times New Roman" w:hAnsi="Times New Roman"/>
          <w:b/>
          <w:lang w:val="lv-LV"/>
        </w:rPr>
        <w:t>Pamatot izvēlēto Programmas projektu uzraudzības metodoloģiju saskaņā ar Regulas 4.7.1.panta „f” apakšpunktu un principiem, kas noteikti PAR piektajā sadaļā.</w:t>
      </w:r>
    </w:p>
    <w:p w:rsidR="00A9482F" w:rsidRPr="00AE40CC" w:rsidRDefault="00570BF0" w:rsidP="00A9482F">
      <w:pPr>
        <w:spacing w:after="0"/>
        <w:rPr>
          <w:rFonts w:ascii="Times New Roman" w:hAnsi="Times New Roman"/>
          <w:b/>
          <w:lang w:val="lv-LV"/>
        </w:rPr>
      </w:pPr>
      <w:r>
        <w:rPr>
          <w:rFonts w:ascii="Times New Roman" w:hAnsi="Times New Roman"/>
          <w:b/>
          <w:lang w:val="lv-LV"/>
        </w:rPr>
        <w:t>Pievienot kā Pielikumu Programmas iesniegumam uzraudzības plānu pirmajam Programmas darbības gadam.</w:t>
      </w:r>
    </w:p>
    <w:p w:rsidR="00A9482F" w:rsidRPr="00AE40CC" w:rsidRDefault="00570BF0" w:rsidP="005F2C8F">
      <w:pPr>
        <w:spacing w:after="0"/>
        <w:ind w:firstLine="284"/>
        <w:jc w:val="both"/>
        <w:rPr>
          <w:rFonts w:ascii="Times New Roman" w:hAnsi="Times New Roman"/>
          <w:lang w:val="lv-LV"/>
        </w:rPr>
      </w:pPr>
      <w:r>
        <w:rPr>
          <w:rFonts w:ascii="Times New Roman" w:hAnsi="Times New Roman"/>
          <w:lang w:val="lv-LV"/>
        </w:rPr>
        <w:t xml:space="preserve">Funkcijas attiecībā uz Programmas ieviešanu uzņemsies LIAA Investīciju projektu departaments, kā ietvaros tiks izveidota jauna struktūrvienība Biznesa inkubatoru vadības vienība. Struktūrfondu vadības un kontroles, Juridiskais departaments un Finanšu departaments sniegs papildu palīdzību. LIAA nodrošinās projektu vadību un uzraudzību un veiks pārbaudes uz vietas, kā arī pārbaudīs veiktās darbības un izdevumu pamatotību. Katru gadu pēc nejaušības principa tiks izvēlēti </w:t>
      </w:r>
      <w:r w:rsidR="00D81F46">
        <w:rPr>
          <w:rFonts w:ascii="Times New Roman" w:hAnsi="Times New Roman"/>
          <w:lang w:val="lv-LV"/>
        </w:rPr>
        <w:t>projekti</w:t>
      </w:r>
      <w:r>
        <w:rPr>
          <w:rFonts w:ascii="Times New Roman" w:hAnsi="Times New Roman"/>
          <w:lang w:val="lv-LV"/>
        </w:rPr>
        <w:t xml:space="preserve">, kuri tiks rūpīgi pārbaudīti. Tāpat projektu uzraudzībai tiks veikta izmantojot progresa ziņojumus. </w:t>
      </w:r>
    </w:p>
    <w:p w:rsidR="00435676" w:rsidRPr="00AE40CC" w:rsidRDefault="00570BF0" w:rsidP="00A9482F">
      <w:pPr>
        <w:spacing w:after="0"/>
        <w:ind w:firstLine="284"/>
        <w:jc w:val="both"/>
        <w:rPr>
          <w:rFonts w:ascii="Times New Roman" w:hAnsi="Times New Roman"/>
          <w:lang w:val="lv-LV"/>
        </w:rPr>
      </w:pPr>
      <w:r>
        <w:rPr>
          <w:rFonts w:ascii="Times New Roman" w:hAnsi="Times New Roman"/>
          <w:lang w:val="lv-LV"/>
        </w:rPr>
        <w:t xml:space="preserve">Projektu līmenī LIAA nodrošinās finansēto projektu uzraudzību saskaņā ar iekšējām procedūrām, kuras tiks saskaņotas ar EM. Projektu uzraudzība tiks uzsākta no projektu pieteikumu iesniegšanas brīža un turpināsies līdz projektu uzraudzības perioda beigām – trīs vai piecus gadus pēc projekta īstenošanas pabeigšanas. LIAA ievāks un administrēs informāciju par projektu uzraudzību. </w:t>
      </w:r>
    </w:p>
    <w:p w:rsidR="00300096" w:rsidRPr="00AE40CC" w:rsidRDefault="00570BF0" w:rsidP="00300096">
      <w:pPr>
        <w:spacing w:after="0"/>
        <w:ind w:firstLine="284"/>
        <w:jc w:val="both"/>
        <w:rPr>
          <w:rFonts w:ascii="Times New Roman" w:hAnsi="Times New Roman"/>
          <w:lang w:val="lv-LV"/>
        </w:rPr>
      </w:pPr>
      <w:r>
        <w:rPr>
          <w:rFonts w:ascii="Times New Roman" w:hAnsi="Times New Roman"/>
          <w:lang w:val="lv-LV"/>
        </w:rPr>
        <w:t xml:space="preserve">LIAA un Tehnoloģiju inkubatora konsultatīvā padome uzraudzīs Tehnoloģiju inkubatora operatora darbību. Tehnoloģiju inkubatora operatoram būs arī jāiesniedz progresa ziņojumi. LIAA un Tehnoloģiju inkubators noslēgs projekta līgumu, kurā būs noteiktas abu pušu tiesības un pienākumi. </w:t>
      </w:r>
    </w:p>
    <w:p w:rsidR="00300096" w:rsidRPr="00AE40CC" w:rsidRDefault="00570BF0" w:rsidP="00300096">
      <w:pPr>
        <w:spacing w:after="0"/>
        <w:ind w:firstLine="284"/>
        <w:jc w:val="both"/>
        <w:rPr>
          <w:rFonts w:ascii="Times New Roman" w:hAnsi="Times New Roman"/>
          <w:lang w:val="lv-LV"/>
        </w:rPr>
      </w:pPr>
      <w:r>
        <w:rPr>
          <w:rFonts w:ascii="Times New Roman" w:hAnsi="Times New Roman"/>
          <w:lang w:val="lv-LV"/>
        </w:rPr>
        <w:t>Tiks organizētas regulāras vizītes uz Tehnoloģiju inkubatoru, lai novērtētu sasniegto un tiktos ar Tehnoloģiju inkubatora ietvaros esošajiem komersantiem.</w:t>
      </w:r>
    </w:p>
    <w:p w:rsidR="00435676" w:rsidRPr="00AE40CC" w:rsidRDefault="00570BF0" w:rsidP="00A9482F">
      <w:pPr>
        <w:spacing w:after="0"/>
        <w:ind w:firstLine="284"/>
        <w:jc w:val="both"/>
        <w:rPr>
          <w:rFonts w:ascii="Times New Roman" w:hAnsi="Times New Roman"/>
          <w:lang w:val="lv-LV"/>
        </w:rPr>
      </w:pPr>
      <w:r>
        <w:rPr>
          <w:rFonts w:ascii="Times New Roman" w:hAnsi="Times New Roman"/>
          <w:lang w:val="lv-LV"/>
        </w:rPr>
        <w:t>Neliela apjoma grantu shēmas un Atklātā konkursa finansējuma saņēmējiem kopā ar starpposma maksājuma pieprasījumu būs jāiesniedz informatīvs ziņojums. Tas ļaus novērtēt projekta laikā sasniegto progresu. Informatīvajā ziņojumā jāietver informācija par projekta laikā veiktajām darbībām, sasniegtajiem rezultātiem un finansējuma izlietojumu. Pēc projekta īstenošanas pabeigšanas būs jāiesniedz noslēguma ziņojums. Noslēguma ziņojumā būs jāiekļauj pilnīga informācija par visām projekta laikā veiktajām darbībām, sasniegtajiem rezultātiem, finansējuma izlietojumu un citiem saistītajiem faktiem.</w:t>
      </w:r>
    </w:p>
    <w:p w:rsidR="006D7F78" w:rsidRPr="00AE40CC" w:rsidRDefault="00570BF0" w:rsidP="00A9482F">
      <w:pPr>
        <w:spacing w:after="0"/>
        <w:ind w:firstLine="284"/>
        <w:jc w:val="both"/>
        <w:rPr>
          <w:rFonts w:ascii="Times New Roman" w:hAnsi="Times New Roman"/>
          <w:lang w:val="lv-LV"/>
        </w:rPr>
      </w:pPr>
      <w:r>
        <w:rPr>
          <w:rFonts w:ascii="Times New Roman" w:hAnsi="Times New Roman"/>
          <w:lang w:val="lv-LV"/>
        </w:rPr>
        <w:t xml:space="preserve">Projekta īstenošanas laikā projektu uzraudzībai tiks pielietotas šādas metodes: </w:t>
      </w:r>
    </w:p>
    <w:p w:rsidR="00AD0E66" w:rsidRPr="00AE40CC" w:rsidRDefault="00570BF0" w:rsidP="00877666">
      <w:pPr>
        <w:pStyle w:val="ListParagraph"/>
        <w:numPr>
          <w:ilvl w:val="0"/>
          <w:numId w:val="10"/>
        </w:numPr>
        <w:spacing w:after="0"/>
        <w:ind w:left="284"/>
        <w:jc w:val="both"/>
        <w:rPr>
          <w:rFonts w:ascii="Times New Roman" w:hAnsi="Times New Roman"/>
          <w:lang w:val="lv-LV"/>
        </w:rPr>
      </w:pPr>
      <w:r>
        <w:rPr>
          <w:rFonts w:ascii="Times New Roman" w:hAnsi="Times New Roman"/>
          <w:lang w:val="lv-LV"/>
        </w:rPr>
        <w:t xml:space="preserve">Regulārs konsultatīvais darbs ar finansējuma saņēmējiem, lai sasniegtu plānotos rezultātus, veiktu nepieciešamās izmaiņas projekta līgumā, novērstu iespējamās neatbilstības; </w:t>
      </w:r>
    </w:p>
    <w:p w:rsidR="00AD0E66" w:rsidRPr="00AE40CC" w:rsidRDefault="00570BF0" w:rsidP="00877666">
      <w:pPr>
        <w:pStyle w:val="ListParagraph"/>
        <w:numPr>
          <w:ilvl w:val="0"/>
          <w:numId w:val="10"/>
        </w:numPr>
        <w:spacing w:after="0"/>
        <w:ind w:left="284"/>
        <w:jc w:val="both"/>
        <w:rPr>
          <w:rFonts w:ascii="Times New Roman" w:hAnsi="Times New Roman"/>
          <w:lang w:val="lv-LV"/>
        </w:rPr>
      </w:pPr>
      <w:r>
        <w:rPr>
          <w:rFonts w:ascii="Times New Roman" w:hAnsi="Times New Roman"/>
          <w:lang w:val="lv-LV"/>
        </w:rPr>
        <w:t>Pārbaudes projektu īstenošanas vietās, lai pārbaudītu, vai viss tiek veikts atbilstoši projekta iesniegumam, projekta līgumam un informatīvajam ziņojumam;</w:t>
      </w:r>
    </w:p>
    <w:p w:rsidR="00AD0E66" w:rsidRPr="00AE40CC" w:rsidRDefault="00570BF0" w:rsidP="00877666">
      <w:pPr>
        <w:pStyle w:val="ListParagraph"/>
        <w:numPr>
          <w:ilvl w:val="0"/>
          <w:numId w:val="10"/>
        </w:numPr>
        <w:spacing w:after="0"/>
        <w:ind w:left="284"/>
        <w:jc w:val="both"/>
        <w:rPr>
          <w:rFonts w:ascii="Times New Roman" w:hAnsi="Times New Roman"/>
          <w:lang w:val="lv-LV"/>
        </w:rPr>
      </w:pPr>
      <w:r>
        <w:rPr>
          <w:rFonts w:ascii="Times New Roman" w:hAnsi="Times New Roman"/>
          <w:lang w:val="lv-LV"/>
        </w:rPr>
        <w:t>Regulāra finansējuma saņēmēju iesniegto ziņojumu pārbaude. Nepieciešamības gadījumā tik sniegta palīdzība šo ziņojumu aizpildīšanā.</w:t>
      </w:r>
    </w:p>
    <w:p w:rsidR="00AD0E66" w:rsidRPr="00AE40CC" w:rsidRDefault="00570BF0" w:rsidP="00877666">
      <w:pPr>
        <w:pStyle w:val="ListParagraph"/>
        <w:numPr>
          <w:ilvl w:val="0"/>
          <w:numId w:val="10"/>
        </w:numPr>
        <w:spacing w:after="0"/>
        <w:ind w:left="284"/>
        <w:jc w:val="both"/>
        <w:rPr>
          <w:rFonts w:ascii="Times New Roman" w:hAnsi="Times New Roman"/>
          <w:lang w:val="lv-LV"/>
        </w:rPr>
      </w:pPr>
      <w:r>
        <w:rPr>
          <w:rFonts w:ascii="Times New Roman" w:hAnsi="Times New Roman"/>
          <w:lang w:val="lv-LV"/>
        </w:rPr>
        <w:t xml:space="preserve">Metodoloģiskais atbalsts potenciālajiem pretendentiem, organizējot seminārus pirms projektu konkursiem, sagatavojot metodoloģiju nepieciešamo dokumentu aizpildīšanai un sniedzot atbildes uz biežāk uzdotajiem jautājumiem LIAA tīmekļa vietnē. </w:t>
      </w:r>
    </w:p>
    <w:p w:rsidR="00AD0E66" w:rsidRPr="00AE40CC" w:rsidRDefault="00570BF0" w:rsidP="00877666">
      <w:pPr>
        <w:pStyle w:val="ListParagraph"/>
        <w:numPr>
          <w:ilvl w:val="0"/>
          <w:numId w:val="10"/>
        </w:numPr>
        <w:spacing w:after="0"/>
        <w:ind w:left="284"/>
        <w:jc w:val="both"/>
        <w:rPr>
          <w:rFonts w:ascii="Times New Roman" w:hAnsi="Times New Roman"/>
          <w:lang w:val="lv-LV"/>
        </w:rPr>
      </w:pPr>
      <w:r>
        <w:rPr>
          <w:rFonts w:ascii="Times New Roman" w:hAnsi="Times New Roman"/>
          <w:lang w:val="lv-LV"/>
        </w:rPr>
        <w:t>Visa informācija par projektiem tiks apkopota, lai novērstu dubultās finansēšanas riskus.</w:t>
      </w:r>
    </w:p>
    <w:p w:rsidR="00524AAD" w:rsidRPr="00AE40CC" w:rsidRDefault="00570BF0" w:rsidP="000D1A33">
      <w:pPr>
        <w:spacing w:after="0"/>
        <w:ind w:firstLine="284"/>
        <w:jc w:val="both"/>
        <w:rPr>
          <w:rFonts w:ascii="Times New Roman" w:hAnsi="Times New Roman"/>
          <w:lang w:val="lv-LV"/>
        </w:rPr>
      </w:pPr>
      <w:r>
        <w:rPr>
          <w:rFonts w:ascii="Times New Roman" w:hAnsi="Times New Roman"/>
          <w:lang w:val="lv-LV"/>
        </w:rPr>
        <w:t xml:space="preserve">Projektu uzraudzības plāns ir dots </w:t>
      </w:r>
      <w:r w:rsidRPr="00570BF0">
        <w:rPr>
          <w:rFonts w:ascii="Times New Roman" w:hAnsi="Times New Roman"/>
          <w:lang w:val="lv-LV"/>
        </w:rPr>
        <w:t>4. Pielikumā (Uzraudzības Plāns).</w:t>
      </w:r>
      <w:r w:rsidR="00137FE3" w:rsidRPr="00AE40CC">
        <w:rPr>
          <w:rFonts w:ascii="Times New Roman" w:hAnsi="Times New Roman"/>
          <w:lang w:val="lv-LV"/>
        </w:rPr>
        <w:t xml:space="preserve"> </w:t>
      </w:r>
    </w:p>
    <w:p w:rsidR="000D1A33" w:rsidRPr="00AE40CC" w:rsidRDefault="000D1A33" w:rsidP="000D1A33">
      <w:pPr>
        <w:spacing w:after="0"/>
        <w:ind w:firstLine="284"/>
        <w:jc w:val="both"/>
        <w:rPr>
          <w:rFonts w:ascii="Times New Roman" w:hAnsi="Times New Roman"/>
          <w:lang w:val="lv-LV"/>
        </w:rPr>
      </w:pPr>
    </w:p>
    <w:p w:rsidR="00A9482F" w:rsidRPr="00AE40CC" w:rsidRDefault="00570BF0" w:rsidP="005B1C95">
      <w:pPr>
        <w:spacing w:after="0"/>
        <w:ind w:firstLine="284"/>
        <w:jc w:val="both"/>
        <w:rPr>
          <w:rFonts w:ascii="Times New Roman" w:hAnsi="Times New Roman"/>
          <w:lang w:val="lv-LV"/>
        </w:rPr>
      </w:pPr>
      <w:r>
        <w:rPr>
          <w:rFonts w:ascii="Times New Roman" w:hAnsi="Times New Roman"/>
          <w:lang w:val="lv-LV"/>
        </w:rPr>
        <w:t xml:space="preserve">EM uzraudzīs vispārējos Programmas sasniegumus un atsevišķos gadījumos var tik izvērtēti un apmeklēti atsevišķi projekti, lai pārbaudītu to īstenošanas progresu. </w:t>
      </w:r>
    </w:p>
    <w:p w:rsidR="005B1C95" w:rsidRPr="00AE40CC" w:rsidRDefault="005B1C95" w:rsidP="005B1C95">
      <w:pPr>
        <w:spacing w:after="0"/>
        <w:ind w:firstLine="284"/>
        <w:jc w:val="both"/>
        <w:rPr>
          <w:rFonts w:ascii="Times New Roman" w:hAnsi="Times New Roman"/>
          <w:lang w:val="lv-LV"/>
        </w:rPr>
      </w:pPr>
    </w:p>
    <w:p w:rsidR="00A9482F" w:rsidRPr="00AE40CC" w:rsidRDefault="00570BF0" w:rsidP="000D1A33">
      <w:pPr>
        <w:pStyle w:val="Heading2"/>
        <w:spacing w:before="0"/>
        <w:rPr>
          <w:rFonts w:ascii="Times New Roman" w:hAnsi="Times New Roman"/>
          <w:sz w:val="22"/>
          <w:szCs w:val="22"/>
          <w:lang w:val="lv-LV"/>
        </w:rPr>
      </w:pPr>
      <w:r>
        <w:rPr>
          <w:rFonts w:ascii="Times New Roman" w:hAnsi="Times New Roman"/>
          <w:sz w:val="22"/>
          <w:szCs w:val="22"/>
          <w:lang w:val="lv-LV"/>
        </w:rPr>
        <w:lastRenderedPageBreak/>
        <w:t>Informācija un publicitāte</w:t>
      </w:r>
    </w:p>
    <w:p w:rsidR="00A9482F" w:rsidRPr="00AE40CC" w:rsidRDefault="00570BF0" w:rsidP="00891D61">
      <w:pPr>
        <w:spacing w:after="0"/>
        <w:jc w:val="both"/>
        <w:rPr>
          <w:rFonts w:ascii="Times New Roman" w:hAnsi="Times New Roman"/>
          <w:b/>
          <w:bCs/>
          <w:lang w:val="lv-LV"/>
        </w:rPr>
      </w:pPr>
      <w:bookmarkStart w:id="83" w:name="OLE_LINK3"/>
      <w:r>
        <w:rPr>
          <w:rFonts w:ascii="Times New Roman" w:hAnsi="Times New Roman"/>
          <w:b/>
          <w:bCs/>
          <w:lang w:val="lv-LV"/>
        </w:rPr>
        <w:t xml:space="preserve">Pievienot kā Pielikumu Programmas iesniegumam Komunikācijas plānu, kura veidlapa ir pieejama Komunikācijas rokasgrāmatā, saskaņā ar Noteikumu 4.7.2.pantu un Informācijas un Publicitātes prasībām. </w:t>
      </w:r>
    </w:p>
    <w:p w:rsidR="00A9482F" w:rsidRPr="00AE40CC" w:rsidRDefault="00570BF0" w:rsidP="0029607B">
      <w:pPr>
        <w:spacing w:after="0"/>
        <w:ind w:firstLine="284"/>
        <w:jc w:val="both"/>
        <w:rPr>
          <w:rFonts w:ascii="Times New Roman" w:hAnsi="Times New Roman"/>
          <w:lang w:val="lv-LV"/>
        </w:rPr>
      </w:pPr>
      <w:r>
        <w:rPr>
          <w:rFonts w:ascii="Times New Roman" w:hAnsi="Times New Roman"/>
          <w:lang w:val="lv-LV"/>
        </w:rPr>
        <w:t>EM un LIAA tīmekļa vietnē būs pieejama informācija par Programmu</w:t>
      </w:r>
      <w:r>
        <w:rPr>
          <w:rFonts w:ascii="Times New Roman" w:hAnsi="Times New Roman"/>
          <w:bCs/>
          <w:lang w:val="lv-LV"/>
        </w:rPr>
        <w:t xml:space="preserve"> atbilstoši Noteikumu 4. pielikuma „Informācijas un publicitātes prasības” 3.2. </w:t>
      </w:r>
      <w:r w:rsidR="006E4CDD">
        <w:rPr>
          <w:rFonts w:ascii="Times New Roman" w:hAnsi="Times New Roman"/>
          <w:bCs/>
          <w:lang w:val="lv-LV"/>
        </w:rPr>
        <w:t xml:space="preserve">daļas </w:t>
      </w:r>
      <w:r>
        <w:rPr>
          <w:rFonts w:ascii="Times New Roman" w:hAnsi="Times New Roman"/>
          <w:bCs/>
          <w:lang w:val="lv-LV"/>
        </w:rPr>
        <w:t>d) punktam un 6. </w:t>
      </w:r>
      <w:r w:rsidR="006E4CDD">
        <w:rPr>
          <w:rFonts w:ascii="Times New Roman" w:hAnsi="Times New Roman"/>
          <w:bCs/>
          <w:lang w:val="lv-LV"/>
        </w:rPr>
        <w:t>daļai</w:t>
      </w:r>
      <w:r>
        <w:rPr>
          <w:rFonts w:ascii="Times New Roman" w:hAnsi="Times New Roman"/>
          <w:bCs/>
          <w:lang w:val="lv-LV"/>
        </w:rPr>
        <w:t xml:space="preserve">. </w:t>
      </w:r>
      <w:r>
        <w:rPr>
          <w:rFonts w:ascii="Times New Roman" w:hAnsi="Times New Roman"/>
          <w:lang w:val="lv-LV"/>
        </w:rPr>
        <w:t>Turklāt LIAA veicinās Programmas atpazīstamību tās rīkotajos semināros un citos pasākumos</w:t>
      </w:r>
      <w:r>
        <w:rPr>
          <w:rFonts w:ascii="Times New Roman" w:hAnsi="Times New Roman"/>
          <w:bCs/>
          <w:lang w:val="lv-LV"/>
        </w:rPr>
        <w:t xml:space="preserve">. </w:t>
      </w:r>
      <w:r>
        <w:rPr>
          <w:rFonts w:ascii="Times New Roman" w:hAnsi="Times New Roman"/>
          <w:lang w:val="lv-LV"/>
        </w:rPr>
        <w:t>Norvēģijas Inovāciju aģentūra un SIVA palīdzēs veicināt Programmas aktivitātes, izplatot informāciju savā tīmekļa vietnē un informējot partnerus. Tāpat EM Programmas iesnieguma sagatavošanas procesā ir iesaistījusi ieinteresētās puses, kam ir jāsekmē Programmas atpazīstamība</w:t>
      </w:r>
      <w:r>
        <w:rPr>
          <w:rFonts w:ascii="Times New Roman" w:hAnsi="Times New Roman"/>
          <w:bCs/>
          <w:lang w:val="lv-LV"/>
        </w:rPr>
        <w:t>.</w:t>
      </w:r>
    </w:p>
    <w:p w:rsidR="00A9482F" w:rsidRPr="00AE40CC" w:rsidRDefault="00570BF0" w:rsidP="00A9482F">
      <w:pPr>
        <w:spacing w:after="0"/>
        <w:ind w:firstLine="284"/>
        <w:jc w:val="both"/>
        <w:rPr>
          <w:rFonts w:ascii="Times New Roman" w:hAnsi="Times New Roman"/>
          <w:bCs/>
          <w:lang w:val="lv-LV"/>
        </w:rPr>
      </w:pPr>
      <w:r>
        <w:rPr>
          <w:rFonts w:ascii="Times New Roman" w:hAnsi="Times New Roman"/>
          <w:bCs/>
          <w:lang w:val="lv-LV"/>
        </w:rPr>
        <w:t>Bez tam LIAA izstrādās komunikāciju plānu saskaņā ar Noteikumu 4. pielikuma „Informācijas un publicitātes prasības” 4. </w:t>
      </w:r>
      <w:r w:rsidR="006E4CDD">
        <w:rPr>
          <w:rFonts w:ascii="Times New Roman" w:hAnsi="Times New Roman"/>
          <w:bCs/>
          <w:lang w:val="lv-LV"/>
        </w:rPr>
        <w:t>daļu</w:t>
      </w:r>
      <w:r>
        <w:rPr>
          <w:rFonts w:ascii="Times New Roman" w:hAnsi="Times New Roman"/>
          <w:bCs/>
          <w:lang w:val="lv-LV"/>
        </w:rPr>
        <w:t>.</w:t>
      </w:r>
    </w:p>
    <w:p w:rsidR="00EF1EA1" w:rsidRPr="00AE40CC" w:rsidRDefault="00570BF0" w:rsidP="00A9482F">
      <w:pPr>
        <w:spacing w:after="0"/>
        <w:ind w:firstLine="284"/>
        <w:jc w:val="both"/>
        <w:rPr>
          <w:rFonts w:ascii="Times New Roman" w:hAnsi="Times New Roman"/>
          <w:bCs/>
          <w:lang w:val="lv-LV"/>
        </w:rPr>
      </w:pPr>
      <w:r>
        <w:rPr>
          <w:rFonts w:ascii="Times New Roman" w:hAnsi="Times New Roman"/>
          <w:bCs/>
          <w:lang w:val="lv-LV"/>
        </w:rPr>
        <w:t xml:space="preserve">Tāpat informācija par iepriekš noteikto projektu tiks publiskota atbilstoši Noteikumu 4. pielikuma „Informācijas un publicitātes prasības” 4.2. </w:t>
      </w:r>
      <w:r w:rsidR="006E4CDD">
        <w:rPr>
          <w:rFonts w:ascii="Times New Roman" w:hAnsi="Times New Roman"/>
          <w:bCs/>
          <w:lang w:val="lv-LV"/>
        </w:rPr>
        <w:t xml:space="preserve">daļas </w:t>
      </w:r>
      <w:r>
        <w:rPr>
          <w:rFonts w:ascii="Times New Roman" w:hAnsi="Times New Roman"/>
          <w:bCs/>
          <w:lang w:val="lv-LV"/>
        </w:rPr>
        <w:t>d) punktam un 6. </w:t>
      </w:r>
      <w:r w:rsidR="006E4CDD">
        <w:rPr>
          <w:rFonts w:ascii="Times New Roman" w:hAnsi="Times New Roman"/>
          <w:bCs/>
          <w:lang w:val="lv-LV"/>
        </w:rPr>
        <w:t>daļai</w:t>
      </w:r>
      <w:r>
        <w:rPr>
          <w:rFonts w:ascii="Times New Roman" w:hAnsi="Times New Roman"/>
          <w:bCs/>
          <w:lang w:val="lv-LV"/>
        </w:rPr>
        <w:t>.</w:t>
      </w:r>
    </w:p>
    <w:p w:rsidR="00A9482F" w:rsidRPr="00AE40CC" w:rsidRDefault="00570BF0" w:rsidP="006A313A">
      <w:pPr>
        <w:spacing w:after="0"/>
        <w:ind w:firstLine="284"/>
        <w:jc w:val="both"/>
        <w:rPr>
          <w:rFonts w:ascii="Times New Roman" w:hAnsi="Times New Roman"/>
          <w:lang w:val="lv-LV"/>
        </w:rPr>
      </w:pPr>
      <w:r>
        <w:rPr>
          <w:rFonts w:ascii="Times New Roman" w:hAnsi="Times New Roman"/>
          <w:lang w:val="lv-LV"/>
        </w:rPr>
        <w:t>LIAA plāno organizēt divus seminārus, lai veicinātu Programmas atpazīstamību un pārskatītu tās progresu. Pirmais seminārs notiks 2012. gada nogalē, lai iepazīstinātu potenciālos projekta iesniedzējus ar Programmu un paaugstinātu sabiedrības informētību par Programmas esamību, kā arī izskaidrotu nosacījumus un kārtību dalībai Programmā. Savukārt otrs seminārs tiks organizēts kā noslēguma pasākums 2017. gadā, lai apkopotu rezultātus par Programmas vispārējo ietekmi</w:t>
      </w:r>
      <w:r>
        <w:rPr>
          <w:rFonts w:ascii="Times New Roman" w:hAnsi="Times New Roman"/>
          <w:bCs/>
          <w:lang w:val="lv-LV"/>
        </w:rPr>
        <w:t>.</w:t>
      </w:r>
    </w:p>
    <w:p w:rsidR="00223486" w:rsidRPr="00AE40CC" w:rsidRDefault="00570BF0" w:rsidP="00A9482F">
      <w:pPr>
        <w:spacing w:after="0"/>
        <w:ind w:firstLine="284"/>
        <w:jc w:val="both"/>
        <w:rPr>
          <w:rFonts w:ascii="Times New Roman" w:hAnsi="Times New Roman"/>
          <w:bCs/>
          <w:lang w:val="lv-LV"/>
        </w:rPr>
      </w:pPr>
      <w:r>
        <w:rPr>
          <w:rFonts w:ascii="Times New Roman" w:hAnsi="Times New Roman"/>
          <w:lang w:val="lv-LV"/>
        </w:rPr>
        <w:t xml:space="preserve">Projekta komunikāciju plāns ir sniegts </w:t>
      </w:r>
      <w:r w:rsidRPr="00570BF0">
        <w:rPr>
          <w:rFonts w:ascii="Times New Roman" w:hAnsi="Times New Roman"/>
          <w:lang w:val="lv-LV"/>
        </w:rPr>
        <w:t>5. Pielikumā (Komunikāciju plāns).</w:t>
      </w:r>
    </w:p>
    <w:bookmarkEnd w:id="83"/>
    <w:p w:rsidR="00A9482F" w:rsidRPr="00AE40CC" w:rsidRDefault="00570BF0" w:rsidP="00A9482F">
      <w:pPr>
        <w:pStyle w:val="Heading2"/>
        <w:rPr>
          <w:rFonts w:ascii="Times New Roman" w:hAnsi="Times New Roman"/>
          <w:sz w:val="22"/>
          <w:szCs w:val="22"/>
          <w:lang w:val="lv-LV"/>
        </w:rPr>
      </w:pPr>
      <w:r>
        <w:rPr>
          <w:rFonts w:ascii="Times New Roman" w:hAnsi="Times New Roman"/>
          <w:sz w:val="22"/>
          <w:szCs w:val="22"/>
          <w:lang w:val="lv-LV"/>
        </w:rPr>
        <w:t xml:space="preserve">Vadība </w:t>
      </w:r>
    </w:p>
    <w:p w:rsidR="00A9482F" w:rsidRPr="00AE40CC" w:rsidRDefault="00570BF0" w:rsidP="00DE2F7D">
      <w:pPr>
        <w:pStyle w:val="Heading3"/>
        <w:spacing w:before="0"/>
        <w:rPr>
          <w:rFonts w:ascii="Times New Roman" w:hAnsi="Times New Roman"/>
          <w:lang w:val="lv-LV"/>
        </w:rPr>
      </w:pPr>
      <w:bookmarkStart w:id="84" w:name="_Toc257373780"/>
      <w:bookmarkStart w:id="85" w:name="_Toc257374574"/>
      <w:bookmarkStart w:id="86" w:name="_Toc257374734"/>
      <w:bookmarkStart w:id="87" w:name="_Toc257617553"/>
      <w:bookmarkStart w:id="88" w:name="_Toc257373781"/>
      <w:bookmarkStart w:id="89" w:name="_Toc257374575"/>
      <w:bookmarkStart w:id="90" w:name="_Toc257374735"/>
      <w:bookmarkStart w:id="91" w:name="_Toc257617554"/>
      <w:bookmarkStart w:id="92" w:name="_Toc257816074"/>
      <w:r>
        <w:rPr>
          <w:rFonts w:ascii="Times New Roman" w:hAnsi="Times New Roman"/>
          <w:lang w:val="lv-LV"/>
        </w:rPr>
        <w:t>Vadības struktūra</w:t>
      </w:r>
    </w:p>
    <w:p w:rsidR="00A9482F" w:rsidRPr="00AE40CC" w:rsidRDefault="00570BF0" w:rsidP="00CF3A67">
      <w:pPr>
        <w:tabs>
          <w:tab w:val="left" w:pos="360"/>
        </w:tabs>
        <w:spacing w:after="0"/>
        <w:jc w:val="both"/>
        <w:rPr>
          <w:rFonts w:ascii="Times New Roman" w:hAnsi="Times New Roman"/>
          <w:b/>
          <w:lang w:val="lv-LV"/>
        </w:rPr>
      </w:pPr>
      <w:r>
        <w:rPr>
          <w:rFonts w:ascii="Times New Roman" w:hAnsi="Times New Roman"/>
          <w:b/>
          <w:lang w:val="lv-LV"/>
        </w:rPr>
        <w:t xml:space="preserve">Programmas apsaimniekotājs sniedz informāciju par to, kā programma tiks vadīta. Pievienot Programmas iesniegumam kā Pielikumu vienu vai vairākus grafikus, lai attēlotu vadības struktūru. </w:t>
      </w:r>
    </w:p>
    <w:p w:rsidR="00A9482F" w:rsidRPr="00AE40CC" w:rsidRDefault="00570BF0" w:rsidP="00915861">
      <w:pPr>
        <w:pStyle w:val="ListParagraph"/>
        <w:spacing w:after="0"/>
        <w:ind w:left="0" w:firstLine="284"/>
        <w:jc w:val="both"/>
        <w:rPr>
          <w:rFonts w:ascii="Times New Roman" w:hAnsi="Times New Roman"/>
          <w:lang w:val="lv-LV"/>
        </w:rPr>
      </w:pPr>
      <w:r>
        <w:rPr>
          <w:rFonts w:ascii="Times New Roman" w:hAnsi="Times New Roman"/>
          <w:lang w:val="lv-LV"/>
        </w:rPr>
        <w:t xml:space="preserve">Programmas vispārējo vadību veiks EM ierēdņi ar plašu pieredzi </w:t>
      </w:r>
      <w:r w:rsidR="00C501BB">
        <w:rPr>
          <w:rFonts w:ascii="Times New Roman" w:hAnsi="Times New Roman"/>
          <w:lang w:val="lv-LV"/>
        </w:rPr>
        <w:t>uzņēmējdarbības atbalsta programmu</w:t>
      </w:r>
      <w:r>
        <w:rPr>
          <w:rFonts w:ascii="Times New Roman" w:hAnsi="Times New Roman"/>
          <w:lang w:val="lv-LV"/>
        </w:rPr>
        <w:t xml:space="preserve"> </w:t>
      </w:r>
      <w:r w:rsidR="00263BBC">
        <w:rPr>
          <w:rFonts w:ascii="Times New Roman" w:hAnsi="Times New Roman"/>
          <w:lang w:val="lv-LV"/>
        </w:rPr>
        <w:t>izveidē un</w:t>
      </w:r>
      <w:r>
        <w:rPr>
          <w:rFonts w:ascii="Times New Roman" w:hAnsi="Times New Roman"/>
          <w:lang w:val="lv-LV"/>
        </w:rPr>
        <w:t xml:space="preserve"> administrēšanā. EM struktūra ir pieejama 6. </w:t>
      </w:r>
      <w:r w:rsidRPr="00570BF0">
        <w:rPr>
          <w:rFonts w:ascii="Times New Roman" w:hAnsi="Times New Roman"/>
          <w:lang w:val="lv-LV"/>
        </w:rPr>
        <w:t>Pielikumā (Ekonomikas ministrijas struktūra)</w:t>
      </w:r>
      <w:r w:rsidR="003A049E" w:rsidRPr="00AE40CC">
        <w:rPr>
          <w:rFonts w:ascii="Times New Roman" w:hAnsi="Times New Roman"/>
          <w:lang w:val="lv-LV"/>
        </w:rPr>
        <w:t xml:space="preserve">, bet EM </w:t>
      </w:r>
      <w:r w:rsidR="00C501BB">
        <w:rPr>
          <w:rFonts w:ascii="Times New Roman" w:hAnsi="Times New Roman"/>
          <w:lang w:val="lv-LV"/>
        </w:rPr>
        <w:t>Uzņēmējdarbības konkurētspējas</w:t>
      </w:r>
      <w:r w:rsidR="003A049E" w:rsidRPr="00AE40CC">
        <w:rPr>
          <w:rFonts w:ascii="Times New Roman" w:hAnsi="Times New Roman"/>
          <w:lang w:val="lv-LV"/>
        </w:rPr>
        <w:t xml:space="preserve"> departamenta struktūra ir pievienota </w:t>
      </w:r>
      <w:r w:rsidRPr="00570BF0">
        <w:rPr>
          <w:rFonts w:ascii="Times New Roman" w:hAnsi="Times New Roman"/>
          <w:lang w:val="lv-LV"/>
        </w:rPr>
        <w:t xml:space="preserve">7. Pielikumā (Ekonomikas ministrijas </w:t>
      </w:r>
      <w:r w:rsidR="00C501BB">
        <w:rPr>
          <w:rFonts w:ascii="Times New Roman" w:hAnsi="Times New Roman"/>
          <w:lang w:val="lv-LV"/>
        </w:rPr>
        <w:t>Uzņēmējdarbības konkurētspējas</w:t>
      </w:r>
      <w:r w:rsidRPr="00570BF0">
        <w:rPr>
          <w:rFonts w:ascii="Times New Roman" w:hAnsi="Times New Roman"/>
          <w:lang w:val="lv-LV"/>
        </w:rPr>
        <w:t xml:space="preserve"> departaments).</w:t>
      </w:r>
      <w:r w:rsidR="00137FE3" w:rsidRPr="00AE40CC">
        <w:rPr>
          <w:rFonts w:ascii="Times New Roman" w:hAnsi="Times New Roman"/>
          <w:lang w:val="lv-LV"/>
        </w:rPr>
        <w:t xml:space="preserve"> </w:t>
      </w:r>
      <w:r w:rsidR="00C42FC7" w:rsidRPr="00AE40CC">
        <w:rPr>
          <w:rFonts w:ascii="Times New Roman" w:hAnsi="Times New Roman"/>
          <w:lang w:val="lv-LV"/>
        </w:rPr>
        <w:t>Programm</w:t>
      </w:r>
      <w:r w:rsidR="00263BBC">
        <w:rPr>
          <w:rFonts w:ascii="Times New Roman" w:hAnsi="Times New Roman"/>
          <w:lang w:val="lv-LV"/>
        </w:rPr>
        <w:t>as uzraudzībā</w:t>
      </w:r>
      <w:r w:rsidR="00C42FC7" w:rsidRPr="00AE40CC">
        <w:rPr>
          <w:rFonts w:ascii="Times New Roman" w:hAnsi="Times New Roman"/>
          <w:lang w:val="lv-LV"/>
        </w:rPr>
        <w:t xml:space="preserve"> iesaistīto darbinieku</w:t>
      </w:r>
      <w:r w:rsidR="003A049E" w:rsidRPr="00AE40CC">
        <w:rPr>
          <w:rFonts w:ascii="Times New Roman" w:hAnsi="Times New Roman"/>
          <w:lang w:val="lv-LV"/>
        </w:rPr>
        <w:t xml:space="preserve"> saraksts</w:t>
      </w:r>
      <w:r>
        <w:rPr>
          <w:rFonts w:ascii="Times New Roman" w:hAnsi="Times New Roman"/>
          <w:lang w:val="lv-LV"/>
        </w:rPr>
        <w:t xml:space="preserve">, un to CV ir atrodams </w:t>
      </w:r>
      <w:r w:rsidRPr="00570BF0">
        <w:rPr>
          <w:rFonts w:ascii="Times New Roman" w:hAnsi="Times New Roman"/>
          <w:lang w:val="lv-LV"/>
        </w:rPr>
        <w:t>8. Pielikumā (</w:t>
      </w:r>
      <w:r w:rsidR="00263BBC">
        <w:rPr>
          <w:rFonts w:ascii="Times New Roman" w:hAnsi="Times New Roman"/>
          <w:lang w:val="lv-LV"/>
        </w:rPr>
        <w:t>D</w:t>
      </w:r>
      <w:r w:rsidRPr="00570BF0">
        <w:rPr>
          <w:rFonts w:ascii="Times New Roman" w:hAnsi="Times New Roman"/>
          <w:lang w:val="lv-LV"/>
        </w:rPr>
        <w:t>arbinieku CV).</w:t>
      </w:r>
      <w:r w:rsidR="00137FE3" w:rsidRPr="00AE40CC">
        <w:rPr>
          <w:rFonts w:ascii="Times New Roman" w:hAnsi="Times New Roman"/>
          <w:lang w:val="lv-LV"/>
        </w:rPr>
        <w:t xml:space="preserve"> </w:t>
      </w:r>
    </w:p>
    <w:p w:rsidR="00002F5E" w:rsidRPr="00AE40CC" w:rsidRDefault="00570BF0" w:rsidP="00C23E6C">
      <w:pPr>
        <w:spacing w:after="0"/>
        <w:ind w:firstLine="284"/>
        <w:jc w:val="both"/>
        <w:rPr>
          <w:rFonts w:ascii="Times New Roman" w:hAnsi="Times New Roman"/>
          <w:lang w:val="lv-LV"/>
        </w:rPr>
      </w:pPr>
      <w:r>
        <w:rPr>
          <w:rFonts w:ascii="Times New Roman" w:hAnsi="Times New Roman"/>
          <w:lang w:val="lv-LV"/>
        </w:rPr>
        <w:t>Vairums pienākumu attiecībā uz Noteikumu 4.7. </w:t>
      </w:r>
      <w:r w:rsidR="00AD4EF8">
        <w:rPr>
          <w:rFonts w:ascii="Times New Roman" w:hAnsi="Times New Roman"/>
          <w:lang w:val="lv-LV"/>
        </w:rPr>
        <w:t xml:space="preserve">pantu </w:t>
      </w:r>
      <w:r>
        <w:rPr>
          <w:rFonts w:ascii="Times New Roman" w:hAnsi="Times New Roman"/>
          <w:lang w:val="lv-LV"/>
        </w:rPr>
        <w:t>„Programmas apsaimniekotāja pienākumi” tiks nodotas LIAA. EM būs atbildīga par Programmas iesnieguma un Programmas Noteikumu izstrādi un vispārēju Programmas ieviešanas uzraudzību. Detalizētāk ar EM un citu iesaistīto institūciju pienākumiem var iepazīties 9.Pielikumā (</w:t>
      </w:r>
      <w:r w:rsidRPr="00570BF0">
        <w:rPr>
          <w:rFonts w:ascii="Times New Roman" w:hAnsi="Times New Roman"/>
          <w:lang w:val="lv-LV"/>
        </w:rPr>
        <w:t>Programmā iesaistīto institūciju funkcijas).</w:t>
      </w:r>
      <w:r w:rsidR="00C23E6C" w:rsidRPr="00AE40CC">
        <w:rPr>
          <w:rFonts w:ascii="Times New Roman" w:hAnsi="Times New Roman"/>
          <w:lang w:val="lv-LV"/>
        </w:rPr>
        <w:t xml:space="preserve"> LIAA būs </w:t>
      </w:r>
      <w:r w:rsidR="004A423F" w:rsidRPr="00AE40CC">
        <w:rPr>
          <w:rFonts w:ascii="Times New Roman" w:hAnsi="Times New Roman"/>
          <w:lang w:val="lv-LV"/>
        </w:rPr>
        <w:t xml:space="preserve">atbildīga par administratīvajām aktivitātēm saistībā ar projektu </w:t>
      </w:r>
      <w:r>
        <w:rPr>
          <w:rFonts w:ascii="Times New Roman" w:hAnsi="Times New Roman"/>
          <w:lang w:val="lv-LV"/>
        </w:rPr>
        <w:t xml:space="preserve">atlasi, uzraudzību un kontroli, nodrošinot savlaicīgus maksājumus un finansējuma izlietojumu vienīgi paredzētajiem Programmas mērķiem. LIAA uzraudzīs iepriekš noteikto projektu. Tehnoloģiju inkubatora operators ziņos par sasniegto progresu primāri LIAA un nepieciešamības gadījumā EM un Norvēģijas Inovāciju aģentūrai. </w:t>
      </w:r>
    </w:p>
    <w:p w:rsidR="00C93826" w:rsidRPr="00AE40CC" w:rsidRDefault="00570BF0" w:rsidP="004E2C03">
      <w:pPr>
        <w:tabs>
          <w:tab w:val="left" w:pos="360"/>
        </w:tabs>
        <w:spacing w:after="0"/>
        <w:ind w:firstLine="284"/>
        <w:jc w:val="both"/>
        <w:rPr>
          <w:rFonts w:ascii="Times New Roman" w:hAnsi="Times New Roman"/>
          <w:lang w:val="lv-LV"/>
        </w:rPr>
      </w:pPr>
      <w:r>
        <w:rPr>
          <w:rFonts w:ascii="Times New Roman" w:hAnsi="Times New Roman"/>
          <w:lang w:val="lv-LV"/>
        </w:rPr>
        <w:t xml:space="preserve">LIAA uzdotos pienākumus veiks primāri Investīciju projektu departaments un papildus pēc nepieciešamības tiks iesaistīts Struktūrfondu vadības un kontroles departaments, Juridiskais departaments un Finanšu departaments. LIAA struktūra ir atrodama </w:t>
      </w:r>
      <w:r w:rsidRPr="00570BF0">
        <w:rPr>
          <w:rFonts w:ascii="Times New Roman" w:hAnsi="Times New Roman"/>
          <w:lang w:val="lv-LV"/>
        </w:rPr>
        <w:t>10. Pielikumā (v/a „Latvijas Investīciju un attīstības aģentūra” struktūra.</w:t>
      </w:r>
      <w:r w:rsidR="00137FE3" w:rsidRPr="00AE40CC">
        <w:rPr>
          <w:rFonts w:ascii="Times New Roman" w:hAnsi="Times New Roman"/>
          <w:lang w:val="lv-LV"/>
        </w:rPr>
        <w:t xml:space="preserve"> </w:t>
      </w:r>
    </w:p>
    <w:p w:rsidR="00A9482F" w:rsidRPr="00AE40CC" w:rsidRDefault="00570BF0" w:rsidP="004E2C03">
      <w:pPr>
        <w:tabs>
          <w:tab w:val="left" w:pos="360"/>
        </w:tabs>
        <w:spacing w:after="0"/>
        <w:ind w:firstLine="284"/>
        <w:jc w:val="both"/>
        <w:rPr>
          <w:rFonts w:ascii="Times New Roman" w:hAnsi="Times New Roman"/>
          <w:lang w:val="lv-LV"/>
        </w:rPr>
      </w:pPr>
      <w:r>
        <w:rPr>
          <w:rFonts w:ascii="Times New Roman" w:hAnsi="Times New Roman"/>
          <w:lang w:val="lv-LV"/>
        </w:rPr>
        <w:t xml:space="preserve">Izmaksas, kas radušās, veicot iepriekšminētās funkcijas, segs Programmas administratīvais budžets. Šī ir standarta struktūra, kā atbildība tiek sadalīta ES fondu projektos Latvijā, un pēdējo gadu laikā LIAA ir ieguvusi būtisku pieredzi šo funkciju veikšanā. </w:t>
      </w:r>
    </w:p>
    <w:p w:rsidR="00173429" w:rsidRPr="00AE40CC" w:rsidRDefault="00570BF0" w:rsidP="00173429">
      <w:pPr>
        <w:tabs>
          <w:tab w:val="left" w:pos="360"/>
        </w:tabs>
        <w:spacing w:after="0"/>
        <w:ind w:firstLine="284"/>
        <w:jc w:val="both"/>
        <w:rPr>
          <w:rFonts w:ascii="Times New Roman" w:hAnsi="Times New Roman"/>
          <w:lang w:val="lv-LV"/>
        </w:rPr>
      </w:pPr>
      <w:r>
        <w:rPr>
          <w:rFonts w:ascii="Times New Roman" w:hAnsi="Times New Roman"/>
          <w:lang w:val="lv-LV"/>
        </w:rPr>
        <w:t>Programmas struktūra ir pieejama 11</w:t>
      </w:r>
      <w:r w:rsidRPr="00570BF0">
        <w:rPr>
          <w:rFonts w:ascii="Times New Roman" w:hAnsi="Times New Roman"/>
          <w:lang w:val="lv-LV"/>
        </w:rPr>
        <w:t>. Pielikumā (Vadības struktūra).</w:t>
      </w:r>
      <w:r w:rsidR="00137FE3" w:rsidRPr="00AE40CC">
        <w:rPr>
          <w:rFonts w:ascii="Times New Roman" w:hAnsi="Times New Roman"/>
          <w:lang w:val="lv-LV"/>
        </w:rPr>
        <w:t xml:space="preserve"> </w:t>
      </w:r>
    </w:p>
    <w:p w:rsidR="00173429" w:rsidRPr="00AE40CC" w:rsidRDefault="00570BF0" w:rsidP="00173429">
      <w:pPr>
        <w:tabs>
          <w:tab w:val="left" w:pos="360"/>
        </w:tabs>
        <w:spacing w:after="0"/>
        <w:ind w:firstLine="284"/>
        <w:jc w:val="both"/>
        <w:rPr>
          <w:rFonts w:ascii="Times New Roman" w:hAnsi="Times New Roman"/>
          <w:lang w:val="lv-LV"/>
        </w:rPr>
      </w:pPr>
      <w:r>
        <w:rPr>
          <w:rFonts w:ascii="Times New Roman" w:hAnsi="Times New Roman"/>
          <w:b/>
          <w:lang w:val="lv-LV"/>
        </w:rPr>
        <w:lastRenderedPageBreak/>
        <w:t>Ja ir iesaistīti Programmas partneri, aprakstīt viņu lomu, sniegto pievienoto vērtību, lomu sadalījumu un attiecīgos pienākumus.</w:t>
      </w:r>
      <w:r>
        <w:rPr>
          <w:rFonts w:ascii="Times New Roman" w:hAnsi="Times New Roman"/>
          <w:lang w:val="lv-LV"/>
        </w:rPr>
        <w:t xml:space="preserve"> </w:t>
      </w:r>
    </w:p>
    <w:p w:rsidR="00301C0B" w:rsidRPr="00AE40CC" w:rsidRDefault="00570BF0" w:rsidP="00173429">
      <w:pPr>
        <w:tabs>
          <w:tab w:val="left" w:pos="360"/>
        </w:tabs>
        <w:spacing w:after="0"/>
        <w:ind w:firstLine="284"/>
        <w:jc w:val="both"/>
        <w:rPr>
          <w:rFonts w:ascii="Times New Roman" w:hAnsi="Times New Roman"/>
          <w:lang w:val="lv-LV"/>
        </w:rPr>
      </w:pPr>
      <w:r>
        <w:rPr>
          <w:rFonts w:ascii="Times New Roman" w:hAnsi="Times New Roman"/>
          <w:lang w:val="lv-LV"/>
        </w:rPr>
        <w:t xml:space="preserve">Norvēģijas Inovāciju aģentūras loma ir aprakstīta Programmas iesnieguma 3.8. sadaļā „Divpusējas attiecības” un </w:t>
      </w:r>
      <w:r w:rsidRPr="00570BF0">
        <w:rPr>
          <w:rFonts w:ascii="Times New Roman" w:hAnsi="Times New Roman"/>
          <w:lang w:val="lv-LV"/>
        </w:rPr>
        <w:t>9.Pielikumā (Programmā iesaistīto institūciju funkcijas)</w:t>
      </w:r>
      <w:r w:rsidR="00137FE3" w:rsidRPr="00AE40CC">
        <w:rPr>
          <w:rFonts w:ascii="Times New Roman" w:hAnsi="Times New Roman"/>
          <w:lang w:val="lv-LV"/>
        </w:rPr>
        <w:t xml:space="preserve">. </w:t>
      </w:r>
    </w:p>
    <w:p w:rsidR="00301C0B" w:rsidRPr="00AE40CC" w:rsidRDefault="00301C0B" w:rsidP="00A9482F">
      <w:pPr>
        <w:tabs>
          <w:tab w:val="left" w:pos="360"/>
        </w:tabs>
        <w:spacing w:after="0"/>
        <w:rPr>
          <w:rFonts w:ascii="Times New Roman" w:hAnsi="Times New Roman"/>
          <w:b/>
          <w:lang w:val="lv-LV"/>
        </w:rPr>
      </w:pPr>
    </w:p>
    <w:p w:rsidR="00A9482F" w:rsidRPr="00AE40CC" w:rsidRDefault="00570BF0" w:rsidP="00A9482F">
      <w:pPr>
        <w:tabs>
          <w:tab w:val="left" w:pos="360"/>
        </w:tabs>
        <w:spacing w:after="0"/>
        <w:rPr>
          <w:rFonts w:ascii="Times New Roman" w:hAnsi="Times New Roman"/>
          <w:b/>
          <w:i/>
          <w:lang w:val="lv-LV"/>
        </w:rPr>
      </w:pPr>
      <w:r>
        <w:rPr>
          <w:rFonts w:ascii="Times New Roman" w:hAnsi="Times New Roman"/>
          <w:b/>
          <w:lang w:val="lv-LV"/>
        </w:rPr>
        <w:t xml:space="preserve">Aprakstīt Sadarbības komitejas darbību, ja tāda ir izveidota, </w:t>
      </w:r>
      <w:r>
        <w:rPr>
          <w:rFonts w:ascii="Times New Roman" w:hAnsi="Times New Roman"/>
          <w:b/>
          <w:i/>
          <w:lang w:val="lv-LV"/>
        </w:rPr>
        <w:t xml:space="preserve">un ievadīt informāciju arī attiecīgajā Statistikas pielikuma sadaļā. </w:t>
      </w:r>
    </w:p>
    <w:p w:rsidR="002A0A40" w:rsidRPr="00AE40CC" w:rsidRDefault="00570BF0" w:rsidP="003F6027">
      <w:pPr>
        <w:pStyle w:val="ColorfulList-Accent11"/>
        <w:spacing w:after="0"/>
        <w:ind w:left="0" w:firstLine="284"/>
        <w:contextualSpacing w:val="0"/>
        <w:jc w:val="both"/>
        <w:rPr>
          <w:rFonts w:ascii="Times New Roman" w:hAnsi="Times New Roman"/>
          <w:color w:val="000000"/>
          <w:lang w:val="lv-LV"/>
        </w:rPr>
      </w:pPr>
      <w:r>
        <w:rPr>
          <w:rFonts w:ascii="Times New Roman" w:hAnsi="Times New Roman"/>
          <w:lang w:val="lv-LV"/>
        </w:rPr>
        <w:t>Sadarbības komitejā ietilps četri balsstiesīgi locekļi no Latvijas un trīs balsstiesīgi locekļi no Norvēģijas</w:t>
      </w:r>
      <w:r>
        <w:rPr>
          <w:rFonts w:ascii="Times New Roman" w:hAnsi="Times New Roman"/>
          <w:color w:val="000000"/>
          <w:lang w:val="lv-LV"/>
        </w:rPr>
        <w:t xml:space="preserve">. Trīs balsstiesīgos locekļus ir nozīmējusi EM, vienu LIAA un trīs Norvēģijas Inovāciju aģentūra. Sākotnējā Sadarbības komitejas struktūra tika mainīta tajā iekļaujot arī LIAA pārstāvi, jo tika nolemts EM un Norvēģijas Inovāciju aģentūras starpā, ka būtu lietderīgi, ja arī LIAA būtu tiesības tiešā veidā piedalīties lēmumu pieņemšanā.  </w:t>
      </w:r>
    </w:p>
    <w:p w:rsidR="00A9482F" w:rsidRPr="00AE40CC" w:rsidRDefault="00570BF0" w:rsidP="003F6027">
      <w:pPr>
        <w:pStyle w:val="ColorfulList-Accent11"/>
        <w:spacing w:after="0"/>
        <w:ind w:left="0" w:firstLine="284"/>
        <w:contextualSpacing w:val="0"/>
        <w:jc w:val="both"/>
        <w:rPr>
          <w:rFonts w:ascii="Times New Roman" w:hAnsi="Times New Roman"/>
          <w:lang w:val="lv-LV"/>
        </w:rPr>
      </w:pPr>
      <w:r>
        <w:rPr>
          <w:rFonts w:ascii="Times New Roman" w:hAnsi="Times New Roman"/>
          <w:lang w:val="lv-LV"/>
        </w:rPr>
        <w:t>Lēmumi tiks pieņemti vienprātīgi, pēc nepieciešamības piemērojot balsošanas procedūru, kurā, ja balsojums ir vienlīdzīgs, noteicošā būs priekšsēdētāja balss</w:t>
      </w:r>
      <w:r>
        <w:rPr>
          <w:rFonts w:ascii="Times New Roman" w:hAnsi="Times New Roman"/>
          <w:color w:val="000000"/>
          <w:lang w:val="lv-LV"/>
        </w:rPr>
        <w:t xml:space="preserve">. </w:t>
      </w:r>
      <w:r>
        <w:rPr>
          <w:rFonts w:ascii="Times New Roman" w:hAnsi="Times New Roman"/>
          <w:lang w:val="lv-LV"/>
        </w:rPr>
        <w:t xml:space="preserve">Sadarbības komiteju vadīs EM. EM veiks arī Sadarbības komitejas sekretāra pienākumus. Sadarbības sēdes notiks ne retāk kā divas reizes gadā, nodrošinot iespēju starp sēdēm pieņemt lēmumus ar e-pasta starpniecību. Visi materiāli tiks nosūtīti visiem dalībniekiem vismaz 2 nedēļas pirms sēdes. Sadarbības komitejas darba valoda būs angļu valoda. Finanšu </w:t>
      </w:r>
      <w:r w:rsidR="003740CA">
        <w:rPr>
          <w:rFonts w:ascii="Times New Roman" w:hAnsi="Times New Roman"/>
          <w:lang w:val="lv-LV"/>
        </w:rPr>
        <w:t>instrumenta</w:t>
      </w:r>
      <w:r w:rsidR="003740CA" w:rsidRPr="00AE40CC">
        <w:rPr>
          <w:rFonts w:ascii="Times New Roman" w:hAnsi="Times New Roman"/>
          <w:lang w:val="lv-LV"/>
        </w:rPr>
        <w:t xml:space="preserve"> </w:t>
      </w:r>
      <w:r w:rsidR="009777F4" w:rsidRPr="00AE40CC">
        <w:rPr>
          <w:rFonts w:ascii="Times New Roman" w:hAnsi="Times New Roman"/>
          <w:lang w:val="lv-LV"/>
        </w:rPr>
        <w:t xml:space="preserve">biroja, SIVA, Norvēģijas Karalistes Vēstniecības Latvijā, </w:t>
      </w:r>
      <w:r w:rsidR="00D81F46">
        <w:rPr>
          <w:rFonts w:ascii="Times New Roman" w:hAnsi="Times New Roman"/>
          <w:lang w:val="lv-LV"/>
        </w:rPr>
        <w:t>VI</w:t>
      </w:r>
      <w:r w:rsidR="00D820F7" w:rsidRPr="00AE40CC">
        <w:rPr>
          <w:rFonts w:ascii="Times New Roman" w:hAnsi="Times New Roman"/>
          <w:lang w:val="lv-LV"/>
        </w:rPr>
        <w:t>, Norvēģijas Inovāciju aģentūras asociēt</w:t>
      </w:r>
      <w:r>
        <w:rPr>
          <w:rFonts w:ascii="Times New Roman" w:hAnsi="Times New Roman"/>
          <w:lang w:val="lv-LV"/>
        </w:rPr>
        <w:t>ā konsultantā Latvijā pārstāvji līdzdarbosies Sadarbības komitejā kā novērotāji.</w:t>
      </w:r>
    </w:p>
    <w:p w:rsidR="00A9482F" w:rsidRPr="00AE40CC" w:rsidRDefault="00570BF0" w:rsidP="000E77DE">
      <w:pPr>
        <w:pStyle w:val="ColorfulList-Accent11"/>
        <w:spacing w:after="0"/>
        <w:ind w:left="0" w:firstLine="284"/>
        <w:contextualSpacing w:val="0"/>
        <w:jc w:val="both"/>
        <w:rPr>
          <w:rFonts w:ascii="Times New Roman" w:hAnsi="Times New Roman"/>
          <w:lang w:val="lv-LV"/>
        </w:rPr>
      </w:pPr>
      <w:r>
        <w:rPr>
          <w:rFonts w:ascii="Times New Roman" w:hAnsi="Times New Roman"/>
          <w:lang w:val="lv-LV"/>
        </w:rPr>
        <w:t xml:space="preserve">Noteikumu 3.3.panta „Sadarbības komiteja” </w:t>
      </w:r>
      <w:r w:rsidR="00AD4EF8">
        <w:rPr>
          <w:rFonts w:ascii="Times New Roman" w:hAnsi="Times New Roman"/>
          <w:lang w:val="lv-LV"/>
        </w:rPr>
        <w:t>3</w:t>
      </w:r>
      <w:r>
        <w:rPr>
          <w:rFonts w:ascii="Times New Roman" w:hAnsi="Times New Roman"/>
          <w:lang w:val="lv-LV"/>
        </w:rPr>
        <w:t>.</w:t>
      </w:r>
      <w:r w:rsidR="006E4CDD">
        <w:rPr>
          <w:rFonts w:ascii="Times New Roman" w:hAnsi="Times New Roman"/>
          <w:lang w:val="lv-LV"/>
        </w:rPr>
        <w:t xml:space="preserve">daļa </w:t>
      </w:r>
      <w:r>
        <w:rPr>
          <w:rFonts w:ascii="Times New Roman" w:hAnsi="Times New Roman"/>
          <w:lang w:val="lv-LV"/>
        </w:rPr>
        <w:t xml:space="preserve">nosaka Sadarbības komitejas uzdevumus: </w:t>
      </w:r>
    </w:p>
    <w:p w:rsidR="00AD0E66" w:rsidRPr="00AE40CC" w:rsidRDefault="00570BF0" w:rsidP="00877666">
      <w:pPr>
        <w:pStyle w:val="ColorfulList-Accent11"/>
        <w:numPr>
          <w:ilvl w:val="0"/>
          <w:numId w:val="11"/>
        </w:numPr>
        <w:spacing w:after="0"/>
        <w:jc w:val="both"/>
        <w:rPr>
          <w:rFonts w:ascii="Times New Roman" w:hAnsi="Times New Roman"/>
          <w:lang w:val="lv-LV"/>
        </w:rPr>
      </w:pPr>
      <w:r>
        <w:rPr>
          <w:rFonts w:ascii="Times New Roman" w:hAnsi="Times New Roman"/>
          <w:lang w:val="lv-LV"/>
        </w:rPr>
        <w:t>sniegt ieteikumus attiecībā uz atlases kritērijiem un iesniegumu konkursa (-u) tekstu;</w:t>
      </w:r>
    </w:p>
    <w:p w:rsidR="00AD0E66" w:rsidRPr="00AE40CC" w:rsidRDefault="00570BF0" w:rsidP="00877666">
      <w:pPr>
        <w:pStyle w:val="ColorfulList-Accent11"/>
        <w:numPr>
          <w:ilvl w:val="0"/>
          <w:numId w:val="11"/>
        </w:numPr>
        <w:spacing w:after="0"/>
        <w:jc w:val="both"/>
        <w:rPr>
          <w:rFonts w:ascii="Times New Roman" w:hAnsi="Times New Roman"/>
          <w:lang w:val="lv-LV"/>
        </w:rPr>
      </w:pPr>
      <w:r>
        <w:rPr>
          <w:rFonts w:ascii="Times New Roman" w:hAnsi="Times New Roman"/>
          <w:lang w:val="lv-LV"/>
        </w:rPr>
        <w:t>sniegt ieteikumus attiecībā uz iespējamiem projekta partneriem Norvēģijā;</w:t>
      </w:r>
    </w:p>
    <w:p w:rsidR="00AD0E66" w:rsidRPr="00AE40CC" w:rsidRDefault="00570BF0" w:rsidP="00877666">
      <w:pPr>
        <w:pStyle w:val="ColorfulList-Accent11"/>
        <w:numPr>
          <w:ilvl w:val="0"/>
          <w:numId w:val="11"/>
        </w:numPr>
        <w:spacing w:after="0"/>
        <w:jc w:val="both"/>
        <w:rPr>
          <w:rFonts w:ascii="Times New Roman" w:hAnsi="Times New Roman"/>
          <w:lang w:val="lv-LV"/>
        </w:rPr>
      </w:pPr>
      <w:r>
        <w:rPr>
          <w:rFonts w:ascii="Times New Roman" w:hAnsi="Times New Roman"/>
          <w:lang w:val="lv-LV"/>
        </w:rPr>
        <w:t>izvērtēt progresu saistībā ar programmas iznākuma (-u) un mērķa (-u) sasniegšanu;</w:t>
      </w:r>
    </w:p>
    <w:p w:rsidR="00AD0E66" w:rsidRPr="00AE40CC" w:rsidRDefault="00570BF0" w:rsidP="00877666">
      <w:pPr>
        <w:pStyle w:val="ColorfulList-Accent11"/>
        <w:numPr>
          <w:ilvl w:val="0"/>
          <w:numId w:val="11"/>
        </w:numPr>
        <w:spacing w:after="0"/>
        <w:jc w:val="both"/>
        <w:rPr>
          <w:rFonts w:ascii="Times New Roman" w:hAnsi="Times New Roman"/>
          <w:lang w:val="lv-LV"/>
        </w:rPr>
      </w:pPr>
      <w:r>
        <w:rPr>
          <w:rFonts w:ascii="Times New Roman" w:hAnsi="Times New Roman"/>
          <w:lang w:val="lv-LV"/>
        </w:rPr>
        <w:t>pārbaudīt programmas ieviešanas rezultātus;</w:t>
      </w:r>
    </w:p>
    <w:p w:rsidR="00AD0E66" w:rsidRPr="00AE40CC" w:rsidRDefault="00570BF0" w:rsidP="00877666">
      <w:pPr>
        <w:pStyle w:val="ColorfulList-Accent11"/>
        <w:numPr>
          <w:ilvl w:val="0"/>
          <w:numId w:val="11"/>
        </w:numPr>
        <w:spacing w:after="0"/>
        <w:jc w:val="both"/>
        <w:rPr>
          <w:rFonts w:ascii="Times New Roman" w:hAnsi="Times New Roman"/>
          <w:lang w:val="lv-LV"/>
        </w:rPr>
      </w:pPr>
      <w:r>
        <w:rPr>
          <w:rFonts w:ascii="Times New Roman" w:hAnsi="Times New Roman"/>
          <w:lang w:val="lv-LV"/>
        </w:rPr>
        <w:t xml:space="preserve">pārskatīt ikgadējos programmas pārskatus; </w:t>
      </w:r>
    </w:p>
    <w:p w:rsidR="00AD0E66" w:rsidRPr="00AE40CC" w:rsidRDefault="00570BF0" w:rsidP="00877666">
      <w:pPr>
        <w:pStyle w:val="ColorfulList-Accent11"/>
        <w:numPr>
          <w:ilvl w:val="0"/>
          <w:numId w:val="11"/>
        </w:numPr>
        <w:spacing w:after="0"/>
        <w:jc w:val="both"/>
        <w:rPr>
          <w:rFonts w:ascii="Times New Roman" w:hAnsi="Times New Roman"/>
          <w:lang w:val="lv-LV"/>
        </w:rPr>
      </w:pPr>
      <w:r>
        <w:rPr>
          <w:rFonts w:ascii="Times New Roman" w:hAnsi="Times New Roman"/>
          <w:lang w:val="lv-LV"/>
        </w:rPr>
        <w:t>sniegt ieteikumus Programmas apsaimniekotājam attiecībā uz programmas pārskatīšanu, lai veicinātu programmas plānoto rezultātu un mērķu sasniegšanu.</w:t>
      </w:r>
    </w:p>
    <w:p w:rsidR="00A9482F" w:rsidRPr="00AE40CC" w:rsidRDefault="00570BF0" w:rsidP="00A9482F">
      <w:pPr>
        <w:spacing w:after="0"/>
        <w:ind w:right="6" w:firstLine="284"/>
        <w:rPr>
          <w:rFonts w:ascii="Times New Roman" w:hAnsi="Times New Roman"/>
          <w:lang w:val="lv-LV"/>
        </w:rPr>
      </w:pPr>
      <w:r>
        <w:rPr>
          <w:rFonts w:ascii="Times New Roman" w:hAnsi="Times New Roman"/>
          <w:lang w:val="lv-LV"/>
        </w:rPr>
        <w:t>Līdz programmas iesnieguma apstiprināšanai, Sadarbības komitejas uzdevumi ir šādi:</w:t>
      </w:r>
    </w:p>
    <w:p w:rsidR="00A9482F" w:rsidRPr="00AE40CC" w:rsidRDefault="00570BF0" w:rsidP="00A9482F">
      <w:pPr>
        <w:spacing w:after="0"/>
        <w:ind w:left="709" w:right="6"/>
        <w:rPr>
          <w:rFonts w:ascii="Times New Roman" w:hAnsi="Times New Roman"/>
          <w:lang w:val="lv-LV"/>
        </w:rPr>
      </w:pPr>
      <w:r>
        <w:rPr>
          <w:rFonts w:ascii="Times New Roman" w:hAnsi="Times New Roman"/>
          <w:lang w:val="lv-LV"/>
        </w:rPr>
        <w:t xml:space="preserve">1) sniegt ieteikumus attiecībā uz atlases kritērijiem un iesniegumu konkursa (u) tekstu; </w:t>
      </w:r>
    </w:p>
    <w:p w:rsidR="0035394B" w:rsidRPr="00AE40CC" w:rsidRDefault="00570BF0" w:rsidP="0035394B">
      <w:pPr>
        <w:spacing w:after="0"/>
        <w:ind w:left="709" w:right="6"/>
        <w:rPr>
          <w:rFonts w:ascii="Times New Roman" w:hAnsi="Times New Roman"/>
          <w:lang w:val="lv-LV"/>
        </w:rPr>
      </w:pPr>
      <w:r>
        <w:rPr>
          <w:rFonts w:ascii="Times New Roman" w:hAnsi="Times New Roman"/>
          <w:lang w:val="lv-LV"/>
        </w:rPr>
        <w:t>2) sniegt ieteikumus attiecībā uz iespējamiem projekta partneriem Norvēģijā.</w:t>
      </w:r>
    </w:p>
    <w:p w:rsidR="0035394B" w:rsidRPr="00AE40CC" w:rsidRDefault="0035394B" w:rsidP="0035394B">
      <w:pPr>
        <w:spacing w:after="0"/>
        <w:ind w:right="6"/>
        <w:rPr>
          <w:rFonts w:ascii="Times New Roman" w:hAnsi="Times New Roman"/>
          <w:lang w:val="lv-LV" w:eastAsia="en-GB"/>
        </w:rPr>
      </w:pPr>
    </w:p>
    <w:p w:rsidR="00DC36CB" w:rsidRPr="00AE40CC" w:rsidRDefault="00570BF0" w:rsidP="00026AF1">
      <w:pPr>
        <w:spacing w:after="0"/>
        <w:ind w:right="6" w:firstLine="284"/>
        <w:jc w:val="both"/>
        <w:rPr>
          <w:rFonts w:ascii="Times New Roman" w:hAnsi="Times New Roman"/>
          <w:lang w:val="lv-LV"/>
        </w:rPr>
      </w:pPr>
      <w:r>
        <w:rPr>
          <w:rFonts w:ascii="Times New Roman" w:hAnsi="Times New Roman"/>
          <w:lang w:val="lv-LV" w:eastAsia="en-GB"/>
        </w:rPr>
        <w:t>Sadarbības komiteja ir izveidota saskaņā ar EM 2011. gada 24. oktobra rīkojumu Nr. 215 „Par Norvēģijas Finanšu Mehānisma 2009.-2014. gadam Programmas „</w:t>
      </w:r>
      <w:r>
        <w:rPr>
          <w:rFonts w:ascii="Times New Roman" w:hAnsi="Times New Roman"/>
          <w:lang w:val="lv-LV"/>
        </w:rPr>
        <w:t>Inovācijas „zaļās” ražošanas jomā</w:t>
      </w:r>
      <w:r>
        <w:rPr>
          <w:rFonts w:ascii="Times New Roman" w:hAnsi="Times New Roman"/>
          <w:lang w:val="lv-LV" w:eastAsia="en-GB"/>
        </w:rPr>
        <w:t xml:space="preserve">” Sadarbības komiteju”. </w:t>
      </w:r>
      <w:r>
        <w:rPr>
          <w:rFonts w:ascii="Times New Roman" w:hAnsi="Times New Roman"/>
          <w:lang w:val="lv-LV"/>
        </w:rPr>
        <w:t xml:space="preserve"> </w:t>
      </w:r>
    </w:p>
    <w:p w:rsidR="00275215" w:rsidRPr="00AE40CC" w:rsidRDefault="00570BF0" w:rsidP="00A51851">
      <w:pPr>
        <w:spacing w:after="0"/>
        <w:ind w:firstLine="284"/>
        <w:jc w:val="both"/>
        <w:rPr>
          <w:rFonts w:ascii="Times New Roman" w:hAnsi="Times New Roman"/>
          <w:lang w:val="lv-LV"/>
        </w:rPr>
      </w:pPr>
      <w:r>
        <w:rPr>
          <w:rFonts w:ascii="Times New Roman" w:hAnsi="Times New Roman"/>
          <w:lang w:val="lv-LV"/>
        </w:rPr>
        <w:t xml:space="preserve">Sadarbības komitejas nolikums tiks apstiprināts 2012.gada </w:t>
      </w:r>
      <w:r w:rsidR="00263BBC">
        <w:rPr>
          <w:rFonts w:ascii="Times New Roman" w:hAnsi="Times New Roman"/>
          <w:lang w:val="lv-LV"/>
        </w:rPr>
        <w:t>f</w:t>
      </w:r>
      <w:r>
        <w:rPr>
          <w:rFonts w:ascii="Times New Roman" w:hAnsi="Times New Roman"/>
          <w:lang w:val="lv-LV"/>
        </w:rPr>
        <w:t xml:space="preserve">ebruārī. </w:t>
      </w:r>
    </w:p>
    <w:p w:rsidR="00A9482F" w:rsidRPr="00AE40CC" w:rsidRDefault="00570BF0" w:rsidP="00A9482F">
      <w:pPr>
        <w:pStyle w:val="Heading3"/>
        <w:rPr>
          <w:rFonts w:ascii="Times New Roman" w:hAnsi="Times New Roman"/>
          <w:lang w:val="lv-LV"/>
        </w:rPr>
      </w:pPr>
      <w:r>
        <w:rPr>
          <w:rFonts w:ascii="Times New Roman" w:hAnsi="Times New Roman"/>
          <w:lang w:val="lv-LV"/>
        </w:rPr>
        <w:t>Laika grafiks</w:t>
      </w:r>
    </w:p>
    <w:p w:rsidR="00A9482F" w:rsidRPr="00AE40CC" w:rsidRDefault="00570BF0" w:rsidP="00CF3A67">
      <w:pPr>
        <w:jc w:val="both"/>
        <w:rPr>
          <w:rFonts w:ascii="Times New Roman" w:hAnsi="Times New Roman"/>
          <w:b/>
          <w:lang w:val="lv-LV"/>
        </w:rPr>
      </w:pPr>
      <w:r>
        <w:rPr>
          <w:rFonts w:ascii="Times New Roman" w:hAnsi="Times New Roman"/>
          <w:b/>
          <w:lang w:val="lv-LV"/>
        </w:rPr>
        <w:t xml:space="preserve">Iesniegt laika grafiku un pievienot visu svarīgāko notikumu ar Programmas īstenošanu saistīto pasākumu paskaidrojumus. </w:t>
      </w:r>
    </w:p>
    <w:p w:rsidR="001237DC" w:rsidRPr="00AE40CC" w:rsidRDefault="00570BF0" w:rsidP="00A9482F">
      <w:pPr>
        <w:spacing w:after="0"/>
        <w:jc w:val="both"/>
        <w:rPr>
          <w:rFonts w:ascii="Times New Roman" w:hAnsi="Times New Roman"/>
          <w:lang w:val="lv-LV"/>
        </w:rPr>
      </w:pPr>
      <w:r>
        <w:rPr>
          <w:rFonts w:ascii="Times New Roman" w:hAnsi="Times New Roman"/>
          <w:lang w:val="lv-LV"/>
        </w:rPr>
        <w:t>Detalizēts Programmas laika grafiks ir iekļauts 12. </w:t>
      </w:r>
      <w:r w:rsidRPr="00570BF0">
        <w:rPr>
          <w:rFonts w:ascii="Times New Roman" w:hAnsi="Times New Roman"/>
          <w:lang w:val="lv-LV"/>
        </w:rPr>
        <w:t>Pielikumā (Laika grafiks).</w:t>
      </w:r>
      <w:r w:rsidR="00137FE3" w:rsidRPr="00AE40CC">
        <w:rPr>
          <w:rFonts w:ascii="Times New Roman" w:hAnsi="Times New Roman"/>
          <w:lang w:val="lv-LV"/>
        </w:rPr>
        <w:t xml:space="preserve"> </w:t>
      </w:r>
    </w:p>
    <w:p w:rsidR="007A36AD" w:rsidRPr="00AE40CC" w:rsidRDefault="007A36AD" w:rsidP="00A9482F">
      <w:pPr>
        <w:spacing w:after="0"/>
        <w:jc w:val="both"/>
        <w:rPr>
          <w:rFonts w:ascii="Times New Roman" w:hAnsi="Times New Roman"/>
          <w:lang w:val="lv-LV"/>
        </w:rPr>
      </w:pPr>
    </w:p>
    <w:p w:rsidR="00A9482F" w:rsidRPr="00AE40CC" w:rsidRDefault="00570BF0" w:rsidP="00173429">
      <w:pPr>
        <w:pStyle w:val="Heading3"/>
        <w:spacing w:before="0"/>
        <w:rPr>
          <w:rFonts w:ascii="Times New Roman" w:hAnsi="Times New Roman"/>
          <w:lang w:val="lv-LV"/>
        </w:rPr>
      </w:pPr>
      <w:r>
        <w:rPr>
          <w:rFonts w:ascii="Times New Roman" w:hAnsi="Times New Roman"/>
          <w:lang w:val="lv-LV"/>
        </w:rPr>
        <w:t>Konkursi</w:t>
      </w:r>
    </w:p>
    <w:p w:rsidR="00A9482F" w:rsidRPr="00AE40CC" w:rsidRDefault="00570BF0" w:rsidP="00CF3A67">
      <w:pPr>
        <w:spacing w:after="0"/>
        <w:jc w:val="both"/>
        <w:rPr>
          <w:rFonts w:ascii="Times New Roman" w:hAnsi="Times New Roman"/>
          <w:b/>
          <w:lang w:val="lv-LV"/>
        </w:rPr>
      </w:pPr>
      <w:r>
        <w:rPr>
          <w:rFonts w:ascii="Times New Roman" w:hAnsi="Times New Roman"/>
          <w:b/>
          <w:lang w:val="lv-LV"/>
        </w:rPr>
        <w:t xml:space="preserve">Sniegt informāciju par plānoto konkursu skaitu un laikiem, kā arī indikatīvo katra konkursa summu. Aprakstīt un pamatot katra konkursa minimālo un maksimālo granta summu, kā arī granta likmi.  </w:t>
      </w:r>
    </w:p>
    <w:p w:rsidR="00A9482F" w:rsidRPr="00AE40CC" w:rsidRDefault="00A9482F" w:rsidP="00A9482F">
      <w:pPr>
        <w:spacing w:after="0"/>
        <w:rPr>
          <w:rFonts w:ascii="Times New Roman" w:hAnsi="Times New Roman"/>
          <w:b/>
          <w:lang w:val="lv-LV"/>
        </w:rPr>
      </w:pPr>
    </w:p>
    <w:p w:rsidR="00F14CA7" w:rsidRPr="00AE40CC" w:rsidRDefault="00570BF0" w:rsidP="00CF3A67">
      <w:pPr>
        <w:spacing w:after="0"/>
        <w:jc w:val="both"/>
        <w:rPr>
          <w:rFonts w:ascii="Times New Roman" w:hAnsi="Times New Roman"/>
          <w:lang w:val="lv-LV"/>
        </w:rPr>
      </w:pPr>
      <w:r>
        <w:rPr>
          <w:rFonts w:ascii="Times New Roman" w:hAnsi="Times New Roman"/>
          <w:lang w:val="lv-LV"/>
        </w:rPr>
        <w:t xml:space="preserve">Detalizēta informācija par Programmas ietvaros paredzētajiem konkursiem ir pieejama 13.Pielikumā „Projektu </w:t>
      </w:r>
      <w:r w:rsidRPr="00570BF0">
        <w:rPr>
          <w:rFonts w:ascii="Times New Roman" w:hAnsi="Times New Roman"/>
          <w:lang w:val="lv-LV"/>
        </w:rPr>
        <w:t>iesniegumu atlases procedūra”.</w:t>
      </w:r>
    </w:p>
    <w:p w:rsidR="00F14CA7" w:rsidRPr="00AE40CC" w:rsidRDefault="00F14CA7" w:rsidP="00A9482F">
      <w:pPr>
        <w:spacing w:after="0"/>
        <w:rPr>
          <w:rFonts w:ascii="Times New Roman" w:hAnsi="Times New Roman"/>
          <w:b/>
          <w:lang w:val="lv-LV"/>
        </w:rPr>
      </w:pPr>
    </w:p>
    <w:p w:rsidR="00A9482F" w:rsidRPr="00AE40CC" w:rsidRDefault="00570BF0" w:rsidP="00A9482F">
      <w:pPr>
        <w:spacing w:after="0"/>
        <w:rPr>
          <w:rFonts w:ascii="Times New Roman" w:hAnsi="Times New Roman"/>
          <w:b/>
          <w:lang w:val="lv-LV"/>
        </w:rPr>
      </w:pPr>
      <w:r>
        <w:rPr>
          <w:rFonts w:ascii="Times New Roman" w:hAnsi="Times New Roman"/>
          <w:b/>
          <w:lang w:val="lv-LV"/>
        </w:rPr>
        <w:t>Aprakstīt publiskos pasākumus un pamatot paredzētos ierobežojumus.</w:t>
      </w:r>
    </w:p>
    <w:p w:rsidR="00CB7284" w:rsidRPr="00AE40CC" w:rsidRDefault="00570BF0" w:rsidP="00D744CF">
      <w:pPr>
        <w:spacing w:after="0"/>
        <w:ind w:firstLine="284"/>
        <w:jc w:val="both"/>
        <w:rPr>
          <w:rFonts w:ascii="Times New Roman" w:hAnsi="Times New Roman"/>
          <w:lang w:val="lv-LV"/>
        </w:rPr>
      </w:pPr>
      <w:r>
        <w:rPr>
          <w:rFonts w:ascii="Times New Roman" w:hAnsi="Times New Roman"/>
          <w:lang w:val="lv-LV"/>
        </w:rPr>
        <w:t>Ieinteresētajām pusēm tiks sniegta informācija par Programmu un atklātajiem konkursiem tās ietvaros. Visa dokumentācija būs pieejama LIAA tīmekļa vietnē. Turklāt pirms katra konkursa projektu iesniedzējiem tiks organizēti informatīvi semināri. Ņemot vērā, ka neliela apjoma grantu shēmas un Atklātais konkurss tiks uzsākti reizē, sākumā tiks organizēts viens seminārs. Papildus seminārs tiks organizēts, ja Atklātā konkursa ietvaros tiks īstenota otrā kārta. Visbeidzot tiks organizēta noslēguma konference 2017.gada sākumā. Papildus iepriekš minētajam LIAA tīmekļa vietnē tiks apkopoti un publicēti biežāk uzdotie jautājumi par atklātajiem konkursiem un projektu iesniegšanu. Pirms pieteikumu iesniegšanas perioda un tā laikā būs iespēja organizēt individuālas tikšanās ar LIAA klientu apkalpošanas nodaļas speciālistiem. Informācijas par Programmu un konkursiem būs pieejama arī EM tīmekļa vietnē.</w:t>
      </w:r>
    </w:p>
    <w:p w:rsidR="00BA1710" w:rsidRPr="00734278" w:rsidRDefault="00570BF0" w:rsidP="00D744CF">
      <w:pPr>
        <w:spacing w:after="0"/>
        <w:ind w:firstLine="284"/>
        <w:jc w:val="both"/>
        <w:rPr>
          <w:rFonts w:ascii="Times New Roman" w:hAnsi="Times New Roman"/>
          <w:lang w:val="lv-LV"/>
        </w:rPr>
      </w:pPr>
      <w:r w:rsidRPr="00734278">
        <w:rPr>
          <w:rFonts w:ascii="Times New Roman" w:hAnsi="Times New Roman"/>
          <w:lang w:val="lv-LV"/>
        </w:rPr>
        <w:t xml:space="preserve">Tāpat informācija par neliela apjoma grantu shēmas un Atklātā konkursa uzsākšanu tik publicēta </w:t>
      </w:r>
      <w:r w:rsidR="004F0F0E" w:rsidRPr="00734278">
        <w:rPr>
          <w:rFonts w:ascii="Times New Roman" w:hAnsi="Times New Roman"/>
          <w:lang w:val="lv-LV"/>
        </w:rPr>
        <w:t xml:space="preserve">VI administrētajā </w:t>
      </w:r>
      <w:r w:rsidR="004F0F0E" w:rsidRPr="00734278">
        <w:rPr>
          <w:rFonts w:ascii="Times New Roman" w:hAnsi="Times New Roman"/>
        </w:rPr>
        <w:t>EEZ/Norvēģijas finanšu instrument</w:t>
      </w:r>
      <w:r w:rsidR="004F0F0E" w:rsidRPr="00734278">
        <w:rPr>
          <w:rFonts w:ascii="Times New Roman" w:hAnsi="Times New Roman"/>
          <w:bCs/>
        </w:rPr>
        <w:t>iem</w:t>
      </w:r>
      <w:r w:rsidR="004F0F0E" w:rsidRPr="00734278">
        <w:rPr>
          <w:rFonts w:ascii="Times New Roman" w:hAnsi="Times New Roman"/>
          <w:lang w:val="lv-LV"/>
        </w:rPr>
        <w:t xml:space="preserve"> izveidotajā tīmekļa vietnē.</w:t>
      </w:r>
      <w:r w:rsidRPr="00734278">
        <w:rPr>
          <w:rFonts w:ascii="Times New Roman" w:hAnsi="Times New Roman"/>
          <w:lang w:val="lv-LV"/>
        </w:rPr>
        <w:t xml:space="preserve"> </w:t>
      </w:r>
    </w:p>
    <w:p w:rsidR="00DC2622" w:rsidRPr="00734278" w:rsidRDefault="00DC2622" w:rsidP="00D744CF">
      <w:pPr>
        <w:spacing w:after="0"/>
        <w:ind w:firstLine="284"/>
        <w:jc w:val="both"/>
        <w:rPr>
          <w:rFonts w:ascii="Times New Roman" w:hAnsi="Times New Roman"/>
          <w:lang w:val="lv-LV"/>
        </w:rPr>
      </w:pPr>
    </w:p>
    <w:p w:rsidR="00A9482F" w:rsidRPr="00734278" w:rsidRDefault="00570BF0" w:rsidP="00CF3A67">
      <w:pPr>
        <w:spacing w:after="0"/>
        <w:jc w:val="both"/>
        <w:rPr>
          <w:rFonts w:ascii="Times New Roman" w:hAnsi="Times New Roman"/>
          <w:b/>
          <w:lang w:val="lv-LV"/>
        </w:rPr>
      </w:pPr>
      <w:r w:rsidRPr="00734278">
        <w:rPr>
          <w:rFonts w:ascii="Times New Roman" w:hAnsi="Times New Roman"/>
          <w:b/>
          <w:lang w:val="lv-LV"/>
        </w:rPr>
        <w:t>Aprakstīt piemērotos pretendentus un pamatot kandidātu un/vai projekta partneru piemērotības ierobežojumus.</w:t>
      </w:r>
    </w:p>
    <w:p w:rsidR="00FF08B4" w:rsidRPr="00AE40CC" w:rsidRDefault="00570BF0" w:rsidP="00CC1B03">
      <w:pPr>
        <w:pStyle w:val="ColorfulList-Accent11"/>
        <w:spacing w:after="0"/>
        <w:ind w:left="0" w:firstLine="426"/>
        <w:contextualSpacing w:val="0"/>
        <w:jc w:val="both"/>
        <w:rPr>
          <w:rFonts w:ascii="Times New Roman" w:hAnsi="Times New Roman"/>
          <w:lang w:val="lv-LV"/>
        </w:rPr>
      </w:pPr>
      <w:r w:rsidRPr="00734278">
        <w:rPr>
          <w:rFonts w:ascii="Times New Roman" w:hAnsi="Times New Roman"/>
          <w:lang w:val="lv-LV"/>
        </w:rPr>
        <w:t>Komersanti un fiziskas personas ar mērķi uzsākt saimniecisko darbību tiks vērtētas atbilstoši dažādiem uz biznesu orientētiem kritērijiem (pievienoti Programmas iesniegumam kā 14.Pielikums (Projektu iesniegumu atlases kritēriji)</w:t>
      </w:r>
      <w:r w:rsidR="00137FE3" w:rsidRPr="00734278">
        <w:rPr>
          <w:rFonts w:ascii="Times New Roman" w:hAnsi="Times New Roman"/>
          <w:lang w:val="lv-LV"/>
        </w:rPr>
        <w:t xml:space="preserve">). </w:t>
      </w:r>
      <w:r w:rsidR="00CD347E" w:rsidRPr="00734278">
        <w:rPr>
          <w:rFonts w:ascii="Times New Roman" w:hAnsi="Times New Roman"/>
          <w:lang w:val="lv-LV"/>
        </w:rPr>
        <w:t xml:space="preserve">Turklāt, Norvēģijas </w:t>
      </w:r>
      <w:r w:rsidR="00164749" w:rsidRPr="00734278">
        <w:rPr>
          <w:rFonts w:ascii="Times New Roman" w:hAnsi="Times New Roman"/>
          <w:lang w:val="lv-LV"/>
        </w:rPr>
        <w:t>I</w:t>
      </w:r>
      <w:r w:rsidR="00CD347E" w:rsidRPr="00734278">
        <w:rPr>
          <w:rFonts w:ascii="Times New Roman" w:hAnsi="Times New Roman"/>
          <w:lang w:val="lv-LV"/>
        </w:rPr>
        <w:t>novāciju aģentūra ir apstiprinājusi nepieciešamību noteikt plašus atlases kritērijus un balstīt lēmumu uz projekta biznesa potenciālu, ko atbil</w:t>
      </w:r>
      <w:r w:rsidRPr="00734278">
        <w:rPr>
          <w:rFonts w:ascii="Times New Roman" w:hAnsi="Times New Roman"/>
          <w:lang w:val="lv-LV"/>
        </w:rPr>
        <w:t>stoši</w:t>
      </w:r>
      <w:r>
        <w:rPr>
          <w:rFonts w:ascii="Times New Roman" w:hAnsi="Times New Roman"/>
          <w:lang w:val="lv-LV"/>
        </w:rPr>
        <w:t xml:space="preserve"> novērtēt var vienīgi eksperti.</w:t>
      </w:r>
    </w:p>
    <w:p w:rsidR="00FF08B4" w:rsidRPr="00AE40CC" w:rsidRDefault="00570BF0" w:rsidP="00FF08B4">
      <w:pPr>
        <w:spacing w:after="0"/>
        <w:ind w:firstLine="284"/>
        <w:jc w:val="both"/>
        <w:rPr>
          <w:rFonts w:ascii="Times New Roman" w:hAnsi="Times New Roman"/>
          <w:lang w:val="lv-LV"/>
        </w:rPr>
      </w:pPr>
      <w:r>
        <w:rPr>
          <w:rFonts w:ascii="Times New Roman" w:hAnsi="Times New Roman"/>
          <w:lang w:val="lv-LV"/>
        </w:rPr>
        <w:t xml:space="preserve"> Iepriekš noteiktā projekta ietvaros ir paredzēts, ka viens no Tehnoloģiju inkubatora pārvaldītājiem būs SIVA. Tomēr tas neizslēdz iespēju piesaistīt citas institūcijas kā partnerus. Iespējamie papildu partneri ir Norvēģijas tehnoloģiju parks/inkubators PRONEO un </w:t>
      </w:r>
      <w:proofErr w:type="spellStart"/>
      <w:r>
        <w:rPr>
          <w:rFonts w:ascii="Times New Roman" w:hAnsi="Times New Roman"/>
          <w:lang w:val="lv-LV"/>
        </w:rPr>
        <w:t>Campus</w:t>
      </w:r>
      <w:proofErr w:type="spellEnd"/>
      <w:r>
        <w:rPr>
          <w:rFonts w:ascii="Times New Roman" w:hAnsi="Times New Roman"/>
          <w:lang w:val="lv-LV"/>
        </w:rPr>
        <w:t xml:space="preserve"> </w:t>
      </w:r>
      <w:proofErr w:type="spellStart"/>
      <w:r>
        <w:rPr>
          <w:rFonts w:ascii="Times New Roman" w:hAnsi="Times New Roman"/>
          <w:lang w:val="lv-LV"/>
        </w:rPr>
        <w:t>Kjeller</w:t>
      </w:r>
      <w:proofErr w:type="spellEnd"/>
      <w:r>
        <w:rPr>
          <w:rFonts w:ascii="Times New Roman" w:hAnsi="Times New Roman"/>
          <w:lang w:val="lv-LV"/>
        </w:rPr>
        <w:t xml:space="preserve">. Partneru skaitu nav plānots ierobežot un visi partneru atbilstība ir noteikta saskaņā ar </w:t>
      </w:r>
      <w:r>
        <w:rPr>
          <w:rFonts w:ascii="Times New Roman" w:hAnsi="Times New Roman"/>
        </w:rPr>
        <w:t>Noteikumu 1.5.panta, pirmās daļas „w” punktu</w:t>
      </w:r>
      <w:r>
        <w:rPr>
          <w:rFonts w:ascii="Times New Roman" w:hAnsi="Times New Roman"/>
          <w:lang w:val="lv-LV"/>
        </w:rPr>
        <w:t xml:space="preserve">.  </w:t>
      </w:r>
    </w:p>
    <w:p w:rsidR="00FF08B4" w:rsidRPr="00AE40CC" w:rsidRDefault="00570BF0" w:rsidP="00FF08B4">
      <w:pPr>
        <w:spacing w:after="0"/>
        <w:ind w:firstLine="284"/>
        <w:jc w:val="both"/>
        <w:rPr>
          <w:rFonts w:ascii="Times New Roman" w:hAnsi="Times New Roman"/>
          <w:lang w:val="lv-LV"/>
        </w:rPr>
      </w:pPr>
      <w:r>
        <w:rPr>
          <w:rFonts w:ascii="Times New Roman" w:hAnsi="Times New Roman"/>
          <w:lang w:val="lv-LV"/>
        </w:rPr>
        <w:t xml:space="preserve">Tāpat ierobežojumi nav noteikti attiecībā uz neliela apjoma grantu shēmu un Atklāto konkursu. Vienlaikus EM piedāvā interpretēt partneri projektā kā investoru, tehnoloģiju piegādātāju, klientu vai piegādātāju. Šāda tipa partnerības ir orientētas uz biznesu un līdz ar to tās varētu ilgt arī pēc projekta īstenošanas pabeigšanas un attiecīgi tās sniegtu lielāku ieguldījumu ilgtermiņā. </w:t>
      </w:r>
    </w:p>
    <w:p w:rsidR="00805504" w:rsidRPr="00AE40CC" w:rsidRDefault="00570BF0" w:rsidP="00DD4FB1">
      <w:pPr>
        <w:pStyle w:val="ColorfulList-Accent11"/>
        <w:spacing w:after="0"/>
        <w:ind w:left="0" w:firstLine="426"/>
        <w:jc w:val="both"/>
        <w:rPr>
          <w:rFonts w:ascii="Times New Roman" w:hAnsi="Times New Roman"/>
          <w:lang w:val="lv-LV"/>
        </w:rPr>
      </w:pPr>
      <w:r>
        <w:rPr>
          <w:rFonts w:ascii="Times New Roman" w:hAnsi="Times New Roman"/>
          <w:lang w:val="lv-LV"/>
        </w:rPr>
        <w:t>„Zaļš” definīcija tiks izmantota, lai pārbaudītu, vai projekts tiks īstenots „zaļo” nozaru inovāciju jomā:</w:t>
      </w:r>
    </w:p>
    <w:p w:rsidR="00805504" w:rsidRPr="00AE40CC" w:rsidRDefault="00570BF0" w:rsidP="00DD4FB1">
      <w:pPr>
        <w:pStyle w:val="ColorfulList-Accent11"/>
        <w:spacing w:after="0"/>
        <w:ind w:left="0" w:firstLine="426"/>
        <w:jc w:val="both"/>
        <w:rPr>
          <w:rFonts w:ascii="Times New Roman" w:hAnsi="Times New Roman"/>
          <w:lang w:val="lv-LV"/>
        </w:rPr>
      </w:pPr>
      <w:r>
        <w:rPr>
          <w:rFonts w:ascii="Times New Roman" w:hAnsi="Times New Roman"/>
          <w:lang w:val="lv-LV"/>
        </w:rPr>
        <w:t>Projekts tiek uzskatīts par izstrādātu „zaļo” nozaru inovāciju jomā, ja tas izstrādā produktus, tehnoloģijas vai procesus, kas veicina:</w:t>
      </w:r>
    </w:p>
    <w:p w:rsidR="00805504" w:rsidRPr="00AE40CC" w:rsidRDefault="00570BF0" w:rsidP="00805504">
      <w:pPr>
        <w:pStyle w:val="ColorfulList-Accent11"/>
        <w:spacing w:after="0"/>
        <w:jc w:val="both"/>
        <w:rPr>
          <w:rFonts w:ascii="Times New Roman" w:hAnsi="Times New Roman"/>
          <w:lang w:val="lv-LV"/>
        </w:rPr>
      </w:pPr>
      <w:r>
        <w:rPr>
          <w:rFonts w:ascii="Times New Roman" w:hAnsi="Times New Roman"/>
          <w:lang w:val="lv-LV"/>
        </w:rPr>
        <w:t>1) atjaunojamas enerģijas ražošanu;</w:t>
      </w:r>
    </w:p>
    <w:p w:rsidR="00805504" w:rsidRPr="00AE40CC" w:rsidRDefault="00570BF0" w:rsidP="00805504">
      <w:pPr>
        <w:pStyle w:val="ColorfulList-Accent11"/>
        <w:spacing w:after="0"/>
        <w:jc w:val="both"/>
        <w:rPr>
          <w:rFonts w:ascii="Times New Roman" w:hAnsi="Times New Roman"/>
          <w:lang w:val="lv-LV"/>
        </w:rPr>
      </w:pPr>
      <w:r>
        <w:rPr>
          <w:rFonts w:ascii="Times New Roman" w:hAnsi="Times New Roman"/>
          <w:lang w:val="lv-LV"/>
        </w:rPr>
        <w:t>2) „zaļo” (energoefektīvu) būvniecības produktu un materiālu ražošanu;</w:t>
      </w:r>
    </w:p>
    <w:p w:rsidR="00805504" w:rsidRPr="00AE40CC" w:rsidRDefault="00570BF0" w:rsidP="00805504">
      <w:pPr>
        <w:pStyle w:val="ColorfulList-Accent11"/>
        <w:spacing w:after="0"/>
        <w:jc w:val="both"/>
        <w:rPr>
          <w:rFonts w:ascii="Times New Roman" w:hAnsi="Times New Roman"/>
          <w:lang w:val="lv-LV"/>
        </w:rPr>
      </w:pPr>
      <w:r>
        <w:rPr>
          <w:rFonts w:ascii="Times New Roman" w:hAnsi="Times New Roman"/>
          <w:lang w:val="lv-LV"/>
        </w:rPr>
        <w:t>3) tīru transportu;</w:t>
      </w:r>
    </w:p>
    <w:p w:rsidR="00805504" w:rsidRPr="00AE40CC" w:rsidRDefault="00570BF0" w:rsidP="00805504">
      <w:pPr>
        <w:pStyle w:val="ColorfulList-Accent11"/>
        <w:spacing w:after="0"/>
        <w:jc w:val="both"/>
        <w:rPr>
          <w:rFonts w:ascii="Times New Roman" w:hAnsi="Times New Roman"/>
          <w:lang w:val="lv-LV"/>
        </w:rPr>
      </w:pPr>
      <w:r>
        <w:rPr>
          <w:rFonts w:ascii="Times New Roman" w:hAnsi="Times New Roman"/>
          <w:lang w:val="lv-LV"/>
        </w:rPr>
        <w:t>4) ūdens apsaimniekošanu;</w:t>
      </w:r>
    </w:p>
    <w:p w:rsidR="00805504" w:rsidRPr="00AE40CC" w:rsidRDefault="00570BF0" w:rsidP="00805504">
      <w:pPr>
        <w:pStyle w:val="ColorfulList-Accent11"/>
        <w:spacing w:after="0"/>
        <w:jc w:val="both"/>
        <w:rPr>
          <w:rFonts w:ascii="Times New Roman" w:hAnsi="Times New Roman"/>
          <w:lang w:val="lv-LV"/>
        </w:rPr>
      </w:pPr>
      <w:r>
        <w:rPr>
          <w:rFonts w:ascii="Times New Roman" w:hAnsi="Times New Roman"/>
          <w:lang w:val="lv-LV"/>
        </w:rPr>
        <w:t>5) atkritumu apsaimniekošanu;</w:t>
      </w:r>
    </w:p>
    <w:p w:rsidR="00805504" w:rsidRPr="00AE40CC" w:rsidRDefault="00570BF0" w:rsidP="00805504">
      <w:pPr>
        <w:pStyle w:val="ColorfulList-Accent11"/>
        <w:spacing w:after="0"/>
        <w:jc w:val="both"/>
        <w:rPr>
          <w:rFonts w:ascii="Times New Roman" w:hAnsi="Times New Roman"/>
          <w:lang w:val="lv-LV"/>
        </w:rPr>
      </w:pPr>
      <w:r>
        <w:rPr>
          <w:rFonts w:ascii="Times New Roman" w:hAnsi="Times New Roman"/>
          <w:lang w:val="lv-LV"/>
        </w:rPr>
        <w:t>6) ekodizainu;</w:t>
      </w:r>
    </w:p>
    <w:p w:rsidR="00805504" w:rsidRPr="00AE40CC" w:rsidRDefault="00570BF0" w:rsidP="00805504">
      <w:pPr>
        <w:pStyle w:val="ColorfulList-Accent11"/>
        <w:spacing w:after="0"/>
        <w:ind w:left="0" w:firstLine="720"/>
        <w:jc w:val="both"/>
        <w:rPr>
          <w:rFonts w:ascii="Times New Roman" w:hAnsi="Times New Roman"/>
          <w:lang w:val="lv-LV"/>
        </w:rPr>
      </w:pPr>
      <w:r>
        <w:rPr>
          <w:rFonts w:ascii="Times New Roman" w:hAnsi="Times New Roman"/>
          <w:lang w:val="lv-LV"/>
        </w:rPr>
        <w:t>7) vai citu nozaru produktu, tehnoloģiju vai procesu uzlabojumus, kas veicina energoefektivitāti, zemākas emisijas un mazāku resursu patēriņu.</w:t>
      </w:r>
    </w:p>
    <w:p w:rsidR="0097104D" w:rsidRPr="00AE40CC" w:rsidRDefault="0097104D" w:rsidP="0097104D">
      <w:pPr>
        <w:pStyle w:val="ColorfulList-Accent11"/>
        <w:spacing w:after="0"/>
        <w:contextualSpacing w:val="0"/>
        <w:jc w:val="both"/>
        <w:rPr>
          <w:rFonts w:ascii="Times New Roman" w:hAnsi="Times New Roman"/>
          <w:lang w:val="lv-LV"/>
        </w:rPr>
      </w:pPr>
    </w:p>
    <w:p w:rsidR="00A9482F" w:rsidRPr="00AE40CC" w:rsidRDefault="00570BF0" w:rsidP="0097104D">
      <w:pPr>
        <w:pStyle w:val="Heading3"/>
        <w:spacing w:before="0"/>
        <w:rPr>
          <w:rFonts w:ascii="Times New Roman" w:hAnsi="Times New Roman"/>
          <w:lang w:val="lv-LV"/>
        </w:rPr>
      </w:pPr>
      <w:bookmarkStart w:id="93" w:name="_Toc258504848"/>
      <w:bookmarkStart w:id="94" w:name="_Toc262213678"/>
      <w:r>
        <w:rPr>
          <w:rFonts w:ascii="Times New Roman" w:hAnsi="Times New Roman"/>
          <w:lang w:val="lv-LV"/>
        </w:rPr>
        <w:lastRenderedPageBreak/>
        <w:t>Projektu atlase</w:t>
      </w:r>
    </w:p>
    <w:p w:rsidR="00A9482F" w:rsidRPr="00AE40CC" w:rsidRDefault="00570BF0" w:rsidP="00CF3A67">
      <w:pPr>
        <w:spacing w:after="0"/>
        <w:jc w:val="both"/>
        <w:rPr>
          <w:rFonts w:ascii="Times New Roman" w:hAnsi="Times New Roman"/>
          <w:b/>
          <w:lang w:val="lv-LV"/>
        </w:rPr>
      </w:pPr>
      <w:r>
        <w:rPr>
          <w:rFonts w:ascii="Times New Roman" w:hAnsi="Times New Roman"/>
          <w:b/>
          <w:lang w:val="lv-LV"/>
        </w:rPr>
        <w:t xml:space="preserve">Sniegt projektu atlases struktūras, procesu un kārtību pārskatu. </w:t>
      </w:r>
    </w:p>
    <w:p w:rsidR="004B3B49" w:rsidRPr="00AE40CC" w:rsidRDefault="00570BF0" w:rsidP="004B3B49">
      <w:pPr>
        <w:spacing w:after="0"/>
        <w:ind w:firstLine="284"/>
        <w:jc w:val="both"/>
        <w:rPr>
          <w:rFonts w:ascii="Times New Roman" w:hAnsi="Times New Roman"/>
          <w:lang w:val="lv-LV"/>
        </w:rPr>
      </w:pPr>
      <w:bookmarkStart w:id="95" w:name="OLE_LINK16"/>
      <w:bookmarkStart w:id="96" w:name="OLE_LINK17"/>
      <w:r>
        <w:rPr>
          <w:rFonts w:ascii="Times New Roman" w:hAnsi="Times New Roman"/>
          <w:lang w:val="lv-LV"/>
        </w:rPr>
        <w:t>Informācija par projektu atlases kārtību ir pieejama 13. </w:t>
      </w:r>
      <w:r w:rsidRPr="00570BF0">
        <w:rPr>
          <w:rFonts w:ascii="Times New Roman" w:hAnsi="Times New Roman"/>
          <w:lang w:val="lv-LV"/>
        </w:rPr>
        <w:t>Pielikumā (Projektu iesniegumu atlases procedūra).</w:t>
      </w:r>
      <w:r w:rsidR="00B52D2D" w:rsidRPr="00AE40CC">
        <w:rPr>
          <w:rFonts w:ascii="Times New Roman" w:hAnsi="Times New Roman"/>
          <w:lang w:val="lv-LV"/>
        </w:rPr>
        <w:t xml:space="preserve"> </w:t>
      </w:r>
    </w:p>
    <w:p w:rsidR="00CB7284" w:rsidRPr="00AE40CC" w:rsidRDefault="00570BF0" w:rsidP="004B3B49">
      <w:pPr>
        <w:spacing w:after="0"/>
        <w:ind w:firstLine="284"/>
        <w:jc w:val="both"/>
        <w:rPr>
          <w:rFonts w:ascii="Times New Roman" w:hAnsi="Times New Roman"/>
          <w:lang w:val="lv-LV"/>
        </w:rPr>
      </w:pPr>
      <w:r>
        <w:rPr>
          <w:rFonts w:ascii="Times New Roman" w:hAnsi="Times New Roman"/>
          <w:lang w:val="lv-LV"/>
        </w:rPr>
        <w:t xml:space="preserve">Lai izveidotu Atklātā konkursa un iepriekš noteiktā projekta Vērtēšanas komisijas, EM kopā ar LIAA un Norvēģijas Inovāciju aģentūru lems par komisijas biedru skaitu. Neliela apjoma grantu shēmas ietvaros tiks izveidota atsevišķa Vērtēšanas komisija, kurā darbosies balsstiesīgi locekļi no EM, LIAA un iespējams citām valsts vai nozaru iestādēm. Vērtēšanas komisijai būs tiesības pieaicināt neatkarīgus ekspertus dalībai komitejas sēdēs. </w:t>
      </w:r>
      <w:bookmarkEnd w:id="95"/>
      <w:bookmarkEnd w:id="96"/>
    </w:p>
    <w:p w:rsidR="000D093F" w:rsidRPr="00AE40CC" w:rsidRDefault="00570BF0" w:rsidP="004B3B49">
      <w:pPr>
        <w:spacing w:after="0"/>
        <w:ind w:firstLine="284"/>
        <w:jc w:val="both"/>
        <w:rPr>
          <w:rFonts w:ascii="Times New Roman" w:hAnsi="Times New Roman"/>
          <w:lang w:val="lv-LV"/>
        </w:rPr>
      </w:pPr>
      <w:r>
        <w:rPr>
          <w:rFonts w:ascii="Times New Roman" w:hAnsi="Times New Roman"/>
          <w:lang w:val="lv-LV"/>
        </w:rPr>
        <w:t xml:space="preserve">Atlases kritēriji iepriekš noteiktajam projektam, neliela apjoma grantu shēmai un Atklātajam konkursam ir pieejami 14.Pielikumā (Projektu </w:t>
      </w:r>
      <w:r w:rsidRPr="00570BF0">
        <w:rPr>
          <w:rFonts w:ascii="Times New Roman" w:hAnsi="Times New Roman"/>
          <w:lang w:val="lv-LV"/>
        </w:rPr>
        <w:t>iesniegumu atlases kritēriji).</w:t>
      </w:r>
    </w:p>
    <w:p w:rsidR="000D093F" w:rsidRPr="00AE40CC" w:rsidRDefault="000D093F" w:rsidP="004B3B49">
      <w:pPr>
        <w:spacing w:after="0"/>
        <w:ind w:firstLine="284"/>
        <w:jc w:val="both"/>
        <w:rPr>
          <w:rFonts w:ascii="Times New Roman" w:hAnsi="Times New Roman"/>
          <w:lang w:val="lv-LV"/>
        </w:rPr>
      </w:pPr>
    </w:p>
    <w:bookmarkEnd w:id="93"/>
    <w:bookmarkEnd w:id="94"/>
    <w:p w:rsidR="00A9482F" w:rsidRPr="00AE40CC" w:rsidRDefault="00570BF0" w:rsidP="00A9482F">
      <w:pPr>
        <w:pStyle w:val="Heading3"/>
        <w:spacing w:before="0"/>
        <w:rPr>
          <w:rFonts w:ascii="Times New Roman" w:hAnsi="Times New Roman"/>
          <w:lang w:val="lv-LV"/>
        </w:rPr>
      </w:pPr>
      <w:r>
        <w:rPr>
          <w:rFonts w:ascii="Times New Roman" w:hAnsi="Times New Roman"/>
          <w:lang w:val="lv-LV"/>
        </w:rPr>
        <w:t>Finanšu vadība</w:t>
      </w:r>
    </w:p>
    <w:p w:rsidR="00A9482F" w:rsidRPr="00AE40CC" w:rsidRDefault="00570BF0" w:rsidP="00CF3A67">
      <w:pPr>
        <w:spacing w:after="0"/>
        <w:jc w:val="both"/>
        <w:rPr>
          <w:rFonts w:ascii="Times New Roman" w:hAnsi="Times New Roman"/>
          <w:b/>
          <w:lang w:val="lv-LV"/>
        </w:rPr>
      </w:pPr>
      <w:r>
        <w:rPr>
          <w:rFonts w:ascii="Times New Roman" w:hAnsi="Times New Roman"/>
          <w:b/>
          <w:lang w:val="lv-LV"/>
        </w:rPr>
        <w:t xml:space="preserve">Aprakstīt Programmas finanšu vadību, attiecībā uz to, kā tiek radīts ekonomiskais labums, kā tiek uzturēti atsevišķi bankas konti, kādi ir noteikumi par ieguldījumu natūrā </w:t>
      </w:r>
      <w:proofErr w:type="spellStart"/>
      <w:r>
        <w:rPr>
          <w:rFonts w:ascii="Times New Roman" w:hAnsi="Times New Roman"/>
          <w:b/>
          <w:lang w:val="lv-LV"/>
        </w:rPr>
        <w:t>attiecināmību</w:t>
      </w:r>
      <w:proofErr w:type="spellEnd"/>
      <w:r>
        <w:rPr>
          <w:rFonts w:ascii="Times New Roman" w:hAnsi="Times New Roman"/>
          <w:b/>
          <w:lang w:val="lv-LV"/>
        </w:rPr>
        <w:t>, kārtību, kādā tiek veikti maksājumi projektu īstenotājiem, un maksājuma pieprasījuma pārbaudes kārtību.</w:t>
      </w:r>
    </w:p>
    <w:p w:rsidR="002E6AAD" w:rsidRPr="00AE40CC" w:rsidRDefault="00570BF0" w:rsidP="00850C5A">
      <w:pPr>
        <w:spacing w:after="0"/>
        <w:ind w:firstLine="284"/>
        <w:jc w:val="both"/>
        <w:rPr>
          <w:rFonts w:ascii="Times New Roman" w:hAnsi="Times New Roman"/>
          <w:lang w:val="lv-LV"/>
        </w:rPr>
      </w:pPr>
      <w:r>
        <w:rPr>
          <w:rFonts w:ascii="Times New Roman" w:hAnsi="Times New Roman"/>
          <w:lang w:val="lv-LV"/>
        </w:rPr>
        <w:t xml:space="preserve">Saistībā ar ekonomiskajiem ieguvumiem sagaidāms, ka Tehnoloģiju inkubatora operators gūs ienākumus no sniegtajiem pakalpojumiem, taču tie tiks ieguldīti komersanta darbībā. Ieguldītā pelņa segs Tehnoloģiju inkubatora ikdienas vajadzības, piemēram, administrācijas, vadības algas un citas saistītās izmaksas. </w:t>
      </w:r>
    </w:p>
    <w:p w:rsidR="002E6AAD" w:rsidRPr="00AE40CC" w:rsidRDefault="00570BF0" w:rsidP="002E6AAD">
      <w:pPr>
        <w:spacing w:after="0"/>
        <w:ind w:firstLine="284"/>
        <w:jc w:val="both"/>
        <w:rPr>
          <w:rFonts w:ascii="Times New Roman" w:hAnsi="Times New Roman"/>
          <w:lang w:val="lv-LV"/>
        </w:rPr>
      </w:pPr>
      <w:r>
        <w:rPr>
          <w:rFonts w:ascii="Times New Roman" w:hAnsi="Times New Roman"/>
          <w:lang w:val="lv-LV"/>
        </w:rPr>
        <w:t xml:space="preserve">Tāpat ir gaidāms, ka Tehnoloģiju inkubatorā esošie komersanti gūs peļņu, jo tie veic uz biznesa orientētas aktivitātes. </w:t>
      </w:r>
    </w:p>
    <w:p w:rsidR="00141425" w:rsidRPr="00AE40CC" w:rsidRDefault="00570BF0" w:rsidP="002E6AAD">
      <w:pPr>
        <w:spacing w:after="0"/>
        <w:ind w:firstLine="284"/>
        <w:jc w:val="both"/>
        <w:rPr>
          <w:rFonts w:ascii="Times New Roman" w:hAnsi="Times New Roman"/>
          <w:lang w:val="lv-LV"/>
        </w:rPr>
      </w:pPr>
      <w:r>
        <w:rPr>
          <w:rFonts w:ascii="Times New Roman" w:hAnsi="Times New Roman"/>
          <w:lang w:val="lv-LV"/>
        </w:rPr>
        <w:t xml:space="preserve">Tehnoloģiju inkubatoram un komersantiem būs jābūt atsevišķam bezprocentu kredītiestādes kontam, kas paredzēts tikai ar projektu saistītiem maksājumiem. Visiem projektu īstenotājiem ir jānodrošina atsevišķa Programmas ietvaros īstenotā projekta uzskaite. </w:t>
      </w:r>
    </w:p>
    <w:p w:rsidR="00A9482F" w:rsidRPr="00AE40CC" w:rsidRDefault="00570BF0" w:rsidP="00A9482F">
      <w:pPr>
        <w:spacing w:after="0"/>
        <w:ind w:firstLine="284"/>
        <w:jc w:val="both"/>
        <w:rPr>
          <w:rFonts w:ascii="Times New Roman" w:hAnsi="Times New Roman"/>
          <w:lang w:val="lv-LV"/>
        </w:rPr>
      </w:pPr>
      <w:r>
        <w:rPr>
          <w:rFonts w:ascii="Times New Roman" w:hAnsi="Times New Roman"/>
          <w:lang w:val="lv-LV"/>
        </w:rPr>
        <w:t xml:space="preserve">Ieguldījumi natūrā nav pieļaujami. Finansējuma saņēmēji </w:t>
      </w:r>
      <w:r>
        <w:rPr>
          <w:rFonts w:ascii="Times New Roman" w:hAnsi="Times New Roman"/>
        </w:rPr>
        <w:t>nodrošinās nacionālo līdzfinansējumu</w:t>
      </w:r>
      <w:r>
        <w:rPr>
          <w:rFonts w:ascii="Times New Roman" w:hAnsi="Times New Roman"/>
          <w:lang w:val="lv-LV"/>
        </w:rPr>
        <w:t xml:space="preserve"> naudas maksājumu veidā. </w:t>
      </w:r>
    </w:p>
    <w:p w:rsidR="00B804D5" w:rsidRPr="00AE40CC" w:rsidRDefault="00570BF0" w:rsidP="00A9482F">
      <w:pPr>
        <w:spacing w:after="0"/>
        <w:ind w:firstLine="284"/>
        <w:jc w:val="both"/>
        <w:rPr>
          <w:rFonts w:ascii="Times New Roman" w:hAnsi="Times New Roman"/>
          <w:lang w:val="lv-LV"/>
        </w:rPr>
      </w:pPr>
      <w:r>
        <w:rPr>
          <w:rFonts w:ascii="Times New Roman" w:hAnsi="Times New Roman"/>
          <w:lang w:val="lv-LV"/>
        </w:rPr>
        <w:t>Visi līdzekļi tiks iemaksāti atsevišķā projekta</w:t>
      </w:r>
      <w:r w:rsidR="005B7039">
        <w:rPr>
          <w:rFonts w:ascii="Times New Roman" w:hAnsi="Times New Roman"/>
          <w:lang w:val="lv-LV"/>
        </w:rPr>
        <w:t xml:space="preserve"> īstenošanai izveidotā finansējuma saņēmēja</w:t>
      </w:r>
      <w:r>
        <w:rPr>
          <w:rFonts w:ascii="Times New Roman" w:hAnsi="Times New Roman"/>
          <w:lang w:val="lv-LV"/>
        </w:rPr>
        <w:t xml:space="preserve"> kontā. Norēķinu pieprasījumi būs jāiesniedz LIAA. </w:t>
      </w:r>
    </w:p>
    <w:p w:rsidR="00E7348A" w:rsidRPr="00AE40CC" w:rsidRDefault="00E7348A" w:rsidP="00A9482F">
      <w:pPr>
        <w:spacing w:after="0"/>
        <w:ind w:firstLine="284"/>
        <w:jc w:val="both"/>
        <w:rPr>
          <w:rFonts w:ascii="Times New Roman" w:hAnsi="Times New Roman"/>
          <w:b/>
          <w:lang w:val="lv-LV"/>
        </w:rPr>
      </w:pPr>
    </w:p>
    <w:p w:rsidR="00B804D5" w:rsidRPr="00AE40CC" w:rsidRDefault="00570BF0" w:rsidP="00A9482F">
      <w:pPr>
        <w:spacing w:after="0"/>
        <w:ind w:firstLine="284"/>
        <w:jc w:val="both"/>
        <w:rPr>
          <w:rFonts w:ascii="Times New Roman" w:hAnsi="Times New Roman"/>
          <w:lang w:val="lv-LV"/>
        </w:rPr>
      </w:pPr>
      <w:r>
        <w:rPr>
          <w:rFonts w:ascii="Times New Roman" w:hAnsi="Times New Roman"/>
          <w:b/>
          <w:lang w:val="lv-LV"/>
        </w:rPr>
        <w:t>Iepriekš noteiktā projekta „Tehnoloģiju inkubators” ietvaros:</w:t>
      </w:r>
    </w:p>
    <w:p w:rsidR="00F37FC0" w:rsidRPr="00AE40CC" w:rsidRDefault="00570BF0" w:rsidP="002722F8">
      <w:pPr>
        <w:spacing w:after="0"/>
        <w:ind w:firstLine="284"/>
        <w:jc w:val="both"/>
        <w:rPr>
          <w:rFonts w:ascii="Times New Roman" w:hAnsi="Times New Roman"/>
          <w:lang w:val="lv-LV"/>
        </w:rPr>
      </w:pPr>
      <w:r>
        <w:rPr>
          <w:rFonts w:ascii="Times New Roman" w:hAnsi="Times New Roman"/>
          <w:lang w:val="lv-LV"/>
        </w:rPr>
        <w:t>Tehnoloģiju inkubatoram būs i</w:t>
      </w:r>
      <w:r w:rsidR="00905104">
        <w:rPr>
          <w:rFonts w:ascii="Times New Roman" w:hAnsi="Times New Roman"/>
          <w:lang w:val="lv-LV"/>
        </w:rPr>
        <w:t>espēja saņemt avansa maksājumus,</w:t>
      </w:r>
      <w:r>
        <w:rPr>
          <w:rFonts w:ascii="Times New Roman" w:hAnsi="Times New Roman"/>
          <w:lang w:val="lv-LV"/>
        </w:rPr>
        <w:t xml:space="preserve"> lai segtu tā administratīvās darbības</w:t>
      </w:r>
      <w:r w:rsidR="00905104">
        <w:rPr>
          <w:rFonts w:ascii="Times New Roman" w:hAnsi="Times New Roman"/>
          <w:lang w:val="lv-LV"/>
        </w:rPr>
        <w:t xml:space="preserve"> izmaksas</w:t>
      </w:r>
      <w:r>
        <w:rPr>
          <w:rFonts w:ascii="Times New Roman" w:hAnsi="Times New Roman"/>
          <w:lang w:val="lv-LV"/>
        </w:rPr>
        <w:t>. Ir plānots veikt 2 atsevišķus maksājumus. Pirmais maksājums līdz 140 560 latiem (200 000 EUR) tikts veikts iepriekš noteiktā projekta īstenošanas sākumā. Otrs maksājums tiks veikts pēc trim fiskālajiem gadiem pēc pirmā maksājuma veikšanas, un tā apmērs tiks noteikts atbilstoši spēkā esošajam regulējumam (Programmas iesniegumā ir pieņemts, ka tas nebūs mazāks par saskaņā ar pašreiz esošajiem nosacījumiem noteikto, t.i. 140 560 lati (200 000 EUR) trīs fiskālo gadu periodā</w:t>
      </w:r>
      <w:r w:rsidR="0023751F">
        <w:rPr>
          <w:rFonts w:ascii="Times New Roman" w:hAnsi="Times New Roman"/>
          <w:lang w:val="lv-LV"/>
        </w:rPr>
        <w:t>)</w:t>
      </w:r>
      <w:r>
        <w:rPr>
          <w:rFonts w:ascii="Times New Roman" w:hAnsi="Times New Roman"/>
          <w:lang w:val="lv-LV"/>
        </w:rPr>
        <w:t>.</w:t>
      </w:r>
    </w:p>
    <w:p w:rsidR="00B336D7" w:rsidRPr="00AE40CC" w:rsidRDefault="00570BF0" w:rsidP="00B336D7">
      <w:pPr>
        <w:spacing w:after="0"/>
        <w:ind w:firstLine="284"/>
        <w:jc w:val="both"/>
        <w:rPr>
          <w:rFonts w:ascii="Times New Roman" w:hAnsi="Times New Roman"/>
          <w:lang w:val="lv-LV"/>
        </w:rPr>
      </w:pPr>
      <w:r>
        <w:rPr>
          <w:rFonts w:ascii="Times New Roman" w:hAnsi="Times New Roman"/>
          <w:lang w:val="lv-LV"/>
        </w:rPr>
        <w:t xml:space="preserve">Saskaņā ar projekta līgumu Tehnoloģiju inkubatoram būs jāiesniedz starpposma ziņojums – ceturkšņa ziņojums, gada ziņojums un noslēguma ziņojums LIAA. Tāpat Tehnoloģiju inkubatoram būs jāiesniedz gada darbības plāns. </w:t>
      </w:r>
    </w:p>
    <w:p w:rsidR="00F76490" w:rsidRPr="00AE40CC" w:rsidRDefault="00570BF0" w:rsidP="00B336D7">
      <w:pPr>
        <w:spacing w:after="0"/>
        <w:ind w:firstLine="284"/>
        <w:jc w:val="both"/>
        <w:rPr>
          <w:rFonts w:ascii="Times New Roman" w:hAnsi="Times New Roman"/>
          <w:lang w:val="lv-LV"/>
        </w:rPr>
      </w:pPr>
      <w:r>
        <w:rPr>
          <w:rFonts w:ascii="Times New Roman" w:hAnsi="Times New Roman"/>
          <w:lang w:val="lv-LV"/>
        </w:rPr>
        <w:t xml:space="preserve">Rekonstrukcijas darbu veikšanai un iekārtu iegādei Tehnoloģiju inkubators varēs saņemt avansa maksājumus līdz pat 35% no projekta kopējā publiskā finansējuma, kas paredzēts rekonstrukcijas darbiem un iekārtu iegādei. Tehnoloģiju inkubatoram būs jāpamato izmaksu nepieciešamība un jānorāda to plānotais izmantošanas laika grafiks. Tehnoloģiju inkubatoram būs iespēja pieteikties avansa maksājumam katru gadu. Papildus Tehnoloģiju inkubatoram būs iespējams saņemt starpposma maksājumus. Šai gadījumā atšķirībā no Atklātā konkursa finansējuma saņēmējiem Tehnoloģiju inkubatoram nebūs jānodrošina kredītiestādes garantijas vēstule par to, ka iekārtas tiks piegādātas projekta īstenošanas vietā, tā kā projekta īstenošanā </w:t>
      </w:r>
      <w:r>
        <w:rPr>
          <w:rFonts w:ascii="Times New Roman" w:hAnsi="Times New Roman"/>
          <w:lang w:val="lv-LV"/>
        </w:rPr>
        <w:lastRenderedPageBreak/>
        <w:t xml:space="preserve">ir iesaistītas valsts universitātes un SIVA. Noslēguma maksājums tiks veikts pēc visu nepieciešamo dokumentu saņemšanas un pārbaudes veikšanas par paveiktajiem darbiem un piegādātajām iekārtām. Pārējos gadījumos, maksājumu veikšana notiks dokumentēto izdevumu apmaksas veidā saskaņā ar projekta līgumā norādītajiem izdevumiem. Starpmaksājumi tiks veikti, balstoties uz starpposma ziņojumiem kopā ar paredzēto veidlapu un rezultātu aprakstu. Pārskata periods būs reizi 3 mēnešos, ja projekta īstenošanas periods pārsniedz 6 mēnešus. </w:t>
      </w:r>
    </w:p>
    <w:p w:rsidR="00E7348A" w:rsidRPr="00AE40CC" w:rsidRDefault="00E7348A" w:rsidP="00A9482F">
      <w:pPr>
        <w:spacing w:after="0"/>
        <w:ind w:firstLine="284"/>
        <w:jc w:val="both"/>
        <w:rPr>
          <w:rFonts w:ascii="Times New Roman" w:hAnsi="Times New Roman"/>
          <w:b/>
          <w:lang w:val="lv-LV"/>
        </w:rPr>
      </w:pPr>
    </w:p>
    <w:p w:rsidR="00B804D5" w:rsidRPr="00AE40CC" w:rsidRDefault="00570BF0" w:rsidP="00A9482F">
      <w:pPr>
        <w:spacing w:after="0"/>
        <w:ind w:firstLine="284"/>
        <w:jc w:val="both"/>
        <w:rPr>
          <w:rFonts w:ascii="Times New Roman" w:hAnsi="Times New Roman"/>
          <w:b/>
          <w:lang w:val="lv-LV"/>
        </w:rPr>
      </w:pPr>
      <w:r>
        <w:rPr>
          <w:rFonts w:ascii="Times New Roman" w:hAnsi="Times New Roman"/>
          <w:b/>
          <w:lang w:val="lv-LV"/>
        </w:rPr>
        <w:t>Neliela apjoma grantu shēmas ietvaros:</w:t>
      </w:r>
    </w:p>
    <w:p w:rsidR="006F4EB1" w:rsidRPr="00214401" w:rsidRDefault="00570BF0" w:rsidP="00A9482F">
      <w:pPr>
        <w:spacing w:after="0"/>
        <w:ind w:firstLine="284"/>
        <w:jc w:val="both"/>
        <w:rPr>
          <w:rFonts w:ascii="Times New Roman" w:hAnsi="Times New Roman"/>
          <w:lang w:val="lv-LV"/>
        </w:rPr>
      </w:pPr>
      <w:r>
        <w:rPr>
          <w:rFonts w:ascii="Times New Roman" w:hAnsi="Times New Roman"/>
          <w:lang w:val="lv-LV"/>
        </w:rPr>
        <w:t xml:space="preserve">Pretendenti saņems kuponu pakalpojumu saņemšanai, kas nozīmē, ka naudas plūsma no LIAA tieši nonāks pie pakalpojuma sniedzēja. Neliela apjoma grantu shēmas ietvaros kuponi ir uzskatāmi par sava veida avansa maksājumu, tā kā finansējuma saņēmējs to saņem pirms nepieciešamās darbības veikšanas. Kupona apjoms tiks aprēķināts vienam gadam atbilstoši nepieciešamo pakalpojumu klāstam. Tā kā kupons tiks piešķirts uzreiz visam gadam, tad nav paredzēti starpposma maksājumi. Tā kā finansējuma saņēmējam būs jāiesniedz ceturkšņa ziņojumi, gada atskaites un noslēguma pārskats, LIAA būs iespēja sekot līdz projekta </w:t>
      </w:r>
      <w:r w:rsidRPr="00214401">
        <w:rPr>
          <w:rFonts w:ascii="Times New Roman" w:hAnsi="Times New Roman"/>
          <w:lang w:val="lv-LV"/>
        </w:rPr>
        <w:t>progresam un kupona lietderīgai izmantošanai.</w:t>
      </w:r>
    </w:p>
    <w:p w:rsidR="006F4EB1" w:rsidRPr="00214401" w:rsidRDefault="006F4EB1" w:rsidP="00A9482F">
      <w:pPr>
        <w:spacing w:after="0"/>
        <w:ind w:firstLine="284"/>
        <w:jc w:val="both"/>
        <w:rPr>
          <w:rFonts w:ascii="Times New Roman" w:hAnsi="Times New Roman"/>
          <w:lang w:val="lv-LV"/>
        </w:rPr>
      </w:pPr>
    </w:p>
    <w:p w:rsidR="006F4EB1" w:rsidRPr="00214401" w:rsidRDefault="00570BF0" w:rsidP="00A9482F">
      <w:pPr>
        <w:spacing w:after="0"/>
        <w:ind w:firstLine="284"/>
        <w:jc w:val="both"/>
        <w:rPr>
          <w:rFonts w:ascii="Times New Roman" w:hAnsi="Times New Roman"/>
          <w:lang w:val="lv-LV"/>
        </w:rPr>
      </w:pPr>
      <w:r w:rsidRPr="00214401">
        <w:rPr>
          <w:rFonts w:ascii="Times New Roman" w:hAnsi="Times New Roman"/>
          <w:lang w:val="lv-LV"/>
        </w:rPr>
        <w:t>LIAA veiks grantu (skaidras naudas) maksājumus tieši finansējuma saņēmējam. Grantus var izmantot, piemēram, algu maksājumiem un citiem pakalpojumiem. Algas maksājumiem būs iespēja saņemt avansa maksājumu līdz 35 % no projekta viena gada atalgojuma publiskā finansējuma. Šāda pieeja palīdzēs risināt problēmu komersantiem ar tā naudas plūsmas nodrošināšanu. Projekta iesniedzējam būs iespēja pieteikt avansa maksājumu, iesniedzot starpposma ziņojumu vai nobeiguma ziņojumu katra gada beigās.</w:t>
      </w:r>
    </w:p>
    <w:p w:rsidR="005B7039" w:rsidRPr="00AE40CC" w:rsidRDefault="005B7039" w:rsidP="00A9482F">
      <w:pPr>
        <w:spacing w:after="0"/>
        <w:ind w:firstLine="284"/>
        <w:jc w:val="both"/>
        <w:rPr>
          <w:rFonts w:ascii="Times New Roman" w:hAnsi="Times New Roman"/>
          <w:lang w:val="lv-LV"/>
        </w:rPr>
      </w:pPr>
      <w:r w:rsidRPr="00214401">
        <w:rPr>
          <w:rFonts w:ascii="Times New Roman" w:hAnsi="Times New Roman"/>
          <w:lang w:val="lv-LV"/>
        </w:rPr>
        <w:t>Visi līdzekļi tiks iemaksāti atsevišķā projekta īstenošanai izveidotā finansējuma saņēmēja kontā. Norēķinu pieprasījumi būs jāiesniedz LIAA</w:t>
      </w:r>
      <w:r>
        <w:rPr>
          <w:rFonts w:ascii="Times New Roman" w:hAnsi="Times New Roman"/>
          <w:lang w:val="lv-LV"/>
        </w:rPr>
        <w:t>.</w:t>
      </w:r>
    </w:p>
    <w:p w:rsidR="00B804D5" w:rsidRPr="00AE40CC" w:rsidRDefault="00570BF0" w:rsidP="00A9482F">
      <w:pPr>
        <w:spacing w:after="0"/>
        <w:ind w:firstLine="284"/>
        <w:jc w:val="both"/>
        <w:rPr>
          <w:rFonts w:ascii="Times New Roman" w:hAnsi="Times New Roman"/>
          <w:b/>
          <w:lang w:val="lv-LV"/>
        </w:rPr>
      </w:pPr>
      <w:r>
        <w:rPr>
          <w:rFonts w:ascii="Times New Roman" w:hAnsi="Times New Roman"/>
          <w:lang w:val="lv-LV"/>
        </w:rPr>
        <w:t xml:space="preserve">Projekta īstenošanas laikā finansējuma saņēmējus kopā ar starpposma ziņojumiem un nobeiguma ziņojumu būs jāiesniedz izdevumu apliecinošos dokumentus. </w:t>
      </w:r>
    </w:p>
    <w:p w:rsidR="00E7348A" w:rsidRPr="00AE40CC" w:rsidRDefault="00E7348A" w:rsidP="00A9482F">
      <w:pPr>
        <w:spacing w:after="0"/>
        <w:ind w:firstLine="284"/>
        <w:jc w:val="both"/>
        <w:rPr>
          <w:rFonts w:ascii="Times New Roman" w:hAnsi="Times New Roman"/>
          <w:b/>
          <w:lang w:val="lv-LV"/>
        </w:rPr>
      </w:pPr>
    </w:p>
    <w:p w:rsidR="00B804D5" w:rsidRPr="00AE40CC" w:rsidRDefault="00570BF0" w:rsidP="00A9482F">
      <w:pPr>
        <w:spacing w:after="0"/>
        <w:ind w:firstLine="284"/>
        <w:jc w:val="both"/>
        <w:rPr>
          <w:rFonts w:ascii="Times New Roman" w:hAnsi="Times New Roman"/>
          <w:lang w:val="lv-LV"/>
        </w:rPr>
      </w:pPr>
      <w:r>
        <w:rPr>
          <w:rFonts w:ascii="Times New Roman" w:hAnsi="Times New Roman"/>
          <w:b/>
          <w:lang w:val="lv-LV"/>
        </w:rPr>
        <w:t>Atklātā projektu atlases konkurss rezultātam „Eiropas ekonomikas „zaļošanas” biznesa iespēju realizācija” ietvaros:</w:t>
      </w:r>
    </w:p>
    <w:p w:rsidR="005B7039" w:rsidRDefault="00570BF0" w:rsidP="001F6B97">
      <w:pPr>
        <w:spacing w:after="0"/>
        <w:ind w:firstLine="284"/>
        <w:jc w:val="both"/>
        <w:rPr>
          <w:rFonts w:ascii="Times New Roman" w:hAnsi="Times New Roman"/>
          <w:lang w:val="lv-LV"/>
        </w:rPr>
      </w:pPr>
      <w:r>
        <w:rPr>
          <w:rFonts w:ascii="Times New Roman" w:hAnsi="Times New Roman"/>
          <w:lang w:val="lv-LV"/>
        </w:rPr>
        <w:t>Avansa maksājumi tiks nodrošināti saskaņā ar Programmas Noteikumiem. Avansa maksājumi var sasniegt līdz 35 %</w:t>
      </w:r>
      <w:r>
        <w:rPr>
          <w:lang w:val="lv-LV"/>
        </w:rPr>
        <w:t xml:space="preserve"> </w:t>
      </w:r>
      <w:r>
        <w:rPr>
          <w:rFonts w:ascii="Times New Roman" w:hAnsi="Times New Roman"/>
          <w:lang w:val="lv-LV"/>
        </w:rPr>
        <w:t>no kopējām projekta publiskajām izmaksām un būs nepieciešams pamatot avansa maksājumu vajadzību un maksājumu veikšanas plānu. Avansa maksājumi tiks veikti pret kredītiestādes garantijām, kas sedz pieprasīto avansa maksājuma summu. Pēc tam būs iespēja saņem starpposma maksājumus, ja iegādātās iekārtas būs piegādātas projekta īstenošanas vietā, pretējā gadījumā finansējuma saņēmējam būs jānodrošina kredītiestādes garantija pieprasītā finansējuma apmērā. Gala maksājumi tiks veikti pēc visu nepieciešamo dokumentu iesniegšanas un iekārtu piegādes un izmantošanas pārbaudes. Pārējos gadījumos, norēķināšanās notiks dokumentēto izdevumu apmaksas veidā saskaņā ar projekta līgumā norādītajiem izdevumiem. Starp</w:t>
      </w:r>
      <w:r w:rsidR="00C136DA">
        <w:rPr>
          <w:rFonts w:ascii="Times New Roman" w:hAnsi="Times New Roman"/>
          <w:lang w:val="lv-LV"/>
        </w:rPr>
        <w:t xml:space="preserve">posma </w:t>
      </w:r>
      <w:r>
        <w:rPr>
          <w:rFonts w:ascii="Times New Roman" w:hAnsi="Times New Roman"/>
          <w:lang w:val="lv-LV"/>
        </w:rPr>
        <w:t>maksājumi tiks veikti, balstoties uz starpposma ziņojumiem kopā ar paredzēto veidlapu un rezultātu aprakstu. Pārskata periods būs reizi 3 mēnešos, ja projekta īstenošanas periods pārsniedz 6 mēnešus. LIAA veiks pārbaudes uz vietas, lai pārbaudītu finanšu pieprasījumus un darbības pārskatus pirms turpmāku maksājumu veikšanas.</w:t>
      </w:r>
    </w:p>
    <w:p w:rsidR="00A9482F" w:rsidRPr="00AE40CC" w:rsidRDefault="005B7039" w:rsidP="001F6B97">
      <w:pPr>
        <w:spacing w:after="0"/>
        <w:ind w:firstLine="284"/>
        <w:jc w:val="both"/>
        <w:rPr>
          <w:rFonts w:ascii="Times New Roman" w:hAnsi="Times New Roman"/>
          <w:lang w:val="lv-LV"/>
        </w:rPr>
      </w:pPr>
      <w:r>
        <w:rPr>
          <w:rFonts w:ascii="Times New Roman" w:hAnsi="Times New Roman"/>
          <w:lang w:val="lv-LV"/>
        </w:rPr>
        <w:t>Visi līdzekļi tiks iemaksāti atsevišķā projekta īstenošanai izveidotā finansējuma saņēmēja kontā. Norēķinu pieprasījumi būs jāiesniedz LIAA.</w:t>
      </w:r>
      <w:r w:rsidR="00570BF0">
        <w:rPr>
          <w:rFonts w:ascii="Times New Roman" w:hAnsi="Times New Roman"/>
          <w:lang w:val="lv-LV"/>
        </w:rPr>
        <w:t xml:space="preserve">  </w:t>
      </w:r>
    </w:p>
    <w:p w:rsidR="00E6176C" w:rsidRPr="00AE40CC" w:rsidRDefault="00570BF0">
      <w:pPr>
        <w:spacing w:after="0"/>
        <w:ind w:firstLine="284"/>
        <w:jc w:val="both"/>
        <w:rPr>
          <w:rFonts w:ascii="Times New Roman" w:hAnsi="Times New Roman"/>
          <w:lang w:val="lv-LV"/>
        </w:rPr>
      </w:pPr>
      <w:r>
        <w:rPr>
          <w:rFonts w:ascii="Times New Roman" w:hAnsi="Times New Roman"/>
          <w:lang w:val="lv-LV"/>
        </w:rPr>
        <w:t xml:space="preserve">Finansējuma saņēmējam būs jāatmaksā izdevumi, kas radušies neatbilstoši projekta līguma nosacījumiem un Programmas Noteikumiem. </w:t>
      </w:r>
    </w:p>
    <w:p w:rsidR="00AB79A5" w:rsidRPr="00AE40CC" w:rsidRDefault="00AB79A5" w:rsidP="001F6B97">
      <w:pPr>
        <w:spacing w:after="0"/>
        <w:ind w:firstLine="284"/>
        <w:jc w:val="both"/>
        <w:rPr>
          <w:rFonts w:ascii="Times New Roman" w:hAnsi="Times New Roman"/>
          <w:b/>
          <w:lang w:val="lv-LV"/>
        </w:rPr>
      </w:pPr>
    </w:p>
    <w:p w:rsidR="00477184" w:rsidRPr="00AE40CC" w:rsidRDefault="00570BF0" w:rsidP="001F6B97">
      <w:pPr>
        <w:spacing w:after="0"/>
        <w:ind w:firstLine="284"/>
        <w:jc w:val="both"/>
        <w:rPr>
          <w:rFonts w:ascii="Times New Roman" w:hAnsi="Times New Roman"/>
          <w:b/>
          <w:lang w:val="lv-LV"/>
        </w:rPr>
      </w:pPr>
      <w:r>
        <w:rPr>
          <w:rFonts w:ascii="Times New Roman" w:hAnsi="Times New Roman"/>
          <w:b/>
          <w:lang w:val="lv-LV"/>
        </w:rPr>
        <w:lastRenderedPageBreak/>
        <w:t>Projekta ietvaros izmaksas ir attiecināmas, ja:</w:t>
      </w:r>
    </w:p>
    <w:p w:rsidR="0018223B" w:rsidRPr="00AE40CC" w:rsidRDefault="00570BF0" w:rsidP="00877666">
      <w:pPr>
        <w:pStyle w:val="ListParagraph"/>
        <w:numPr>
          <w:ilvl w:val="0"/>
          <w:numId w:val="12"/>
        </w:numPr>
        <w:spacing w:after="0"/>
        <w:ind w:left="284" w:hanging="284"/>
        <w:jc w:val="both"/>
        <w:rPr>
          <w:rFonts w:ascii="Times New Roman" w:hAnsi="Times New Roman"/>
          <w:lang w:val="lv-LV"/>
        </w:rPr>
      </w:pPr>
      <w:r>
        <w:rPr>
          <w:rFonts w:ascii="Times New Roman" w:hAnsi="Times New Roman"/>
          <w:lang w:val="lv-LV"/>
        </w:rPr>
        <w:t xml:space="preserve">Tās ir nozīmīgas projekta īstenošanai, tās ir paredzētas projekta līgumā un atbilst drošas finanšu vadības principiem, jo īpaši ekonomiski izdevīgiem un efektīviem principiem. </w:t>
      </w:r>
    </w:p>
    <w:p w:rsidR="0018223B" w:rsidRPr="00AE40CC" w:rsidRDefault="00570BF0" w:rsidP="00877666">
      <w:pPr>
        <w:pStyle w:val="ListParagraph"/>
        <w:numPr>
          <w:ilvl w:val="0"/>
          <w:numId w:val="12"/>
        </w:numPr>
        <w:spacing w:after="0"/>
        <w:ind w:left="284" w:hanging="284"/>
        <w:jc w:val="both"/>
        <w:rPr>
          <w:rFonts w:ascii="Times New Roman" w:hAnsi="Times New Roman"/>
          <w:lang w:val="lv-LV"/>
        </w:rPr>
      </w:pPr>
      <w:r>
        <w:rPr>
          <w:rFonts w:ascii="Times New Roman" w:hAnsi="Times New Roman"/>
          <w:lang w:val="lv-LV"/>
        </w:rPr>
        <w:t>Tās ir fiziski radušās finansējuma saņēmējam vai tā partneriem projekta īstenošanas posmā;</w:t>
      </w:r>
    </w:p>
    <w:p w:rsidR="0018223B" w:rsidRPr="00AE40CC" w:rsidRDefault="00570BF0" w:rsidP="00877666">
      <w:pPr>
        <w:pStyle w:val="ListParagraph"/>
        <w:numPr>
          <w:ilvl w:val="0"/>
          <w:numId w:val="12"/>
        </w:numPr>
        <w:spacing w:after="0"/>
        <w:ind w:left="284" w:hanging="284"/>
        <w:jc w:val="both"/>
        <w:rPr>
          <w:rFonts w:ascii="Times New Roman" w:hAnsi="Times New Roman"/>
          <w:lang w:val="lv-LV"/>
        </w:rPr>
      </w:pPr>
      <w:r>
        <w:rPr>
          <w:rFonts w:ascii="Times New Roman" w:hAnsi="Times New Roman"/>
          <w:lang w:val="lv-LV"/>
        </w:rPr>
        <w:t xml:space="preserve">Tās ir uzskaitītas finansējuma saņēmēja grāmatvedības un nodokļu reģistros, tās ir nosakāmas un uzrādāmas, kā arī tās apliecina dokumentu oriģināli. </w:t>
      </w:r>
    </w:p>
    <w:p w:rsidR="0018223B" w:rsidRPr="00AE40CC" w:rsidRDefault="00570BF0" w:rsidP="00877666">
      <w:pPr>
        <w:pStyle w:val="ListParagraph"/>
        <w:numPr>
          <w:ilvl w:val="0"/>
          <w:numId w:val="12"/>
        </w:numPr>
        <w:spacing w:after="0"/>
        <w:ind w:left="284" w:hanging="284"/>
        <w:jc w:val="both"/>
        <w:rPr>
          <w:rFonts w:ascii="Times New Roman" w:hAnsi="Times New Roman"/>
          <w:lang w:val="lv-LV"/>
        </w:rPr>
      </w:pPr>
      <w:r>
        <w:rPr>
          <w:rFonts w:ascii="Times New Roman" w:hAnsi="Times New Roman"/>
          <w:lang w:val="lv-LV"/>
        </w:rPr>
        <w:t xml:space="preserve">Projekta ietvaros ir paredzēti avansa maksājumi, starpposma maksājumi un noslēguma maksājumi. Avansa maksājumi tiks veikti, balstoties uz projekta līguma nosacījumiem, savukārt starpposma un noslēguma maksājumi tiks veikti, balstoties uz projekta ieviešanas ziņojumiem. </w:t>
      </w:r>
    </w:p>
    <w:p w:rsidR="0018223B" w:rsidRPr="00AE40CC" w:rsidRDefault="00570BF0" w:rsidP="00877666">
      <w:pPr>
        <w:pStyle w:val="ListParagraph"/>
        <w:numPr>
          <w:ilvl w:val="0"/>
          <w:numId w:val="12"/>
        </w:numPr>
        <w:spacing w:after="0"/>
        <w:ind w:left="284" w:hanging="284"/>
        <w:jc w:val="both"/>
        <w:rPr>
          <w:rFonts w:ascii="Times New Roman" w:hAnsi="Times New Roman"/>
          <w:lang w:val="lv-LV"/>
        </w:rPr>
      </w:pPr>
      <w:r>
        <w:rPr>
          <w:rFonts w:ascii="Times New Roman" w:hAnsi="Times New Roman"/>
          <w:lang w:val="lv-LV"/>
        </w:rPr>
        <w:t xml:space="preserve">Konstatējot projekta pārkāpumus, starpposma maksājumu apmēru var samazināt vai atlikt līdz pārkāpums tiek novērsts. </w:t>
      </w:r>
    </w:p>
    <w:p w:rsidR="00DB1B58" w:rsidRPr="00AE40CC" w:rsidRDefault="00DB1B58" w:rsidP="00DB1B58">
      <w:pPr>
        <w:pStyle w:val="ListParagraph"/>
        <w:spacing w:after="0"/>
        <w:ind w:left="284"/>
        <w:jc w:val="both"/>
        <w:rPr>
          <w:rFonts w:ascii="Times New Roman" w:hAnsi="Times New Roman"/>
          <w:lang w:val="lv-LV"/>
        </w:rPr>
      </w:pPr>
    </w:p>
    <w:p w:rsidR="00A9482F" w:rsidRPr="00AE40CC" w:rsidRDefault="00570BF0" w:rsidP="00A9482F">
      <w:pPr>
        <w:pStyle w:val="Heading3"/>
        <w:spacing w:before="0"/>
        <w:rPr>
          <w:rFonts w:ascii="Times New Roman" w:hAnsi="Times New Roman"/>
          <w:lang w:val="lv-LV"/>
        </w:rPr>
      </w:pPr>
      <w:r>
        <w:rPr>
          <w:rFonts w:ascii="Times New Roman" w:hAnsi="Times New Roman"/>
          <w:lang w:val="lv-LV"/>
        </w:rPr>
        <w:t>Izmaiņas projektos</w:t>
      </w:r>
    </w:p>
    <w:p w:rsidR="00A9482F" w:rsidRPr="00AE40CC" w:rsidRDefault="00570BF0" w:rsidP="00A9482F">
      <w:pPr>
        <w:spacing w:after="0"/>
        <w:rPr>
          <w:rFonts w:ascii="Times New Roman" w:hAnsi="Times New Roman"/>
          <w:b/>
          <w:lang w:val="lv-LV"/>
        </w:rPr>
      </w:pPr>
      <w:r>
        <w:rPr>
          <w:rFonts w:ascii="Times New Roman" w:hAnsi="Times New Roman"/>
          <w:b/>
          <w:lang w:val="lv-LV"/>
        </w:rPr>
        <w:t>Aprakstīt kārtību, kas saistīta ar izmaiņām projektā.</w:t>
      </w:r>
    </w:p>
    <w:p w:rsidR="00C2363A" w:rsidRPr="00AE40CC" w:rsidRDefault="00570BF0" w:rsidP="008F6584">
      <w:pPr>
        <w:spacing w:after="0"/>
        <w:ind w:firstLine="284"/>
        <w:jc w:val="both"/>
        <w:rPr>
          <w:rFonts w:ascii="Times New Roman" w:hAnsi="Times New Roman"/>
          <w:lang w:val="lv-LV"/>
        </w:rPr>
      </w:pPr>
      <w:r>
        <w:rPr>
          <w:rFonts w:ascii="Times New Roman" w:hAnsi="Times New Roman"/>
          <w:lang w:val="lv-LV"/>
        </w:rPr>
        <w:t xml:space="preserve">Kārtība, kādā projektā tiek veiktas izmaiņas ir noteikta Programmas Noteikumos un sīkāk izklāstītas projekta līgumā. Programmas Noteikumi un projekta līgums nodrošinās iespēju grozīt projekta līgumu, ja paredzētās izmaiņas projektā, saglabās iespēju sasniegt projekta mērķus un rezultātus un nodrošināt lietderīgu finansējuma izlietojumu. Finansējuma saņēmējam būs iespēja ierosināt izmaiņas, nosūtot LIAA oficiālu pieprasījumu. Ja šāds pieprasījums būs juridiski pareizs un pamatots, LIAA to apstiprinās.  </w:t>
      </w:r>
    </w:p>
    <w:p w:rsidR="006973CC" w:rsidRPr="00AE40CC" w:rsidRDefault="00570BF0" w:rsidP="00727D12">
      <w:pPr>
        <w:spacing w:after="0"/>
        <w:ind w:firstLine="284"/>
        <w:rPr>
          <w:rFonts w:ascii="Times New Roman" w:hAnsi="Times New Roman"/>
          <w:lang w:val="lv-LV"/>
        </w:rPr>
      </w:pPr>
      <w:r>
        <w:rPr>
          <w:rFonts w:ascii="Times New Roman" w:hAnsi="Times New Roman"/>
          <w:lang w:val="lv-LV"/>
        </w:rPr>
        <w:t>Nebūs iespējams veikt šādus grozījumus:</w:t>
      </w:r>
    </w:p>
    <w:p w:rsidR="0018223B" w:rsidRPr="00AE40CC" w:rsidRDefault="00570BF0" w:rsidP="00877666">
      <w:pPr>
        <w:pStyle w:val="ListParagraph"/>
        <w:numPr>
          <w:ilvl w:val="0"/>
          <w:numId w:val="6"/>
        </w:numPr>
        <w:spacing w:after="0"/>
        <w:rPr>
          <w:rFonts w:ascii="Times New Roman" w:hAnsi="Times New Roman"/>
          <w:lang w:val="lv-LV"/>
        </w:rPr>
      </w:pPr>
      <w:r>
        <w:rPr>
          <w:rFonts w:ascii="Times New Roman" w:hAnsi="Times New Roman"/>
          <w:lang w:val="lv-LV"/>
        </w:rPr>
        <w:t>Grozīt nosacījumus, kas varētu ietekmēt lēmumu par projekta pieņemšanu;</w:t>
      </w:r>
    </w:p>
    <w:p w:rsidR="0018223B" w:rsidRPr="00AE40CC" w:rsidRDefault="00570BF0" w:rsidP="00877666">
      <w:pPr>
        <w:pStyle w:val="ListParagraph"/>
        <w:numPr>
          <w:ilvl w:val="0"/>
          <w:numId w:val="6"/>
        </w:numPr>
        <w:spacing w:after="0"/>
        <w:rPr>
          <w:rFonts w:ascii="Times New Roman" w:hAnsi="Times New Roman"/>
          <w:lang w:val="lv-LV"/>
        </w:rPr>
      </w:pPr>
      <w:r>
        <w:rPr>
          <w:rFonts w:ascii="Times New Roman" w:hAnsi="Times New Roman"/>
          <w:lang w:val="lv-LV"/>
        </w:rPr>
        <w:t>Grozījuma sekas varētu ietekmēt vienlīdzīgas iespējas visiem saņemt finansējumu;</w:t>
      </w:r>
    </w:p>
    <w:p w:rsidR="0018223B" w:rsidRPr="00AE40CC" w:rsidRDefault="00570BF0" w:rsidP="00877666">
      <w:pPr>
        <w:pStyle w:val="ListParagraph"/>
        <w:numPr>
          <w:ilvl w:val="0"/>
          <w:numId w:val="6"/>
        </w:numPr>
        <w:spacing w:after="0"/>
        <w:rPr>
          <w:rFonts w:ascii="Times New Roman" w:hAnsi="Times New Roman"/>
          <w:lang w:val="lv-LV"/>
        </w:rPr>
      </w:pPr>
      <w:r>
        <w:rPr>
          <w:rFonts w:ascii="Times New Roman" w:hAnsi="Times New Roman"/>
          <w:lang w:val="lv-LV"/>
        </w:rPr>
        <w:t xml:space="preserve">Grozījumi ir pretrunā ar lēmumu par projekta pieņemšanu vai atbalsta </w:t>
      </w:r>
      <w:r w:rsidR="00C136DA">
        <w:rPr>
          <w:rFonts w:ascii="Times New Roman" w:hAnsi="Times New Roman"/>
          <w:lang w:val="lv-LV"/>
        </w:rPr>
        <w:t>pasākuma</w:t>
      </w:r>
      <w:r>
        <w:rPr>
          <w:rFonts w:ascii="Times New Roman" w:hAnsi="Times New Roman"/>
          <w:lang w:val="lv-LV"/>
        </w:rPr>
        <w:t xml:space="preserve"> noteikumiem. </w:t>
      </w:r>
    </w:p>
    <w:p w:rsidR="00330204" w:rsidRPr="00AE40CC" w:rsidRDefault="00570BF0" w:rsidP="00167E8C">
      <w:pPr>
        <w:spacing w:after="0"/>
        <w:ind w:firstLine="284"/>
        <w:jc w:val="both"/>
        <w:rPr>
          <w:rFonts w:ascii="Times New Roman" w:hAnsi="Times New Roman"/>
          <w:lang w:val="lv-LV"/>
        </w:rPr>
      </w:pPr>
      <w:r>
        <w:rPr>
          <w:rFonts w:ascii="Times New Roman" w:hAnsi="Times New Roman"/>
          <w:lang w:val="lv-LV"/>
        </w:rPr>
        <w:t>Pieprasījumu par izmaiņām vai grozījumiem būs jāiesniedz LIAA 20 darba dienu laikā pirms šādu izmaiņu vai grozījumu rašanās. Īsākā laikā izmaiņas un grozījumus var veikt, ja finansējuma saņēmējs iesniedz labi sagatavotu pamatojumu īsāka termiņa nepieciešamībai.</w:t>
      </w:r>
    </w:p>
    <w:p w:rsidR="0037245A" w:rsidRPr="00AE40CC" w:rsidRDefault="00570BF0">
      <w:pPr>
        <w:spacing w:after="0"/>
        <w:ind w:firstLine="284"/>
        <w:jc w:val="both"/>
        <w:rPr>
          <w:rFonts w:ascii="Times New Roman" w:hAnsi="Times New Roman"/>
          <w:lang w:val="lv-LV"/>
        </w:rPr>
      </w:pPr>
      <w:r>
        <w:rPr>
          <w:rFonts w:ascii="Times New Roman" w:hAnsi="Times New Roman"/>
          <w:lang w:val="lv-LV"/>
        </w:rPr>
        <w:t xml:space="preserve">Programmas Noteikumos tiks noteikti sasniedzamie rezultāti finansējuma saņēmējam, kā neizpildes gadījumā LIAA būs iespēja lauzt projekta līgumu. Šāda pieeja ļaus izvairīties no neefektīvas naudas līdzekļu apguves un ļaus to pārdalīt dzīvotspējīgiem projektiem.    </w:t>
      </w:r>
    </w:p>
    <w:p w:rsidR="00D903D3" w:rsidRPr="00AE40CC" w:rsidRDefault="00D903D3" w:rsidP="00D903D3">
      <w:pPr>
        <w:spacing w:after="0"/>
        <w:ind w:firstLine="284"/>
        <w:jc w:val="both"/>
        <w:rPr>
          <w:rFonts w:ascii="Times New Roman" w:hAnsi="Times New Roman"/>
          <w:lang w:val="lv-LV"/>
        </w:rPr>
      </w:pPr>
    </w:p>
    <w:bookmarkEnd w:id="84"/>
    <w:bookmarkEnd w:id="85"/>
    <w:bookmarkEnd w:id="86"/>
    <w:bookmarkEnd w:id="87"/>
    <w:p w:rsidR="00A9482F" w:rsidRPr="00AE40CC" w:rsidRDefault="00570BF0" w:rsidP="00373FF3">
      <w:pPr>
        <w:pStyle w:val="Heading2"/>
        <w:spacing w:before="0"/>
        <w:rPr>
          <w:rFonts w:ascii="Times New Roman" w:hAnsi="Times New Roman"/>
          <w:sz w:val="22"/>
          <w:szCs w:val="22"/>
          <w:lang w:val="lv-LV"/>
        </w:rPr>
      </w:pPr>
      <w:r>
        <w:rPr>
          <w:rFonts w:ascii="Times New Roman" w:hAnsi="Times New Roman"/>
          <w:sz w:val="22"/>
          <w:szCs w:val="22"/>
          <w:lang w:val="lv-LV"/>
        </w:rPr>
        <w:t>Budžets</w:t>
      </w:r>
    </w:p>
    <w:p w:rsidR="00A9482F" w:rsidRPr="00AE40CC" w:rsidRDefault="00570BF0" w:rsidP="00373FF3">
      <w:pPr>
        <w:pStyle w:val="Heading3"/>
        <w:spacing w:before="0"/>
        <w:rPr>
          <w:rFonts w:ascii="Times New Roman" w:hAnsi="Times New Roman"/>
          <w:lang w:val="lv-LV"/>
        </w:rPr>
      </w:pPr>
      <w:r>
        <w:rPr>
          <w:rFonts w:ascii="Times New Roman" w:hAnsi="Times New Roman"/>
          <w:lang w:val="lv-LV"/>
        </w:rPr>
        <w:t>Budžeta pozīcijas</w:t>
      </w:r>
    </w:p>
    <w:p w:rsidR="00A9482F" w:rsidRPr="00AE40CC" w:rsidRDefault="00570BF0" w:rsidP="00A9482F">
      <w:pPr>
        <w:tabs>
          <w:tab w:val="left" w:pos="360"/>
        </w:tabs>
        <w:rPr>
          <w:rFonts w:ascii="Times New Roman" w:hAnsi="Times New Roman"/>
          <w:b/>
          <w:bCs/>
          <w:lang w:val="lv-LV"/>
        </w:rPr>
      </w:pPr>
      <w:r>
        <w:rPr>
          <w:rFonts w:ascii="Times New Roman" w:hAnsi="Times New Roman"/>
          <w:b/>
          <w:bCs/>
          <w:lang w:val="lv-LV"/>
        </w:rPr>
        <w:t>Aizpildīt turpmāk tekstā redzamās tabulas. Sniegt pamatojumu katrai no tabulām saskaņā ar PAR.</w:t>
      </w:r>
    </w:p>
    <w:p w:rsidR="00A9482F" w:rsidRPr="00AE40CC" w:rsidRDefault="00570BF0" w:rsidP="00A9482F">
      <w:pPr>
        <w:keepLines/>
        <w:widowControl w:val="0"/>
        <w:tabs>
          <w:tab w:val="left" w:pos="360"/>
        </w:tabs>
        <w:spacing w:after="0"/>
        <w:rPr>
          <w:rFonts w:ascii="Times New Roman" w:hAnsi="Times New Roman"/>
          <w:b/>
          <w:bCs/>
          <w:lang w:val="lv-LV"/>
        </w:rPr>
      </w:pPr>
      <w:r>
        <w:rPr>
          <w:rFonts w:ascii="Times New Roman" w:hAnsi="Times New Roman"/>
          <w:b/>
          <w:bCs/>
          <w:lang w:val="lv-LV"/>
        </w:rPr>
        <w:t xml:space="preserve">Pieprasītā programmas granta daļa (EUR) (%):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359"/>
        <w:gridCol w:w="1080"/>
        <w:gridCol w:w="1080"/>
        <w:gridCol w:w="1080"/>
        <w:gridCol w:w="1213"/>
        <w:gridCol w:w="1307"/>
      </w:tblGrid>
      <w:tr w:rsidR="00A9482F" w:rsidRPr="00AE40CC">
        <w:trPr>
          <w:cantSplit/>
        </w:trPr>
        <w:tc>
          <w:tcPr>
            <w:tcW w:w="1809" w:type="dxa"/>
            <w:vMerge w:val="restart"/>
            <w:shd w:val="clear" w:color="auto" w:fill="C0C0C0"/>
            <w:vAlign w:val="center"/>
          </w:tcPr>
          <w:p w:rsidR="00A9482F" w:rsidRPr="00AE40CC" w:rsidRDefault="00A9482F" w:rsidP="00A9482F">
            <w:pPr>
              <w:keepLines/>
              <w:widowControl w:val="0"/>
              <w:spacing w:before="60" w:after="60"/>
              <w:jc w:val="center"/>
              <w:rPr>
                <w:rFonts w:ascii="Times New Roman" w:hAnsi="Times New Roman"/>
                <w:b/>
                <w:sz w:val="24"/>
                <w:szCs w:val="24"/>
                <w:lang w:val="lv-LV"/>
              </w:rPr>
            </w:pPr>
          </w:p>
        </w:tc>
        <w:tc>
          <w:tcPr>
            <w:tcW w:w="4599" w:type="dxa"/>
            <w:gridSpan w:val="4"/>
            <w:tcBorders>
              <w:bottom w:val="single" w:sz="4" w:space="0" w:color="auto"/>
            </w:tcBorders>
            <w:shd w:val="clear" w:color="auto" w:fill="C0C0C0"/>
          </w:tcPr>
          <w:p w:rsidR="00A9482F" w:rsidRPr="00AE40CC" w:rsidRDefault="00A9482F" w:rsidP="00A9482F">
            <w:pPr>
              <w:keepLines/>
              <w:widowControl w:val="0"/>
              <w:spacing w:before="60" w:after="60"/>
              <w:jc w:val="center"/>
              <w:rPr>
                <w:rFonts w:ascii="Times New Roman" w:hAnsi="Times New Roman"/>
                <w:b/>
                <w:lang w:val="lv-LV"/>
              </w:rPr>
            </w:pPr>
          </w:p>
        </w:tc>
        <w:tc>
          <w:tcPr>
            <w:tcW w:w="1213" w:type="dxa"/>
            <w:vMerge w:val="restart"/>
            <w:shd w:val="clear" w:color="auto" w:fill="C0C0C0"/>
            <w:vAlign w:val="center"/>
          </w:tcPr>
          <w:p w:rsidR="00A9482F" w:rsidRPr="00AE40CC" w:rsidRDefault="00570BF0" w:rsidP="00A9482F">
            <w:pPr>
              <w:keepLines/>
              <w:widowControl w:val="0"/>
              <w:spacing w:before="60" w:after="60"/>
              <w:jc w:val="center"/>
              <w:rPr>
                <w:rFonts w:ascii="Times New Roman" w:hAnsi="Times New Roman"/>
                <w:b/>
                <w:lang w:val="lv-LV"/>
              </w:rPr>
            </w:pPr>
            <w:r>
              <w:rPr>
                <w:rFonts w:ascii="Times New Roman" w:hAnsi="Times New Roman"/>
                <w:b/>
                <w:lang w:val="lv-LV"/>
              </w:rPr>
              <w:t>Neattiecināmās izmaksas (d)</w:t>
            </w:r>
          </w:p>
        </w:tc>
        <w:tc>
          <w:tcPr>
            <w:tcW w:w="1307" w:type="dxa"/>
            <w:vMerge w:val="restart"/>
            <w:shd w:val="clear" w:color="auto" w:fill="C0C0C0"/>
            <w:vAlign w:val="center"/>
          </w:tcPr>
          <w:p w:rsidR="00A9482F" w:rsidRPr="00AE40CC" w:rsidRDefault="00570BF0" w:rsidP="00A9482F">
            <w:pPr>
              <w:keepLines/>
              <w:widowControl w:val="0"/>
              <w:spacing w:before="60" w:after="60"/>
              <w:jc w:val="center"/>
              <w:rPr>
                <w:rFonts w:ascii="Times New Roman" w:hAnsi="Times New Roman"/>
                <w:b/>
                <w:lang w:val="lv-LV"/>
              </w:rPr>
            </w:pPr>
            <w:r>
              <w:rPr>
                <w:rFonts w:ascii="Times New Roman" w:hAnsi="Times New Roman"/>
                <w:b/>
                <w:lang w:val="lv-LV"/>
              </w:rPr>
              <w:t>Kopējās izmaksas</w:t>
            </w:r>
            <w:r>
              <w:rPr>
                <w:rFonts w:ascii="Times New Roman" w:hAnsi="Times New Roman"/>
                <w:b/>
                <w:lang w:val="lv-LV"/>
              </w:rPr>
              <w:br/>
              <w:t>(e) = (c) + (d)</w:t>
            </w:r>
          </w:p>
        </w:tc>
      </w:tr>
      <w:tr w:rsidR="00A9482F" w:rsidRPr="00AE40CC">
        <w:trPr>
          <w:cantSplit/>
        </w:trPr>
        <w:tc>
          <w:tcPr>
            <w:tcW w:w="1809" w:type="dxa"/>
            <w:vMerge/>
          </w:tcPr>
          <w:p w:rsidR="00A9482F" w:rsidRPr="00AE40CC" w:rsidRDefault="00A9482F" w:rsidP="00A9482F">
            <w:pPr>
              <w:keepLines/>
              <w:widowControl w:val="0"/>
              <w:spacing w:before="60" w:after="60"/>
              <w:jc w:val="center"/>
              <w:rPr>
                <w:rFonts w:ascii="Times New Roman" w:hAnsi="Times New Roman"/>
                <w:b/>
                <w:sz w:val="24"/>
                <w:szCs w:val="24"/>
                <w:lang w:val="lv-LV"/>
              </w:rPr>
            </w:pPr>
          </w:p>
        </w:tc>
        <w:tc>
          <w:tcPr>
            <w:tcW w:w="1359" w:type="dxa"/>
            <w:shd w:val="clear" w:color="auto" w:fill="C0C0C0"/>
            <w:vAlign w:val="center"/>
          </w:tcPr>
          <w:p w:rsidR="00A9482F" w:rsidRPr="00AE40CC" w:rsidRDefault="004F0F0E" w:rsidP="00A9482F">
            <w:pPr>
              <w:keepLines/>
              <w:widowControl w:val="0"/>
              <w:spacing w:before="60" w:after="60"/>
              <w:jc w:val="center"/>
              <w:rPr>
                <w:rFonts w:ascii="Times New Roman" w:hAnsi="Times New Roman"/>
                <w:b/>
                <w:lang w:val="lv-LV"/>
              </w:rPr>
            </w:pPr>
            <w:r w:rsidRPr="004F0F0E">
              <w:rPr>
                <w:rFonts w:ascii="Times New Roman" w:hAnsi="Times New Roman"/>
                <w:b/>
                <w:bCs/>
              </w:rPr>
              <w:t>Norvēģijas FI</w:t>
            </w:r>
            <w:r w:rsidR="00570BF0">
              <w:rPr>
                <w:rFonts w:ascii="Times New Roman" w:hAnsi="Times New Roman"/>
                <w:b/>
                <w:lang w:val="lv-LV"/>
              </w:rPr>
              <w:br/>
              <w:t>(a)</w:t>
            </w:r>
          </w:p>
        </w:tc>
        <w:tc>
          <w:tcPr>
            <w:tcW w:w="1080" w:type="dxa"/>
            <w:shd w:val="clear" w:color="auto" w:fill="C0C0C0"/>
            <w:vAlign w:val="center"/>
          </w:tcPr>
          <w:p w:rsidR="00A9482F" w:rsidRPr="00AE40CC" w:rsidRDefault="00570BF0" w:rsidP="00A9482F">
            <w:pPr>
              <w:keepLines/>
              <w:widowControl w:val="0"/>
              <w:spacing w:before="60" w:after="60"/>
              <w:jc w:val="center"/>
              <w:rPr>
                <w:rFonts w:ascii="Times New Roman" w:hAnsi="Times New Roman"/>
                <w:b/>
                <w:lang w:val="lv-LV"/>
              </w:rPr>
            </w:pPr>
            <w:r>
              <w:rPr>
                <w:rFonts w:ascii="Times New Roman" w:hAnsi="Times New Roman"/>
                <w:b/>
                <w:lang w:val="lv-LV"/>
              </w:rPr>
              <w:t xml:space="preserve">Valsts </w:t>
            </w:r>
            <w:proofErr w:type="spellStart"/>
            <w:r>
              <w:rPr>
                <w:rFonts w:ascii="Times New Roman" w:hAnsi="Times New Roman"/>
                <w:b/>
                <w:lang w:val="lv-LV"/>
              </w:rPr>
              <w:t>līdzfin</w:t>
            </w:r>
            <w:proofErr w:type="spellEnd"/>
            <w:r>
              <w:rPr>
                <w:rFonts w:ascii="Times New Roman" w:hAnsi="Times New Roman"/>
                <w:b/>
                <w:lang w:val="lv-LV"/>
              </w:rPr>
              <w:t>.</w:t>
            </w:r>
            <w:r>
              <w:rPr>
                <w:rFonts w:ascii="Times New Roman" w:hAnsi="Times New Roman"/>
                <w:b/>
                <w:lang w:val="lv-LV"/>
              </w:rPr>
              <w:br/>
              <w:t>(b)</w:t>
            </w:r>
          </w:p>
        </w:tc>
        <w:tc>
          <w:tcPr>
            <w:tcW w:w="2160" w:type="dxa"/>
            <w:gridSpan w:val="2"/>
            <w:shd w:val="clear" w:color="auto" w:fill="C0C0C0"/>
            <w:vAlign w:val="center"/>
          </w:tcPr>
          <w:p w:rsidR="00A9482F" w:rsidRPr="00AE40CC" w:rsidRDefault="00570BF0" w:rsidP="00A9482F">
            <w:pPr>
              <w:keepLines/>
              <w:widowControl w:val="0"/>
              <w:spacing w:before="60" w:after="60"/>
              <w:jc w:val="center"/>
              <w:rPr>
                <w:rFonts w:ascii="Times New Roman" w:hAnsi="Times New Roman"/>
                <w:b/>
                <w:lang w:val="lv-LV"/>
              </w:rPr>
            </w:pPr>
            <w:r>
              <w:rPr>
                <w:rFonts w:ascii="Times New Roman" w:hAnsi="Times New Roman"/>
                <w:b/>
                <w:lang w:val="lv-LV"/>
              </w:rPr>
              <w:t>Kopējās attiecināmās izmaksas</w:t>
            </w:r>
            <w:r>
              <w:rPr>
                <w:rFonts w:ascii="Times New Roman" w:hAnsi="Times New Roman"/>
                <w:b/>
                <w:lang w:val="lv-LV"/>
              </w:rPr>
              <w:br/>
              <w:t>(c) = (a)+(b)</w:t>
            </w:r>
          </w:p>
        </w:tc>
        <w:tc>
          <w:tcPr>
            <w:tcW w:w="1213" w:type="dxa"/>
            <w:vMerge/>
            <w:tcBorders>
              <w:bottom w:val="single" w:sz="4" w:space="0" w:color="auto"/>
            </w:tcBorders>
          </w:tcPr>
          <w:p w:rsidR="00A9482F" w:rsidRPr="00AE40CC" w:rsidRDefault="00A9482F" w:rsidP="00A9482F">
            <w:pPr>
              <w:keepLines/>
              <w:widowControl w:val="0"/>
              <w:spacing w:before="60" w:after="60"/>
              <w:jc w:val="center"/>
              <w:rPr>
                <w:rFonts w:ascii="Times New Roman" w:hAnsi="Times New Roman"/>
                <w:b/>
                <w:lang w:val="lv-LV"/>
              </w:rPr>
            </w:pPr>
          </w:p>
        </w:tc>
        <w:tc>
          <w:tcPr>
            <w:tcW w:w="1307" w:type="dxa"/>
            <w:vMerge/>
            <w:tcBorders>
              <w:bottom w:val="single" w:sz="4" w:space="0" w:color="auto"/>
            </w:tcBorders>
          </w:tcPr>
          <w:p w:rsidR="00A9482F" w:rsidRPr="00AE40CC" w:rsidRDefault="00A9482F" w:rsidP="00A9482F">
            <w:pPr>
              <w:keepLines/>
              <w:widowControl w:val="0"/>
              <w:spacing w:before="60" w:after="60"/>
              <w:jc w:val="center"/>
              <w:rPr>
                <w:rFonts w:ascii="Times New Roman" w:hAnsi="Times New Roman"/>
                <w:b/>
                <w:lang w:val="lv-LV"/>
              </w:rPr>
            </w:pPr>
          </w:p>
        </w:tc>
      </w:tr>
      <w:tr w:rsidR="00A9482F" w:rsidRPr="00AE40CC">
        <w:trPr>
          <w:cantSplit/>
        </w:trPr>
        <w:tc>
          <w:tcPr>
            <w:tcW w:w="1809" w:type="dxa"/>
            <w:vMerge/>
          </w:tcPr>
          <w:p w:rsidR="00A9482F" w:rsidRPr="00AE40CC" w:rsidRDefault="00A9482F" w:rsidP="00A9482F">
            <w:pPr>
              <w:keepLines/>
              <w:widowControl w:val="0"/>
              <w:spacing w:before="60" w:after="60"/>
              <w:jc w:val="center"/>
              <w:rPr>
                <w:rFonts w:ascii="Times New Roman" w:hAnsi="Times New Roman"/>
                <w:b/>
                <w:sz w:val="24"/>
                <w:szCs w:val="24"/>
                <w:lang w:val="lv-LV"/>
              </w:rPr>
            </w:pPr>
          </w:p>
        </w:tc>
        <w:tc>
          <w:tcPr>
            <w:tcW w:w="1359" w:type="dxa"/>
            <w:vAlign w:val="center"/>
          </w:tcPr>
          <w:p w:rsidR="00A9482F" w:rsidRPr="00AE40CC" w:rsidRDefault="00570BF0" w:rsidP="00A9482F">
            <w:pPr>
              <w:keepLines/>
              <w:widowControl w:val="0"/>
              <w:spacing w:before="60" w:after="60"/>
              <w:jc w:val="center"/>
              <w:rPr>
                <w:rFonts w:ascii="Times New Roman" w:hAnsi="Times New Roman"/>
                <w:b/>
                <w:lang w:val="lv-LV"/>
              </w:rPr>
            </w:pPr>
            <w:r>
              <w:rPr>
                <w:rFonts w:ascii="Times New Roman" w:hAnsi="Times New Roman"/>
                <w:b/>
                <w:lang w:val="lv-LV"/>
              </w:rPr>
              <w:t>€</w:t>
            </w:r>
          </w:p>
        </w:tc>
        <w:tc>
          <w:tcPr>
            <w:tcW w:w="1080" w:type="dxa"/>
            <w:vAlign w:val="center"/>
          </w:tcPr>
          <w:p w:rsidR="00A9482F" w:rsidRPr="00AE40CC" w:rsidRDefault="00570BF0" w:rsidP="00A9482F">
            <w:pPr>
              <w:keepLines/>
              <w:widowControl w:val="0"/>
              <w:spacing w:before="60" w:after="60"/>
              <w:jc w:val="center"/>
              <w:rPr>
                <w:rFonts w:ascii="Times New Roman" w:hAnsi="Times New Roman"/>
                <w:b/>
                <w:lang w:val="lv-LV"/>
              </w:rPr>
            </w:pPr>
            <w:r>
              <w:rPr>
                <w:rFonts w:ascii="Times New Roman" w:hAnsi="Times New Roman"/>
                <w:b/>
                <w:lang w:val="lv-LV"/>
              </w:rPr>
              <w:t>€</w:t>
            </w:r>
          </w:p>
        </w:tc>
        <w:tc>
          <w:tcPr>
            <w:tcW w:w="1080" w:type="dxa"/>
            <w:vAlign w:val="center"/>
          </w:tcPr>
          <w:p w:rsidR="00A9482F" w:rsidRPr="00AE40CC" w:rsidRDefault="00570BF0" w:rsidP="00A9482F">
            <w:pPr>
              <w:keepLines/>
              <w:widowControl w:val="0"/>
              <w:spacing w:before="60" w:after="60"/>
              <w:jc w:val="center"/>
              <w:rPr>
                <w:rFonts w:ascii="Times New Roman" w:hAnsi="Times New Roman"/>
                <w:b/>
                <w:lang w:val="lv-LV"/>
              </w:rPr>
            </w:pPr>
            <w:r>
              <w:rPr>
                <w:rFonts w:ascii="Times New Roman" w:hAnsi="Times New Roman"/>
                <w:b/>
                <w:lang w:val="lv-LV"/>
              </w:rPr>
              <w:t>€</w:t>
            </w:r>
          </w:p>
        </w:tc>
        <w:tc>
          <w:tcPr>
            <w:tcW w:w="1080" w:type="dxa"/>
            <w:vAlign w:val="center"/>
          </w:tcPr>
          <w:p w:rsidR="00A9482F" w:rsidRPr="00AE40CC" w:rsidRDefault="00570BF0" w:rsidP="00734278">
            <w:pPr>
              <w:keepLines/>
              <w:widowControl w:val="0"/>
              <w:spacing w:before="60" w:after="60"/>
              <w:jc w:val="center"/>
              <w:rPr>
                <w:rFonts w:ascii="Times New Roman" w:hAnsi="Times New Roman"/>
                <w:b/>
                <w:lang w:val="lv-LV"/>
              </w:rPr>
            </w:pPr>
            <w:r>
              <w:rPr>
                <w:rFonts w:ascii="Times New Roman" w:hAnsi="Times New Roman"/>
                <w:b/>
                <w:lang w:val="lv-LV"/>
              </w:rPr>
              <w:t xml:space="preserve">% </w:t>
            </w:r>
            <w:r w:rsidR="00734278">
              <w:rPr>
                <w:rFonts w:ascii="Times New Roman" w:hAnsi="Times New Roman"/>
                <w:b/>
                <w:lang w:val="lv-LV"/>
              </w:rPr>
              <w:t>no kopējā</w:t>
            </w:r>
          </w:p>
        </w:tc>
        <w:tc>
          <w:tcPr>
            <w:tcW w:w="1213" w:type="dxa"/>
            <w:shd w:val="clear" w:color="auto" w:fill="auto"/>
            <w:vAlign w:val="center"/>
          </w:tcPr>
          <w:p w:rsidR="00A9482F" w:rsidRPr="00AE40CC" w:rsidRDefault="00570BF0" w:rsidP="00A9482F">
            <w:pPr>
              <w:keepLines/>
              <w:widowControl w:val="0"/>
              <w:spacing w:before="60" w:after="60"/>
              <w:jc w:val="center"/>
              <w:rPr>
                <w:rFonts w:ascii="Times New Roman" w:hAnsi="Times New Roman"/>
                <w:b/>
                <w:lang w:val="lv-LV"/>
              </w:rPr>
            </w:pPr>
            <w:r>
              <w:rPr>
                <w:rFonts w:ascii="Times New Roman" w:hAnsi="Times New Roman"/>
                <w:b/>
                <w:lang w:val="lv-LV"/>
              </w:rPr>
              <w:t>€</w:t>
            </w:r>
          </w:p>
        </w:tc>
        <w:tc>
          <w:tcPr>
            <w:tcW w:w="1307" w:type="dxa"/>
            <w:shd w:val="clear" w:color="auto" w:fill="auto"/>
            <w:vAlign w:val="center"/>
          </w:tcPr>
          <w:p w:rsidR="00A9482F" w:rsidRPr="00AE40CC" w:rsidRDefault="00570BF0" w:rsidP="00A9482F">
            <w:pPr>
              <w:keepLines/>
              <w:widowControl w:val="0"/>
              <w:spacing w:before="60" w:after="60"/>
              <w:jc w:val="center"/>
              <w:rPr>
                <w:rFonts w:ascii="Times New Roman" w:hAnsi="Times New Roman"/>
                <w:b/>
                <w:lang w:val="lv-LV"/>
              </w:rPr>
            </w:pPr>
            <w:r>
              <w:rPr>
                <w:rFonts w:ascii="Times New Roman" w:hAnsi="Times New Roman"/>
                <w:b/>
                <w:lang w:val="lv-LV"/>
              </w:rPr>
              <w:t>€</w:t>
            </w:r>
          </w:p>
        </w:tc>
      </w:tr>
      <w:tr w:rsidR="0062384B" w:rsidRPr="00AE40CC">
        <w:trPr>
          <w:cantSplit/>
        </w:trPr>
        <w:tc>
          <w:tcPr>
            <w:tcW w:w="1809" w:type="dxa"/>
            <w:vAlign w:val="center"/>
          </w:tcPr>
          <w:p w:rsidR="0062384B" w:rsidRPr="00AE40CC" w:rsidRDefault="00570BF0" w:rsidP="00A9482F">
            <w:pPr>
              <w:keepLines/>
              <w:widowControl w:val="0"/>
              <w:spacing w:before="60" w:after="0"/>
              <w:rPr>
                <w:rFonts w:ascii="Times New Roman" w:hAnsi="Times New Roman"/>
                <w:b/>
                <w:lang w:val="lv-LV"/>
              </w:rPr>
            </w:pPr>
            <w:r>
              <w:rPr>
                <w:rFonts w:ascii="Times New Roman" w:hAnsi="Times New Roman"/>
                <w:b/>
                <w:lang w:val="lv-LV"/>
              </w:rPr>
              <w:t>Programmas vadība</w:t>
            </w:r>
          </w:p>
        </w:tc>
        <w:tc>
          <w:tcPr>
            <w:tcW w:w="1359"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1 092 960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1 092 960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9.65</w:t>
            </w:r>
          </w:p>
        </w:tc>
        <w:tc>
          <w:tcPr>
            <w:tcW w:w="1213"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307"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1 092 960</w:t>
            </w:r>
          </w:p>
        </w:tc>
      </w:tr>
      <w:tr w:rsidR="0062384B" w:rsidRPr="00AE40CC">
        <w:trPr>
          <w:cantSplit/>
        </w:trPr>
        <w:tc>
          <w:tcPr>
            <w:tcW w:w="1809" w:type="dxa"/>
            <w:vAlign w:val="center"/>
          </w:tcPr>
          <w:p w:rsidR="0062384B" w:rsidRPr="00AE40CC" w:rsidRDefault="00570BF0" w:rsidP="00A9482F">
            <w:pPr>
              <w:keepLines/>
              <w:widowControl w:val="0"/>
              <w:spacing w:before="60" w:after="60"/>
              <w:rPr>
                <w:rFonts w:ascii="Times New Roman" w:hAnsi="Times New Roman"/>
                <w:b/>
                <w:lang w:val="lv-LV"/>
              </w:rPr>
            </w:pPr>
            <w:r>
              <w:rPr>
                <w:rFonts w:ascii="Times New Roman" w:hAnsi="Times New Roman"/>
                <w:b/>
                <w:lang w:val="lv-LV"/>
              </w:rPr>
              <w:lastRenderedPageBreak/>
              <w:t>Eiropas ekonomikas „zaļošanas” biznesa iespēju realizācija</w:t>
            </w:r>
          </w:p>
        </w:tc>
        <w:tc>
          <w:tcPr>
            <w:tcW w:w="1359"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6 510 440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6 510 440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57.47</w:t>
            </w:r>
          </w:p>
        </w:tc>
        <w:tc>
          <w:tcPr>
            <w:tcW w:w="1213"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307"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6 510 440</w:t>
            </w:r>
          </w:p>
        </w:tc>
      </w:tr>
      <w:tr w:rsidR="0062384B" w:rsidRPr="00AE40CC">
        <w:trPr>
          <w:cantSplit/>
        </w:trPr>
        <w:tc>
          <w:tcPr>
            <w:tcW w:w="1809" w:type="dxa"/>
            <w:vAlign w:val="center"/>
          </w:tcPr>
          <w:p w:rsidR="0062384B" w:rsidRPr="00AE40CC" w:rsidRDefault="00570BF0" w:rsidP="00A9482F">
            <w:pPr>
              <w:keepLines/>
              <w:widowControl w:val="0"/>
              <w:spacing w:before="60" w:after="60"/>
              <w:rPr>
                <w:rFonts w:ascii="Times New Roman" w:hAnsi="Times New Roman"/>
                <w:b/>
                <w:lang w:val="lv-LV"/>
              </w:rPr>
            </w:pPr>
            <w:r>
              <w:rPr>
                <w:rFonts w:ascii="Times New Roman" w:hAnsi="Times New Roman"/>
                <w:b/>
                <w:lang w:val="lv-LV"/>
              </w:rPr>
              <w:t>Palielināta „zaļo” darba vietu radīšana un uzņēmējdarbība</w:t>
            </w:r>
          </w:p>
        </w:tc>
        <w:tc>
          <w:tcPr>
            <w:tcW w:w="1359"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3 380 600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3 380 600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29.84</w:t>
            </w:r>
          </w:p>
        </w:tc>
        <w:tc>
          <w:tcPr>
            <w:tcW w:w="1213"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307"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3 380 600</w:t>
            </w:r>
          </w:p>
        </w:tc>
      </w:tr>
      <w:tr w:rsidR="0062384B" w:rsidRPr="00AE40CC">
        <w:trPr>
          <w:cantSplit/>
        </w:trPr>
        <w:tc>
          <w:tcPr>
            <w:tcW w:w="1809" w:type="dxa"/>
            <w:vAlign w:val="center"/>
          </w:tcPr>
          <w:p w:rsidR="0062384B" w:rsidRPr="00AE40CC" w:rsidRDefault="00570BF0" w:rsidP="00A9482F">
            <w:pPr>
              <w:keepLines/>
              <w:widowControl w:val="0"/>
              <w:spacing w:before="60" w:after="60"/>
              <w:rPr>
                <w:rFonts w:ascii="Times New Roman" w:hAnsi="Times New Roman"/>
                <w:b/>
                <w:lang w:val="lv-LV"/>
              </w:rPr>
            </w:pPr>
            <w:r>
              <w:rPr>
                <w:rFonts w:ascii="Times New Roman" w:hAnsi="Times New Roman"/>
                <w:b/>
                <w:lang w:val="lv-LV"/>
              </w:rPr>
              <w:t>Līdzekļi divpusējām attiecībām</w:t>
            </w:r>
          </w:p>
        </w:tc>
        <w:tc>
          <w:tcPr>
            <w:tcW w:w="1359"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294 000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294 000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2.60</w:t>
            </w:r>
          </w:p>
        </w:tc>
        <w:tc>
          <w:tcPr>
            <w:tcW w:w="1213"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307"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294 000</w:t>
            </w:r>
          </w:p>
        </w:tc>
      </w:tr>
      <w:tr w:rsidR="0062384B" w:rsidRPr="00AE40CC">
        <w:trPr>
          <w:cantSplit/>
        </w:trPr>
        <w:tc>
          <w:tcPr>
            <w:tcW w:w="1809" w:type="dxa"/>
            <w:vAlign w:val="center"/>
          </w:tcPr>
          <w:p w:rsidR="0062384B" w:rsidRPr="00AE40CC" w:rsidRDefault="00570BF0" w:rsidP="00A9482F">
            <w:pPr>
              <w:keepLines/>
              <w:widowControl w:val="0"/>
              <w:spacing w:before="60" w:after="60"/>
              <w:rPr>
                <w:rFonts w:ascii="Times New Roman" w:hAnsi="Times New Roman"/>
                <w:b/>
                <w:lang w:val="lv-LV"/>
              </w:rPr>
            </w:pPr>
            <w:r>
              <w:rPr>
                <w:rFonts w:ascii="Times New Roman" w:hAnsi="Times New Roman"/>
                <w:b/>
                <w:lang w:val="lv-LV"/>
              </w:rPr>
              <w:t>Papildu pasākumi</w:t>
            </w:r>
          </w:p>
        </w:tc>
        <w:tc>
          <w:tcPr>
            <w:tcW w:w="1359"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213"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307"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r>
      <w:tr w:rsidR="0062384B" w:rsidRPr="00AE40CC">
        <w:trPr>
          <w:cantSplit/>
        </w:trPr>
        <w:tc>
          <w:tcPr>
            <w:tcW w:w="1809" w:type="dxa"/>
            <w:vAlign w:val="center"/>
          </w:tcPr>
          <w:p w:rsidR="0062384B" w:rsidRPr="00AE40CC" w:rsidRDefault="00570BF0" w:rsidP="00A9482F">
            <w:pPr>
              <w:keepLines/>
              <w:widowControl w:val="0"/>
              <w:spacing w:before="60" w:after="60"/>
              <w:rPr>
                <w:rFonts w:ascii="Times New Roman" w:hAnsi="Times New Roman"/>
                <w:b/>
                <w:lang w:val="lv-LV"/>
              </w:rPr>
            </w:pPr>
            <w:r>
              <w:rPr>
                <w:rFonts w:ascii="Times New Roman" w:hAnsi="Times New Roman"/>
                <w:b/>
                <w:lang w:val="lv-LV"/>
              </w:rPr>
              <w:t>Programmas iesnieguma sagatavošana</w:t>
            </w:r>
          </w:p>
        </w:tc>
        <w:tc>
          <w:tcPr>
            <w:tcW w:w="1359"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213"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307" w:type="dxa"/>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r>
      <w:tr w:rsidR="0062384B" w:rsidRPr="00AE40CC">
        <w:trPr>
          <w:cantSplit/>
        </w:trPr>
        <w:tc>
          <w:tcPr>
            <w:tcW w:w="1809" w:type="dxa"/>
            <w:tcBorders>
              <w:bottom w:val="single" w:sz="4" w:space="0" w:color="auto"/>
            </w:tcBorders>
            <w:vAlign w:val="center"/>
          </w:tcPr>
          <w:p w:rsidR="0062384B" w:rsidRPr="00AE40CC" w:rsidRDefault="00570BF0" w:rsidP="00A9482F">
            <w:pPr>
              <w:keepLines/>
              <w:widowControl w:val="0"/>
              <w:spacing w:before="60" w:after="60"/>
              <w:rPr>
                <w:rFonts w:ascii="Times New Roman" w:hAnsi="Times New Roman"/>
                <w:b/>
                <w:lang w:val="lv-LV"/>
              </w:rPr>
            </w:pPr>
            <w:r>
              <w:rPr>
                <w:rFonts w:ascii="Times New Roman" w:hAnsi="Times New Roman"/>
                <w:b/>
                <w:lang w:val="lv-LV"/>
              </w:rPr>
              <w:t>Rezerve zaudējumu segšanai valūtas maiņas rezultātā</w:t>
            </w:r>
          </w:p>
        </w:tc>
        <w:tc>
          <w:tcPr>
            <w:tcW w:w="1359" w:type="dxa"/>
            <w:tcBorders>
              <w:bottom w:val="single" w:sz="4" w:space="0" w:color="auto"/>
            </w:tcBorders>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50 000</w:t>
            </w:r>
          </w:p>
        </w:tc>
        <w:tc>
          <w:tcPr>
            <w:tcW w:w="1080" w:type="dxa"/>
            <w:tcBorders>
              <w:bottom w:val="single" w:sz="4" w:space="0" w:color="auto"/>
            </w:tcBorders>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tcBorders>
              <w:bottom w:val="single" w:sz="4" w:space="0" w:color="auto"/>
            </w:tcBorders>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50 000</w:t>
            </w:r>
          </w:p>
        </w:tc>
        <w:tc>
          <w:tcPr>
            <w:tcW w:w="1080" w:type="dxa"/>
            <w:tcBorders>
              <w:bottom w:val="single" w:sz="4" w:space="0" w:color="auto"/>
            </w:tcBorders>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0.44</w:t>
            </w:r>
          </w:p>
        </w:tc>
        <w:tc>
          <w:tcPr>
            <w:tcW w:w="1213" w:type="dxa"/>
            <w:tcBorders>
              <w:bottom w:val="single" w:sz="4" w:space="0" w:color="auto"/>
            </w:tcBorders>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307" w:type="dxa"/>
            <w:tcBorders>
              <w:bottom w:val="single" w:sz="4" w:space="0" w:color="auto"/>
            </w:tcBorders>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50 000</w:t>
            </w:r>
          </w:p>
        </w:tc>
      </w:tr>
      <w:tr w:rsidR="0062384B" w:rsidRPr="00AE40CC">
        <w:trPr>
          <w:cantSplit/>
        </w:trPr>
        <w:tc>
          <w:tcPr>
            <w:tcW w:w="1809" w:type="dxa"/>
            <w:shd w:val="clear" w:color="auto" w:fill="C0C0C0"/>
            <w:vAlign w:val="center"/>
          </w:tcPr>
          <w:p w:rsidR="0062384B" w:rsidRPr="00AE40CC" w:rsidRDefault="00570BF0" w:rsidP="00A9482F">
            <w:pPr>
              <w:keepLines/>
              <w:widowControl w:val="0"/>
              <w:spacing w:before="60" w:after="60"/>
              <w:rPr>
                <w:rFonts w:ascii="Times New Roman" w:hAnsi="Times New Roman"/>
                <w:b/>
                <w:lang w:val="lv-LV"/>
              </w:rPr>
            </w:pPr>
            <w:r>
              <w:rPr>
                <w:rFonts w:ascii="Times New Roman" w:hAnsi="Times New Roman"/>
                <w:b/>
                <w:lang w:val="lv-LV"/>
              </w:rPr>
              <w:t>KOPĀ</w:t>
            </w:r>
          </w:p>
        </w:tc>
        <w:tc>
          <w:tcPr>
            <w:tcW w:w="1359" w:type="dxa"/>
            <w:shd w:val="clear" w:color="auto" w:fill="C0C0C0"/>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11 328 000</w:t>
            </w:r>
          </w:p>
        </w:tc>
        <w:tc>
          <w:tcPr>
            <w:tcW w:w="1080" w:type="dxa"/>
            <w:shd w:val="clear" w:color="auto" w:fill="C0C0C0"/>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080" w:type="dxa"/>
            <w:shd w:val="clear" w:color="auto" w:fill="C0C0C0"/>
            <w:vAlign w:val="center"/>
          </w:tcPr>
          <w:p w:rsidR="0062384B" w:rsidRPr="00AE40CC" w:rsidRDefault="00AE0AB4" w:rsidP="00734278">
            <w:pPr>
              <w:keepLines/>
              <w:widowControl w:val="0"/>
              <w:spacing w:before="60" w:after="60"/>
              <w:rPr>
                <w:rFonts w:ascii="Times New Roman" w:hAnsi="Times New Roman"/>
                <w:b/>
                <w:sz w:val="20"/>
                <w:szCs w:val="20"/>
                <w:lang w:val="lv-LV"/>
              </w:rPr>
            </w:pPr>
            <w:r>
              <w:rPr>
                <w:rFonts w:ascii="Times New Roman" w:hAnsi="Times New Roman"/>
                <w:b/>
                <w:sz w:val="20"/>
                <w:szCs w:val="20"/>
                <w:lang w:val="lv-LV"/>
              </w:rPr>
              <w:t>11 328 000</w:t>
            </w:r>
          </w:p>
        </w:tc>
        <w:tc>
          <w:tcPr>
            <w:tcW w:w="1080" w:type="dxa"/>
            <w:shd w:val="clear" w:color="auto" w:fill="C0C0C0"/>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100</w:t>
            </w:r>
          </w:p>
        </w:tc>
        <w:tc>
          <w:tcPr>
            <w:tcW w:w="1213" w:type="dxa"/>
            <w:shd w:val="clear" w:color="auto" w:fill="C0C0C0"/>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0</w:t>
            </w:r>
          </w:p>
        </w:tc>
        <w:tc>
          <w:tcPr>
            <w:tcW w:w="1307" w:type="dxa"/>
            <w:shd w:val="clear" w:color="auto" w:fill="C0C0C0"/>
            <w:vAlign w:val="center"/>
          </w:tcPr>
          <w:p w:rsidR="0062384B" w:rsidRPr="00AE40CC" w:rsidRDefault="00570BF0" w:rsidP="00AF0141">
            <w:pPr>
              <w:keepLines/>
              <w:widowControl w:val="0"/>
              <w:spacing w:before="60" w:after="60"/>
              <w:jc w:val="right"/>
              <w:rPr>
                <w:rFonts w:ascii="Times New Roman" w:hAnsi="Times New Roman"/>
                <w:b/>
                <w:sz w:val="20"/>
                <w:szCs w:val="20"/>
                <w:lang w:val="lv-LV"/>
              </w:rPr>
            </w:pPr>
            <w:r>
              <w:rPr>
                <w:rFonts w:ascii="Times New Roman" w:hAnsi="Times New Roman"/>
                <w:b/>
                <w:sz w:val="20"/>
                <w:szCs w:val="20"/>
                <w:lang w:val="lv-LV"/>
              </w:rPr>
              <w:t>11 328 000</w:t>
            </w:r>
          </w:p>
        </w:tc>
      </w:tr>
    </w:tbl>
    <w:p w:rsidR="001F6B97" w:rsidRPr="00AE40CC" w:rsidRDefault="001F6B97" w:rsidP="0031219A">
      <w:pPr>
        <w:keepLines/>
        <w:widowControl w:val="0"/>
        <w:ind w:firstLine="426"/>
        <w:jc w:val="both"/>
        <w:rPr>
          <w:rFonts w:ascii="Times New Roman" w:hAnsi="Times New Roman"/>
          <w:sz w:val="24"/>
          <w:szCs w:val="24"/>
          <w:lang w:val="lv-LV"/>
        </w:rPr>
      </w:pPr>
    </w:p>
    <w:p w:rsidR="001F6B97" w:rsidRPr="00AE40CC" w:rsidRDefault="00570BF0" w:rsidP="00611374">
      <w:pPr>
        <w:spacing w:after="0"/>
        <w:ind w:firstLine="284"/>
        <w:jc w:val="both"/>
        <w:rPr>
          <w:rFonts w:ascii="Times New Roman" w:hAnsi="Times New Roman"/>
          <w:lang w:val="lv-LV"/>
        </w:rPr>
      </w:pPr>
      <w:r>
        <w:rPr>
          <w:rFonts w:ascii="Times New Roman" w:hAnsi="Times New Roman"/>
          <w:lang w:val="lv-LV"/>
        </w:rPr>
        <w:t xml:space="preserve">Ņemot vērā veikto nacionālā budžeta konsolidāciju 2012.gadā par 120 miljoniem latu (170.75 miljoni EUR), ir sarežģīti iegūt nepieciešamo nacionālo finansējumu Programmas līmenī. Turklāt Latvija ir noteikusi prioritāti pievienoties Eiropas Monetārajai zonai līdz 2014. gadam. Lai izpildītu šo mērķi, būs nepieciešama stingra budžeta disciplīna un turpmāka budžeta deficīta samazināšana atbilstošu Māstrihtas kritērijiem. Tādēļ EM ierosina Programmas līmenī nodrošināt 100 % grantu apmēru no Norvēģijas Finanšu </w:t>
      </w:r>
      <w:r w:rsidR="003740CA">
        <w:rPr>
          <w:rFonts w:ascii="Times New Roman" w:hAnsi="Times New Roman"/>
          <w:lang w:val="lv-LV"/>
        </w:rPr>
        <w:t>instrumenta</w:t>
      </w:r>
      <w:r w:rsidR="003740CA" w:rsidRPr="00AE40CC">
        <w:rPr>
          <w:rFonts w:ascii="Times New Roman" w:hAnsi="Times New Roman"/>
          <w:lang w:val="lv-LV"/>
        </w:rPr>
        <w:t xml:space="preserve"> </w:t>
      </w:r>
      <w:r w:rsidR="00611374" w:rsidRPr="00AE40CC">
        <w:rPr>
          <w:rFonts w:ascii="Times New Roman" w:hAnsi="Times New Roman"/>
          <w:lang w:val="lv-LV"/>
        </w:rPr>
        <w:t xml:space="preserve">2009.-2014. </w:t>
      </w:r>
      <w:r w:rsidR="00131295" w:rsidRPr="00AE40CC">
        <w:rPr>
          <w:rFonts w:ascii="Times New Roman" w:hAnsi="Times New Roman"/>
          <w:lang w:val="lv-LV"/>
        </w:rPr>
        <w:t>g</w:t>
      </w:r>
      <w:r w:rsidR="00611374" w:rsidRPr="00AE40CC">
        <w:rPr>
          <w:rFonts w:ascii="Times New Roman" w:hAnsi="Times New Roman"/>
          <w:lang w:val="lv-LV"/>
        </w:rPr>
        <w:t>adam atbilstoši Noteikumu 5.4.panta „Granta likmes un minimālais grantu projektu apmērs” 1</w:t>
      </w:r>
      <w:r w:rsidR="006E4CDD">
        <w:rPr>
          <w:rFonts w:ascii="Times New Roman" w:hAnsi="Times New Roman"/>
          <w:lang w:val="lv-LV"/>
        </w:rPr>
        <w:t xml:space="preserve">.daļas </w:t>
      </w:r>
      <w:r>
        <w:rPr>
          <w:rFonts w:ascii="Times New Roman" w:hAnsi="Times New Roman"/>
          <w:lang w:val="lv-LV"/>
        </w:rPr>
        <w:t xml:space="preserve"> a punktam – kā donorvalsts partnerības Programmai.</w:t>
      </w:r>
    </w:p>
    <w:p w:rsidR="00A9482F" w:rsidRPr="00AE40CC" w:rsidRDefault="00570BF0" w:rsidP="0031219A">
      <w:pPr>
        <w:keepLines/>
        <w:widowControl w:val="0"/>
        <w:ind w:firstLine="426"/>
        <w:jc w:val="both"/>
        <w:rPr>
          <w:rFonts w:ascii="Times New Roman" w:hAnsi="Times New Roman"/>
          <w:lang w:val="lv-LV"/>
        </w:rPr>
      </w:pPr>
      <w:r>
        <w:rPr>
          <w:rFonts w:ascii="Times New Roman" w:hAnsi="Times New Roman"/>
          <w:lang w:val="lv-LV"/>
        </w:rPr>
        <w:t xml:space="preserve">Latvijas nacionāla valūta Latvijas lats ir piesaistīts eiro un eiro likme ir 0.702804. Taču ir pieļaujams valūtas kursa svārstības 1 % apmērā. Tas nozīmē, ka valūtas kurss var samazināties līdz 0.6958, kas savukārt nozīmē zaudējumus Latvijas pusē līdz 79 614 latu (113 281 EUR) apmērā pret standarta valūtas kursu. Programmā paredzētā rezerve zaudējumu segšanai valūtas maiņas rezultātā ir aprēķināta, bastoties uz pieņēmumu, ka Latvijas lata kurss pret eiro samazināsies par 0.5 %, tas nozīmē, ka zaudējumi būs 39 807 lati (56 640 EUR). Ņemot vērā, ka maksājumi tiks veikti dažādos laika periodos, plānots, ka zaudējumi nepārsniegs 35 140 latus jeb EUR 50 000. </w:t>
      </w:r>
    </w:p>
    <w:p w:rsidR="00A9482F" w:rsidRPr="00AE40CC" w:rsidRDefault="00570BF0" w:rsidP="00A9482F">
      <w:pPr>
        <w:rPr>
          <w:rFonts w:ascii="Times New Roman" w:hAnsi="Times New Roman"/>
          <w:b/>
          <w:lang w:val="lv-LV"/>
        </w:rPr>
      </w:pPr>
      <w:r w:rsidRPr="0058033B">
        <w:rPr>
          <w:rFonts w:ascii="Times New Roman" w:hAnsi="Times New Roman"/>
          <w:b/>
        </w:rPr>
        <w:t xml:space="preserve">Norvēģijas finanšu instrumenta </w:t>
      </w:r>
      <w:r>
        <w:rPr>
          <w:rFonts w:ascii="Times New Roman" w:hAnsi="Times New Roman"/>
          <w:b/>
          <w:lang w:val="lv-LV"/>
        </w:rPr>
        <w:t xml:space="preserve"> piešķīruma sadalījums pa gadiem</w:t>
      </w:r>
      <w:r>
        <w:rPr>
          <w:rFonts w:ascii="Times New Roman" w:hAnsi="Times New Roman"/>
          <w:b/>
          <w:bCs/>
          <w:lang w:val="lv-LV"/>
        </w:rPr>
        <w:t xml:space="preserve"> (EUR)</w:t>
      </w: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67"/>
        <w:gridCol w:w="850"/>
        <w:gridCol w:w="851"/>
        <w:gridCol w:w="992"/>
        <w:gridCol w:w="992"/>
        <w:gridCol w:w="851"/>
        <w:gridCol w:w="850"/>
        <w:gridCol w:w="1053"/>
      </w:tblGrid>
      <w:tr w:rsidR="00D3063A" w:rsidRPr="00AE40CC" w:rsidTr="00D3063A">
        <w:tc>
          <w:tcPr>
            <w:tcW w:w="1526" w:type="dxa"/>
            <w:shd w:val="clear" w:color="auto" w:fill="C0C0C0"/>
            <w:vAlign w:val="center"/>
          </w:tcPr>
          <w:p w:rsidR="00D3063A" w:rsidRPr="00AE40CC" w:rsidRDefault="00570BF0" w:rsidP="00A9482F">
            <w:pPr>
              <w:spacing w:before="60" w:after="60"/>
              <w:jc w:val="center"/>
              <w:rPr>
                <w:rFonts w:ascii="Times New Roman" w:hAnsi="Times New Roman"/>
                <w:b/>
                <w:sz w:val="18"/>
                <w:szCs w:val="18"/>
                <w:lang w:val="lv-LV"/>
              </w:rPr>
            </w:pPr>
            <w:r>
              <w:rPr>
                <w:rFonts w:ascii="Times New Roman" w:hAnsi="Times New Roman"/>
                <w:b/>
                <w:sz w:val="18"/>
                <w:szCs w:val="18"/>
                <w:lang w:val="lv-LV"/>
              </w:rPr>
              <w:t>Budžeta pozīcija</w:t>
            </w:r>
          </w:p>
        </w:tc>
        <w:tc>
          <w:tcPr>
            <w:tcW w:w="567" w:type="dxa"/>
            <w:shd w:val="clear" w:color="auto" w:fill="C0C0C0"/>
          </w:tcPr>
          <w:p w:rsidR="00D3063A" w:rsidRPr="00AE40CC" w:rsidRDefault="00570BF0" w:rsidP="00AF0141">
            <w:pPr>
              <w:spacing w:before="60" w:after="60"/>
              <w:jc w:val="center"/>
              <w:rPr>
                <w:rFonts w:ascii="Times New Roman" w:hAnsi="Times New Roman"/>
                <w:sz w:val="16"/>
                <w:szCs w:val="16"/>
                <w:lang w:val="lv-LV"/>
              </w:rPr>
            </w:pPr>
            <w:r>
              <w:rPr>
                <w:rFonts w:ascii="Times New Roman" w:hAnsi="Times New Roman"/>
                <w:sz w:val="16"/>
                <w:szCs w:val="16"/>
                <w:lang w:val="lv-LV"/>
              </w:rPr>
              <w:t>2011</w:t>
            </w:r>
          </w:p>
        </w:tc>
        <w:tc>
          <w:tcPr>
            <w:tcW w:w="850" w:type="dxa"/>
            <w:shd w:val="clear" w:color="auto" w:fill="C0C0C0"/>
          </w:tcPr>
          <w:p w:rsidR="00D3063A" w:rsidRPr="00AE40CC" w:rsidRDefault="00570BF0" w:rsidP="00AF0141">
            <w:pPr>
              <w:spacing w:before="60" w:after="60"/>
              <w:jc w:val="center"/>
              <w:rPr>
                <w:rFonts w:ascii="Times New Roman" w:hAnsi="Times New Roman"/>
                <w:sz w:val="16"/>
                <w:szCs w:val="16"/>
                <w:lang w:val="lv-LV"/>
              </w:rPr>
            </w:pPr>
            <w:r>
              <w:rPr>
                <w:rFonts w:ascii="Times New Roman" w:hAnsi="Times New Roman"/>
                <w:sz w:val="16"/>
                <w:szCs w:val="16"/>
                <w:lang w:val="lv-LV"/>
              </w:rPr>
              <w:t>2012</w:t>
            </w:r>
          </w:p>
        </w:tc>
        <w:tc>
          <w:tcPr>
            <w:tcW w:w="851" w:type="dxa"/>
            <w:shd w:val="clear" w:color="auto" w:fill="C0C0C0"/>
          </w:tcPr>
          <w:p w:rsidR="00D3063A" w:rsidRPr="00AE40CC" w:rsidRDefault="00570BF0" w:rsidP="00AF0141">
            <w:pPr>
              <w:spacing w:before="60" w:after="60"/>
              <w:jc w:val="center"/>
              <w:rPr>
                <w:rFonts w:ascii="Times New Roman" w:hAnsi="Times New Roman"/>
                <w:sz w:val="16"/>
                <w:szCs w:val="16"/>
                <w:lang w:val="lv-LV"/>
              </w:rPr>
            </w:pPr>
            <w:r>
              <w:rPr>
                <w:rFonts w:ascii="Times New Roman" w:hAnsi="Times New Roman"/>
                <w:sz w:val="16"/>
                <w:szCs w:val="16"/>
                <w:lang w:val="lv-LV"/>
              </w:rPr>
              <w:t>2013</w:t>
            </w:r>
          </w:p>
        </w:tc>
        <w:tc>
          <w:tcPr>
            <w:tcW w:w="992" w:type="dxa"/>
            <w:shd w:val="clear" w:color="auto" w:fill="C0C0C0"/>
          </w:tcPr>
          <w:p w:rsidR="00D3063A" w:rsidRPr="00AE40CC" w:rsidRDefault="00570BF0" w:rsidP="00AF0141">
            <w:pPr>
              <w:spacing w:before="60" w:after="60"/>
              <w:jc w:val="center"/>
              <w:rPr>
                <w:rFonts w:ascii="Times New Roman" w:hAnsi="Times New Roman"/>
                <w:sz w:val="16"/>
                <w:szCs w:val="16"/>
                <w:lang w:val="lv-LV"/>
              </w:rPr>
            </w:pPr>
            <w:r>
              <w:rPr>
                <w:rFonts w:ascii="Times New Roman" w:hAnsi="Times New Roman"/>
                <w:sz w:val="16"/>
                <w:szCs w:val="16"/>
                <w:lang w:val="lv-LV"/>
              </w:rPr>
              <w:t>2014</w:t>
            </w:r>
          </w:p>
        </w:tc>
        <w:tc>
          <w:tcPr>
            <w:tcW w:w="992" w:type="dxa"/>
            <w:shd w:val="clear" w:color="auto" w:fill="C0C0C0"/>
          </w:tcPr>
          <w:p w:rsidR="00D3063A" w:rsidRPr="00AE40CC" w:rsidRDefault="00570BF0" w:rsidP="00AF0141">
            <w:pPr>
              <w:spacing w:before="60" w:after="60"/>
              <w:jc w:val="center"/>
              <w:rPr>
                <w:rFonts w:ascii="Times New Roman" w:hAnsi="Times New Roman"/>
                <w:sz w:val="16"/>
                <w:szCs w:val="16"/>
                <w:lang w:val="lv-LV"/>
              </w:rPr>
            </w:pPr>
            <w:r>
              <w:rPr>
                <w:rFonts w:ascii="Times New Roman" w:hAnsi="Times New Roman"/>
                <w:sz w:val="16"/>
                <w:szCs w:val="16"/>
                <w:lang w:val="lv-LV"/>
              </w:rPr>
              <w:t>2015</w:t>
            </w:r>
          </w:p>
        </w:tc>
        <w:tc>
          <w:tcPr>
            <w:tcW w:w="851" w:type="dxa"/>
            <w:shd w:val="clear" w:color="auto" w:fill="C0C0C0"/>
          </w:tcPr>
          <w:p w:rsidR="00D3063A" w:rsidRPr="00AE40CC" w:rsidRDefault="00570BF0" w:rsidP="00AF0141">
            <w:pPr>
              <w:spacing w:before="60" w:after="60"/>
              <w:jc w:val="center"/>
              <w:rPr>
                <w:rFonts w:ascii="Times New Roman" w:hAnsi="Times New Roman"/>
                <w:sz w:val="16"/>
                <w:szCs w:val="16"/>
                <w:lang w:val="lv-LV"/>
              </w:rPr>
            </w:pPr>
            <w:r>
              <w:rPr>
                <w:rFonts w:ascii="Times New Roman" w:hAnsi="Times New Roman"/>
                <w:sz w:val="16"/>
                <w:szCs w:val="16"/>
                <w:lang w:val="lv-LV"/>
              </w:rPr>
              <w:t>2016</w:t>
            </w:r>
          </w:p>
        </w:tc>
        <w:tc>
          <w:tcPr>
            <w:tcW w:w="850" w:type="dxa"/>
            <w:shd w:val="clear" w:color="auto" w:fill="C0C0C0"/>
          </w:tcPr>
          <w:p w:rsidR="00D3063A" w:rsidRPr="00AE40CC" w:rsidRDefault="00570BF0" w:rsidP="00AF0141">
            <w:pPr>
              <w:spacing w:before="60" w:after="60"/>
              <w:jc w:val="center"/>
              <w:rPr>
                <w:rFonts w:ascii="Times New Roman" w:hAnsi="Times New Roman"/>
                <w:sz w:val="16"/>
                <w:szCs w:val="16"/>
                <w:lang w:val="lv-LV"/>
              </w:rPr>
            </w:pPr>
            <w:r>
              <w:rPr>
                <w:rFonts w:ascii="Times New Roman" w:hAnsi="Times New Roman"/>
                <w:sz w:val="16"/>
                <w:szCs w:val="16"/>
                <w:lang w:val="lv-LV"/>
              </w:rPr>
              <w:t>2017</w:t>
            </w:r>
          </w:p>
        </w:tc>
        <w:tc>
          <w:tcPr>
            <w:tcW w:w="1053" w:type="dxa"/>
            <w:shd w:val="clear" w:color="auto" w:fill="C0C0C0"/>
          </w:tcPr>
          <w:p w:rsidR="00D3063A" w:rsidRPr="00AE40CC" w:rsidRDefault="00570BF0" w:rsidP="00AF0141">
            <w:pPr>
              <w:spacing w:before="60" w:after="60"/>
              <w:jc w:val="center"/>
              <w:rPr>
                <w:rFonts w:ascii="Times New Roman" w:hAnsi="Times New Roman"/>
                <w:sz w:val="16"/>
                <w:szCs w:val="16"/>
                <w:lang w:val="lv-LV"/>
              </w:rPr>
            </w:pPr>
            <w:r>
              <w:rPr>
                <w:rFonts w:ascii="Times New Roman" w:hAnsi="Times New Roman"/>
                <w:sz w:val="16"/>
                <w:szCs w:val="16"/>
                <w:lang w:val="lv-LV"/>
              </w:rPr>
              <w:t>Kopā</w:t>
            </w:r>
          </w:p>
        </w:tc>
      </w:tr>
      <w:tr w:rsidR="00D3063A" w:rsidRPr="00AE40CC" w:rsidTr="00D3063A">
        <w:tc>
          <w:tcPr>
            <w:tcW w:w="1526" w:type="dxa"/>
            <w:vAlign w:val="center"/>
          </w:tcPr>
          <w:p w:rsidR="00D3063A" w:rsidRPr="00AE40CC" w:rsidRDefault="00570BF0" w:rsidP="00EF0B56">
            <w:pPr>
              <w:spacing w:before="60" w:after="60"/>
              <w:jc w:val="both"/>
              <w:rPr>
                <w:rFonts w:ascii="Times New Roman" w:hAnsi="Times New Roman"/>
                <w:b/>
                <w:sz w:val="18"/>
                <w:szCs w:val="18"/>
                <w:lang w:val="lv-LV"/>
              </w:rPr>
            </w:pPr>
            <w:bookmarkStart w:id="97" w:name="_Hlk310945274"/>
            <w:bookmarkStart w:id="98" w:name="_Hlk307421703"/>
            <w:r>
              <w:rPr>
                <w:rFonts w:ascii="Times New Roman" w:hAnsi="Times New Roman"/>
                <w:b/>
                <w:sz w:val="18"/>
                <w:szCs w:val="18"/>
                <w:lang w:val="lv-LV"/>
              </w:rPr>
              <w:t>Programmas vadība</w:t>
            </w:r>
          </w:p>
        </w:tc>
        <w:tc>
          <w:tcPr>
            <w:tcW w:w="567"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vAlign w:val="center"/>
          </w:tcPr>
          <w:p w:rsidR="00D3063A" w:rsidRPr="00AE40CC" w:rsidRDefault="00570BF0" w:rsidP="00AF0141">
            <w:pPr>
              <w:spacing w:after="0"/>
              <w:jc w:val="center"/>
              <w:rPr>
                <w:rFonts w:ascii="Times New Roman" w:hAnsi="Times New Roman"/>
                <w:b/>
                <w:bCs/>
                <w:color w:val="000000"/>
                <w:sz w:val="16"/>
                <w:szCs w:val="16"/>
                <w:lang w:val="lv-LV"/>
              </w:rPr>
            </w:pPr>
            <w:r>
              <w:rPr>
                <w:rFonts w:ascii="Times New Roman" w:hAnsi="Times New Roman"/>
                <w:b/>
                <w:color w:val="000000"/>
                <w:sz w:val="16"/>
                <w:szCs w:val="16"/>
                <w:lang w:val="lv-LV"/>
              </w:rPr>
              <w:t>100 000</w:t>
            </w:r>
          </w:p>
        </w:tc>
        <w:tc>
          <w:tcPr>
            <w:tcW w:w="851" w:type="dxa"/>
            <w:vAlign w:val="center"/>
          </w:tcPr>
          <w:p w:rsidR="00D3063A" w:rsidRPr="00AE40CC" w:rsidRDefault="00570BF0" w:rsidP="00AF0141">
            <w:pPr>
              <w:spacing w:after="0"/>
              <w:jc w:val="center"/>
              <w:rPr>
                <w:rFonts w:ascii="Times New Roman" w:hAnsi="Times New Roman"/>
                <w:b/>
                <w:bCs/>
                <w:color w:val="000000"/>
                <w:sz w:val="16"/>
                <w:szCs w:val="16"/>
                <w:lang w:val="lv-LV"/>
              </w:rPr>
            </w:pPr>
            <w:r>
              <w:rPr>
                <w:rFonts w:ascii="Times New Roman" w:hAnsi="Times New Roman"/>
                <w:b/>
                <w:color w:val="000000"/>
                <w:sz w:val="16"/>
                <w:szCs w:val="16"/>
                <w:lang w:val="lv-LV"/>
              </w:rPr>
              <w:t>277 547</w:t>
            </w:r>
          </w:p>
        </w:tc>
        <w:tc>
          <w:tcPr>
            <w:tcW w:w="992" w:type="dxa"/>
            <w:vAlign w:val="center"/>
          </w:tcPr>
          <w:p w:rsidR="00D3063A" w:rsidRPr="00AE40CC" w:rsidRDefault="00570BF0" w:rsidP="00AF0141">
            <w:pPr>
              <w:spacing w:after="0"/>
              <w:jc w:val="center"/>
              <w:rPr>
                <w:rFonts w:ascii="Times New Roman" w:hAnsi="Times New Roman"/>
                <w:b/>
                <w:bCs/>
                <w:color w:val="000000"/>
                <w:sz w:val="16"/>
                <w:szCs w:val="16"/>
                <w:lang w:val="lv-LV"/>
              </w:rPr>
            </w:pPr>
            <w:r>
              <w:rPr>
                <w:rFonts w:ascii="Times New Roman" w:hAnsi="Times New Roman"/>
                <w:b/>
                <w:color w:val="000000"/>
                <w:sz w:val="16"/>
                <w:szCs w:val="16"/>
                <w:lang w:val="lv-LV"/>
              </w:rPr>
              <w:t>267 547</w:t>
            </w:r>
          </w:p>
        </w:tc>
        <w:tc>
          <w:tcPr>
            <w:tcW w:w="992" w:type="dxa"/>
            <w:vAlign w:val="center"/>
          </w:tcPr>
          <w:p w:rsidR="00D3063A" w:rsidRPr="00AE40CC" w:rsidRDefault="00570BF0" w:rsidP="00AF0141">
            <w:pPr>
              <w:spacing w:after="0"/>
              <w:jc w:val="center"/>
              <w:rPr>
                <w:rFonts w:ascii="Times New Roman" w:hAnsi="Times New Roman"/>
                <w:b/>
                <w:bCs/>
                <w:color w:val="000000"/>
                <w:sz w:val="16"/>
                <w:szCs w:val="16"/>
                <w:lang w:val="lv-LV"/>
              </w:rPr>
            </w:pPr>
            <w:r>
              <w:rPr>
                <w:rFonts w:ascii="Times New Roman" w:hAnsi="Times New Roman"/>
                <w:b/>
                <w:color w:val="000000"/>
                <w:sz w:val="16"/>
                <w:szCs w:val="16"/>
                <w:lang w:val="lv-LV"/>
              </w:rPr>
              <w:t>262 547</w:t>
            </w:r>
          </w:p>
        </w:tc>
        <w:tc>
          <w:tcPr>
            <w:tcW w:w="851" w:type="dxa"/>
            <w:vAlign w:val="center"/>
          </w:tcPr>
          <w:p w:rsidR="00D3063A" w:rsidRPr="00AE40CC" w:rsidRDefault="00570BF0" w:rsidP="00AF0141">
            <w:pPr>
              <w:spacing w:after="0"/>
              <w:jc w:val="center"/>
              <w:rPr>
                <w:rFonts w:ascii="Times New Roman" w:hAnsi="Times New Roman"/>
                <w:b/>
                <w:bCs/>
                <w:color w:val="000000"/>
                <w:sz w:val="16"/>
                <w:szCs w:val="16"/>
                <w:lang w:val="lv-LV"/>
              </w:rPr>
            </w:pPr>
            <w:r>
              <w:rPr>
                <w:rFonts w:ascii="Times New Roman" w:hAnsi="Times New Roman"/>
                <w:b/>
                <w:color w:val="000000"/>
                <w:sz w:val="16"/>
                <w:szCs w:val="16"/>
                <w:lang w:val="lv-LV"/>
              </w:rPr>
              <w:t>130 319</w:t>
            </w:r>
          </w:p>
        </w:tc>
        <w:tc>
          <w:tcPr>
            <w:tcW w:w="850"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55 000</w:t>
            </w:r>
          </w:p>
        </w:tc>
        <w:tc>
          <w:tcPr>
            <w:tcW w:w="1053"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1 092 960</w:t>
            </w:r>
          </w:p>
        </w:tc>
      </w:tr>
      <w:bookmarkEnd w:id="97"/>
      <w:tr w:rsidR="00D3063A" w:rsidRPr="00AE40CC" w:rsidTr="00D3063A">
        <w:tc>
          <w:tcPr>
            <w:tcW w:w="1526" w:type="dxa"/>
            <w:vAlign w:val="center"/>
          </w:tcPr>
          <w:p w:rsidR="00D3063A" w:rsidRPr="00AE40CC" w:rsidRDefault="00570BF0" w:rsidP="00EF0B56">
            <w:pPr>
              <w:spacing w:before="60" w:after="60"/>
              <w:jc w:val="both"/>
              <w:rPr>
                <w:rFonts w:ascii="Times New Roman" w:hAnsi="Times New Roman"/>
                <w:b/>
                <w:sz w:val="18"/>
                <w:szCs w:val="18"/>
                <w:lang w:val="lv-LV"/>
              </w:rPr>
            </w:pPr>
            <w:r>
              <w:rPr>
                <w:rFonts w:ascii="Times New Roman" w:hAnsi="Times New Roman"/>
                <w:b/>
                <w:sz w:val="18"/>
                <w:szCs w:val="18"/>
                <w:lang w:val="lv-LV"/>
              </w:rPr>
              <w:lastRenderedPageBreak/>
              <w:t>Eiropas ekonomikas „zaļošanas” biznesa iespēju realizācija</w:t>
            </w:r>
          </w:p>
        </w:tc>
        <w:tc>
          <w:tcPr>
            <w:tcW w:w="567"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1"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1 395 848</w:t>
            </w:r>
          </w:p>
        </w:tc>
        <w:tc>
          <w:tcPr>
            <w:tcW w:w="992"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2 306 798</w:t>
            </w:r>
          </w:p>
        </w:tc>
        <w:tc>
          <w:tcPr>
            <w:tcW w:w="992"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2 807 794</w:t>
            </w:r>
          </w:p>
        </w:tc>
        <w:tc>
          <w:tcPr>
            <w:tcW w:w="851"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1053"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6 510 440</w:t>
            </w:r>
          </w:p>
        </w:tc>
      </w:tr>
      <w:tr w:rsidR="00D3063A" w:rsidRPr="00AE40CC" w:rsidTr="00D3063A">
        <w:tc>
          <w:tcPr>
            <w:tcW w:w="1526" w:type="dxa"/>
            <w:vAlign w:val="center"/>
          </w:tcPr>
          <w:p w:rsidR="00D3063A" w:rsidRPr="00AE40CC" w:rsidRDefault="00570BF0" w:rsidP="00EF0B56">
            <w:pPr>
              <w:spacing w:before="60" w:after="60"/>
              <w:jc w:val="both"/>
              <w:rPr>
                <w:rFonts w:ascii="Times New Roman" w:hAnsi="Times New Roman"/>
                <w:b/>
                <w:sz w:val="18"/>
                <w:szCs w:val="18"/>
                <w:lang w:val="lv-LV"/>
              </w:rPr>
            </w:pPr>
            <w:r>
              <w:rPr>
                <w:rFonts w:ascii="Times New Roman" w:hAnsi="Times New Roman"/>
                <w:b/>
                <w:sz w:val="18"/>
                <w:szCs w:val="18"/>
                <w:lang w:val="lv-LV"/>
              </w:rPr>
              <w:t>Palielināta „zaļo” darba vietu radīšana un uzņēmējdarbība</w:t>
            </w:r>
          </w:p>
        </w:tc>
        <w:tc>
          <w:tcPr>
            <w:tcW w:w="567" w:type="dxa"/>
            <w:vAlign w:val="center"/>
          </w:tcPr>
          <w:p w:rsidR="00D3063A" w:rsidRPr="00AE40CC" w:rsidRDefault="00570BF0" w:rsidP="00AF0141">
            <w:pPr>
              <w:spacing w:before="12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vAlign w:val="center"/>
          </w:tcPr>
          <w:p w:rsidR="00D3063A" w:rsidRPr="00AE40CC" w:rsidRDefault="00570BF0" w:rsidP="00AF0141">
            <w:pPr>
              <w:spacing w:before="120"/>
              <w:jc w:val="center"/>
              <w:rPr>
                <w:rFonts w:ascii="Times New Roman" w:hAnsi="Times New Roman"/>
                <w:b/>
                <w:sz w:val="16"/>
                <w:szCs w:val="16"/>
                <w:lang w:val="lv-LV"/>
              </w:rPr>
            </w:pPr>
            <w:r>
              <w:rPr>
                <w:rFonts w:ascii="Times New Roman" w:hAnsi="Times New Roman"/>
                <w:b/>
                <w:sz w:val="16"/>
                <w:szCs w:val="16"/>
                <w:lang w:val="lv-LV"/>
              </w:rPr>
              <w:t>250 000</w:t>
            </w:r>
          </w:p>
        </w:tc>
        <w:tc>
          <w:tcPr>
            <w:tcW w:w="851" w:type="dxa"/>
            <w:vAlign w:val="center"/>
          </w:tcPr>
          <w:p w:rsidR="00D3063A" w:rsidRPr="00AE40CC" w:rsidRDefault="00570BF0" w:rsidP="00AF0141">
            <w:pPr>
              <w:spacing w:before="120"/>
              <w:jc w:val="center"/>
              <w:rPr>
                <w:rFonts w:ascii="Times New Roman" w:hAnsi="Times New Roman"/>
                <w:b/>
                <w:sz w:val="16"/>
                <w:szCs w:val="16"/>
                <w:lang w:val="lv-LV"/>
              </w:rPr>
            </w:pPr>
            <w:r>
              <w:rPr>
                <w:rFonts w:ascii="Times New Roman" w:hAnsi="Times New Roman"/>
                <w:b/>
                <w:sz w:val="16"/>
                <w:szCs w:val="16"/>
                <w:lang w:val="lv-LV"/>
              </w:rPr>
              <w:t>808 082</w:t>
            </w:r>
          </w:p>
        </w:tc>
        <w:tc>
          <w:tcPr>
            <w:tcW w:w="992" w:type="dxa"/>
            <w:vAlign w:val="center"/>
          </w:tcPr>
          <w:p w:rsidR="00D3063A" w:rsidRPr="00AE40CC" w:rsidRDefault="00570BF0" w:rsidP="00AF0141">
            <w:pPr>
              <w:spacing w:before="120"/>
              <w:jc w:val="center"/>
              <w:rPr>
                <w:rFonts w:ascii="Times New Roman" w:hAnsi="Times New Roman"/>
                <w:b/>
                <w:sz w:val="16"/>
                <w:szCs w:val="16"/>
                <w:lang w:val="lv-LV"/>
              </w:rPr>
            </w:pPr>
            <w:r>
              <w:rPr>
                <w:rFonts w:ascii="Times New Roman" w:hAnsi="Times New Roman"/>
                <w:b/>
                <w:sz w:val="16"/>
                <w:szCs w:val="16"/>
                <w:lang w:val="lv-LV"/>
              </w:rPr>
              <w:t>1 100 000</w:t>
            </w:r>
          </w:p>
        </w:tc>
        <w:tc>
          <w:tcPr>
            <w:tcW w:w="992" w:type="dxa"/>
            <w:vAlign w:val="center"/>
          </w:tcPr>
          <w:p w:rsidR="00D3063A" w:rsidRPr="00AE40CC" w:rsidRDefault="00570BF0" w:rsidP="00AF0141">
            <w:pPr>
              <w:spacing w:before="120"/>
              <w:jc w:val="center"/>
              <w:rPr>
                <w:rFonts w:ascii="Times New Roman" w:hAnsi="Times New Roman"/>
                <w:b/>
                <w:sz w:val="16"/>
                <w:szCs w:val="16"/>
                <w:lang w:val="lv-LV"/>
              </w:rPr>
            </w:pPr>
            <w:r>
              <w:rPr>
                <w:rFonts w:ascii="Times New Roman" w:hAnsi="Times New Roman"/>
                <w:b/>
                <w:sz w:val="16"/>
                <w:szCs w:val="16"/>
                <w:lang w:val="lv-LV"/>
              </w:rPr>
              <w:t>864 246</w:t>
            </w:r>
          </w:p>
        </w:tc>
        <w:tc>
          <w:tcPr>
            <w:tcW w:w="851" w:type="dxa"/>
            <w:vAlign w:val="center"/>
          </w:tcPr>
          <w:p w:rsidR="00D3063A" w:rsidRPr="00AE40CC" w:rsidRDefault="00570BF0" w:rsidP="00AF0141">
            <w:pPr>
              <w:spacing w:before="120"/>
              <w:jc w:val="center"/>
              <w:rPr>
                <w:rFonts w:ascii="Times New Roman" w:hAnsi="Times New Roman"/>
                <w:b/>
                <w:sz w:val="16"/>
                <w:szCs w:val="16"/>
                <w:lang w:val="lv-LV"/>
              </w:rPr>
            </w:pPr>
            <w:r>
              <w:rPr>
                <w:rFonts w:ascii="Times New Roman" w:hAnsi="Times New Roman"/>
                <w:b/>
                <w:sz w:val="16"/>
                <w:szCs w:val="16"/>
                <w:lang w:val="lv-LV"/>
              </w:rPr>
              <w:t>358 272</w:t>
            </w:r>
          </w:p>
        </w:tc>
        <w:tc>
          <w:tcPr>
            <w:tcW w:w="850" w:type="dxa"/>
            <w:vAlign w:val="center"/>
          </w:tcPr>
          <w:p w:rsidR="00D3063A" w:rsidRPr="00AE40CC" w:rsidRDefault="00570BF0" w:rsidP="00AF0141">
            <w:pPr>
              <w:spacing w:before="12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1053" w:type="dxa"/>
            <w:vAlign w:val="center"/>
          </w:tcPr>
          <w:p w:rsidR="00D3063A" w:rsidRPr="00AE40CC" w:rsidRDefault="00570BF0" w:rsidP="00AF0141">
            <w:pPr>
              <w:spacing w:before="120"/>
              <w:jc w:val="center"/>
              <w:rPr>
                <w:rFonts w:ascii="Times New Roman" w:hAnsi="Times New Roman"/>
                <w:b/>
                <w:color w:val="000000"/>
                <w:sz w:val="16"/>
                <w:szCs w:val="16"/>
                <w:lang w:val="lv-LV"/>
              </w:rPr>
            </w:pPr>
            <w:r>
              <w:rPr>
                <w:rFonts w:ascii="Times New Roman" w:hAnsi="Times New Roman"/>
                <w:b/>
                <w:color w:val="000000"/>
                <w:sz w:val="16"/>
                <w:szCs w:val="16"/>
                <w:lang w:val="lv-LV"/>
              </w:rPr>
              <w:t>3 380 600</w:t>
            </w:r>
          </w:p>
        </w:tc>
      </w:tr>
      <w:tr w:rsidR="00D3063A" w:rsidRPr="00AE40CC" w:rsidTr="00D3063A">
        <w:tc>
          <w:tcPr>
            <w:tcW w:w="1526" w:type="dxa"/>
            <w:vAlign w:val="center"/>
          </w:tcPr>
          <w:p w:rsidR="00D3063A" w:rsidRPr="00AE40CC" w:rsidRDefault="00570BF0" w:rsidP="00EF0B56">
            <w:pPr>
              <w:spacing w:before="60" w:after="60"/>
              <w:jc w:val="both"/>
              <w:rPr>
                <w:rFonts w:ascii="Times New Roman" w:hAnsi="Times New Roman"/>
                <w:b/>
                <w:sz w:val="18"/>
                <w:szCs w:val="18"/>
                <w:lang w:val="lv-LV"/>
              </w:rPr>
            </w:pPr>
            <w:r>
              <w:rPr>
                <w:rFonts w:ascii="Times New Roman" w:hAnsi="Times New Roman"/>
                <w:b/>
                <w:sz w:val="18"/>
                <w:szCs w:val="18"/>
                <w:lang w:val="lv-LV"/>
              </w:rPr>
              <w:t>Līdzekļi divpusējām attiecībām</w:t>
            </w:r>
          </w:p>
        </w:tc>
        <w:tc>
          <w:tcPr>
            <w:tcW w:w="567" w:type="dxa"/>
            <w:vAlign w:val="center"/>
          </w:tcPr>
          <w:p w:rsidR="00D3063A" w:rsidRPr="00AE40CC" w:rsidRDefault="00570BF0" w:rsidP="00AF0141">
            <w:pPr>
              <w:spacing w:before="12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vAlign w:val="center"/>
          </w:tcPr>
          <w:p w:rsidR="00D3063A" w:rsidRPr="00AE40CC" w:rsidRDefault="00570BF0" w:rsidP="00AF0141">
            <w:pPr>
              <w:spacing w:before="120"/>
              <w:jc w:val="center"/>
              <w:rPr>
                <w:rFonts w:ascii="Times New Roman" w:hAnsi="Times New Roman"/>
                <w:b/>
                <w:sz w:val="16"/>
                <w:szCs w:val="16"/>
                <w:lang w:val="lv-LV"/>
              </w:rPr>
            </w:pPr>
            <w:r>
              <w:rPr>
                <w:rFonts w:ascii="Times New Roman" w:hAnsi="Times New Roman"/>
                <w:b/>
                <w:sz w:val="16"/>
                <w:szCs w:val="16"/>
                <w:lang w:val="lv-LV"/>
              </w:rPr>
              <w:t>50 000</w:t>
            </w:r>
          </w:p>
        </w:tc>
        <w:tc>
          <w:tcPr>
            <w:tcW w:w="851" w:type="dxa"/>
            <w:vAlign w:val="center"/>
          </w:tcPr>
          <w:p w:rsidR="00D3063A" w:rsidRPr="00AE40CC" w:rsidRDefault="00570BF0" w:rsidP="00AF0141">
            <w:pPr>
              <w:spacing w:before="120"/>
              <w:jc w:val="center"/>
              <w:rPr>
                <w:rFonts w:ascii="Times New Roman" w:hAnsi="Times New Roman"/>
                <w:b/>
                <w:sz w:val="16"/>
                <w:szCs w:val="16"/>
                <w:lang w:val="lv-LV"/>
              </w:rPr>
            </w:pPr>
            <w:r>
              <w:rPr>
                <w:rFonts w:ascii="Times New Roman" w:hAnsi="Times New Roman"/>
                <w:b/>
                <w:sz w:val="16"/>
                <w:szCs w:val="16"/>
                <w:lang w:val="lv-LV"/>
              </w:rPr>
              <w:t>104 000</w:t>
            </w:r>
          </w:p>
        </w:tc>
        <w:tc>
          <w:tcPr>
            <w:tcW w:w="992" w:type="dxa"/>
            <w:vAlign w:val="center"/>
          </w:tcPr>
          <w:p w:rsidR="00D3063A" w:rsidRPr="00AE40CC" w:rsidRDefault="00570BF0" w:rsidP="00AF0141">
            <w:pPr>
              <w:spacing w:before="120"/>
              <w:jc w:val="center"/>
              <w:rPr>
                <w:rFonts w:ascii="Times New Roman" w:hAnsi="Times New Roman"/>
                <w:b/>
                <w:sz w:val="16"/>
                <w:szCs w:val="16"/>
                <w:lang w:val="lv-LV"/>
              </w:rPr>
            </w:pPr>
            <w:r>
              <w:rPr>
                <w:rFonts w:ascii="Times New Roman" w:hAnsi="Times New Roman"/>
                <w:b/>
                <w:sz w:val="16"/>
                <w:szCs w:val="16"/>
                <w:lang w:val="lv-LV"/>
              </w:rPr>
              <w:t>90 000</w:t>
            </w:r>
          </w:p>
        </w:tc>
        <w:tc>
          <w:tcPr>
            <w:tcW w:w="992" w:type="dxa"/>
            <w:vAlign w:val="center"/>
          </w:tcPr>
          <w:p w:rsidR="00D3063A" w:rsidRPr="00AE40CC" w:rsidRDefault="00570BF0" w:rsidP="00AF0141">
            <w:pPr>
              <w:spacing w:before="120"/>
              <w:jc w:val="center"/>
              <w:rPr>
                <w:rFonts w:ascii="Times New Roman" w:hAnsi="Times New Roman"/>
                <w:b/>
                <w:sz w:val="16"/>
                <w:szCs w:val="16"/>
                <w:lang w:val="lv-LV"/>
              </w:rPr>
            </w:pPr>
            <w:r>
              <w:rPr>
                <w:rFonts w:ascii="Times New Roman" w:hAnsi="Times New Roman"/>
                <w:b/>
                <w:sz w:val="16"/>
                <w:szCs w:val="16"/>
                <w:lang w:val="lv-LV"/>
              </w:rPr>
              <w:t>50 000</w:t>
            </w:r>
          </w:p>
        </w:tc>
        <w:tc>
          <w:tcPr>
            <w:tcW w:w="851" w:type="dxa"/>
            <w:vAlign w:val="center"/>
          </w:tcPr>
          <w:p w:rsidR="00D3063A" w:rsidRPr="00AE40CC" w:rsidRDefault="00570BF0" w:rsidP="00AF0141">
            <w:pPr>
              <w:spacing w:before="12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vAlign w:val="center"/>
          </w:tcPr>
          <w:p w:rsidR="00D3063A" w:rsidRPr="00AE40CC" w:rsidRDefault="00570BF0" w:rsidP="00AF0141">
            <w:pPr>
              <w:spacing w:before="12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1053" w:type="dxa"/>
            <w:vAlign w:val="center"/>
          </w:tcPr>
          <w:p w:rsidR="00D3063A" w:rsidRPr="00AE40CC" w:rsidRDefault="00570BF0" w:rsidP="00AF0141">
            <w:pPr>
              <w:spacing w:before="120"/>
              <w:jc w:val="center"/>
              <w:rPr>
                <w:rFonts w:ascii="Times New Roman" w:hAnsi="Times New Roman"/>
                <w:b/>
                <w:color w:val="000000"/>
                <w:sz w:val="16"/>
                <w:szCs w:val="16"/>
                <w:lang w:val="lv-LV"/>
              </w:rPr>
            </w:pPr>
            <w:r>
              <w:rPr>
                <w:rFonts w:ascii="Times New Roman" w:hAnsi="Times New Roman"/>
                <w:b/>
                <w:color w:val="000000"/>
                <w:sz w:val="16"/>
                <w:szCs w:val="16"/>
                <w:lang w:val="lv-LV"/>
              </w:rPr>
              <w:t>294 000</w:t>
            </w:r>
          </w:p>
        </w:tc>
      </w:tr>
      <w:bookmarkEnd w:id="98"/>
      <w:tr w:rsidR="00D3063A" w:rsidRPr="00AE40CC" w:rsidTr="00D3063A">
        <w:tc>
          <w:tcPr>
            <w:tcW w:w="1526" w:type="dxa"/>
            <w:vAlign w:val="center"/>
          </w:tcPr>
          <w:p w:rsidR="00D3063A" w:rsidRPr="00AE40CC" w:rsidRDefault="00570BF0" w:rsidP="00C324D9">
            <w:pPr>
              <w:spacing w:before="60" w:after="60"/>
              <w:rPr>
                <w:rFonts w:ascii="Times New Roman" w:hAnsi="Times New Roman"/>
                <w:b/>
                <w:sz w:val="18"/>
                <w:szCs w:val="18"/>
                <w:lang w:val="lv-LV"/>
              </w:rPr>
            </w:pPr>
            <w:r>
              <w:rPr>
                <w:rFonts w:ascii="Times New Roman" w:hAnsi="Times New Roman"/>
                <w:b/>
                <w:sz w:val="18"/>
                <w:szCs w:val="18"/>
                <w:lang w:val="lv-LV"/>
              </w:rPr>
              <w:t>Papildu pasākumi</w:t>
            </w:r>
          </w:p>
        </w:tc>
        <w:tc>
          <w:tcPr>
            <w:tcW w:w="567"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1"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992"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992"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1"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1053"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r>
      <w:tr w:rsidR="00D3063A" w:rsidRPr="00AE40CC" w:rsidTr="00D3063A">
        <w:tc>
          <w:tcPr>
            <w:tcW w:w="1526" w:type="dxa"/>
            <w:vAlign w:val="center"/>
          </w:tcPr>
          <w:p w:rsidR="00D3063A" w:rsidRPr="00AE40CC" w:rsidRDefault="00570BF0" w:rsidP="00C324D9">
            <w:pPr>
              <w:spacing w:before="60" w:after="60"/>
              <w:rPr>
                <w:rFonts w:ascii="Times New Roman" w:hAnsi="Times New Roman"/>
                <w:b/>
                <w:sz w:val="18"/>
                <w:szCs w:val="18"/>
                <w:lang w:val="lv-LV"/>
              </w:rPr>
            </w:pPr>
            <w:r>
              <w:rPr>
                <w:rFonts w:ascii="Times New Roman" w:hAnsi="Times New Roman"/>
                <w:b/>
                <w:sz w:val="18"/>
                <w:szCs w:val="18"/>
                <w:lang w:val="lv-LV"/>
              </w:rPr>
              <w:t>Programmas iesnieguma sagatavošana</w:t>
            </w:r>
          </w:p>
        </w:tc>
        <w:tc>
          <w:tcPr>
            <w:tcW w:w="567"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1"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992"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992"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1"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1053" w:type="dxa"/>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r>
      <w:tr w:rsidR="00D3063A" w:rsidRPr="00AE40CC" w:rsidTr="00D3063A">
        <w:tc>
          <w:tcPr>
            <w:tcW w:w="1526" w:type="dxa"/>
            <w:tcBorders>
              <w:bottom w:val="single" w:sz="4" w:space="0" w:color="auto"/>
            </w:tcBorders>
            <w:vAlign w:val="center"/>
          </w:tcPr>
          <w:p w:rsidR="00D3063A" w:rsidRPr="00AE40CC" w:rsidRDefault="00570BF0" w:rsidP="00C324D9">
            <w:pPr>
              <w:spacing w:before="60" w:after="60"/>
              <w:rPr>
                <w:rFonts w:ascii="Times New Roman" w:hAnsi="Times New Roman"/>
                <w:b/>
                <w:sz w:val="18"/>
                <w:szCs w:val="18"/>
                <w:lang w:val="lv-LV"/>
              </w:rPr>
            </w:pPr>
            <w:r>
              <w:rPr>
                <w:rFonts w:ascii="Times New Roman" w:hAnsi="Times New Roman"/>
                <w:b/>
                <w:sz w:val="18"/>
                <w:szCs w:val="18"/>
                <w:lang w:val="lv-LV"/>
              </w:rPr>
              <w:t>Rezerve zaudējumu segšanai valūtas maiņas rezultātā</w:t>
            </w:r>
          </w:p>
        </w:tc>
        <w:tc>
          <w:tcPr>
            <w:tcW w:w="567" w:type="dxa"/>
            <w:tcBorders>
              <w:bottom w:val="single" w:sz="4" w:space="0" w:color="auto"/>
            </w:tcBorders>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tcBorders>
              <w:bottom w:val="single" w:sz="4" w:space="0" w:color="auto"/>
            </w:tcBorders>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2 000</w:t>
            </w:r>
          </w:p>
        </w:tc>
        <w:tc>
          <w:tcPr>
            <w:tcW w:w="851" w:type="dxa"/>
            <w:tcBorders>
              <w:bottom w:val="single" w:sz="4" w:space="0" w:color="auto"/>
            </w:tcBorders>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10 000</w:t>
            </w:r>
          </w:p>
        </w:tc>
        <w:tc>
          <w:tcPr>
            <w:tcW w:w="992" w:type="dxa"/>
            <w:tcBorders>
              <w:bottom w:val="single" w:sz="4" w:space="0" w:color="auto"/>
            </w:tcBorders>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10 000</w:t>
            </w:r>
          </w:p>
        </w:tc>
        <w:tc>
          <w:tcPr>
            <w:tcW w:w="992" w:type="dxa"/>
            <w:tcBorders>
              <w:bottom w:val="single" w:sz="4" w:space="0" w:color="auto"/>
            </w:tcBorders>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18 000</w:t>
            </w:r>
          </w:p>
        </w:tc>
        <w:tc>
          <w:tcPr>
            <w:tcW w:w="851" w:type="dxa"/>
            <w:tcBorders>
              <w:bottom w:val="single" w:sz="4" w:space="0" w:color="auto"/>
            </w:tcBorders>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10 000</w:t>
            </w:r>
          </w:p>
        </w:tc>
        <w:tc>
          <w:tcPr>
            <w:tcW w:w="850" w:type="dxa"/>
            <w:tcBorders>
              <w:bottom w:val="single" w:sz="4" w:space="0" w:color="auto"/>
            </w:tcBorders>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1053" w:type="dxa"/>
            <w:tcBorders>
              <w:bottom w:val="single" w:sz="4" w:space="0" w:color="auto"/>
            </w:tcBorders>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50 000</w:t>
            </w:r>
          </w:p>
        </w:tc>
      </w:tr>
      <w:tr w:rsidR="00D3063A" w:rsidRPr="00AE40CC" w:rsidTr="00D3063A">
        <w:tc>
          <w:tcPr>
            <w:tcW w:w="1526" w:type="dxa"/>
            <w:shd w:val="clear" w:color="auto" w:fill="C0C0C0"/>
            <w:vAlign w:val="center"/>
          </w:tcPr>
          <w:p w:rsidR="00D3063A" w:rsidRPr="00AE40CC" w:rsidRDefault="00570BF0" w:rsidP="00C324D9">
            <w:pPr>
              <w:spacing w:before="60" w:after="60"/>
              <w:rPr>
                <w:rFonts w:ascii="Times New Roman" w:hAnsi="Times New Roman"/>
                <w:b/>
                <w:sz w:val="18"/>
                <w:szCs w:val="18"/>
                <w:lang w:val="lv-LV"/>
              </w:rPr>
            </w:pPr>
            <w:r>
              <w:rPr>
                <w:rFonts w:ascii="Times New Roman" w:hAnsi="Times New Roman"/>
                <w:b/>
                <w:sz w:val="18"/>
                <w:szCs w:val="18"/>
                <w:lang w:val="lv-LV"/>
              </w:rPr>
              <w:t>KOPĀ</w:t>
            </w:r>
          </w:p>
        </w:tc>
        <w:tc>
          <w:tcPr>
            <w:tcW w:w="567" w:type="dxa"/>
            <w:shd w:val="clear" w:color="auto" w:fill="C0C0C0"/>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0</w:t>
            </w:r>
          </w:p>
        </w:tc>
        <w:tc>
          <w:tcPr>
            <w:tcW w:w="850" w:type="dxa"/>
            <w:shd w:val="clear" w:color="auto" w:fill="C0C0C0"/>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402 000</w:t>
            </w:r>
          </w:p>
        </w:tc>
        <w:tc>
          <w:tcPr>
            <w:tcW w:w="851" w:type="dxa"/>
            <w:shd w:val="clear" w:color="auto" w:fill="C0C0C0"/>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2 595 477</w:t>
            </w:r>
          </w:p>
        </w:tc>
        <w:tc>
          <w:tcPr>
            <w:tcW w:w="992" w:type="dxa"/>
            <w:shd w:val="clear" w:color="auto" w:fill="C0C0C0"/>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3 774 345</w:t>
            </w:r>
          </w:p>
        </w:tc>
        <w:tc>
          <w:tcPr>
            <w:tcW w:w="992" w:type="dxa"/>
            <w:shd w:val="clear" w:color="auto" w:fill="C0C0C0"/>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4 002 587</w:t>
            </w:r>
          </w:p>
        </w:tc>
        <w:tc>
          <w:tcPr>
            <w:tcW w:w="851" w:type="dxa"/>
            <w:shd w:val="clear" w:color="auto" w:fill="C0C0C0"/>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498 591</w:t>
            </w:r>
          </w:p>
        </w:tc>
        <w:tc>
          <w:tcPr>
            <w:tcW w:w="850" w:type="dxa"/>
            <w:shd w:val="clear" w:color="auto" w:fill="C0C0C0"/>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55 000</w:t>
            </w:r>
          </w:p>
        </w:tc>
        <w:tc>
          <w:tcPr>
            <w:tcW w:w="1053" w:type="dxa"/>
            <w:shd w:val="clear" w:color="auto" w:fill="C0C0C0"/>
            <w:vAlign w:val="center"/>
          </w:tcPr>
          <w:p w:rsidR="00D3063A" w:rsidRPr="00AE40CC" w:rsidRDefault="00570BF0" w:rsidP="00AF0141">
            <w:pPr>
              <w:spacing w:after="0"/>
              <w:jc w:val="center"/>
              <w:rPr>
                <w:rFonts w:ascii="Times New Roman" w:hAnsi="Times New Roman"/>
                <w:b/>
                <w:color w:val="000000"/>
                <w:sz w:val="16"/>
                <w:szCs w:val="16"/>
                <w:lang w:val="lv-LV"/>
              </w:rPr>
            </w:pPr>
            <w:r>
              <w:rPr>
                <w:rFonts w:ascii="Times New Roman" w:hAnsi="Times New Roman"/>
                <w:b/>
                <w:color w:val="000000"/>
                <w:sz w:val="16"/>
                <w:szCs w:val="16"/>
                <w:lang w:val="lv-LV"/>
              </w:rPr>
              <w:t>11 328 000</w:t>
            </w:r>
          </w:p>
        </w:tc>
      </w:tr>
    </w:tbl>
    <w:p w:rsidR="00A9482F" w:rsidRPr="00AE40CC" w:rsidRDefault="00A9482F" w:rsidP="00A9482F">
      <w:pPr>
        <w:spacing w:after="0"/>
        <w:rPr>
          <w:rFonts w:ascii="Times New Roman" w:hAnsi="Times New Roman"/>
          <w:b/>
          <w:sz w:val="24"/>
          <w:szCs w:val="24"/>
          <w:lang w:val="lv-LV"/>
        </w:rPr>
      </w:pPr>
    </w:p>
    <w:p w:rsidR="00A9482F" w:rsidRPr="00AE40CC" w:rsidRDefault="00570BF0" w:rsidP="00A9482F">
      <w:pPr>
        <w:keepLines/>
        <w:spacing w:after="0"/>
        <w:rPr>
          <w:rFonts w:ascii="Times New Roman" w:hAnsi="Times New Roman"/>
          <w:b/>
          <w:lang w:val="lv-LV"/>
        </w:rPr>
      </w:pPr>
      <w:r>
        <w:rPr>
          <w:rFonts w:ascii="Times New Roman" w:hAnsi="Times New Roman"/>
          <w:b/>
          <w:lang w:val="lv-LV"/>
        </w:rPr>
        <w:t>Programmas apsaimniekotāja vadības izmaksu detalizēts budžets</w:t>
      </w:r>
      <w:r>
        <w:rPr>
          <w:rFonts w:ascii="Times New Roman" w:hAnsi="Times New Roman"/>
          <w:b/>
          <w:bCs/>
          <w:lang w:val="lv-LV"/>
        </w:rPr>
        <w:t xml:space="preserve">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76"/>
        <w:gridCol w:w="842"/>
        <w:gridCol w:w="850"/>
        <w:gridCol w:w="851"/>
        <w:gridCol w:w="850"/>
        <w:gridCol w:w="851"/>
        <w:gridCol w:w="708"/>
        <w:gridCol w:w="1053"/>
      </w:tblGrid>
      <w:tr w:rsidR="00A9482F" w:rsidRPr="00AE40CC" w:rsidTr="009632A8">
        <w:tc>
          <w:tcPr>
            <w:tcW w:w="1951" w:type="dxa"/>
            <w:shd w:val="clear" w:color="auto" w:fill="C0C0C0"/>
          </w:tcPr>
          <w:p w:rsidR="00A9482F" w:rsidRPr="00AE40CC" w:rsidRDefault="00570BF0" w:rsidP="00A9482F">
            <w:pPr>
              <w:keepLines/>
              <w:spacing w:before="60" w:after="60"/>
              <w:jc w:val="center"/>
              <w:rPr>
                <w:rFonts w:ascii="Times New Roman" w:hAnsi="Times New Roman"/>
                <w:b/>
                <w:sz w:val="18"/>
                <w:szCs w:val="18"/>
                <w:lang w:val="lv-LV"/>
              </w:rPr>
            </w:pPr>
            <w:r>
              <w:rPr>
                <w:rFonts w:ascii="Times New Roman" w:hAnsi="Times New Roman"/>
                <w:b/>
                <w:sz w:val="18"/>
                <w:szCs w:val="18"/>
                <w:lang w:val="lv-LV"/>
              </w:rPr>
              <w:t>Izmaksu kategorija</w:t>
            </w:r>
          </w:p>
        </w:tc>
        <w:tc>
          <w:tcPr>
            <w:tcW w:w="576" w:type="dxa"/>
            <w:shd w:val="clear" w:color="auto" w:fill="C0C0C0"/>
          </w:tcPr>
          <w:p w:rsidR="00A9482F" w:rsidRPr="00AE40CC" w:rsidRDefault="00570BF0" w:rsidP="00A9482F">
            <w:pPr>
              <w:keepLines/>
              <w:spacing w:before="60" w:after="60"/>
              <w:jc w:val="center"/>
              <w:rPr>
                <w:rFonts w:ascii="Times New Roman" w:hAnsi="Times New Roman"/>
                <w:b/>
                <w:sz w:val="18"/>
                <w:szCs w:val="18"/>
                <w:lang w:val="lv-LV"/>
              </w:rPr>
            </w:pPr>
            <w:r>
              <w:rPr>
                <w:rFonts w:ascii="Times New Roman" w:hAnsi="Times New Roman"/>
                <w:b/>
                <w:sz w:val="18"/>
                <w:szCs w:val="18"/>
                <w:lang w:val="lv-LV"/>
              </w:rPr>
              <w:t>2011</w:t>
            </w:r>
          </w:p>
        </w:tc>
        <w:tc>
          <w:tcPr>
            <w:tcW w:w="842" w:type="dxa"/>
            <w:shd w:val="clear" w:color="auto" w:fill="C0C0C0"/>
          </w:tcPr>
          <w:p w:rsidR="00A9482F" w:rsidRPr="00AE40CC" w:rsidRDefault="00570BF0" w:rsidP="00A9482F">
            <w:pPr>
              <w:keepLines/>
              <w:spacing w:before="60" w:after="60"/>
              <w:jc w:val="center"/>
              <w:rPr>
                <w:rFonts w:ascii="Times New Roman" w:hAnsi="Times New Roman"/>
                <w:b/>
                <w:sz w:val="18"/>
                <w:szCs w:val="18"/>
                <w:lang w:val="lv-LV"/>
              </w:rPr>
            </w:pPr>
            <w:r>
              <w:rPr>
                <w:rFonts w:ascii="Times New Roman" w:hAnsi="Times New Roman"/>
                <w:b/>
                <w:sz w:val="18"/>
                <w:szCs w:val="18"/>
                <w:lang w:val="lv-LV"/>
              </w:rPr>
              <w:t>2012</w:t>
            </w:r>
          </w:p>
        </w:tc>
        <w:tc>
          <w:tcPr>
            <w:tcW w:w="850" w:type="dxa"/>
            <w:shd w:val="clear" w:color="auto" w:fill="C0C0C0"/>
          </w:tcPr>
          <w:p w:rsidR="00A9482F" w:rsidRPr="00AE40CC" w:rsidRDefault="00570BF0" w:rsidP="00A9482F">
            <w:pPr>
              <w:keepLines/>
              <w:spacing w:before="60" w:after="60"/>
              <w:jc w:val="center"/>
              <w:rPr>
                <w:rFonts w:ascii="Times New Roman" w:hAnsi="Times New Roman"/>
                <w:b/>
                <w:sz w:val="18"/>
                <w:szCs w:val="18"/>
                <w:lang w:val="lv-LV"/>
              </w:rPr>
            </w:pPr>
            <w:r>
              <w:rPr>
                <w:rFonts w:ascii="Times New Roman" w:hAnsi="Times New Roman"/>
                <w:b/>
                <w:sz w:val="18"/>
                <w:szCs w:val="18"/>
                <w:lang w:val="lv-LV"/>
              </w:rPr>
              <w:t>2013</w:t>
            </w:r>
          </w:p>
        </w:tc>
        <w:tc>
          <w:tcPr>
            <w:tcW w:w="851" w:type="dxa"/>
            <w:shd w:val="clear" w:color="auto" w:fill="C0C0C0"/>
          </w:tcPr>
          <w:p w:rsidR="00A9482F" w:rsidRPr="00AE40CC" w:rsidRDefault="00570BF0" w:rsidP="00A9482F">
            <w:pPr>
              <w:keepLines/>
              <w:spacing w:before="60" w:after="60"/>
              <w:jc w:val="center"/>
              <w:rPr>
                <w:rFonts w:ascii="Times New Roman" w:hAnsi="Times New Roman"/>
                <w:b/>
                <w:sz w:val="18"/>
                <w:szCs w:val="18"/>
                <w:lang w:val="lv-LV"/>
              </w:rPr>
            </w:pPr>
            <w:r>
              <w:rPr>
                <w:rFonts w:ascii="Times New Roman" w:hAnsi="Times New Roman"/>
                <w:b/>
                <w:sz w:val="18"/>
                <w:szCs w:val="18"/>
                <w:lang w:val="lv-LV"/>
              </w:rPr>
              <w:t>2014</w:t>
            </w:r>
          </w:p>
        </w:tc>
        <w:tc>
          <w:tcPr>
            <w:tcW w:w="850" w:type="dxa"/>
            <w:shd w:val="clear" w:color="auto" w:fill="C0C0C0"/>
          </w:tcPr>
          <w:p w:rsidR="00A9482F" w:rsidRPr="00AE40CC" w:rsidRDefault="00570BF0" w:rsidP="00A9482F">
            <w:pPr>
              <w:keepLines/>
              <w:spacing w:before="60" w:after="60"/>
              <w:jc w:val="center"/>
              <w:rPr>
                <w:rFonts w:ascii="Times New Roman" w:hAnsi="Times New Roman"/>
                <w:b/>
                <w:sz w:val="18"/>
                <w:szCs w:val="18"/>
                <w:lang w:val="lv-LV"/>
              </w:rPr>
            </w:pPr>
            <w:r>
              <w:rPr>
                <w:rFonts w:ascii="Times New Roman" w:hAnsi="Times New Roman"/>
                <w:b/>
                <w:sz w:val="18"/>
                <w:szCs w:val="18"/>
                <w:lang w:val="lv-LV"/>
              </w:rPr>
              <w:t>2015</w:t>
            </w:r>
          </w:p>
        </w:tc>
        <w:tc>
          <w:tcPr>
            <w:tcW w:w="851" w:type="dxa"/>
            <w:shd w:val="clear" w:color="auto" w:fill="C0C0C0"/>
          </w:tcPr>
          <w:p w:rsidR="00A9482F" w:rsidRPr="00AE40CC" w:rsidRDefault="00570BF0" w:rsidP="00A9482F">
            <w:pPr>
              <w:keepLines/>
              <w:spacing w:before="60" w:after="60"/>
              <w:jc w:val="center"/>
              <w:rPr>
                <w:rFonts w:ascii="Times New Roman" w:hAnsi="Times New Roman"/>
                <w:b/>
                <w:sz w:val="18"/>
                <w:szCs w:val="18"/>
                <w:lang w:val="lv-LV"/>
              </w:rPr>
            </w:pPr>
            <w:r>
              <w:rPr>
                <w:rFonts w:ascii="Times New Roman" w:hAnsi="Times New Roman"/>
                <w:b/>
                <w:sz w:val="18"/>
                <w:szCs w:val="18"/>
                <w:lang w:val="lv-LV"/>
              </w:rPr>
              <w:t>2016</w:t>
            </w:r>
          </w:p>
        </w:tc>
        <w:tc>
          <w:tcPr>
            <w:tcW w:w="708" w:type="dxa"/>
            <w:shd w:val="clear" w:color="auto" w:fill="C0C0C0"/>
          </w:tcPr>
          <w:p w:rsidR="00A9482F" w:rsidRPr="00AE40CC" w:rsidRDefault="00570BF0" w:rsidP="00A9482F">
            <w:pPr>
              <w:keepLines/>
              <w:spacing w:before="60" w:after="60"/>
              <w:jc w:val="center"/>
              <w:rPr>
                <w:rFonts w:ascii="Times New Roman" w:hAnsi="Times New Roman"/>
                <w:b/>
                <w:sz w:val="18"/>
                <w:szCs w:val="18"/>
                <w:lang w:val="lv-LV"/>
              </w:rPr>
            </w:pPr>
            <w:r>
              <w:rPr>
                <w:rFonts w:ascii="Times New Roman" w:hAnsi="Times New Roman"/>
                <w:b/>
                <w:sz w:val="18"/>
                <w:szCs w:val="18"/>
                <w:lang w:val="lv-LV"/>
              </w:rPr>
              <w:t>2017</w:t>
            </w:r>
          </w:p>
        </w:tc>
        <w:tc>
          <w:tcPr>
            <w:tcW w:w="1053" w:type="dxa"/>
            <w:shd w:val="clear" w:color="auto" w:fill="C0C0C0"/>
          </w:tcPr>
          <w:p w:rsidR="00A9482F" w:rsidRPr="00AE40CC" w:rsidRDefault="00570BF0" w:rsidP="00A9482F">
            <w:pPr>
              <w:keepLines/>
              <w:spacing w:before="60" w:after="60"/>
              <w:jc w:val="center"/>
              <w:rPr>
                <w:rFonts w:ascii="Times New Roman" w:hAnsi="Times New Roman"/>
                <w:b/>
                <w:sz w:val="18"/>
                <w:szCs w:val="18"/>
                <w:lang w:val="lv-LV"/>
              </w:rPr>
            </w:pPr>
            <w:r>
              <w:rPr>
                <w:rFonts w:ascii="Times New Roman" w:hAnsi="Times New Roman"/>
                <w:b/>
                <w:sz w:val="18"/>
                <w:szCs w:val="18"/>
                <w:lang w:val="lv-LV"/>
              </w:rPr>
              <w:t>Kopā</w:t>
            </w:r>
          </w:p>
        </w:tc>
      </w:tr>
      <w:tr w:rsidR="00D3063A" w:rsidRPr="00AE40CC" w:rsidTr="009632A8">
        <w:tc>
          <w:tcPr>
            <w:tcW w:w="1951" w:type="dxa"/>
          </w:tcPr>
          <w:p w:rsidR="00D3063A" w:rsidRPr="00AE40CC" w:rsidRDefault="00570BF0" w:rsidP="00A9482F">
            <w:pPr>
              <w:keepLines/>
              <w:spacing w:before="60" w:after="60"/>
              <w:rPr>
                <w:rFonts w:ascii="Times New Roman" w:hAnsi="Times New Roman"/>
                <w:b/>
                <w:sz w:val="18"/>
                <w:szCs w:val="18"/>
                <w:lang w:val="lv-LV"/>
              </w:rPr>
            </w:pPr>
            <w:r>
              <w:rPr>
                <w:rFonts w:ascii="Times New Roman" w:hAnsi="Times New Roman"/>
                <w:b/>
                <w:sz w:val="18"/>
                <w:szCs w:val="18"/>
                <w:lang w:val="lv-LV"/>
              </w:rPr>
              <w:t>Sagatavošanās Programmas īstenošanai</w:t>
            </w:r>
          </w:p>
        </w:tc>
        <w:tc>
          <w:tcPr>
            <w:tcW w:w="576"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0</w:t>
            </w:r>
          </w:p>
        </w:tc>
        <w:tc>
          <w:tcPr>
            <w:tcW w:w="842"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30 000</w:t>
            </w:r>
          </w:p>
        </w:tc>
        <w:tc>
          <w:tcPr>
            <w:tcW w:w="850"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851"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850"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851"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708"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1053"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30 000</w:t>
            </w:r>
          </w:p>
        </w:tc>
      </w:tr>
      <w:tr w:rsidR="00D3063A" w:rsidRPr="00AE40CC" w:rsidTr="009632A8">
        <w:tc>
          <w:tcPr>
            <w:tcW w:w="1951" w:type="dxa"/>
          </w:tcPr>
          <w:p w:rsidR="00D3063A" w:rsidRPr="00AE40CC" w:rsidRDefault="00570BF0" w:rsidP="00A9482F">
            <w:pPr>
              <w:keepLines/>
              <w:spacing w:before="60" w:after="60"/>
              <w:rPr>
                <w:rFonts w:ascii="Times New Roman" w:hAnsi="Times New Roman"/>
                <w:b/>
                <w:sz w:val="18"/>
                <w:szCs w:val="18"/>
                <w:lang w:val="lv-LV"/>
              </w:rPr>
            </w:pPr>
            <w:r>
              <w:rPr>
                <w:rFonts w:ascii="Times New Roman" w:hAnsi="Times New Roman"/>
                <w:b/>
                <w:sz w:val="18"/>
                <w:szCs w:val="18"/>
                <w:lang w:val="lv-LV"/>
              </w:rPr>
              <w:t>Projektu izvērtēšana un atlase</w:t>
            </w:r>
          </w:p>
        </w:tc>
        <w:tc>
          <w:tcPr>
            <w:tcW w:w="576"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0</w:t>
            </w:r>
          </w:p>
        </w:tc>
        <w:tc>
          <w:tcPr>
            <w:tcW w:w="842"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10 000</w:t>
            </w:r>
          </w:p>
        </w:tc>
        <w:tc>
          <w:tcPr>
            <w:tcW w:w="850"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50 000</w:t>
            </w:r>
          </w:p>
        </w:tc>
        <w:tc>
          <w:tcPr>
            <w:tcW w:w="851"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50 000</w:t>
            </w:r>
          </w:p>
        </w:tc>
        <w:tc>
          <w:tcPr>
            <w:tcW w:w="850"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50 000</w:t>
            </w:r>
          </w:p>
        </w:tc>
        <w:tc>
          <w:tcPr>
            <w:tcW w:w="851"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708"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1053"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160 000</w:t>
            </w:r>
          </w:p>
        </w:tc>
      </w:tr>
      <w:tr w:rsidR="00D3063A" w:rsidRPr="00AE40CC" w:rsidTr="009632A8">
        <w:tc>
          <w:tcPr>
            <w:tcW w:w="1951" w:type="dxa"/>
          </w:tcPr>
          <w:p w:rsidR="00D3063A" w:rsidRPr="00AE40CC" w:rsidRDefault="00570BF0" w:rsidP="00A9482F">
            <w:pPr>
              <w:keepLines/>
              <w:spacing w:before="60" w:after="60"/>
              <w:rPr>
                <w:rFonts w:ascii="Times New Roman" w:hAnsi="Times New Roman"/>
                <w:b/>
                <w:sz w:val="18"/>
                <w:szCs w:val="18"/>
                <w:lang w:val="lv-LV"/>
              </w:rPr>
            </w:pPr>
            <w:r>
              <w:rPr>
                <w:rFonts w:ascii="Times New Roman" w:hAnsi="Times New Roman"/>
                <w:b/>
                <w:sz w:val="18"/>
                <w:szCs w:val="18"/>
                <w:lang w:val="lv-LV"/>
              </w:rPr>
              <w:t>Maksājuma pieprasīja pārbaude, maksājumu veikšana</w:t>
            </w:r>
          </w:p>
        </w:tc>
        <w:tc>
          <w:tcPr>
            <w:tcW w:w="576"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0</w:t>
            </w:r>
          </w:p>
        </w:tc>
        <w:tc>
          <w:tcPr>
            <w:tcW w:w="842"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850"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55 000</w:t>
            </w:r>
          </w:p>
        </w:tc>
        <w:tc>
          <w:tcPr>
            <w:tcW w:w="851"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55 000</w:t>
            </w:r>
          </w:p>
        </w:tc>
        <w:tc>
          <w:tcPr>
            <w:tcW w:w="850"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55 000</w:t>
            </w:r>
          </w:p>
        </w:tc>
        <w:tc>
          <w:tcPr>
            <w:tcW w:w="851"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30 000</w:t>
            </w:r>
          </w:p>
        </w:tc>
        <w:tc>
          <w:tcPr>
            <w:tcW w:w="708"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1053"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195 000</w:t>
            </w:r>
          </w:p>
        </w:tc>
      </w:tr>
      <w:tr w:rsidR="00D3063A" w:rsidRPr="00AE40CC" w:rsidTr="009632A8">
        <w:tc>
          <w:tcPr>
            <w:tcW w:w="1951" w:type="dxa"/>
          </w:tcPr>
          <w:p w:rsidR="00D3063A" w:rsidRPr="00AE40CC" w:rsidRDefault="00570BF0" w:rsidP="00A9482F">
            <w:pPr>
              <w:keepLines/>
              <w:spacing w:before="60" w:after="60"/>
              <w:rPr>
                <w:rFonts w:ascii="Times New Roman" w:hAnsi="Times New Roman"/>
                <w:b/>
                <w:sz w:val="18"/>
                <w:szCs w:val="18"/>
                <w:lang w:val="lv-LV"/>
              </w:rPr>
            </w:pPr>
            <w:r>
              <w:rPr>
                <w:rFonts w:ascii="Times New Roman" w:hAnsi="Times New Roman"/>
                <w:b/>
                <w:sz w:val="18"/>
                <w:szCs w:val="18"/>
                <w:lang w:val="lv-LV"/>
              </w:rPr>
              <w:t>Projektu uzraudzība</w:t>
            </w:r>
          </w:p>
        </w:tc>
        <w:tc>
          <w:tcPr>
            <w:tcW w:w="576"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0</w:t>
            </w:r>
          </w:p>
        </w:tc>
        <w:tc>
          <w:tcPr>
            <w:tcW w:w="842"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850"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55 040</w:t>
            </w:r>
          </w:p>
        </w:tc>
        <w:tc>
          <w:tcPr>
            <w:tcW w:w="851"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55 040</w:t>
            </w:r>
          </w:p>
        </w:tc>
        <w:tc>
          <w:tcPr>
            <w:tcW w:w="850"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55 040</w:t>
            </w:r>
          </w:p>
        </w:tc>
        <w:tc>
          <w:tcPr>
            <w:tcW w:w="851"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30 040</w:t>
            </w:r>
          </w:p>
        </w:tc>
        <w:tc>
          <w:tcPr>
            <w:tcW w:w="708"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25 000</w:t>
            </w:r>
          </w:p>
        </w:tc>
        <w:tc>
          <w:tcPr>
            <w:tcW w:w="1053"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220 160</w:t>
            </w:r>
          </w:p>
        </w:tc>
      </w:tr>
      <w:tr w:rsidR="00D3063A" w:rsidRPr="00AE40CC" w:rsidTr="009632A8">
        <w:tc>
          <w:tcPr>
            <w:tcW w:w="1951" w:type="dxa"/>
          </w:tcPr>
          <w:p w:rsidR="00D3063A" w:rsidRPr="00AE40CC" w:rsidRDefault="00570BF0" w:rsidP="00A9482F">
            <w:pPr>
              <w:keepLines/>
              <w:spacing w:before="60" w:after="60"/>
              <w:rPr>
                <w:rFonts w:ascii="Times New Roman" w:hAnsi="Times New Roman"/>
                <w:b/>
                <w:sz w:val="18"/>
                <w:szCs w:val="18"/>
                <w:lang w:val="lv-LV"/>
              </w:rPr>
            </w:pPr>
            <w:r>
              <w:rPr>
                <w:rFonts w:ascii="Times New Roman" w:hAnsi="Times New Roman"/>
                <w:b/>
                <w:sz w:val="18"/>
                <w:szCs w:val="18"/>
                <w:lang w:val="lv-LV"/>
              </w:rPr>
              <w:t xml:space="preserve">Revīzijas un pārbaudes projektu īstenošanas vietās  </w:t>
            </w:r>
          </w:p>
        </w:tc>
        <w:tc>
          <w:tcPr>
            <w:tcW w:w="576"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0</w:t>
            </w:r>
          </w:p>
        </w:tc>
        <w:tc>
          <w:tcPr>
            <w:tcW w:w="842"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850"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55 000</w:t>
            </w:r>
          </w:p>
        </w:tc>
        <w:tc>
          <w:tcPr>
            <w:tcW w:w="851"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55 000</w:t>
            </w:r>
          </w:p>
        </w:tc>
        <w:tc>
          <w:tcPr>
            <w:tcW w:w="850"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55 000</w:t>
            </w:r>
          </w:p>
        </w:tc>
        <w:tc>
          <w:tcPr>
            <w:tcW w:w="851"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38 000</w:t>
            </w:r>
          </w:p>
        </w:tc>
        <w:tc>
          <w:tcPr>
            <w:tcW w:w="708"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15 000</w:t>
            </w:r>
          </w:p>
        </w:tc>
        <w:tc>
          <w:tcPr>
            <w:tcW w:w="1053"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218 000</w:t>
            </w:r>
          </w:p>
        </w:tc>
      </w:tr>
      <w:tr w:rsidR="00D3063A" w:rsidRPr="00AE40CC" w:rsidTr="009632A8">
        <w:tc>
          <w:tcPr>
            <w:tcW w:w="1951" w:type="dxa"/>
          </w:tcPr>
          <w:p w:rsidR="00D3063A" w:rsidRPr="00AE40CC" w:rsidRDefault="00570BF0" w:rsidP="00A9482F">
            <w:pPr>
              <w:keepLines/>
              <w:spacing w:before="60" w:after="60"/>
              <w:rPr>
                <w:rFonts w:ascii="Times New Roman" w:hAnsi="Times New Roman"/>
                <w:b/>
                <w:sz w:val="18"/>
                <w:szCs w:val="18"/>
                <w:lang w:val="lv-LV"/>
              </w:rPr>
            </w:pPr>
            <w:r>
              <w:rPr>
                <w:rFonts w:ascii="Times New Roman" w:hAnsi="Times New Roman"/>
                <w:b/>
                <w:sz w:val="18"/>
                <w:szCs w:val="18"/>
                <w:lang w:val="lv-LV"/>
              </w:rPr>
              <w:t>Reklāma un informācija</w:t>
            </w:r>
          </w:p>
        </w:tc>
        <w:tc>
          <w:tcPr>
            <w:tcW w:w="576"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0</w:t>
            </w:r>
          </w:p>
        </w:tc>
        <w:tc>
          <w:tcPr>
            <w:tcW w:w="842"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45 000</w:t>
            </w:r>
          </w:p>
        </w:tc>
        <w:tc>
          <w:tcPr>
            <w:tcW w:w="850"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45 000</w:t>
            </w:r>
          </w:p>
        </w:tc>
        <w:tc>
          <w:tcPr>
            <w:tcW w:w="851"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35 000</w:t>
            </w:r>
          </w:p>
        </w:tc>
        <w:tc>
          <w:tcPr>
            <w:tcW w:w="850"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30 000</w:t>
            </w:r>
          </w:p>
        </w:tc>
        <w:tc>
          <w:tcPr>
            <w:tcW w:w="851"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15 000</w:t>
            </w:r>
          </w:p>
        </w:tc>
        <w:tc>
          <w:tcPr>
            <w:tcW w:w="708" w:type="dxa"/>
            <w:vAlign w:val="center"/>
          </w:tcPr>
          <w:p w:rsidR="00D3063A" w:rsidRPr="00AE40CC" w:rsidRDefault="00570BF0" w:rsidP="00AF0141">
            <w:pPr>
              <w:keepLines/>
              <w:spacing w:after="0"/>
              <w:jc w:val="center"/>
              <w:rPr>
                <w:rFonts w:ascii="Times New Roman" w:eastAsia="Calibri" w:hAnsi="Times New Roman"/>
                <w:b/>
                <w:bCs/>
                <w:color w:val="000000"/>
                <w:sz w:val="16"/>
                <w:szCs w:val="16"/>
                <w:lang w:val="lv-LV"/>
              </w:rPr>
            </w:pPr>
            <w:r>
              <w:rPr>
                <w:rFonts w:ascii="Times New Roman" w:hAnsi="Times New Roman"/>
                <w:sz w:val="16"/>
                <w:szCs w:val="16"/>
                <w:lang w:val="lv-LV"/>
              </w:rPr>
              <w:t>15 000</w:t>
            </w:r>
          </w:p>
        </w:tc>
        <w:tc>
          <w:tcPr>
            <w:tcW w:w="1053"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185 000</w:t>
            </w:r>
          </w:p>
        </w:tc>
      </w:tr>
      <w:tr w:rsidR="00D3063A" w:rsidRPr="00AE40CC" w:rsidTr="009632A8">
        <w:tc>
          <w:tcPr>
            <w:tcW w:w="1951" w:type="dxa"/>
          </w:tcPr>
          <w:p w:rsidR="00D3063A" w:rsidRPr="00AE40CC" w:rsidRDefault="00570BF0" w:rsidP="00A9482F">
            <w:pPr>
              <w:keepLines/>
              <w:spacing w:before="60" w:after="60"/>
              <w:rPr>
                <w:rFonts w:ascii="Times New Roman" w:hAnsi="Times New Roman"/>
                <w:b/>
                <w:sz w:val="18"/>
                <w:szCs w:val="18"/>
                <w:lang w:val="lv-LV"/>
              </w:rPr>
            </w:pPr>
            <w:r>
              <w:rPr>
                <w:rFonts w:ascii="Times New Roman" w:hAnsi="Times New Roman"/>
                <w:b/>
                <w:sz w:val="18"/>
                <w:szCs w:val="18"/>
                <w:lang w:val="lv-LV"/>
              </w:rPr>
              <w:t xml:space="preserve">Ziņošana </w:t>
            </w:r>
            <w:proofErr w:type="spellStart"/>
            <w:r>
              <w:rPr>
                <w:rFonts w:ascii="Times New Roman" w:hAnsi="Times New Roman"/>
                <w:b/>
                <w:sz w:val="18"/>
                <w:szCs w:val="18"/>
                <w:lang w:val="lv-LV"/>
              </w:rPr>
              <w:t>donorvalstīm</w:t>
            </w:r>
            <w:proofErr w:type="spellEnd"/>
            <w:r>
              <w:rPr>
                <w:rFonts w:ascii="Times New Roman" w:hAnsi="Times New Roman"/>
                <w:b/>
                <w:sz w:val="18"/>
                <w:szCs w:val="18"/>
                <w:lang w:val="lv-LV"/>
              </w:rPr>
              <w:t xml:space="preserve"> un valsts iestādēm</w:t>
            </w:r>
          </w:p>
        </w:tc>
        <w:tc>
          <w:tcPr>
            <w:tcW w:w="576"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0</w:t>
            </w:r>
          </w:p>
        </w:tc>
        <w:tc>
          <w:tcPr>
            <w:tcW w:w="842"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5 000</w:t>
            </w:r>
          </w:p>
        </w:tc>
        <w:tc>
          <w:tcPr>
            <w:tcW w:w="850"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7 507</w:t>
            </w:r>
          </w:p>
        </w:tc>
        <w:tc>
          <w:tcPr>
            <w:tcW w:w="851"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7 507</w:t>
            </w:r>
          </w:p>
        </w:tc>
        <w:tc>
          <w:tcPr>
            <w:tcW w:w="850"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7 507</w:t>
            </w:r>
          </w:p>
        </w:tc>
        <w:tc>
          <w:tcPr>
            <w:tcW w:w="851"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7 279</w:t>
            </w:r>
          </w:p>
        </w:tc>
        <w:tc>
          <w:tcPr>
            <w:tcW w:w="708"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1053"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34 800</w:t>
            </w:r>
          </w:p>
        </w:tc>
      </w:tr>
      <w:tr w:rsidR="00D3063A" w:rsidRPr="00AE40CC" w:rsidTr="009632A8">
        <w:tc>
          <w:tcPr>
            <w:tcW w:w="1951" w:type="dxa"/>
          </w:tcPr>
          <w:p w:rsidR="00D3063A" w:rsidRPr="00AE40CC" w:rsidRDefault="00570BF0" w:rsidP="00A9482F">
            <w:pPr>
              <w:keepLines/>
              <w:spacing w:before="60" w:after="60"/>
              <w:rPr>
                <w:rFonts w:ascii="Times New Roman" w:hAnsi="Times New Roman"/>
                <w:b/>
                <w:sz w:val="18"/>
                <w:szCs w:val="18"/>
                <w:lang w:val="lv-LV"/>
              </w:rPr>
            </w:pPr>
            <w:r>
              <w:rPr>
                <w:rFonts w:ascii="Times New Roman" w:hAnsi="Times New Roman"/>
                <w:b/>
                <w:sz w:val="18"/>
                <w:szCs w:val="18"/>
                <w:lang w:val="lv-LV"/>
              </w:rPr>
              <w:t>Bankas kontu atvēršana un lietošana</w:t>
            </w:r>
          </w:p>
        </w:tc>
        <w:tc>
          <w:tcPr>
            <w:tcW w:w="576"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0</w:t>
            </w:r>
          </w:p>
        </w:tc>
        <w:tc>
          <w:tcPr>
            <w:tcW w:w="842"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850"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851"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850"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851"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708" w:type="dxa"/>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1053" w:type="dxa"/>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0</w:t>
            </w:r>
          </w:p>
        </w:tc>
      </w:tr>
      <w:tr w:rsidR="00D3063A" w:rsidRPr="00AE40CC" w:rsidTr="009632A8">
        <w:trPr>
          <w:trHeight w:val="550"/>
        </w:trPr>
        <w:tc>
          <w:tcPr>
            <w:tcW w:w="1951" w:type="dxa"/>
            <w:tcBorders>
              <w:bottom w:val="single" w:sz="4" w:space="0" w:color="auto"/>
            </w:tcBorders>
          </w:tcPr>
          <w:p w:rsidR="00D3063A" w:rsidRPr="00AE40CC" w:rsidRDefault="00570BF0" w:rsidP="00A9482F">
            <w:pPr>
              <w:keepLines/>
              <w:spacing w:before="60" w:after="60"/>
              <w:rPr>
                <w:rFonts w:ascii="Times New Roman" w:hAnsi="Times New Roman"/>
                <w:b/>
                <w:sz w:val="18"/>
                <w:szCs w:val="18"/>
                <w:lang w:val="lv-LV"/>
              </w:rPr>
            </w:pPr>
            <w:r>
              <w:rPr>
                <w:rFonts w:ascii="Times New Roman" w:hAnsi="Times New Roman"/>
                <w:b/>
                <w:sz w:val="18"/>
                <w:szCs w:val="18"/>
                <w:lang w:val="lv-LV"/>
              </w:rPr>
              <w:t>Pieskaitāmie izdevumi</w:t>
            </w:r>
          </w:p>
        </w:tc>
        <w:tc>
          <w:tcPr>
            <w:tcW w:w="576" w:type="dxa"/>
            <w:tcBorders>
              <w:bottom w:val="single" w:sz="4" w:space="0" w:color="auto"/>
            </w:tcBorders>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0</w:t>
            </w:r>
          </w:p>
        </w:tc>
        <w:tc>
          <w:tcPr>
            <w:tcW w:w="842" w:type="dxa"/>
            <w:tcBorders>
              <w:bottom w:val="single" w:sz="4" w:space="0" w:color="auto"/>
            </w:tcBorders>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10 000</w:t>
            </w:r>
          </w:p>
        </w:tc>
        <w:tc>
          <w:tcPr>
            <w:tcW w:w="850" w:type="dxa"/>
            <w:tcBorders>
              <w:bottom w:val="single" w:sz="4" w:space="0" w:color="auto"/>
            </w:tcBorders>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10 000</w:t>
            </w:r>
          </w:p>
        </w:tc>
        <w:tc>
          <w:tcPr>
            <w:tcW w:w="851" w:type="dxa"/>
            <w:tcBorders>
              <w:bottom w:val="single" w:sz="4" w:space="0" w:color="auto"/>
            </w:tcBorders>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10 000</w:t>
            </w:r>
          </w:p>
        </w:tc>
        <w:tc>
          <w:tcPr>
            <w:tcW w:w="850" w:type="dxa"/>
            <w:tcBorders>
              <w:bottom w:val="single" w:sz="4" w:space="0" w:color="auto"/>
            </w:tcBorders>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10 000</w:t>
            </w:r>
          </w:p>
        </w:tc>
        <w:tc>
          <w:tcPr>
            <w:tcW w:w="851" w:type="dxa"/>
            <w:tcBorders>
              <w:bottom w:val="single" w:sz="4" w:space="0" w:color="auto"/>
            </w:tcBorders>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10 000</w:t>
            </w:r>
          </w:p>
        </w:tc>
        <w:tc>
          <w:tcPr>
            <w:tcW w:w="708" w:type="dxa"/>
            <w:tcBorders>
              <w:bottom w:val="single" w:sz="4" w:space="0" w:color="auto"/>
            </w:tcBorders>
            <w:vAlign w:val="center"/>
          </w:tcPr>
          <w:p w:rsidR="00D3063A" w:rsidRPr="00AE40CC" w:rsidRDefault="00570BF0" w:rsidP="00AF0141">
            <w:pPr>
              <w:keepLines/>
              <w:spacing w:after="0"/>
              <w:jc w:val="center"/>
              <w:rPr>
                <w:rFonts w:ascii="Times New Roman" w:hAnsi="Times New Roman"/>
                <w:b/>
                <w:color w:val="000000"/>
                <w:sz w:val="16"/>
                <w:szCs w:val="16"/>
                <w:lang w:val="lv-LV"/>
              </w:rPr>
            </w:pPr>
            <w:r>
              <w:rPr>
                <w:rFonts w:ascii="Times New Roman" w:hAnsi="Times New Roman"/>
                <w:sz w:val="16"/>
                <w:szCs w:val="16"/>
                <w:lang w:val="lv-LV"/>
              </w:rPr>
              <w:t>0</w:t>
            </w:r>
          </w:p>
        </w:tc>
        <w:tc>
          <w:tcPr>
            <w:tcW w:w="1053" w:type="dxa"/>
            <w:tcBorders>
              <w:bottom w:val="single" w:sz="4" w:space="0" w:color="auto"/>
            </w:tcBorders>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50 000</w:t>
            </w:r>
          </w:p>
        </w:tc>
      </w:tr>
      <w:tr w:rsidR="00D3063A" w:rsidRPr="00AE40CC" w:rsidTr="009632A8">
        <w:tc>
          <w:tcPr>
            <w:tcW w:w="1951" w:type="dxa"/>
            <w:shd w:val="clear" w:color="auto" w:fill="C0C0C0"/>
          </w:tcPr>
          <w:p w:rsidR="00D3063A" w:rsidRPr="00AE40CC" w:rsidRDefault="00570BF0" w:rsidP="00A9482F">
            <w:pPr>
              <w:keepLines/>
              <w:spacing w:before="60" w:after="60"/>
              <w:rPr>
                <w:rFonts w:ascii="Times New Roman" w:hAnsi="Times New Roman"/>
                <w:b/>
                <w:sz w:val="18"/>
                <w:szCs w:val="18"/>
                <w:lang w:val="lv-LV"/>
              </w:rPr>
            </w:pPr>
            <w:r>
              <w:rPr>
                <w:rFonts w:ascii="Times New Roman" w:hAnsi="Times New Roman"/>
                <w:b/>
                <w:sz w:val="18"/>
                <w:szCs w:val="18"/>
                <w:lang w:val="lv-LV"/>
              </w:rPr>
              <w:t>Kopā</w:t>
            </w:r>
          </w:p>
        </w:tc>
        <w:tc>
          <w:tcPr>
            <w:tcW w:w="576" w:type="dxa"/>
            <w:shd w:val="clear" w:color="auto" w:fill="C0C0C0"/>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0</w:t>
            </w:r>
          </w:p>
        </w:tc>
        <w:tc>
          <w:tcPr>
            <w:tcW w:w="842" w:type="dxa"/>
            <w:shd w:val="clear" w:color="auto" w:fill="C0C0C0"/>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100 000</w:t>
            </w:r>
          </w:p>
        </w:tc>
        <w:tc>
          <w:tcPr>
            <w:tcW w:w="850" w:type="dxa"/>
            <w:shd w:val="clear" w:color="auto" w:fill="C0C0C0"/>
            <w:vAlign w:val="center"/>
          </w:tcPr>
          <w:p w:rsidR="00D3063A" w:rsidRPr="00AE40CC" w:rsidRDefault="00570BF0" w:rsidP="00AF0141">
            <w:pPr>
              <w:spacing w:after="0"/>
              <w:jc w:val="center"/>
              <w:rPr>
                <w:rFonts w:ascii="Times New Roman" w:hAnsi="Times New Roman"/>
                <w:b/>
                <w:bCs/>
                <w:sz w:val="16"/>
                <w:szCs w:val="16"/>
                <w:lang w:val="lv-LV"/>
              </w:rPr>
            </w:pPr>
            <w:r>
              <w:rPr>
                <w:rFonts w:ascii="Times New Roman" w:hAnsi="Times New Roman"/>
                <w:b/>
                <w:sz w:val="16"/>
                <w:szCs w:val="16"/>
                <w:lang w:val="lv-LV"/>
              </w:rPr>
              <w:t>277 547</w:t>
            </w:r>
          </w:p>
        </w:tc>
        <w:tc>
          <w:tcPr>
            <w:tcW w:w="851" w:type="dxa"/>
            <w:shd w:val="clear" w:color="auto" w:fill="C0C0C0"/>
            <w:vAlign w:val="center"/>
          </w:tcPr>
          <w:p w:rsidR="00D3063A" w:rsidRPr="00AE40CC" w:rsidRDefault="00570BF0" w:rsidP="00AF0141">
            <w:pPr>
              <w:spacing w:after="0"/>
              <w:jc w:val="center"/>
              <w:rPr>
                <w:rFonts w:ascii="Times New Roman" w:hAnsi="Times New Roman"/>
                <w:b/>
                <w:bCs/>
                <w:sz w:val="16"/>
                <w:szCs w:val="16"/>
                <w:lang w:val="lv-LV"/>
              </w:rPr>
            </w:pPr>
            <w:r>
              <w:rPr>
                <w:rFonts w:ascii="Times New Roman" w:hAnsi="Times New Roman"/>
                <w:b/>
                <w:sz w:val="16"/>
                <w:szCs w:val="16"/>
                <w:lang w:val="lv-LV"/>
              </w:rPr>
              <w:t>267 547</w:t>
            </w:r>
          </w:p>
        </w:tc>
        <w:tc>
          <w:tcPr>
            <w:tcW w:w="850" w:type="dxa"/>
            <w:shd w:val="clear" w:color="auto" w:fill="C0C0C0"/>
            <w:vAlign w:val="center"/>
          </w:tcPr>
          <w:p w:rsidR="00D3063A" w:rsidRPr="00AE40CC" w:rsidRDefault="00570BF0" w:rsidP="00AF0141">
            <w:pPr>
              <w:spacing w:after="0"/>
              <w:jc w:val="center"/>
              <w:rPr>
                <w:rFonts w:ascii="Times New Roman" w:hAnsi="Times New Roman"/>
                <w:b/>
                <w:bCs/>
                <w:sz w:val="16"/>
                <w:szCs w:val="16"/>
                <w:lang w:val="lv-LV"/>
              </w:rPr>
            </w:pPr>
            <w:r>
              <w:rPr>
                <w:rFonts w:ascii="Times New Roman" w:hAnsi="Times New Roman"/>
                <w:b/>
                <w:sz w:val="16"/>
                <w:szCs w:val="16"/>
                <w:lang w:val="lv-LV"/>
              </w:rPr>
              <w:t>262 547</w:t>
            </w:r>
          </w:p>
        </w:tc>
        <w:tc>
          <w:tcPr>
            <w:tcW w:w="851" w:type="dxa"/>
            <w:shd w:val="clear" w:color="auto" w:fill="C0C0C0"/>
            <w:vAlign w:val="center"/>
          </w:tcPr>
          <w:p w:rsidR="00D3063A" w:rsidRPr="00AE40CC" w:rsidRDefault="00570BF0" w:rsidP="00AF0141">
            <w:pPr>
              <w:spacing w:after="0"/>
              <w:jc w:val="center"/>
              <w:rPr>
                <w:rFonts w:ascii="Times New Roman" w:hAnsi="Times New Roman"/>
                <w:b/>
                <w:bCs/>
                <w:sz w:val="16"/>
                <w:szCs w:val="16"/>
                <w:lang w:val="lv-LV"/>
              </w:rPr>
            </w:pPr>
            <w:r>
              <w:rPr>
                <w:rFonts w:ascii="Times New Roman" w:hAnsi="Times New Roman"/>
                <w:b/>
                <w:sz w:val="16"/>
                <w:szCs w:val="16"/>
                <w:lang w:val="lv-LV"/>
              </w:rPr>
              <w:t>130 319</w:t>
            </w:r>
          </w:p>
        </w:tc>
        <w:tc>
          <w:tcPr>
            <w:tcW w:w="708" w:type="dxa"/>
            <w:shd w:val="clear" w:color="auto" w:fill="C0C0C0"/>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55 000</w:t>
            </w:r>
          </w:p>
        </w:tc>
        <w:tc>
          <w:tcPr>
            <w:tcW w:w="1053" w:type="dxa"/>
            <w:shd w:val="clear" w:color="auto" w:fill="C0C0C0"/>
            <w:vAlign w:val="center"/>
          </w:tcPr>
          <w:p w:rsidR="00D3063A" w:rsidRPr="00AE40CC" w:rsidRDefault="00570BF0" w:rsidP="00AF0141">
            <w:pPr>
              <w:keepLines/>
              <w:spacing w:after="0"/>
              <w:jc w:val="center"/>
              <w:rPr>
                <w:rFonts w:ascii="Times New Roman" w:hAnsi="Times New Roman"/>
                <w:b/>
                <w:sz w:val="16"/>
                <w:szCs w:val="16"/>
                <w:lang w:val="lv-LV"/>
              </w:rPr>
            </w:pPr>
            <w:r>
              <w:rPr>
                <w:rFonts w:ascii="Times New Roman" w:hAnsi="Times New Roman"/>
                <w:b/>
                <w:sz w:val="16"/>
                <w:szCs w:val="16"/>
                <w:lang w:val="lv-LV"/>
              </w:rPr>
              <w:t>1 092 960</w:t>
            </w:r>
          </w:p>
        </w:tc>
      </w:tr>
    </w:tbl>
    <w:p w:rsidR="00A9482F" w:rsidRPr="00AE40CC" w:rsidRDefault="00A9482F" w:rsidP="00A9482F">
      <w:pPr>
        <w:spacing w:after="0"/>
        <w:rPr>
          <w:rFonts w:ascii="Times New Roman" w:hAnsi="Times New Roman"/>
          <w:b/>
          <w:sz w:val="24"/>
          <w:szCs w:val="24"/>
          <w:lang w:val="lv-LV"/>
        </w:rPr>
      </w:pPr>
    </w:p>
    <w:p w:rsidR="00A9482F" w:rsidRPr="00AE40CC" w:rsidRDefault="00570BF0" w:rsidP="00A9482F">
      <w:pPr>
        <w:keepLines/>
        <w:spacing w:after="0"/>
        <w:rPr>
          <w:rFonts w:ascii="Times New Roman" w:hAnsi="Times New Roman"/>
          <w:b/>
          <w:lang w:val="lv-LV"/>
        </w:rPr>
      </w:pPr>
      <w:r>
        <w:rPr>
          <w:rFonts w:ascii="Times New Roman" w:hAnsi="Times New Roman"/>
          <w:b/>
          <w:lang w:val="lv-LV"/>
        </w:rPr>
        <w:lastRenderedPageBreak/>
        <w:t>Detalizēts budžets Programmas iesnieguma sagatavošanai</w:t>
      </w:r>
    </w:p>
    <w:tbl>
      <w:tblPr>
        <w:tblW w:w="7406" w:type="dxa"/>
        <w:tblInd w:w="96" w:type="dxa"/>
        <w:tblLook w:val="0000"/>
      </w:tblPr>
      <w:tblGrid>
        <w:gridCol w:w="3970"/>
        <w:gridCol w:w="1080"/>
        <w:gridCol w:w="1096"/>
        <w:gridCol w:w="1260"/>
      </w:tblGrid>
      <w:tr w:rsidR="002C177C" w:rsidRPr="00AE40CC" w:rsidTr="00823806">
        <w:trPr>
          <w:trHeight w:val="119"/>
        </w:trPr>
        <w:tc>
          <w:tcPr>
            <w:tcW w:w="3970" w:type="dxa"/>
            <w:tcBorders>
              <w:top w:val="single" w:sz="8" w:space="0" w:color="auto"/>
              <w:left w:val="nil"/>
              <w:bottom w:val="single" w:sz="4" w:space="0" w:color="auto"/>
              <w:right w:val="single" w:sz="4" w:space="0" w:color="auto"/>
            </w:tcBorders>
            <w:shd w:val="clear" w:color="auto" w:fill="C0C0C0"/>
            <w:noWrap/>
            <w:vAlign w:val="bottom"/>
          </w:tcPr>
          <w:p w:rsidR="002C177C" w:rsidRPr="00AE40CC" w:rsidRDefault="00570BF0" w:rsidP="00C324D9">
            <w:pPr>
              <w:spacing w:after="0"/>
              <w:rPr>
                <w:rFonts w:ascii="Times New Roman" w:hAnsi="Times New Roman"/>
                <w:sz w:val="24"/>
                <w:szCs w:val="24"/>
                <w:lang w:val="lv-LV"/>
              </w:rPr>
            </w:pPr>
            <w:r>
              <w:rPr>
                <w:rFonts w:ascii="Times New Roman" w:hAnsi="Times New Roman"/>
                <w:sz w:val="24"/>
                <w:szCs w:val="24"/>
                <w:lang w:val="lv-LV"/>
              </w:rPr>
              <w:t>Izmaksu kategorija</w:t>
            </w:r>
          </w:p>
        </w:tc>
        <w:tc>
          <w:tcPr>
            <w:tcW w:w="1080" w:type="dxa"/>
            <w:tcBorders>
              <w:top w:val="single" w:sz="8" w:space="0" w:color="auto"/>
              <w:left w:val="nil"/>
              <w:bottom w:val="single" w:sz="4" w:space="0" w:color="auto"/>
              <w:right w:val="single" w:sz="4" w:space="0" w:color="auto"/>
            </w:tcBorders>
            <w:shd w:val="clear" w:color="auto" w:fill="C0C0C0"/>
            <w:noWrap/>
            <w:vAlign w:val="bottom"/>
          </w:tcPr>
          <w:p w:rsidR="002C177C" w:rsidRPr="00AE40CC" w:rsidRDefault="00570BF0" w:rsidP="00C324D9">
            <w:pPr>
              <w:spacing w:after="0"/>
              <w:jc w:val="center"/>
              <w:rPr>
                <w:rFonts w:ascii="Times New Roman" w:hAnsi="Times New Roman"/>
                <w:sz w:val="24"/>
                <w:szCs w:val="24"/>
                <w:lang w:val="lv-LV"/>
              </w:rPr>
            </w:pPr>
            <w:r>
              <w:rPr>
                <w:rFonts w:ascii="Times New Roman" w:hAnsi="Times New Roman"/>
                <w:sz w:val="24"/>
                <w:szCs w:val="24"/>
                <w:lang w:val="lv-LV"/>
              </w:rPr>
              <w:t>Vienības</w:t>
            </w:r>
          </w:p>
        </w:tc>
        <w:tc>
          <w:tcPr>
            <w:tcW w:w="1096" w:type="dxa"/>
            <w:tcBorders>
              <w:top w:val="single" w:sz="8" w:space="0" w:color="auto"/>
              <w:left w:val="nil"/>
              <w:bottom w:val="single" w:sz="4" w:space="0" w:color="auto"/>
              <w:right w:val="single" w:sz="4" w:space="0" w:color="auto"/>
            </w:tcBorders>
            <w:shd w:val="clear" w:color="auto" w:fill="C0C0C0"/>
            <w:noWrap/>
            <w:vAlign w:val="bottom"/>
          </w:tcPr>
          <w:p w:rsidR="002C177C" w:rsidRPr="00AE40CC" w:rsidRDefault="00570BF0" w:rsidP="00C324D9">
            <w:pPr>
              <w:spacing w:after="0"/>
              <w:jc w:val="center"/>
              <w:rPr>
                <w:rFonts w:ascii="Times New Roman" w:hAnsi="Times New Roman"/>
                <w:sz w:val="24"/>
                <w:szCs w:val="24"/>
                <w:lang w:val="lv-LV"/>
              </w:rPr>
            </w:pPr>
            <w:r>
              <w:rPr>
                <w:rFonts w:ascii="Times New Roman" w:hAnsi="Times New Roman"/>
                <w:sz w:val="24"/>
                <w:szCs w:val="24"/>
                <w:lang w:val="lv-LV"/>
              </w:rPr>
              <w:t>Vienības izmaksas</w:t>
            </w:r>
          </w:p>
        </w:tc>
        <w:tc>
          <w:tcPr>
            <w:tcW w:w="1260" w:type="dxa"/>
            <w:tcBorders>
              <w:top w:val="single" w:sz="8" w:space="0" w:color="auto"/>
              <w:left w:val="nil"/>
              <w:bottom w:val="single" w:sz="4" w:space="0" w:color="auto"/>
              <w:right w:val="single" w:sz="8" w:space="0" w:color="auto"/>
            </w:tcBorders>
            <w:shd w:val="clear" w:color="auto" w:fill="C0C0C0"/>
            <w:noWrap/>
            <w:vAlign w:val="bottom"/>
          </w:tcPr>
          <w:p w:rsidR="002C177C" w:rsidRPr="00AE40CC" w:rsidRDefault="00570BF0" w:rsidP="00C324D9">
            <w:pPr>
              <w:spacing w:after="0"/>
              <w:jc w:val="center"/>
              <w:rPr>
                <w:rFonts w:ascii="Times New Roman" w:hAnsi="Times New Roman"/>
                <w:sz w:val="24"/>
                <w:szCs w:val="24"/>
                <w:lang w:val="lv-LV"/>
              </w:rPr>
            </w:pPr>
            <w:r>
              <w:rPr>
                <w:rFonts w:ascii="Times New Roman" w:hAnsi="Times New Roman"/>
                <w:sz w:val="24"/>
                <w:szCs w:val="24"/>
                <w:lang w:val="lv-LV"/>
              </w:rPr>
              <w:t>Summa (€)</w:t>
            </w:r>
          </w:p>
        </w:tc>
      </w:tr>
      <w:tr w:rsidR="00A9482F" w:rsidRPr="00AE40CC" w:rsidTr="00823806">
        <w:trPr>
          <w:trHeight w:val="127"/>
        </w:trPr>
        <w:tc>
          <w:tcPr>
            <w:tcW w:w="3970" w:type="dxa"/>
            <w:tcBorders>
              <w:top w:val="nil"/>
              <w:left w:val="nil"/>
              <w:bottom w:val="single" w:sz="4" w:space="0" w:color="auto"/>
              <w:right w:val="single" w:sz="4" w:space="0" w:color="auto"/>
            </w:tcBorders>
            <w:shd w:val="clear" w:color="auto" w:fill="auto"/>
            <w:noWrap/>
            <w:vAlign w:val="bottom"/>
          </w:tcPr>
          <w:p w:rsidR="00A9482F" w:rsidRPr="00AE40CC" w:rsidRDefault="00570BF0" w:rsidP="00A9482F">
            <w:pPr>
              <w:keepLines/>
              <w:spacing w:after="0"/>
              <w:rPr>
                <w:rFonts w:ascii="Times New Roman" w:hAnsi="Times New Roman"/>
                <w:sz w:val="24"/>
                <w:szCs w:val="24"/>
                <w:lang w:val="lv-LV"/>
              </w:rPr>
            </w:pPr>
            <w:r>
              <w:rPr>
                <w:rFonts w:ascii="Times New Roman" w:hAnsi="Times New Roman"/>
                <w:sz w:val="24"/>
                <w:szCs w:val="24"/>
                <w:lang w:val="lv-LV"/>
              </w:rPr>
              <w:t>Alga Programmas apsaimniekotāja darbiniekiem</w:t>
            </w:r>
          </w:p>
        </w:tc>
        <w:tc>
          <w:tcPr>
            <w:tcW w:w="1080" w:type="dxa"/>
            <w:tcBorders>
              <w:top w:val="nil"/>
              <w:left w:val="nil"/>
              <w:bottom w:val="single" w:sz="4" w:space="0" w:color="auto"/>
              <w:right w:val="single" w:sz="4" w:space="0" w:color="auto"/>
            </w:tcBorders>
            <w:shd w:val="clear" w:color="auto" w:fill="auto"/>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096" w:type="dxa"/>
            <w:tcBorders>
              <w:top w:val="nil"/>
              <w:left w:val="nil"/>
              <w:bottom w:val="single" w:sz="4" w:space="0" w:color="auto"/>
              <w:right w:val="single" w:sz="4" w:space="0" w:color="auto"/>
            </w:tcBorders>
            <w:shd w:val="clear" w:color="auto" w:fill="auto"/>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w:t>
            </w:r>
          </w:p>
        </w:tc>
        <w:tc>
          <w:tcPr>
            <w:tcW w:w="1260" w:type="dxa"/>
            <w:tcBorders>
              <w:top w:val="nil"/>
              <w:left w:val="nil"/>
              <w:bottom w:val="single" w:sz="4" w:space="0" w:color="auto"/>
              <w:right w:val="single" w:sz="8" w:space="0" w:color="auto"/>
            </w:tcBorders>
            <w:shd w:val="clear" w:color="auto" w:fill="auto"/>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r>
      <w:tr w:rsidR="00A9482F" w:rsidRPr="00AE40CC" w:rsidTr="00823806">
        <w:trPr>
          <w:trHeight w:val="84"/>
        </w:trPr>
        <w:tc>
          <w:tcPr>
            <w:tcW w:w="3970" w:type="dxa"/>
            <w:tcBorders>
              <w:top w:val="nil"/>
              <w:left w:val="nil"/>
              <w:bottom w:val="single" w:sz="4" w:space="0" w:color="auto"/>
              <w:right w:val="single" w:sz="4" w:space="0" w:color="auto"/>
            </w:tcBorders>
            <w:shd w:val="clear" w:color="auto" w:fill="auto"/>
            <w:noWrap/>
            <w:vAlign w:val="bottom"/>
          </w:tcPr>
          <w:p w:rsidR="00A9482F" w:rsidRPr="00AE40CC" w:rsidRDefault="00570BF0" w:rsidP="00A9482F">
            <w:pPr>
              <w:keepLines/>
              <w:spacing w:after="0"/>
              <w:rPr>
                <w:rFonts w:ascii="Times New Roman" w:hAnsi="Times New Roman"/>
                <w:sz w:val="24"/>
                <w:szCs w:val="24"/>
                <w:lang w:val="lv-LV"/>
              </w:rPr>
            </w:pPr>
            <w:r>
              <w:rPr>
                <w:rFonts w:ascii="Times New Roman" w:hAnsi="Times New Roman"/>
                <w:sz w:val="24"/>
                <w:szCs w:val="24"/>
                <w:lang w:val="lv-LV"/>
              </w:rPr>
              <w:t>Ceļošanas un uzturēšanās izmaksas</w:t>
            </w:r>
          </w:p>
        </w:tc>
        <w:tc>
          <w:tcPr>
            <w:tcW w:w="1080" w:type="dxa"/>
            <w:tcBorders>
              <w:top w:val="nil"/>
              <w:left w:val="nil"/>
              <w:bottom w:val="single" w:sz="4" w:space="0" w:color="auto"/>
              <w:right w:val="single" w:sz="4" w:space="0" w:color="auto"/>
            </w:tcBorders>
            <w:shd w:val="clear" w:color="auto" w:fill="auto"/>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096" w:type="dxa"/>
            <w:tcBorders>
              <w:top w:val="nil"/>
              <w:left w:val="nil"/>
              <w:bottom w:val="single" w:sz="4" w:space="0" w:color="auto"/>
              <w:right w:val="single" w:sz="4" w:space="0" w:color="auto"/>
            </w:tcBorders>
            <w:shd w:val="clear" w:color="auto" w:fill="auto"/>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tcBorders>
              <w:top w:val="nil"/>
              <w:left w:val="nil"/>
              <w:bottom w:val="single" w:sz="4" w:space="0" w:color="auto"/>
              <w:right w:val="single" w:sz="8" w:space="0" w:color="auto"/>
            </w:tcBorders>
            <w:shd w:val="clear" w:color="auto" w:fill="auto"/>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r>
      <w:tr w:rsidR="00A9482F" w:rsidRPr="00AE40CC" w:rsidTr="00823806">
        <w:trPr>
          <w:trHeight w:val="109"/>
        </w:trPr>
        <w:tc>
          <w:tcPr>
            <w:tcW w:w="3970" w:type="dxa"/>
            <w:tcBorders>
              <w:top w:val="nil"/>
              <w:left w:val="nil"/>
              <w:bottom w:val="single" w:sz="4" w:space="0" w:color="auto"/>
              <w:right w:val="single" w:sz="4" w:space="0" w:color="auto"/>
            </w:tcBorders>
            <w:shd w:val="clear" w:color="auto" w:fill="auto"/>
            <w:noWrap/>
            <w:vAlign w:val="bottom"/>
          </w:tcPr>
          <w:p w:rsidR="00A9482F" w:rsidRPr="00AE40CC" w:rsidRDefault="00570BF0" w:rsidP="00A9482F">
            <w:pPr>
              <w:keepLines/>
              <w:spacing w:after="0"/>
              <w:rPr>
                <w:rFonts w:ascii="Times New Roman" w:hAnsi="Times New Roman"/>
                <w:sz w:val="24"/>
                <w:szCs w:val="24"/>
                <w:lang w:val="lv-LV"/>
              </w:rPr>
            </w:pPr>
            <w:r>
              <w:rPr>
                <w:rFonts w:ascii="Times New Roman" w:hAnsi="Times New Roman"/>
                <w:sz w:val="24"/>
                <w:szCs w:val="24"/>
                <w:lang w:val="lv-LV"/>
              </w:rPr>
              <w:t>Tehniski ekonomiskais pamatojums, tostarp ekspertu izmaksas</w:t>
            </w:r>
          </w:p>
        </w:tc>
        <w:tc>
          <w:tcPr>
            <w:tcW w:w="1080" w:type="dxa"/>
            <w:tcBorders>
              <w:top w:val="nil"/>
              <w:left w:val="nil"/>
              <w:bottom w:val="single" w:sz="4" w:space="0" w:color="auto"/>
              <w:right w:val="single" w:sz="4" w:space="0" w:color="auto"/>
            </w:tcBorders>
            <w:shd w:val="clear" w:color="auto" w:fill="auto"/>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096" w:type="dxa"/>
            <w:tcBorders>
              <w:top w:val="nil"/>
              <w:left w:val="nil"/>
              <w:bottom w:val="single" w:sz="4" w:space="0" w:color="auto"/>
              <w:right w:val="single" w:sz="4" w:space="0" w:color="auto"/>
            </w:tcBorders>
            <w:shd w:val="clear" w:color="auto" w:fill="auto"/>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tcBorders>
              <w:top w:val="nil"/>
              <w:left w:val="nil"/>
              <w:bottom w:val="single" w:sz="4" w:space="0" w:color="auto"/>
              <w:right w:val="single" w:sz="8" w:space="0" w:color="auto"/>
            </w:tcBorders>
            <w:shd w:val="clear" w:color="auto" w:fill="auto"/>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r>
      <w:tr w:rsidR="00823806" w:rsidRPr="00AE40CC" w:rsidTr="00823806">
        <w:trPr>
          <w:trHeight w:val="121"/>
        </w:trPr>
        <w:tc>
          <w:tcPr>
            <w:tcW w:w="3970" w:type="dxa"/>
            <w:tcBorders>
              <w:top w:val="nil"/>
              <w:left w:val="nil"/>
              <w:bottom w:val="single" w:sz="4" w:space="0" w:color="auto"/>
              <w:right w:val="single" w:sz="4" w:space="0" w:color="auto"/>
            </w:tcBorders>
            <w:shd w:val="clear" w:color="auto" w:fill="auto"/>
            <w:noWrap/>
            <w:vAlign w:val="bottom"/>
          </w:tcPr>
          <w:p w:rsidR="00823806" w:rsidRPr="00AE40CC" w:rsidRDefault="00570BF0" w:rsidP="00C324D9">
            <w:pPr>
              <w:spacing w:after="0"/>
              <w:rPr>
                <w:rFonts w:ascii="Times New Roman" w:hAnsi="Times New Roman"/>
                <w:sz w:val="24"/>
                <w:szCs w:val="24"/>
                <w:lang w:val="lv-LV"/>
              </w:rPr>
            </w:pPr>
            <w:r>
              <w:rPr>
                <w:rFonts w:ascii="Times New Roman" w:hAnsi="Times New Roman"/>
                <w:sz w:val="24"/>
                <w:szCs w:val="24"/>
                <w:lang w:val="lv-LV"/>
              </w:rPr>
              <w:t>Tulkojumu izmaksas</w:t>
            </w:r>
          </w:p>
        </w:tc>
        <w:tc>
          <w:tcPr>
            <w:tcW w:w="1080" w:type="dxa"/>
            <w:tcBorders>
              <w:top w:val="nil"/>
              <w:left w:val="nil"/>
              <w:bottom w:val="single" w:sz="4" w:space="0" w:color="auto"/>
              <w:right w:val="single" w:sz="4" w:space="0" w:color="auto"/>
            </w:tcBorders>
            <w:shd w:val="clear" w:color="auto" w:fill="auto"/>
            <w:noWrap/>
            <w:vAlign w:val="center"/>
          </w:tcPr>
          <w:p w:rsidR="00823806"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096" w:type="dxa"/>
            <w:tcBorders>
              <w:top w:val="nil"/>
              <w:left w:val="nil"/>
              <w:bottom w:val="single" w:sz="4" w:space="0" w:color="auto"/>
              <w:right w:val="single" w:sz="4" w:space="0" w:color="auto"/>
            </w:tcBorders>
            <w:shd w:val="clear" w:color="auto" w:fill="auto"/>
            <w:noWrap/>
            <w:vAlign w:val="center"/>
          </w:tcPr>
          <w:p w:rsidR="00823806"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tcBorders>
              <w:top w:val="nil"/>
              <w:left w:val="nil"/>
              <w:bottom w:val="single" w:sz="4" w:space="0" w:color="auto"/>
              <w:right w:val="single" w:sz="8" w:space="0" w:color="auto"/>
            </w:tcBorders>
            <w:shd w:val="clear" w:color="auto" w:fill="auto"/>
            <w:noWrap/>
            <w:vAlign w:val="center"/>
          </w:tcPr>
          <w:p w:rsidR="00823806"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r>
      <w:tr w:rsidR="00823806" w:rsidRPr="00AE40CC" w:rsidTr="00823806">
        <w:trPr>
          <w:trHeight w:val="119"/>
        </w:trPr>
        <w:tc>
          <w:tcPr>
            <w:tcW w:w="3970" w:type="dxa"/>
            <w:tcBorders>
              <w:top w:val="nil"/>
              <w:left w:val="nil"/>
              <w:bottom w:val="single" w:sz="4" w:space="0" w:color="auto"/>
              <w:right w:val="single" w:sz="4" w:space="0" w:color="auto"/>
            </w:tcBorders>
            <w:shd w:val="clear" w:color="auto" w:fill="auto"/>
            <w:noWrap/>
            <w:vAlign w:val="bottom"/>
          </w:tcPr>
          <w:p w:rsidR="00823806" w:rsidRPr="00AE40CC" w:rsidRDefault="00570BF0" w:rsidP="00C324D9">
            <w:pPr>
              <w:spacing w:after="0"/>
              <w:rPr>
                <w:rFonts w:ascii="Times New Roman" w:hAnsi="Times New Roman"/>
                <w:sz w:val="24"/>
                <w:szCs w:val="24"/>
                <w:lang w:val="lv-LV"/>
              </w:rPr>
            </w:pPr>
            <w:r>
              <w:rPr>
                <w:rFonts w:ascii="Times New Roman" w:hAnsi="Times New Roman"/>
                <w:sz w:val="24"/>
                <w:szCs w:val="24"/>
                <w:lang w:val="lv-LV"/>
              </w:rPr>
              <w:t>Sagatavošanās publiskajiem iepirkumiem un valsts atbalsta saņemšanai</w:t>
            </w:r>
          </w:p>
        </w:tc>
        <w:tc>
          <w:tcPr>
            <w:tcW w:w="1080" w:type="dxa"/>
            <w:tcBorders>
              <w:top w:val="nil"/>
              <w:left w:val="nil"/>
              <w:bottom w:val="single" w:sz="4" w:space="0" w:color="auto"/>
              <w:right w:val="single" w:sz="4" w:space="0" w:color="auto"/>
            </w:tcBorders>
            <w:shd w:val="clear" w:color="auto" w:fill="auto"/>
            <w:noWrap/>
            <w:vAlign w:val="center"/>
          </w:tcPr>
          <w:p w:rsidR="00823806"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096" w:type="dxa"/>
            <w:tcBorders>
              <w:top w:val="nil"/>
              <w:left w:val="nil"/>
              <w:bottom w:val="single" w:sz="4" w:space="0" w:color="auto"/>
              <w:right w:val="single" w:sz="4" w:space="0" w:color="auto"/>
            </w:tcBorders>
            <w:shd w:val="clear" w:color="auto" w:fill="auto"/>
            <w:noWrap/>
            <w:vAlign w:val="center"/>
          </w:tcPr>
          <w:p w:rsidR="00823806"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tcBorders>
              <w:top w:val="nil"/>
              <w:left w:val="nil"/>
              <w:bottom w:val="single" w:sz="4" w:space="0" w:color="auto"/>
              <w:right w:val="single" w:sz="8" w:space="0" w:color="auto"/>
            </w:tcBorders>
            <w:shd w:val="clear" w:color="auto" w:fill="auto"/>
            <w:noWrap/>
            <w:vAlign w:val="center"/>
          </w:tcPr>
          <w:p w:rsidR="00823806"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r>
      <w:tr w:rsidR="00823806" w:rsidRPr="00AE40CC" w:rsidTr="00823806">
        <w:trPr>
          <w:trHeight w:val="117"/>
        </w:trPr>
        <w:tc>
          <w:tcPr>
            <w:tcW w:w="3970" w:type="dxa"/>
            <w:tcBorders>
              <w:top w:val="nil"/>
              <w:left w:val="nil"/>
              <w:bottom w:val="single" w:sz="4" w:space="0" w:color="auto"/>
              <w:right w:val="single" w:sz="4" w:space="0" w:color="auto"/>
            </w:tcBorders>
            <w:shd w:val="clear" w:color="auto" w:fill="auto"/>
            <w:noWrap/>
            <w:vAlign w:val="bottom"/>
          </w:tcPr>
          <w:p w:rsidR="00823806" w:rsidRPr="00AE40CC" w:rsidRDefault="00570BF0" w:rsidP="00C324D9">
            <w:pPr>
              <w:spacing w:after="0"/>
              <w:rPr>
                <w:rFonts w:ascii="Times New Roman" w:hAnsi="Times New Roman"/>
                <w:sz w:val="24"/>
                <w:szCs w:val="24"/>
                <w:lang w:val="lv-LV"/>
              </w:rPr>
            </w:pPr>
            <w:r>
              <w:rPr>
                <w:rFonts w:ascii="Times New Roman" w:hAnsi="Times New Roman"/>
                <w:sz w:val="24"/>
                <w:szCs w:val="24"/>
                <w:lang w:val="lv-LV"/>
              </w:rPr>
              <w:t>Publiskas konsultācijas</w:t>
            </w:r>
          </w:p>
        </w:tc>
        <w:tc>
          <w:tcPr>
            <w:tcW w:w="1080" w:type="dxa"/>
            <w:tcBorders>
              <w:top w:val="nil"/>
              <w:left w:val="nil"/>
              <w:bottom w:val="single" w:sz="4" w:space="0" w:color="auto"/>
              <w:right w:val="single" w:sz="4" w:space="0" w:color="auto"/>
            </w:tcBorders>
            <w:shd w:val="clear" w:color="auto" w:fill="auto"/>
            <w:noWrap/>
            <w:vAlign w:val="center"/>
          </w:tcPr>
          <w:p w:rsidR="00823806"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096" w:type="dxa"/>
            <w:tcBorders>
              <w:top w:val="nil"/>
              <w:left w:val="nil"/>
              <w:bottom w:val="single" w:sz="4" w:space="0" w:color="auto"/>
              <w:right w:val="single" w:sz="4" w:space="0" w:color="auto"/>
            </w:tcBorders>
            <w:shd w:val="clear" w:color="auto" w:fill="auto"/>
            <w:noWrap/>
            <w:vAlign w:val="center"/>
          </w:tcPr>
          <w:p w:rsidR="00823806"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tcBorders>
              <w:top w:val="nil"/>
              <w:left w:val="nil"/>
              <w:bottom w:val="single" w:sz="4" w:space="0" w:color="auto"/>
              <w:right w:val="single" w:sz="8" w:space="0" w:color="auto"/>
            </w:tcBorders>
            <w:shd w:val="clear" w:color="auto" w:fill="auto"/>
            <w:noWrap/>
            <w:vAlign w:val="center"/>
          </w:tcPr>
          <w:p w:rsidR="00823806"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r>
      <w:tr w:rsidR="00A9482F" w:rsidRPr="00AE40CC" w:rsidTr="00823806">
        <w:trPr>
          <w:trHeight w:val="101"/>
        </w:trPr>
        <w:tc>
          <w:tcPr>
            <w:tcW w:w="3970" w:type="dxa"/>
            <w:tcBorders>
              <w:top w:val="single" w:sz="4" w:space="0" w:color="auto"/>
              <w:left w:val="nil"/>
              <w:bottom w:val="single" w:sz="8" w:space="0" w:color="auto"/>
              <w:right w:val="single" w:sz="4" w:space="0" w:color="auto"/>
            </w:tcBorders>
            <w:shd w:val="clear" w:color="auto" w:fill="C0C0C0"/>
            <w:noWrap/>
            <w:vAlign w:val="bottom"/>
          </w:tcPr>
          <w:p w:rsidR="00A9482F" w:rsidRPr="00AE40CC" w:rsidRDefault="00570BF0" w:rsidP="00A9482F">
            <w:pPr>
              <w:keepLines/>
              <w:spacing w:after="0"/>
              <w:rPr>
                <w:rFonts w:ascii="Times New Roman" w:hAnsi="Times New Roman"/>
                <w:sz w:val="24"/>
                <w:szCs w:val="24"/>
                <w:lang w:val="lv-LV"/>
              </w:rPr>
            </w:pPr>
            <w:r>
              <w:rPr>
                <w:rFonts w:ascii="Times New Roman" w:hAnsi="Times New Roman"/>
                <w:sz w:val="24"/>
                <w:szCs w:val="24"/>
                <w:lang w:val="lv-LV"/>
              </w:rPr>
              <w:t>Kopā</w:t>
            </w:r>
          </w:p>
        </w:tc>
        <w:tc>
          <w:tcPr>
            <w:tcW w:w="1080" w:type="dxa"/>
            <w:tcBorders>
              <w:top w:val="single" w:sz="4" w:space="0" w:color="auto"/>
              <w:left w:val="nil"/>
              <w:bottom w:val="single" w:sz="8" w:space="0" w:color="auto"/>
              <w:right w:val="single" w:sz="4" w:space="0" w:color="auto"/>
            </w:tcBorders>
            <w:shd w:val="clear" w:color="auto" w:fill="C0C0C0"/>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096" w:type="dxa"/>
            <w:tcBorders>
              <w:top w:val="single" w:sz="4" w:space="0" w:color="auto"/>
              <w:left w:val="nil"/>
              <w:bottom w:val="single" w:sz="8" w:space="0" w:color="auto"/>
              <w:right w:val="single" w:sz="4" w:space="0" w:color="auto"/>
            </w:tcBorders>
            <w:shd w:val="clear" w:color="auto" w:fill="C0C0C0"/>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c>
          <w:tcPr>
            <w:tcW w:w="1260" w:type="dxa"/>
            <w:tcBorders>
              <w:top w:val="single" w:sz="4" w:space="0" w:color="auto"/>
              <w:left w:val="nil"/>
              <w:bottom w:val="single" w:sz="8" w:space="0" w:color="auto"/>
              <w:right w:val="single" w:sz="8" w:space="0" w:color="auto"/>
            </w:tcBorders>
            <w:shd w:val="clear" w:color="auto" w:fill="C0C0C0"/>
            <w:noWrap/>
            <w:vAlign w:val="center"/>
          </w:tcPr>
          <w:p w:rsidR="00A9482F" w:rsidRPr="00AE40CC" w:rsidRDefault="00570BF0" w:rsidP="00A9482F">
            <w:pPr>
              <w:keepLines/>
              <w:spacing w:after="0"/>
              <w:jc w:val="right"/>
              <w:rPr>
                <w:rFonts w:ascii="Times New Roman" w:hAnsi="Times New Roman"/>
                <w:sz w:val="24"/>
                <w:szCs w:val="24"/>
                <w:lang w:val="lv-LV"/>
              </w:rPr>
            </w:pPr>
            <w:r>
              <w:rPr>
                <w:rFonts w:ascii="Times New Roman" w:hAnsi="Times New Roman"/>
                <w:sz w:val="24"/>
                <w:szCs w:val="24"/>
                <w:lang w:val="lv-LV"/>
              </w:rPr>
              <w:t>- </w:t>
            </w:r>
          </w:p>
        </w:tc>
      </w:tr>
    </w:tbl>
    <w:p w:rsidR="00A9482F" w:rsidRPr="00AE40CC" w:rsidRDefault="00A9482F" w:rsidP="00A9482F">
      <w:pPr>
        <w:spacing w:after="0"/>
        <w:rPr>
          <w:rFonts w:ascii="Times New Roman" w:hAnsi="Times New Roman"/>
          <w:b/>
          <w:sz w:val="24"/>
          <w:szCs w:val="24"/>
          <w:lang w:val="lv-LV"/>
        </w:rPr>
      </w:pPr>
    </w:p>
    <w:p w:rsidR="00A9482F" w:rsidRPr="00AE40CC" w:rsidRDefault="00570BF0" w:rsidP="00A9482F">
      <w:pPr>
        <w:pStyle w:val="Heading3"/>
        <w:spacing w:before="0"/>
        <w:ind w:left="901"/>
        <w:rPr>
          <w:rFonts w:ascii="Times New Roman" w:hAnsi="Times New Roman"/>
          <w:lang w:val="lv-LV"/>
        </w:rPr>
      </w:pPr>
      <w:r>
        <w:rPr>
          <w:rFonts w:ascii="Times New Roman" w:hAnsi="Times New Roman"/>
          <w:lang w:val="lv-LV"/>
        </w:rPr>
        <w:t>Avansa maksājums</w:t>
      </w:r>
    </w:p>
    <w:p w:rsidR="00A9482F" w:rsidRPr="00AE40CC" w:rsidRDefault="00570BF0" w:rsidP="00A9482F">
      <w:pPr>
        <w:tabs>
          <w:tab w:val="left" w:pos="360"/>
        </w:tabs>
        <w:spacing w:after="0"/>
        <w:rPr>
          <w:rFonts w:ascii="Times New Roman" w:hAnsi="Times New Roman"/>
          <w:b/>
          <w:lang w:val="lv-LV"/>
        </w:rPr>
      </w:pPr>
      <w:r>
        <w:rPr>
          <w:rFonts w:ascii="Times New Roman" w:hAnsi="Times New Roman"/>
          <w:b/>
          <w:lang w:val="lv-LV"/>
        </w:rPr>
        <w:t xml:space="preserve">Aizpildīt turpmāk tekstā redzamo tabulu un pamatot avansa maksājuma nepieciešamību </w:t>
      </w:r>
      <w:r>
        <w:rPr>
          <w:rFonts w:ascii="Times New Roman" w:hAnsi="Times New Roman"/>
          <w:b/>
          <w:bCs/>
          <w:lang w:val="lv-LV"/>
        </w:rPr>
        <w:t>(EUR)</w:t>
      </w:r>
      <w:r>
        <w:rPr>
          <w:rFonts w:ascii="Times New Roman" w:hAnsi="Times New Roman"/>
          <w:b/>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416"/>
      </w:tblGrid>
      <w:tr w:rsidR="00DC5BAC" w:rsidRPr="00AE40CC" w:rsidTr="00CD090F">
        <w:tc>
          <w:tcPr>
            <w:tcW w:w="2988" w:type="dxa"/>
            <w:shd w:val="clear" w:color="auto" w:fill="C0C0C0"/>
            <w:vAlign w:val="center"/>
          </w:tcPr>
          <w:p w:rsidR="00DC5BAC" w:rsidRPr="00AE40CC" w:rsidRDefault="00570BF0" w:rsidP="00C324D9">
            <w:pPr>
              <w:tabs>
                <w:tab w:val="left" w:pos="360"/>
              </w:tabs>
              <w:spacing w:before="60" w:after="60"/>
              <w:jc w:val="center"/>
              <w:rPr>
                <w:rFonts w:ascii="Times New Roman" w:hAnsi="Times New Roman"/>
                <w:b/>
                <w:lang w:val="lv-LV"/>
              </w:rPr>
            </w:pPr>
            <w:r>
              <w:rPr>
                <w:rFonts w:ascii="Times New Roman" w:hAnsi="Times New Roman"/>
                <w:b/>
                <w:lang w:val="lv-LV"/>
              </w:rPr>
              <w:t>Budžeta pozīcija</w:t>
            </w:r>
          </w:p>
        </w:tc>
        <w:tc>
          <w:tcPr>
            <w:tcW w:w="1416" w:type="dxa"/>
            <w:shd w:val="clear" w:color="auto" w:fill="C0C0C0"/>
            <w:vAlign w:val="center"/>
          </w:tcPr>
          <w:p w:rsidR="00DC5BAC" w:rsidRPr="00AE40CC" w:rsidRDefault="00570BF0" w:rsidP="00C324D9">
            <w:pPr>
              <w:tabs>
                <w:tab w:val="left" w:pos="360"/>
              </w:tabs>
              <w:spacing w:before="60" w:after="60"/>
              <w:jc w:val="center"/>
              <w:rPr>
                <w:rFonts w:ascii="Times New Roman" w:hAnsi="Times New Roman"/>
                <w:b/>
                <w:lang w:val="lv-LV"/>
              </w:rPr>
            </w:pPr>
            <w:r>
              <w:rPr>
                <w:rFonts w:ascii="Times New Roman" w:hAnsi="Times New Roman"/>
                <w:b/>
                <w:lang w:val="lv-LV"/>
              </w:rPr>
              <w:t>Pieprasītais avanss (€)</w:t>
            </w:r>
          </w:p>
        </w:tc>
      </w:tr>
      <w:tr w:rsidR="00A9482F" w:rsidRPr="00AE40CC" w:rsidTr="00CD090F">
        <w:tc>
          <w:tcPr>
            <w:tcW w:w="2988" w:type="dxa"/>
            <w:vAlign w:val="center"/>
          </w:tcPr>
          <w:p w:rsidR="00A9482F" w:rsidRPr="00AE40CC" w:rsidRDefault="00570BF0" w:rsidP="00A9482F">
            <w:pPr>
              <w:tabs>
                <w:tab w:val="left" w:pos="360"/>
              </w:tabs>
              <w:spacing w:before="60" w:after="60"/>
              <w:rPr>
                <w:rFonts w:ascii="Times New Roman" w:hAnsi="Times New Roman"/>
                <w:b/>
                <w:lang w:val="lv-LV"/>
              </w:rPr>
            </w:pPr>
            <w:r>
              <w:rPr>
                <w:rFonts w:ascii="Times New Roman" w:hAnsi="Times New Roman"/>
                <w:b/>
                <w:lang w:val="lv-LV"/>
              </w:rPr>
              <w:t>Programmas vadība</w:t>
            </w:r>
          </w:p>
        </w:tc>
        <w:tc>
          <w:tcPr>
            <w:tcW w:w="1416" w:type="dxa"/>
            <w:vAlign w:val="center"/>
          </w:tcPr>
          <w:p w:rsidR="00A9482F" w:rsidRPr="00AE40CC" w:rsidRDefault="00570BF0" w:rsidP="00A9482F">
            <w:pPr>
              <w:tabs>
                <w:tab w:val="left" w:pos="360"/>
              </w:tabs>
              <w:spacing w:before="60" w:after="60"/>
              <w:jc w:val="right"/>
              <w:rPr>
                <w:rFonts w:ascii="Times New Roman" w:hAnsi="Times New Roman"/>
                <w:b/>
                <w:lang w:val="lv-LV"/>
              </w:rPr>
            </w:pPr>
            <w:r>
              <w:rPr>
                <w:rFonts w:ascii="Times New Roman" w:hAnsi="Times New Roman"/>
                <w:b/>
                <w:lang w:val="lv-LV"/>
              </w:rPr>
              <w:t>0</w:t>
            </w:r>
          </w:p>
        </w:tc>
      </w:tr>
      <w:tr w:rsidR="00CD090F" w:rsidRPr="00AE40CC" w:rsidTr="00CD090F">
        <w:tc>
          <w:tcPr>
            <w:tcW w:w="2988" w:type="dxa"/>
            <w:vAlign w:val="center"/>
          </w:tcPr>
          <w:p w:rsidR="00CD090F" w:rsidRPr="00AE40CC" w:rsidRDefault="00570BF0" w:rsidP="00C324D9">
            <w:pPr>
              <w:keepLines/>
              <w:widowControl w:val="0"/>
              <w:spacing w:before="60" w:after="60"/>
              <w:rPr>
                <w:rFonts w:ascii="Times New Roman" w:hAnsi="Times New Roman"/>
                <w:b/>
                <w:lang w:val="lv-LV"/>
              </w:rPr>
            </w:pPr>
            <w:r>
              <w:rPr>
                <w:rFonts w:ascii="Times New Roman" w:hAnsi="Times New Roman"/>
                <w:b/>
                <w:lang w:val="lv-LV"/>
              </w:rPr>
              <w:t>Eiropas ekonomikas „zaļošanas” biznesa iespēju realizācija</w:t>
            </w:r>
          </w:p>
        </w:tc>
        <w:tc>
          <w:tcPr>
            <w:tcW w:w="1416" w:type="dxa"/>
            <w:vAlign w:val="center"/>
          </w:tcPr>
          <w:p w:rsidR="00CD090F" w:rsidRPr="00AE40CC" w:rsidRDefault="00570BF0" w:rsidP="00A9482F">
            <w:pPr>
              <w:tabs>
                <w:tab w:val="left" w:pos="360"/>
              </w:tabs>
              <w:spacing w:before="60" w:after="60"/>
              <w:jc w:val="right"/>
              <w:rPr>
                <w:rFonts w:ascii="Times New Roman" w:hAnsi="Times New Roman"/>
                <w:b/>
                <w:lang w:val="lv-LV"/>
              </w:rPr>
            </w:pPr>
            <w:r>
              <w:rPr>
                <w:rFonts w:ascii="Times New Roman" w:hAnsi="Times New Roman"/>
                <w:b/>
                <w:lang w:val="lv-LV"/>
              </w:rPr>
              <w:t>0</w:t>
            </w:r>
          </w:p>
        </w:tc>
      </w:tr>
      <w:tr w:rsidR="00CD090F" w:rsidRPr="00AE40CC" w:rsidTr="00CD090F">
        <w:tc>
          <w:tcPr>
            <w:tcW w:w="2988" w:type="dxa"/>
            <w:vAlign w:val="center"/>
          </w:tcPr>
          <w:p w:rsidR="00CD090F" w:rsidRPr="00AE40CC" w:rsidRDefault="00570BF0" w:rsidP="00C324D9">
            <w:pPr>
              <w:keepLines/>
              <w:widowControl w:val="0"/>
              <w:spacing w:before="60" w:after="60"/>
              <w:rPr>
                <w:rFonts w:ascii="Times New Roman" w:hAnsi="Times New Roman"/>
                <w:b/>
                <w:lang w:val="lv-LV"/>
              </w:rPr>
            </w:pPr>
            <w:r>
              <w:rPr>
                <w:rFonts w:ascii="Times New Roman" w:hAnsi="Times New Roman"/>
                <w:b/>
                <w:lang w:val="lv-LV"/>
              </w:rPr>
              <w:t>Palielināta „zaļo” darba vietu radīšana un uzņēmējdarbība</w:t>
            </w:r>
          </w:p>
        </w:tc>
        <w:tc>
          <w:tcPr>
            <w:tcW w:w="1416" w:type="dxa"/>
            <w:vAlign w:val="center"/>
          </w:tcPr>
          <w:p w:rsidR="00CD090F" w:rsidRPr="00AE40CC" w:rsidRDefault="00570BF0" w:rsidP="00A9482F">
            <w:pPr>
              <w:tabs>
                <w:tab w:val="left" w:pos="360"/>
              </w:tabs>
              <w:spacing w:before="60" w:after="60"/>
              <w:jc w:val="right"/>
              <w:rPr>
                <w:rFonts w:ascii="Times New Roman" w:hAnsi="Times New Roman"/>
                <w:b/>
                <w:lang w:val="lv-LV"/>
              </w:rPr>
            </w:pPr>
            <w:r>
              <w:rPr>
                <w:rFonts w:ascii="Times New Roman" w:hAnsi="Times New Roman"/>
                <w:b/>
                <w:lang w:val="lv-LV"/>
              </w:rPr>
              <w:t>350 000</w:t>
            </w:r>
          </w:p>
        </w:tc>
      </w:tr>
      <w:tr w:rsidR="00CD090F" w:rsidRPr="00AE40CC" w:rsidTr="00CD090F">
        <w:tc>
          <w:tcPr>
            <w:tcW w:w="2988" w:type="dxa"/>
            <w:vAlign w:val="center"/>
          </w:tcPr>
          <w:p w:rsidR="00CD090F" w:rsidRPr="00AE40CC" w:rsidRDefault="00570BF0" w:rsidP="00C324D9">
            <w:pPr>
              <w:keepLines/>
              <w:widowControl w:val="0"/>
              <w:spacing w:before="60" w:after="60"/>
              <w:rPr>
                <w:rFonts w:ascii="Times New Roman" w:hAnsi="Times New Roman"/>
                <w:b/>
                <w:lang w:val="lv-LV"/>
              </w:rPr>
            </w:pPr>
            <w:r>
              <w:rPr>
                <w:rFonts w:ascii="Times New Roman" w:hAnsi="Times New Roman"/>
                <w:b/>
                <w:lang w:val="lv-LV"/>
              </w:rPr>
              <w:t>Līdzekļi divpusējām attiecībām</w:t>
            </w:r>
          </w:p>
        </w:tc>
        <w:tc>
          <w:tcPr>
            <w:tcW w:w="1416" w:type="dxa"/>
            <w:vAlign w:val="center"/>
          </w:tcPr>
          <w:p w:rsidR="00CD090F" w:rsidRPr="00AE40CC" w:rsidRDefault="00570BF0" w:rsidP="00A9482F">
            <w:pPr>
              <w:tabs>
                <w:tab w:val="left" w:pos="360"/>
              </w:tabs>
              <w:spacing w:before="60" w:after="60"/>
              <w:jc w:val="right"/>
              <w:rPr>
                <w:rFonts w:ascii="Times New Roman" w:hAnsi="Times New Roman"/>
                <w:b/>
                <w:lang w:val="lv-LV"/>
              </w:rPr>
            </w:pPr>
            <w:r>
              <w:rPr>
                <w:rFonts w:ascii="Times New Roman" w:hAnsi="Times New Roman"/>
                <w:b/>
                <w:lang w:val="lv-LV"/>
              </w:rPr>
              <w:t>0</w:t>
            </w:r>
          </w:p>
        </w:tc>
      </w:tr>
      <w:tr w:rsidR="00CD090F" w:rsidRPr="00AE40CC" w:rsidTr="00CD090F">
        <w:tc>
          <w:tcPr>
            <w:tcW w:w="2988" w:type="dxa"/>
            <w:vAlign w:val="center"/>
          </w:tcPr>
          <w:p w:rsidR="00CD090F" w:rsidRPr="00AE40CC" w:rsidRDefault="00570BF0" w:rsidP="00C324D9">
            <w:pPr>
              <w:keepLines/>
              <w:widowControl w:val="0"/>
              <w:spacing w:before="60" w:after="60"/>
              <w:rPr>
                <w:rFonts w:ascii="Times New Roman" w:hAnsi="Times New Roman"/>
                <w:b/>
                <w:lang w:val="lv-LV"/>
              </w:rPr>
            </w:pPr>
            <w:r>
              <w:rPr>
                <w:rFonts w:ascii="Times New Roman" w:hAnsi="Times New Roman"/>
                <w:b/>
                <w:lang w:val="lv-LV"/>
              </w:rPr>
              <w:t>Papildu pasākumi</w:t>
            </w:r>
          </w:p>
        </w:tc>
        <w:tc>
          <w:tcPr>
            <w:tcW w:w="1416" w:type="dxa"/>
            <w:vAlign w:val="center"/>
          </w:tcPr>
          <w:p w:rsidR="00CD090F" w:rsidRPr="00AE40CC" w:rsidRDefault="00570BF0" w:rsidP="00A9482F">
            <w:pPr>
              <w:tabs>
                <w:tab w:val="left" w:pos="360"/>
              </w:tabs>
              <w:spacing w:before="60" w:after="60"/>
              <w:jc w:val="right"/>
              <w:rPr>
                <w:rFonts w:ascii="Times New Roman" w:hAnsi="Times New Roman"/>
                <w:b/>
                <w:lang w:val="lv-LV"/>
              </w:rPr>
            </w:pPr>
            <w:r>
              <w:rPr>
                <w:rFonts w:ascii="Times New Roman" w:hAnsi="Times New Roman"/>
                <w:b/>
                <w:lang w:val="lv-LV"/>
              </w:rPr>
              <w:t>0</w:t>
            </w:r>
          </w:p>
        </w:tc>
      </w:tr>
      <w:tr w:rsidR="00CD090F" w:rsidRPr="00AE40CC" w:rsidTr="00CD090F">
        <w:tc>
          <w:tcPr>
            <w:tcW w:w="2988" w:type="dxa"/>
            <w:vAlign w:val="center"/>
          </w:tcPr>
          <w:p w:rsidR="00CD090F" w:rsidRPr="00AE40CC" w:rsidRDefault="00570BF0" w:rsidP="00C324D9">
            <w:pPr>
              <w:keepLines/>
              <w:widowControl w:val="0"/>
              <w:spacing w:before="60" w:after="60"/>
              <w:rPr>
                <w:rFonts w:ascii="Times New Roman" w:hAnsi="Times New Roman"/>
                <w:b/>
                <w:lang w:val="lv-LV"/>
              </w:rPr>
            </w:pPr>
            <w:r>
              <w:rPr>
                <w:rFonts w:ascii="Times New Roman" w:hAnsi="Times New Roman"/>
                <w:b/>
                <w:lang w:val="lv-LV"/>
              </w:rPr>
              <w:t>Programmas iesnieguma sagatavošana</w:t>
            </w:r>
          </w:p>
        </w:tc>
        <w:tc>
          <w:tcPr>
            <w:tcW w:w="1416" w:type="dxa"/>
            <w:vAlign w:val="center"/>
          </w:tcPr>
          <w:p w:rsidR="00CD090F" w:rsidRPr="00AE40CC" w:rsidRDefault="00570BF0" w:rsidP="00A9482F">
            <w:pPr>
              <w:tabs>
                <w:tab w:val="left" w:pos="360"/>
              </w:tabs>
              <w:spacing w:before="60" w:after="60"/>
              <w:jc w:val="right"/>
              <w:rPr>
                <w:rFonts w:ascii="Times New Roman" w:hAnsi="Times New Roman"/>
                <w:b/>
                <w:lang w:val="lv-LV"/>
              </w:rPr>
            </w:pPr>
            <w:r>
              <w:rPr>
                <w:rFonts w:ascii="Times New Roman" w:hAnsi="Times New Roman"/>
                <w:b/>
                <w:lang w:val="lv-LV"/>
              </w:rPr>
              <w:t>0</w:t>
            </w:r>
          </w:p>
        </w:tc>
      </w:tr>
      <w:tr w:rsidR="00CD090F" w:rsidRPr="00AE40CC" w:rsidTr="00CD090F">
        <w:tc>
          <w:tcPr>
            <w:tcW w:w="2988" w:type="dxa"/>
            <w:tcBorders>
              <w:bottom w:val="single" w:sz="4" w:space="0" w:color="auto"/>
            </w:tcBorders>
            <w:vAlign w:val="center"/>
          </w:tcPr>
          <w:p w:rsidR="00CD090F" w:rsidRPr="00AE40CC" w:rsidRDefault="00570BF0" w:rsidP="00C324D9">
            <w:pPr>
              <w:keepLines/>
              <w:widowControl w:val="0"/>
              <w:spacing w:before="60" w:after="60"/>
              <w:rPr>
                <w:rFonts w:ascii="Times New Roman" w:hAnsi="Times New Roman"/>
                <w:b/>
                <w:lang w:val="lv-LV"/>
              </w:rPr>
            </w:pPr>
            <w:r>
              <w:rPr>
                <w:rFonts w:ascii="Times New Roman" w:hAnsi="Times New Roman"/>
                <w:b/>
                <w:lang w:val="lv-LV"/>
              </w:rPr>
              <w:t>Rezerve zaudējumu segšanai valūtas maiņas rezultātā</w:t>
            </w:r>
          </w:p>
        </w:tc>
        <w:tc>
          <w:tcPr>
            <w:tcW w:w="1416" w:type="dxa"/>
            <w:tcBorders>
              <w:bottom w:val="single" w:sz="4" w:space="0" w:color="auto"/>
            </w:tcBorders>
            <w:vAlign w:val="center"/>
          </w:tcPr>
          <w:p w:rsidR="00CD090F" w:rsidRPr="00AE40CC" w:rsidRDefault="00570BF0" w:rsidP="00A9482F">
            <w:pPr>
              <w:tabs>
                <w:tab w:val="left" w:pos="360"/>
              </w:tabs>
              <w:spacing w:before="60" w:after="60"/>
              <w:jc w:val="right"/>
              <w:rPr>
                <w:rFonts w:ascii="Times New Roman" w:hAnsi="Times New Roman"/>
                <w:b/>
                <w:lang w:val="lv-LV"/>
              </w:rPr>
            </w:pPr>
            <w:r>
              <w:rPr>
                <w:rFonts w:ascii="Times New Roman" w:hAnsi="Times New Roman"/>
                <w:b/>
                <w:lang w:val="lv-LV"/>
              </w:rPr>
              <w:t>0</w:t>
            </w:r>
          </w:p>
        </w:tc>
      </w:tr>
      <w:tr w:rsidR="00A9482F" w:rsidRPr="00AE40CC" w:rsidTr="00CD090F">
        <w:tc>
          <w:tcPr>
            <w:tcW w:w="2988" w:type="dxa"/>
            <w:shd w:val="clear" w:color="auto" w:fill="C0C0C0"/>
            <w:vAlign w:val="center"/>
          </w:tcPr>
          <w:p w:rsidR="00A9482F" w:rsidRPr="00AE40CC" w:rsidRDefault="00570BF0" w:rsidP="00A9482F">
            <w:pPr>
              <w:tabs>
                <w:tab w:val="left" w:pos="360"/>
              </w:tabs>
              <w:spacing w:before="60" w:after="60"/>
              <w:rPr>
                <w:rFonts w:ascii="Times New Roman" w:hAnsi="Times New Roman"/>
                <w:b/>
                <w:lang w:val="lv-LV"/>
              </w:rPr>
            </w:pPr>
            <w:r>
              <w:rPr>
                <w:rFonts w:ascii="Times New Roman" w:hAnsi="Times New Roman"/>
                <w:b/>
                <w:lang w:val="lv-LV"/>
              </w:rPr>
              <w:t>KOPĀ</w:t>
            </w:r>
          </w:p>
        </w:tc>
        <w:tc>
          <w:tcPr>
            <w:tcW w:w="1416" w:type="dxa"/>
            <w:shd w:val="clear" w:color="auto" w:fill="C0C0C0"/>
            <w:vAlign w:val="center"/>
          </w:tcPr>
          <w:p w:rsidR="00A9482F" w:rsidRPr="00AE40CC" w:rsidRDefault="00570BF0" w:rsidP="000D4D2C">
            <w:pPr>
              <w:tabs>
                <w:tab w:val="left" w:pos="360"/>
              </w:tabs>
              <w:spacing w:before="60" w:after="60"/>
              <w:jc w:val="right"/>
              <w:rPr>
                <w:rFonts w:ascii="Times New Roman" w:hAnsi="Times New Roman"/>
                <w:b/>
                <w:lang w:val="lv-LV"/>
              </w:rPr>
            </w:pPr>
            <w:r>
              <w:rPr>
                <w:rFonts w:ascii="Times New Roman" w:hAnsi="Times New Roman"/>
                <w:b/>
                <w:lang w:val="lv-LV"/>
              </w:rPr>
              <w:t>350 000</w:t>
            </w:r>
          </w:p>
        </w:tc>
      </w:tr>
    </w:tbl>
    <w:p w:rsidR="00A9482F" w:rsidRPr="00AE40CC" w:rsidRDefault="00570BF0" w:rsidP="00F37AE9">
      <w:pPr>
        <w:tabs>
          <w:tab w:val="left" w:pos="360"/>
        </w:tabs>
        <w:spacing w:after="0"/>
        <w:ind w:firstLine="426"/>
        <w:jc w:val="both"/>
        <w:rPr>
          <w:rFonts w:ascii="Times New Roman" w:hAnsi="Times New Roman"/>
          <w:color w:val="000000"/>
          <w:lang w:val="lv-LV"/>
        </w:rPr>
      </w:pPr>
      <w:r>
        <w:rPr>
          <w:rFonts w:ascii="Times New Roman" w:hAnsi="Times New Roman"/>
          <w:color w:val="000000"/>
          <w:lang w:val="lv-LV"/>
        </w:rPr>
        <w:t>Avansa maksājumu summa tika aprēķināta, pieņemt, ka 2012. gada jūlijā donorvalsts apstiprinās Programmu. Avansa maksājumi ir paredzēti laika periodā no Programmas apstiprināšanas līdz 2013. gada 30. aprīlim. Pirmo starpposma finanšu pārskatu ir plānots iesniegt līdz 2013. gada 15. martam saskaņā ar Noteikumu 8.3. panta „Starpposma maksājumi” 1. </w:t>
      </w:r>
      <w:r w:rsidR="006E4CDD">
        <w:rPr>
          <w:rFonts w:ascii="Times New Roman" w:hAnsi="Times New Roman"/>
          <w:color w:val="000000"/>
          <w:lang w:val="lv-LV"/>
        </w:rPr>
        <w:t>daļu</w:t>
      </w:r>
      <w:r>
        <w:rPr>
          <w:rFonts w:ascii="Times New Roman" w:hAnsi="Times New Roman"/>
          <w:color w:val="000000"/>
          <w:lang w:val="lv-LV"/>
        </w:rPr>
        <w:t xml:space="preserve">.  ietver izdevumus, kas saistīti ar Tehnoloģiju inkubatora </w:t>
      </w:r>
      <w:r>
        <w:rPr>
          <w:rFonts w:ascii="Times New Roman" w:hAnsi="Times New Roman"/>
          <w:lang w:val="lv-LV"/>
        </w:rPr>
        <w:t>operatora</w:t>
      </w:r>
      <w:r>
        <w:rPr>
          <w:rFonts w:ascii="Times New Roman" w:hAnsi="Times New Roman"/>
          <w:color w:val="000000"/>
          <w:lang w:val="lv-LV"/>
        </w:rPr>
        <w:t xml:space="preserve"> vadības un administratīvajām aktivitātēm </w:t>
      </w:r>
      <w:bookmarkStart w:id="99" w:name="OLE_LINK25"/>
      <w:bookmarkStart w:id="100" w:name="OLE_LINK26"/>
      <w:r>
        <w:rPr>
          <w:rFonts w:ascii="Times New Roman" w:hAnsi="Times New Roman"/>
          <w:color w:val="000000"/>
          <w:lang w:val="lv-LV"/>
        </w:rPr>
        <w:t>140 561 latu (200 000 EUR) apmērā un izdevumus, kas radušies neliela apjoma grantu shēmas ietvaros 105 421 latu (150 000 EUR) apmērā</w:t>
      </w:r>
      <w:bookmarkEnd w:id="99"/>
      <w:bookmarkEnd w:id="100"/>
      <w:r>
        <w:rPr>
          <w:rFonts w:ascii="Times New Roman" w:hAnsi="Times New Roman"/>
          <w:color w:val="000000"/>
          <w:lang w:val="lv-LV"/>
        </w:rPr>
        <w:t xml:space="preserve">. </w:t>
      </w:r>
    </w:p>
    <w:p w:rsidR="000D4D2C" w:rsidRPr="00AE40CC" w:rsidRDefault="000D4D2C" w:rsidP="00A9482F">
      <w:pPr>
        <w:tabs>
          <w:tab w:val="left" w:pos="360"/>
        </w:tabs>
        <w:spacing w:after="0"/>
        <w:rPr>
          <w:rFonts w:ascii="Times New Roman" w:hAnsi="Times New Roman"/>
          <w:color w:val="339966"/>
          <w:lang w:val="lv-LV"/>
        </w:rPr>
      </w:pPr>
    </w:p>
    <w:p w:rsidR="00A9482F" w:rsidRPr="00AE40CC" w:rsidRDefault="00570BF0" w:rsidP="00A9482F">
      <w:pPr>
        <w:pStyle w:val="Heading2"/>
        <w:spacing w:before="0"/>
        <w:rPr>
          <w:rFonts w:ascii="Times New Roman" w:hAnsi="Times New Roman"/>
          <w:sz w:val="22"/>
          <w:szCs w:val="22"/>
          <w:lang w:val="lv-LV"/>
        </w:rPr>
      </w:pPr>
      <w:bookmarkStart w:id="101" w:name="_Toc258483735"/>
      <w:bookmarkStart w:id="102" w:name="_Toc258487866"/>
      <w:bookmarkStart w:id="103" w:name="_Toc258489913"/>
      <w:bookmarkStart w:id="104" w:name="_Toc258491184"/>
      <w:bookmarkStart w:id="105" w:name="_Toc258496073"/>
      <w:bookmarkStart w:id="106" w:name="_Toc258498769"/>
      <w:bookmarkStart w:id="107" w:name="_Toc258499880"/>
      <w:bookmarkStart w:id="108" w:name="_Toc258503680"/>
      <w:bookmarkStart w:id="109" w:name="_Toc258504858"/>
      <w:bookmarkStart w:id="110" w:name="_Toc262213688"/>
      <w:r>
        <w:rPr>
          <w:rFonts w:ascii="Times New Roman" w:hAnsi="Times New Roman"/>
          <w:sz w:val="22"/>
          <w:szCs w:val="22"/>
          <w:lang w:val="lv-LV"/>
        </w:rPr>
        <w:lastRenderedPageBreak/>
        <w:t xml:space="preserve">Nepieciešamo Programmas iesnieguma pielikumu pārskats </w:t>
      </w:r>
      <w:bookmarkEnd w:id="88"/>
      <w:bookmarkEnd w:id="89"/>
      <w:bookmarkEnd w:id="90"/>
      <w:bookmarkEnd w:id="91"/>
      <w:bookmarkEnd w:id="92"/>
      <w:bookmarkEnd w:id="101"/>
      <w:bookmarkEnd w:id="102"/>
      <w:bookmarkEnd w:id="103"/>
      <w:bookmarkEnd w:id="104"/>
      <w:bookmarkEnd w:id="105"/>
      <w:bookmarkEnd w:id="106"/>
      <w:bookmarkEnd w:id="107"/>
      <w:bookmarkEnd w:id="108"/>
      <w:bookmarkEnd w:id="109"/>
      <w:bookmarkEnd w:id="110"/>
    </w:p>
    <w:p w:rsidR="00B2321C" w:rsidRPr="00AE40CC" w:rsidRDefault="00570BF0" w:rsidP="00A9482F">
      <w:pPr>
        <w:pStyle w:val="ColorfulList-Accent11"/>
        <w:numPr>
          <w:ilvl w:val="0"/>
          <w:numId w:val="1"/>
        </w:numPr>
        <w:rPr>
          <w:rFonts w:ascii="Times New Roman" w:hAnsi="Times New Roman"/>
          <w:lang w:val="lv-LV"/>
        </w:rPr>
      </w:pPr>
      <w:r>
        <w:rPr>
          <w:rFonts w:ascii="Times New Roman" w:hAnsi="Times New Roman"/>
          <w:lang w:val="lv-LV"/>
        </w:rPr>
        <w:t>Saīsinājumu saraksts</w:t>
      </w:r>
    </w:p>
    <w:p w:rsidR="00B2321C" w:rsidRPr="00AE40CC" w:rsidRDefault="00570BF0" w:rsidP="00A9482F">
      <w:pPr>
        <w:pStyle w:val="ColorfulList-Accent11"/>
        <w:numPr>
          <w:ilvl w:val="0"/>
          <w:numId w:val="1"/>
        </w:numPr>
        <w:rPr>
          <w:rFonts w:ascii="Times New Roman" w:hAnsi="Times New Roman"/>
          <w:lang w:val="lv-LV"/>
        </w:rPr>
      </w:pPr>
      <w:r>
        <w:rPr>
          <w:rFonts w:ascii="Times New Roman" w:hAnsi="Times New Roman"/>
          <w:lang w:val="lv-LV"/>
        </w:rPr>
        <w:t>Statistikas pielikums</w:t>
      </w:r>
    </w:p>
    <w:p w:rsidR="00B2321C" w:rsidRPr="00AE40CC" w:rsidRDefault="00570BF0" w:rsidP="00A9482F">
      <w:pPr>
        <w:pStyle w:val="ColorfulList-Accent11"/>
        <w:numPr>
          <w:ilvl w:val="0"/>
          <w:numId w:val="1"/>
        </w:numPr>
        <w:rPr>
          <w:rFonts w:ascii="Times New Roman" w:hAnsi="Times New Roman"/>
          <w:lang w:val="lv-LV"/>
        </w:rPr>
      </w:pPr>
      <w:r>
        <w:rPr>
          <w:rFonts w:ascii="Times New Roman" w:hAnsi="Times New Roman"/>
          <w:lang w:val="lv-LV"/>
        </w:rPr>
        <w:t>Iepriekš noteiktā projekta kopsavilkums</w:t>
      </w:r>
    </w:p>
    <w:p w:rsidR="00B2321C" w:rsidRPr="00AE40CC" w:rsidRDefault="00570BF0" w:rsidP="00A9482F">
      <w:pPr>
        <w:pStyle w:val="ColorfulList-Accent11"/>
        <w:numPr>
          <w:ilvl w:val="0"/>
          <w:numId w:val="1"/>
        </w:numPr>
        <w:rPr>
          <w:rFonts w:ascii="Times New Roman" w:hAnsi="Times New Roman"/>
          <w:lang w:val="lv-LV"/>
        </w:rPr>
      </w:pPr>
      <w:r>
        <w:rPr>
          <w:rFonts w:ascii="Times New Roman" w:hAnsi="Times New Roman"/>
          <w:lang w:val="lv-LV"/>
        </w:rPr>
        <w:t>Uzraudzības plāns</w:t>
      </w:r>
    </w:p>
    <w:p w:rsidR="00B2321C" w:rsidRPr="00AE40CC" w:rsidRDefault="00570BF0" w:rsidP="00A9482F">
      <w:pPr>
        <w:pStyle w:val="ColorfulList-Accent11"/>
        <w:numPr>
          <w:ilvl w:val="0"/>
          <w:numId w:val="1"/>
        </w:numPr>
        <w:rPr>
          <w:rFonts w:ascii="Times New Roman" w:hAnsi="Times New Roman"/>
          <w:lang w:val="lv-LV"/>
        </w:rPr>
      </w:pPr>
      <w:r>
        <w:rPr>
          <w:rFonts w:ascii="Times New Roman" w:hAnsi="Times New Roman"/>
          <w:lang w:val="lv-LV"/>
        </w:rPr>
        <w:t>Komunikācijas plāns</w:t>
      </w:r>
    </w:p>
    <w:p w:rsidR="00B2321C" w:rsidRPr="00AE40CC" w:rsidRDefault="00570BF0" w:rsidP="00B2321C">
      <w:pPr>
        <w:pStyle w:val="ColorfulList-Accent11"/>
        <w:numPr>
          <w:ilvl w:val="0"/>
          <w:numId w:val="1"/>
        </w:numPr>
        <w:rPr>
          <w:rFonts w:ascii="Times New Roman" w:hAnsi="Times New Roman"/>
          <w:lang w:val="lv-LV"/>
        </w:rPr>
      </w:pPr>
      <w:r>
        <w:rPr>
          <w:rFonts w:ascii="Times New Roman" w:hAnsi="Times New Roman"/>
          <w:lang w:val="lv-LV"/>
        </w:rPr>
        <w:t xml:space="preserve">Ekonomikas ministrijas struktūra </w:t>
      </w:r>
    </w:p>
    <w:p w:rsidR="007847AA" w:rsidRPr="00AE40CC" w:rsidRDefault="00570BF0" w:rsidP="00B2321C">
      <w:pPr>
        <w:pStyle w:val="ColorfulList-Accent11"/>
        <w:numPr>
          <w:ilvl w:val="0"/>
          <w:numId w:val="1"/>
        </w:numPr>
        <w:rPr>
          <w:rFonts w:ascii="Times New Roman" w:hAnsi="Times New Roman"/>
          <w:lang w:val="lv-LV"/>
        </w:rPr>
      </w:pPr>
      <w:r>
        <w:rPr>
          <w:rFonts w:ascii="Times New Roman" w:hAnsi="Times New Roman"/>
          <w:lang w:val="lv-LV"/>
        </w:rPr>
        <w:t xml:space="preserve">Ekonomikas ministrijas </w:t>
      </w:r>
      <w:r w:rsidR="00A161A1">
        <w:rPr>
          <w:rFonts w:ascii="Times New Roman" w:hAnsi="Times New Roman"/>
          <w:lang w:val="lv-LV"/>
        </w:rPr>
        <w:t>Uzņēmējdarbības konkurētspējas</w:t>
      </w:r>
      <w:r>
        <w:rPr>
          <w:rFonts w:ascii="Times New Roman" w:hAnsi="Times New Roman"/>
          <w:lang w:val="lv-LV"/>
        </w:rPr>
        <w:t xml:space="preserve"> departamenta struktūra</w:t>
      </w:r>
    </w:p>
    <w:p w:rsidR="00B2321C" w:rsidRPr="00AE40CC" w:rsidRDefault="00C136DA" w:rsidP="00B2321C">
      <w:pPr>
        <w:pStyle w:val="ColorfulList-Accent11"/>
        <w:numPr>
          <w:ilvl w:val="0"/>
          <w:numId w:val="1"/>
        </w:numPr>
        <w:rPr>
          <w:rFonts w:ascii="Times New Roman" w:hAnsi="Times New Roman"/>
          <w:lang w:val="lv-LV"/>
        </w:rPr>
      </w:pPr>
      <w:r>
        <w:rPr>
          <w:rFonts w:ascii="Times New Roman" w:hAnsi="Times New Roman"/>
          <w:lang w:val="lv-LV"/>
        </w:rPr>
        <w:t>D</w:t>
      </w:r>
      <w:r w:rsidR="00570BF0">
        <w:rPr>
          <w:rFonts w:ascii="Times New Roman" w:hAnsi="Times New Roman"/>
          <w:lang w:val="lv-LV"/>
        </w:rPr>
        <w:t>arbinieku CV</w:t>
      </w:r>
    </w:p>
    <w:p w:rsidR="00B2321C" w:rsidRPr="00AE40CC" w:rsidRDefault="00570BF0" w:rsidP="00B2321C">
      <w:pPr>
        <w:pStyle w:val="ColorfulList-Accent11"/>
        <w:numPr>
          <w:ilvl w:val="0"/>
          <w:numId w:val="1"/>
        </w:numPr>
        <w:rPr>
          <w:rFonts w:ascii="Times New Roman" w:hAnsi="Times New Roman"/>
          <w:lang w:val="lv-LV"/>
        </w:rPr>
      </w:pPr>
      <w:r>
        <w:rPr>
          <w:rFonts w:ascii="Times New Roman" w:hAnsi="Times New Roman"/>
          <w:lang w:val="lv-LV"/>
        </w:rPr>
        <w:t>Programmā iesaistīto institūciju funkcijas</w:t>
      </w:r>
    </w:p>
    <w:p w:rsidR="00B2321C" w:rsidRPr="00AE40CC" w:rsidRDefault="00570BF0" w:rsidP="00B2321C">
      <w:pPr>
        <w:pStyle w:val="ColorfulList-Accent11"/>
        <w:numPr>
          <w:ilvl w:val="0"/>
          <w:numId w:val="1"/>
        </w:numPr>
        <w:rPr>
          <w:rFonts w:ascii="Times New Roman" w:hAnsi="Times New Roman"/>
          <w:lang w:val="lv-LV"/>
        </w:rPr>
      </w:pPr>
      <w:r>
        <w:rPr>
          <w:rFonts w:ascii="Times New Roman" w:hAnsi="Times New Roman"/>
          <w:lang w:val="lv-LV"/>
        </w:rPr>
        <w:t xml:space="preserve">Valsts aģentūras „Latvijas Investīciju un Attīstības Aģentūra” struktūra </w:t>
      </w:r>
    </w:p>
    <w:p w:rsidR="00B2321C" w:rsidRPr="00AE40CC" w:rsidRDefault="00570BF0" w:rsidP="00B2321C">
      <w:pPr>
        <w:pStyle w:val="ColorfulList-Accent11"/>
        <w:numPr>
          <w:ilvl w:val="0"/>
          <w:numId w:val="1"/>
        </w:numPr>
        <w:rPr>
          <w:rFonts w:ascii="Times New Roman" w:hAnsi="Times New Roman"/>
          <w:lang w:val="lv-LV"/>
        </w:rPr>
      </w:pPr>
      <w:r>
        <w:rPr>
          <w:rFonts w:ascii="Times New Roman" w:hAnsi="Times New Roman"/>
          <w:lang w:val="lv-LV"/>
        </w:rPr>
        <w:t xml:space="preserve">Vadības struktūras </w:t>
      </w:r>
    </w:p>
    <w:p w:rsidR="00B2321C" w:rsidRPr="00AE40CC" w:rsidRDefault="00570BF0" w:rsidP="00B2321C">
      <w:pPr>
        <w:pStyle w:val="ColorfulList-Accent11"/>
        <w:numPr>
          <w:ilvl w:val="0"/>
          <w:numId w:val="1"/>
        </w:numPr>
        <w:rPr>
          <w:rFonts w:ascii="Times New Roman" w:hAnsi="Times New Roman"/>
          <w:lang w:val="lv-LV"/>
        </w:rPr>
      </w:pPr>
      <w:r>
        <w:rPr>
          <w:rFonts w:ascii="Times New Roman" w:hAnsi="Times New Roman"/>
          <w:lang w:val="lv-LV"/>
        </w:rPr>
        <w:t>Laika grafiks</w:t>
      </w:r>
    </w:p>
    <w:p w:rsidR="00B2321C" w:rsidRPr="00AE40CC" w:rsidRDefault="00570BF0" w:rsidP="00B2321C">
      <w:pPr>
        <w:pStyle w:val="ColorfulList-Accent11"/>
        <w:numPr>
          <w:ilvl w:val="0"/>
          <w:numId w:val="1"/>
        </w:numPr>
        <w:rPr>
          <w:rFonts w:ascii="Times New Roman" w:hAnsi="Times New Roman"/>
          <w:lang w:val="lv-LV"/>
        </w:rPr>
      </w:pPr>
      <w:r>
        <w:rPr>
          <w:rFonts w:ascii="Times New Roman" w:hAnsi="Times New Roman"/>
          <w:lang w:val="lv-LV"/>
        </w:rPr>
        <w:t>Projekta iesniegumu atlases procedūra</w:t>
      </w:r>
    </w:p>
    <w:p w:rsidR="00B2321C" w:rsidRPr="00AE40CC" w:rsidRDefault="00570BF0" w:rsidP="00B2321C">
      <w:pPr>
        <w:pStyle w:val="ColorfulList-Accent11"/>
        <w:numPr>
          <w:ilvl w:val="0"/>
          <w:numId w:val="1"/>
        </w:numPr>
        <w:rPr>
          <w:rFonts w:ascii="Times New Roman" w:hAnsi="Times New Roman"/>
          <w:lang w:val="lv-LV"/>
        </w:rPr>
      </w:pPr>
      <w:r>
        <w:rPr>
          <w:rFonts w:ascii="Times New Roman" w:hAnsi="Times New Roman"/>
          <w:lang w:val="lv-LV"/>
        </w:rPr>
        <w:t>Projekta iesniegumu atlases kritēriji</w:t>
      </w:r>
    </w:p>
    <w:p w:rsidR="00A9482F" w:rsidRPr="00AE40CC" w:rsidRDefault="00570BF0" w:rsidP="00A9482F">
      <w:pPr>
        <w:pStyle w:val="Heading2"/>
        <w:rPr>
          <w:rFonts w:ascii="Times New Roman" w:hAnsi="Times New Roman"/>
          <w:sz w:val="22"/>
          <w:szCs w:val="22"/>
          <w:lang w:val="lv-LV"/>
        </w:rPr>
      </w:pPr>
      <w:r>
        <w:rPr>
          <w:rFonts w:ascii="Times New Roman" w:hAnsi="Times New Roman"/>
          <w:sz w:val="22"/>
          <w:szCs w:val="22"/>
          <w:lang w:val="lv-LV"/>
        </w:rPr>
        <w:t>Paraksti</w:t>
      </w:r>
    </w:p>
    <w:p w:rsidR="00A9482F" w:rsidRPr="00AE40CC" w:rsidRDefault="00570BF0" w:rsidP="00A9482F">
      <w:pPr>
        <w:spacing w:after="0"/>
        <w:rPr>
          <w:rFonts w:ascii="Times New Roman" w:hAnsi="Times New Roman"/>
          <w:b/>
          <w:lang w:val="lv-LV"/>
        </w:rPr>
      </w:pPr>
      <w:r>
        <w:rPr>
          <w:rFonts w:ascii="Times New Roman" w:hAnsi="Times New Roman"/>
          <w:b/>
          <w:lang w:val="lv-LV"/>
        </w:rPr>
        <w:t>Programmas apsaimniekotājs</w:t>
      </w:r>
    </w:p>
    <w:p w:rsidR="0091275B" w:rsidRPr="00AE40CC" w:rsidRDefault="00570BF0" w:rsidP="00131295">
      <w:pPr>
        <w:jc w:val="both"/>
        <w:rPr>
          <w:rFonts w:ascii="Times New Roman" w:hAnsi="Times New Roman"/>
          <w:lang w:val="lv-LV"/>
        </w:rPr>
      </w:pPr>
      <w:r>
        <w:rPr>
          <w:rFonts w:ascii="Times New Roman" w:hAnsi="Times New Roman"/>
          <w:lang w:val="lv-LV"/>
        </w:rPr>
        <w:t xml:space="preserve">Apstiprinu, ka esmu pilnvarots parakstīt šo iesniegumu Programmas apsaimniekotāja vārdā, ka esmu rūpīgi iepazinies ar visiem apgalvojumiem un informāciju šajā iesniegumā un ka tie ir pareizi un precīzi. Es apstiprinu, ka šī Programma tiks īstenota saskaņā ar iesniegumā teikto un ka pieprasītais grants precīzi atspoguļo pamatotus Programmas īstenošanai un pabeigšanai nepieciešamos minimālos resursus.   </w:t>
      </w:r>
    </w:p>
    <w:p w:rsidR="00A9482F" w:rsidRPr="00AE40CC" w:rsidRDefault="00570BF0" w:rsidP="0091275B">
      <w:pPr>
        <w:jc w:val="both"/>
        <w:rPr>
          <w:rFonts w:ascii="Times New Roman" w:hAnsi="Times New Roman"/>
          <w:lang w:val="lv-LV"/>
        </w:rPr>
      </w:pPr>
      <w:r>
        <w:rPr>
          <w:rFonts w:ascii="Times New Roman" w:hAnsi="Times New Roman"/>
          <w:lang w:val="lv-LV"/>
        </w:rPr>
        <w:t xml:space="preserve">Es piekrītu, ka FIK var publicēt šīs Programmas iesnieguma kopsavilkumu savā tīmekļa vietnē un ka iesniegums var tikt atklāts saskaņā ar EEZ EBTA valstu Informācijas atklātības likumiem.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1018"/>
        <w:gridCol w:w="1329"/>
        <w:gridCol w:w="1024"/>
        <w:gridCol w:w="236"/>
        <w:gridCol w:w="1018"/>
        <w:gridCol w:w="1044"/>
        <w:gridCol w:w="1358"/>
      </w:tblGrid>
      <w:tr w:rsidR="00A9482F" w:rsidRPr="00AE40CC" w:rsidTr="0091275B">
        <w:tc>
          <w:tcPr>
            <w:tcW w:w="1469" w:type="dxa"/>
            <w:tcBorders>
              <w:top w:val="nil"/>
              <w:left w:val="nil"/>
              <w:bottom w:val="single" w:sz="4" w:space="0" w:color="auto"/>
              <w:right w:val="nil"/>
            </w:tcBorders>
            <w:vAlign w:val="center"/>
          </w:tcPr>
          <w:p w:rsidR="00A9482F" w:rsidRPr="00AE40CC" w:rsidRDefault="00A9482F" w:rsidP="00A9482F">
            <w:pPr>
              <w:spacing w:after="0"/>
              <w:jc w:val="center"/>
              <w:rPr>
                <w:rFonts w:ascii="Times New Roman" w:hAnsi="Times New Roman"/>
                <w:lang w:val="lv-LV"/>
              </w:rPr>
            </w:pPr>
          </w:p>
        </w:tc>
        <w:tc>
          <w:tcPr>
            <w:tcW w:w="3371" w:type="dxa"/>
            <w:gridSpan w:val="3"/>
            <w:tcBorders>
              <w:top w:val="nil"/>
              <w:left w:val="nil"/>
              <w:bottom w:val="single" w:sz="4" w:space="0" w:color="auto"/>
              <w:right w:val="single" w:sz="4" w:space="0" w:color="auto"/>
            </w:tcBorders>
            <w:vAlign w:val="center"/>
          </w:tcPr>
          <w:p w:rsidR="00A9482F" w:rsidRPr="00AE40CC" w:rsidRDefault="00A9482F" w:rsidP="00A9482F">
            <w:pPr>
              <w:jc w:val="center"/>
              <w:rPr>
                <w:rFonts w:ascii="Times New Roman" w:hAnsi="Times New Roman"/>
                <w:lang w:val="lv-LV"/>
              </w:rPr>
            </w:pPr>
          </w:p>
        </w:tc>
        <w:tc>
          <w:tcPr>
            <w:tcW w:w="236" w:type="dxa"/>
            <w:tcBorders>
              <w:top w:val="single" w:sz="4" w:space="0" w:color="auto"/>
              <w:left w:val="single" w:sz="4" w:space="0" w:color="auto"/>
              <w:bottom w:val="single" w:sz="4" w:space="0" w:color="auto"/>
            </w:tcBorders>
            <w:vAlign w:val="center"/>
          </w:tcPr>
          <w:p w:rsidR="00A9482F" w:rsidRPr="00AE40CC" w:rsidRDefault="00A9482F" w:rsidP="00A9482F">
            <w:pPr>
              <w:jc w:val="center"/>
              <w:rPr>
                <w:rFonts w:ascii="Times New Roman" w:hAnsi="Times New Roman"/>
                <w:lang w:val="lv-LV"/>
              </w:rPr>
            </w:pPr>
          </w:p>
        </w:tc>
        <w:tc>
          <w:tcPr>
            <w:tcW w:w="3420" w:type="dxa"/>
            <w:gridSpan w:val="3"/>
            <w:tcBorders>
              <w:bottom w:val="single" w:sz="4" w:space="0" w:color="auto"/>
            </w:tcBorders>
            <w:vAlign w:val="center"/>
          </w:tcPr>
          <w:p w:rsidR="00A9482F" w:rsidRPr="00AE40CC" w:rsidRDefault="00570BF0" w:rsidP="00A9482F">
            <w:pPr>
              <w:jc w:val="center"/>
              <w:rPr>
                <w:rFonts w:ascii="Times New Roman" w:hAnsi="Times New Roman"/>
                <w:lang w:val="lv-LV"/>
              </w:rPr>
            </w:pPr>
            <w:r>
              <w:rPr>
                <w:rFonts w:ascii="Times New Roman" w:hAnsi="Times New Roman"/>
                <w:lang w:val="lv-LV"/>
              </w:rPr>
              <w:t>Iespējams otrs paraksts</w:t>
            </w:r>
          </w:p>
        </w:tc>
      </w:tr>
      <w:tr w:rsidR="00A82AD5" w:rsidRPr="00AE40CC" w:rsidTr="0091275B">
        <w:tc>
          <w:tcPr>
            <w:tcW w:w="1469" w:type="dxa"/>
            <w:vAlign w:val="center"/>
          </w:tcPr>
          <w:p w:rsidR="00A82AD5" w:rsidRPr="00AE40CC" w:rsidRDefault="00570BF0" w:rsidP="00C324D9">
            <w:pPr>
              <w:rPr>
                <w:rFonts w:ascii="Times New Roman" w:hAnsi="Times New Roman"/>
                <w:lang w:val="lv-LV"/>
              </w:rPr>
            </w:pPr>
            <w:r>
              <w:rPr>
                <w:rFonts w:ascii="Times New Roman" w:hAnsi="Times New Roman"/>
                <w:lang w:val="lv-LV"/>
              </w:rPr>
              <w:t>Vārds, Uzvārds</w:t>
            </w:r>
          </w:p>
        </w:tc>
        <w:tc>
          <w:tcPr>
            <w:tcW w:w="3371" w:type="dxa"/>
            <w:gridSpan w:val="3"/>
            <w:vAlign w:val="center"/>
          </w:tcPr>
          <w:p w:rsidR="00A82AD5" w:rsidRPr="00AE40CC" w:rsidRDefault="00570BF0" w:rsidP="00A9482F">
            <w:pPr>
              <w:jc w:val="center"/>
              <w:rPr>
                <w:rFonts w:ascii="Times New Roman" w:hAnsi="Times New Roman"/>
                <w:lang w:val="lv-LV"/>
              </w:rPr>
            </w:pPr>
            <w:r>
              <w:rPr>
                <w:rFonts w:ascii="Times New Roman" w:hAnsi="Times New Roman"/>
                <w:lang w:val="lv-LV"/>
              </w:rPr>
              <w:t>Juris Pūce</w:t>
            </w:r>
          </w:p>
        </w:tc>
        <w:tc>
          <w:tcPr>
            <w:tcW w:w="236" w:type="dxa"/>
            <w:vAlign w:val="center"/>
          </w:tcPr>
          <w:p w:rsidR="00A82AD5" w:rsidRPr="00AE40CC" w:rsidRDefault="00A82AD5" w:rsidP="00A9482F">
            <w:pPr>
              <w:jc w:val="center"/>
              <w:rPr>
                <w:rFonts w:ascii="Times New Roman" w:hAnsi="Times New Roman"/>
                <w:lang w:val="lv-LV"/>
              </w:rPr>
            </w:pPr>
          </w:p>
        </w:tc>
        <w:tc>
          <w:tcPr>
            <w:tcW w:w="3420" w:type="dxa"/>
            <w:gridSpan w:val="3"/>
            <w:vAlign w:val="center"/>
          </w:tcPr>
          <w:p w:rsidR="00A82AD5" w:rsidRPr="00AE40CC" w:rsidRDefault="00A82AD5" w:rsidP="00A9482F">
            <w:pPr>
              <w:jc w:val="center"/>
              <w:rPr>
                <w:rFonts w:ascii="Times New Roman" w:hAnsi="Times New Roman"/>
                <w:lang w:val="lv-LV"/>
              </w:rPr>
            </w:pPr>
          </w:p>
        </w:tc>
      </w:tr>
      <w:tr w:rsidR="00A07D3B" w:rsidRPr="00AE40CC" w:rsidTr="0091275B">
        <w:tc>
          <w:tcPr>
            <w:tcW w:w="1469" w:type="dxa"/>
            <w:vAlign w:val="center"/>
          </w:tcPr>
          <w:p w:rsidR="00A07D3B" w:rsidRPr="00AE40CC" w:rsidRDefault="00570BF0" w:rsidP="00C324D9">
            <w:pPr>
              <w:rPr>
                <w:rFonts w:ascii="Times New Roman" w:hAnsi="Times New Roman"/>
                <w:lang w:val="lv-LV"/>
              </w:rPr>
            </w:pPr>
            <w:r>
              <w:rPr>
                <w:rFonts w:ascii="Times New Roman" w:hAnsi="Times New Roman"/>
                <w:lang w:val="lv-LV"/>
              </w:rPr>
              <w:t>Amats</w:t>
            </w:r>
          </w:p>
        </w:tc>
        <w:tc>
          <w:tcPr>
            <w:tcW w:w="3371" w:type="dxa"/>
            <w:gridSpan w:val="3"/>
            <w:vAlign w:val="center"/>
          </w:tcPr>
          <w:p w:rsidR="00A07D3B" w:rsidRPr="00AE40CC" w:rsidRDefault="00570BF0" w:rsidP="00C324D9">
            <w:pPr>
              <w:jc w:val="center"/>
              <w:rPr>
                <w:rFonts w:ascii="Times New Roman" w:hAnsi="Times New Roman"/>
                <w:lang w:val="lv-LV"/>
              </w:rPr>
            </w:pPr>
            <w:r>
              <w:rPr>
                <w:rFonts w:ascii="Times New Roman" w:hAnsi="Times New Roman"/>
                <w:lang w:val="lv-LV"/>
              </w:rPr>
              <w:t>Valsts sekretārs</w:t>
            </w:r>
          </w:p>
        </w:tc>
        <w:tc>
          <w:tcPr>
            <w:tcW w:w="236" w:type="dxa"/>
            <w:vAlign w:val="center"/>
          </w:tcPr>
          <w:p w:rsidR="00A07D3B" w:rsidRPr="00AE40CC" w:rsidRDefault="00A07D3B" w:rsidP="00A9482F">
            <w:pPr>
              <w:jc w:val="center"/>
              <w:rPr>
                <w:rFonts w:ascii="Times New Roman" w:hAnsi="Times New Roman"/>
                <w:lang w:val="lv-LV"/>
              </w:rPr>
            </w:pPr>
          </w:p>
        </w:tc>
        <w:tc>
          <w:tcPr>
            <w:tcW w:w="3420" w:type="dxa"/>
            <w:gridSpan w:val="3"/>
            <w:vAlign w:val="center"/>
          </w:tcPr>
          <w:p w:rsidR="00A07D3B" w:rsidRPr="00AE40CC" w:rsidRDefault="00A07D3B" w:rsidP="00A9482F">
            <w:pPr>
              <w:jc w:val="center"/>
              <w:rPr>
                <w:rFonts w:ascii="Times New Roman" w:hAnsi="Times New Roman"/>
                <w:lang w:val="lv-LV"/>
              </w:rPr>
            </w:pPr>
          </w:p>
        </w:tc>
      </w:tr>
      <w:tr w:rsidR="00A07D3B" w:rsidRPr="00AE40CC" w:rsidTr="0091275B">
        <w:tc>
          <w:tcPr>
            <w:tcW w:w="1469" w:type="dxa"/>
            <w:vAlign w:val="center"/>
          </w:tcPr>
          <w:p w:rsidR="00A07D3B" w:rsidRPr="00AE40CC" w:rsidRDefault="00570BF0" w:rsidP="00C324D9">
            <w:pPr>
              <w:rPr>
                <w:rFonts w:ascii="Times New Roman" w:hAnsi="Times New Roman"/>
                <w:lang w:val="lv-LV"/>
              </w:rPr>
            </w:pPr>
            <w:r>
              <w:rPr>
                <w:rFonts w:ascii="Times New Roman" w:hAnsi="Times New Roman"/>
                <w:lang w:val="lv-LV"/>
              </w:rPr>
              <w:t>Iestāde</w:t>
            </w:r>
          </w:p>
        </w:tc>
        <w:tc>
          <w:tcPr>
            <w:tcW w:w="3371" w:type="dxa"/>
            <w:gridSpan w:val="3"/>
            <w:vAlign w:val="center"/>
          </w:tcPr>
          <w:p w:rsidR="00A07D3B" w:rsidRPr="00AE40CC" w:rsidRDefault="00570BF0" w:rsidP="00C324D9">
            <w:pPr>
              <w:jc w:val="center"/>
              <w:rPr>
                <w:rFonts w:ascii="Times New Roman" w:hAnsi="Times New Roman"/>
                <w:lang w:val="lv-LV"/>
              </w:rPr>
            </w:pPr>
            <w:r>
              <w:rPr>
                <w:rFonts w:ascii="Times New Roman" w:hAnsi="Times New Roman"/>
                <w:lang w:val="lv-LV"/>
              </w:rPr>
              <w:t>Ekonomikas ministrija</w:t>
            </w:r>
          </w:p>
        </w:tc>
        <w:tc>
          <w:tcPr>
            <w:tcW w:w="236" w:type="dxa"/>
            <w:vAlign w:val="center"/>
          </w:tcPr>
          <w:p w:rsidR="00A07D3B" w:rsidRPr="00AE40CC" w:rsidRDefault="00A07D3B" w:rsidP="00A9482F">
            <w:pPr>
              <w:jc w:val="center"/>
              <w:rPr>
                <w:rFonts w:ascii="Times New Roman" w:hAnsi="Times New Roman"/>
                <w:lang w:val="lv-LV"/>
              </w:rPr>
            </w:pPr>
          </w:p>
        </w:tc>
        <w:tc>
          <w:tcPr>
            <w:tcW w:w="3420" w:type="dxa"/>
            <w:gridSpan w:val="3"/>
            <w:vAlign w:val="center"/>
          </w:tcPr>
          <w:p w:rsidR="00A07D3B" w:rsidRPr="00AE40CC" w:rsidRDefault="00A07D3B" w:rsidP="00A9482F">
            <w:pPr>
              <w:jc w:val="center"/>
              <w:rPr>
                <w:rFonts w:ascii="Times New Roman" w:hAnsi="Times New Roman"/>
                <w:lang w:val="lv-LV"/>
              </w:rPr>
            </w:pPr>
          </w:p>
        </w:tc>
      </w:tr>
      <w:tr w:rsidR="00A82AD5" w:rsidRPr="00AE40CC" w:rsidTr="0091275B">
        <w:tc>
          <w:tcPr>
            <w:tcW w:w="1469" w:type="dxa"/>
            <w:vAlign w:val="center"/>
          </w:tcPr>
          <w:p w:rsidR="00A82AD5" w:rsidRPr="00AE40CC" w:rsidRDefault="00570BF0" w:rsidP="00C324D9">
            <w:pPr>
              <w:rPr>
                <w:rFonts w:ascii="Times New Roman" w:hAnsi="Times New Roman"/>
                <w:lang w:val="lv-LV"/>
              </w:rPr>
            </w:pPr>
            <w:r>
              <w:rPr>
                <w:rFonts w:ascii="Times New Roman" w:hAnsi="Times New Roman"/>
                <w:lang w:val="lv-LV"/>
              </w:rPr>
              <w:t>Paraksts</w:t>
            </w:r>
          </w:p>
        </w:tc>
        <w:tc>
          <w:tcPr>
            <w:tcW w:w="3371" w:type="dxa"/>
            <w:gridSpan w:val="3"/>
            <w:vAlign w:val="center"/>
          </w:tcPr>
          <w:p w:rsidR="00A82AD5" w:rsidRPr="00AE40CC" w:rsidRDefault="00A82AD5" w:rsidP="00A9482F">
            <w:pPr>
              <w:jc w:val="center"/>
              <w:rPr>
                <w:rFonts w:ascii="Times New Roman" w:hAnsi="Times New Roman"/>
                <w:lang w:val="lv-LV"/>
              </w:rPr>
            </w:pPr>
          </w:p>
          <w:p w:rsidR="00A82AD5" w:rsidRPr="00AE40CC" w:rsidRDefault="00A82AD5" w:rsidP="00A9482F">
            <w:pPr>
              <w:jc w:val="center"/>
              <w:rPr>
                <w:rFonts w:ascii="Times New Roman" w:hAnsi="Times New Roman"/>
                <w:lang w:val="lv-LV"/>
              </w:rPr>
            </w:pPr>
          </w:p>
        </w:tc>
        <w:tc>
          <w:tcPr>
            <w:tcW w:w="236" w:type="dxa"/>
            <w:vAlign w:val="center"/>
          </w:tcPr>
          <w:p w:rsidR="00A82AD5" w:rsidRPr="00AE40CC" w:rsidRDefault="00A82AD5" w:rsidP="00A9482F">
            <w:pPr>
              <w:jc w:val="center"/>
              <w:rPr>
                <w:rFonts w:ascii="Times New Roman" w:hAnsi="Times New Roman"/>
                <w:lang w:val="lv-LV"/>
              </w:rPr>
            </w:pPr>
          </w:p>
        </w:tc>
        <w:tc>
          <w:tcPr>
            <w:tcW w:w="3420" w:type="dxa"/>
            <w:gridSpan w:val="3"/>
            <w:vAlign w:val="center"/>
          </w:tcPr>
          <w:p w:rsidR="00A82AD5" w:rsidRPr="00AE40CC" w:rsidRDefault="00A82AD5" w:rsidP="00A9482F">
            <w:pPr>
              <w:jc w:val="center"/>
              <w:rPr>
                <w:rFonts w:ascii="Times New Roman" w:hAnsi="Times New Roman"/>
                <w:lang w:val="lv-LV"/>
              </w:rPr>
            </w:pPr>
          </w:p>
        </w:tc>
      </w:tr>
      <w:tr w:rsidR="00A07D3B" w:rsidRPr="00AE40CC" w:rsidTr="0091275B">
        <w:tc>
          <w:tcPr>
            <w:tcW w:w="1469" w:type="dxa"/>
            <w:vAlign w:val="center"/>
          </w:tcPr>
          <w:p w:rsidR="00A07D3B" w:rsidRPr="00AE40CC" w:rsidRDefault="00A07D3B" w:rsidP="00A9482F">
            <w:pPr>
              <w:rPr>
                <w:rFonts w:ascii="Times New Roman" w:hAnsi="Times New Roman"/>
                <w:lang w:val="lv-LV"/>
              </w:rPr>
            </w:pPr>
          </w:p>
        </w:tc>
        <w:tc>
          <w:tcPr>
            <w:tcW w:w="1018" w:type="dxa"/>
            <w:vAlign w:val="center"/>
          </w:tcPr>
          <w:p w:rsidR="00A07D3B" w:rsidRPr="00AE40CC" w:rsidRDefault="00570BF0" w:rsidP="00C324D9">
            <w:pPr>
              <w:jc w:val="center"/>
              <w:rPr>
                <w:rFonts w:ascii="Times New Roman" w:hAnsi="Times New Roman"/>
                <w:lang w:val="lv-LV"/>
              </w:rPr>
            </w:pPr>
            <w:r>
              <w:rPr>
                <w:rFonts w:ascii="Times New Roman" w:hAnsi="Times New Roman"/>
                <w:lang w:val="lv-LV"/>
              </w:rPr>
              <w:t>Diena</w:t>
            </w:r>
          </w:p>
        </w:tc>
        <w:tc>
          <w:tcPr>
            <w:tcW w:w="1329" w:type="dxa"/>
            <w:vAlign w:val="center"/>
          </w:tcPr>
          <w:p w:rsidR="00A07D3B" w:rsidRPr="00AE40CC" w:rsidRDefault="00570BF0" w:rsidP="00C324D9">
            <w:pPr>
              <w:jc w:val="center"/>
              <w:rPr>
                <w:rFonts w:ascii="Times New Roman" w:hAnsi="Times New Roman"/>
                <w:lang w:val="lv-LV"/>
              </w:rPr>
            </w:pPr>
            <w:r>
              <w:rPr>
                <w:rFonts w:ascii="Times New Roman" w:hAnsi="Times New Roman"/>
                <w:lang w:val="lv-LV"/>
              </w:rPr>
              <w:t>Mēnesis</w:t>
            </w:r>
          </w:p>
        </w:tc>
        <w:tc>
          <w:tcPr>
            <w:tcW w:w="1024" w:type="dxa"/>
            <w:vAlign w:val="center"/>
          </w:tcPr>
          <w:p w:rsidR="00A07D3B" w:rsidRPr="00AE40CC" w:rsidRDefault="00570BF0" w:rsidP="00C324D9">
            <w:pPr>
              <w:jc w:val="center"/>
              <w:rPr>
                <w:rFonts w:ascii="Times New Roman" w:hAnsi="Times New Roman"/>
                <w:lang w:val="lv-LV"/>
              </w:rPr>
            </w:pPr>
            <w:r>
              <w:rPr>
                <w:rFonts w:ascii="Times New Roman" w:hAnsi="Times New Roman"/>
                <w:lang w:val="lv-LV"/>
              </w:rPr>
              <w:t>Gads</w:t>
            </w:r>
          </w:p>
        </w:tc>
        <w:tc>
          <w:tcPr>
            <w:tcW w:w="236" w:type="dxa"/>
            <w:vAlign w:val="center"/>
          </w:tcPr>
          <w:p w:rsidR="00A07D3B" w:rsidRPr="00AE40CC" w:rsidRDefault="00A07D3B" w:rsidP="00A9482F">
            <w:pPr>
              <w:jc w:val="center"/>
              <w:rPr>
                <w:rFonts w:ascii="Times New Roman" w:hAnsi="Times New Roman"/>
                <w:lang w:val="lv-LV"/>
              </w:rPr>
            </w:pPr>
          </w:p>
        </w:tc>
        <w:tc>
          <w:tcPr>
            <w:tcW w:w="1018" w:type="dxa"/>
            <w:vAlign w:val="center"/>
          </w:tcPr>
          <w:p w:rsidR="00A07D3B" w:rsidRPr="00AE40CC" w:rsidRDefault="00570BF0" w:rsidP="00C324D9">
            <w:pPr>
              <w:jc w:val="center"/>
              <w:rPr>
                <w:rFonts w:ascii="Times New Roman" w:hAnsi="Times New Roman"/>
                <w:lang w:val="lv-LV"/>
              </w:rPr>
            </w:pPr>
            <w:r>
              <w:rPr>
                <w:rFonts w:ascii="Times New Roman" w:hAnsi="Times New Roman"/>
                <w:lang w:val="lv-LV"/>
              </w:rPr>
              <w:t>Diena</w:t>
            </w:r>
          </w:p>
        </w:tc>
        <w:tc>
          <w:tcPr>
            <w:tcW w:w="1044" w:type="dxa"/>
            <w:vAlign w:val="center"/>
          </w:tcPr>
          <w:p w:rsidR="00A07D3B" w:rsidRPr="00AE40CC" w:rsidRDefault="00570BF0" w:rsidP="00C324D9">
            <w:pPr>
              <w:jc w:val="center"/>
              <w:rPr>
                <w:rFonts w:ascii="Times New Roman" w:hAnsi="Times New Roman"/>
                <w:lang w:val="lv-LV"/>
              </w:rPr>
            </w:pPr>
            <w:r>
              <w:rPr>
                <w:rFonts w:ascii="Times New Roman" w:hAnsi="Times New Roman"/>
                <w:lang w:val="lv-LV"/>
              </w:rPr>
              <w:t>Mēnesis</w:t>
            </w:r>
          </w:p>
        </w:tc>
        <w:tc>
          <w:tcPr>
            <w:tcW w:w="1358" w:type="dxa"/>
            <w:vAlign w:val="center"/>
          </w:tcPr>
          <w:p w:rsidR="00A07D3B" w:rsidRPr="00AE40CC" w:rsidRDefault="00570BF0" w:rsidP="00C324D9">
            <w:pPr>
              <w:jc w:val="center"/>
              <w:rPr>
                <w:rFonts w:ascii="Times New Roman" w:hAnsi="Times New Roman"/>
                <w:lang w:val="lv-LV"/>
              </w:rPr>
            </w:pPr>
            <w:r>
              <w:rPr>
                <w:rFonts w:ascii="Times New Roman" w:hAnsi="Times New Roman"/>
                <w:lang w:val="lv-LV"/>
              </w:rPr>
              <w:t>Gads</w:t>
            </w:r>
          </w:p>
        </w:tc>
      </w:tr>
      <w:tr w:rsidR="00A9482F" w:rsidRPr="00AE40CC" w:rsidTr="0091275B">
        <w:tc>
          <w:tcPr>
            <w:tcW w:w="1469" w:type="dxa"/>
            <w:vAlign w:val="center"/>
          </w:tcPr>
          <w:p w:rsidR="00A9482F" w:rsidRPr="00AE40CC" w:rsidRDefault="00570BF0" w:rsidP="00A9482F">
            <w:pPr>
              <w:rPr>
                <w:rFonts w:ascii="Times New Roman" w:hAnsi="Times New Roman"/>
                <w:lang w:val="lv-LV"/>
              </w:rPr>
            </w:pPr>
            <w:r>
              <w:rPr>
                <w:rFonts w:ascii="Times New Roman" w:hAnsi="Times New Roman"/>
                <w:lang w:val="lv-LV"/>
              </w:rPr>
              <w:t>Datums</w:t>
            </w:r>
          </w:p>
        </w:tc>
        <w:tc>
          <w:tcPr>
            <w:tcW w:w="1018" w:type="dxa"/>
            <w:vAlign w:val="center"/>
          </w:tcPr>
          <w:p w:rsidR="00A9482F" w:rsidRPr="00AE40CC" w:rsidRDefault="00A9482F" w:rsidP="00A9482F">
            <w:pPr>
              <w:jc w:val="center"/>
              <w:rPr>
                <w:rFonts w:ascii="Times New Roman" w:hAnsi="Times New Roman"/>
                <w:lang w:val="lv-LV"/>
              </w:rPr>
            </w:pPr>
          </w:p>
        </w:tc>
        <w:tc>
          <w:tcPr>
            <w:tcW w:w="1329" w:type="dxa"/>
            <w:vAlign w:val="center"/>
          </w:tcPr>
          <w:p w:rsidR="00A9482F" w:rsidRPr="00AE40CC" w:rsidRDefault="00A9482F" w:rsidP="00A9482F">
            <w:pPr>
              <w:jc w:val="center"/>
              <w:rPr>
                <w:rFonts w:ascii="Times New Roman" w:hAnsi="Times New Roman"/>
                <w:lang w:val="lv-LV"/>
              </w:rPr>
            </w:pPr>
          </w:p>
        </w:tc>
        <w:tc>
          <w:tcPr>
            <w:tcW w:w="1024" w:type="dxa"/>
            <w:vAlign w:val="center"/>
          </w:tcPr>
          <w:p w:rsidR="00A9482F" w:rsidRPr="00AE40CC" w:rsidRDefault="00570BF0" w:rsidP="00A9482F">
            <w:pPr>
              <w:jc w:val="center"/>
              <w:rPr>
                <w:rFonts w:ascii="Times New Roman" w:hAnsi="Times New Roman"/>
                <w:lang w:val="lv-LV"/>
              </w:rPr>
            </w:pPr>
            <w:r>
              <w:rPr>
                <w:rFonts w:ascii="Times New Roman" w:hAnsi="Times New Roman"/>
                <w:lang w:val="lv-LV"/>
              </w:rPr>
              <w:t>2012</w:t>
            </w:r>
          </w:p>
        </w:tc>
        <w:tc>
          <w:tcPr>
            <w:tcW w:w="236" w:type="dxa"/>
            <w:vAlign w:val="center"/>
          </w:tcPr>
          <w:p w:rsidR="00A9482F" w:rsidRPr="00AE40CC" w:rsidRDefault="00A9482F" w:rsidP="00A9482F">
            <w:pPr>
              <w:jc w:val="center"/>
              <w:rPr>
                <w:rFonts w:ascii="Times New Roman" w:hAnsi="Times New Roman"/>
                <w:lang w:val="lv-LV"/>
              </w:rPr>
            </w:pPr>
          </w:p>
        </w:tc>
        <w:tc>
          <w:tcPr>
            <w:tcW w:w="1018" w:type="dxa"/>
            <w:vAlign w:val="center"/>
          </w:tcPr>
          <w:p w:rsidR="00A9482F" w:rsidRPr="00AE40CC" w:rsidRDefault="00A9482F" w:rsidP="00A9482F">
            <w:pPr>
              <w:jc w:val="center"/>
              <w:rPr>
                <w:rFonts w:ascii="Times New Roman" w:hAnsi="Times New Roman"/>
                <w:lang w:val="lv-LV"/>
              </w:rPr>
            </w:pPr>
          </w:p>
        </w:tc>
        <w:tc>
          <w:tcPr>
            <w:tcW w:w="1044" w:type="dxa"/>
            <w:vAlign w:val="center"/>
          </w:tcPr>
          <w:p w:rsidR="00A9482F" w:rsidRPr="00AE40CC" w:rsidRDefault="00A9482F" w:rsidP="00A9482F">
            <w:pPr>
              <w:jc w:val="center"/>
              <w:rPr>
                <w:rFonts w:ascii="Times New Roman" w:hAnsi="Times New Roman"/>
                <w:lang w:val="lv-LV"/>
              </w:rPr>
            </w:pPr>
          </w:p>
        </w:tc>
        <w:tc>
          <w:tcPr>
            <w:tcW w:w="1358" w:type="dxa"/>
            <w:vAlign w:val="center"/>
          </w:tcPr>
          <w:p w:rsidR="00A9482F" w:rsidRPr="00AE40CC" w:rsidRDefault="00A9482F" w:rsidP="00A9482F">
            <w:pPr>
              <w:jc w:val="center"/>
              <w:rPr>
                <w:rFonts w:ascii="Times New Roman" w:hAnsi="Times New Roman"/>
                <w:lang w:val="lv-LV"/>
              </w:rPr>
            </w:pPr>
          </w:p>
        </w:tc>
      </w:tr>
    </w:tbl>
    <w:p w:rsidR="00A9482F" w:rsidRPr="00AE40CC" w:rsidRDefault="00A9482F" w:rsidP="00A9482F">
      <w:pPr>
        <w:spacing w:after="0"/>
        <w:rPr>
          <w:rFonts w:ascii="Times New Roman" w:hAnsi="Times New Roman"/>
          <w:b/>
          <w:lang w:val="lv-LV"/>
        </w:rPr>
      </w:pPr>
    </w:p>
    <w:p w:rsidR="00862431" w:rsidRPr="00AE40CC" w:rsidRDefault="00570BF0" w:rsidP="00862431">
      <w:pPr>
        <w:rPr>
          <w:rFonts w:ascii="Times New Roman" w:hAnsi="Times New Roman"/>
          <w:lang w:val="lv-LV"/>
        </w:rPr>
      </w:pPr>
      <w:r>
        <w:rPr>
          <w:rFonts w:ascii="Times New Roman" w:hAnsi="Times New Roman"/>
          <w:b/>
          <w:lang w:val="lv-LV"/>
        </w:rPr>
        <w:t xml:space="preserve">Programmas partneris </w:t>
      </w:r>
      <w:r>
        <w:rPr>
          <w:rFonts w:ascii="Times New Roman" w:hAnsi="Times New Roman"/>
          <w:lang w:val="lv-LV"/>
        </w:rPr>
        <w:t>(ja nepieciešams, atkārtot)</w:t>
      </w:r>
    </w:p>
    <w:p w:rsidR="00A9482F" w:rsidRPr="00AE40CC" w:rsidRDefault="00570BF0" w:rsidP="00131295">
      <w:pPr>
        <w:spacing w:after="0"/>
        <w:jc w:val="both"/>
        <w:rPr>
          <w:rFonts w:ascii="Times New Roman" w:hAnsi="Times New Roman"/>
          <w:lang w:val="lv-LV"/>
        </w:rPr>
      </w:pPr>
      <w:r>
        <w:rPr>
          <w:rFonts w:ascii="Times New Roman" w:hAnsi="Times New Roman"/>
          <w:lang w:val="lv-LV"/>
        </w:rPr>
        <w:t>Es apstiprinu, ka esmu pilnvarots parakstīt šo iesniegumu savas iestādes vārdā un ka šī iestāde piekrīt piedalīties šīs Programmas īstenošanā. Es esmu rūpīgi iepazinies ar visiem apgalvojumiem un informāciju šajā iesniegumā, un ka tie pareizi un precīzi apraksta manas iestādes lomu un pienākumus šajā Programmā.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1018"/>
        <w:gridCol w:w="1329"/>
        <w:gridCol w:w="1024"/>
        <w:gridCol w:w="236"/>
        <w:gridCol w:w="1018"/>
        <w:gridCol w:w="1044"/>
        <w:gridCol w:w="1358"/>
      </w:tblGrid>
      <w:tr w:rsidR="00A9482F" w:rsidRPr="00AE40CC" w:rsidTr="002D7347">
        <w:tc>
          <w:tcPr>
            <w:tcW w:w="1469" w:type="dxa"/>
            <w:tcBorders>
              <w:top w:val="nil"/>
              <w:left w:val="nil"/>
              <w:bottom w:val="single" w:sz="4" w:space="0" w:color="auto"/>
              <w:right w:val="nil"/>
            </w:tcBorders>
            <w:vAlign w:val="center"/>
          </w:tcPr>
          <w:p w:rsidR="00A9482F" w:rsidRPr="00AE40CC" w:rsidRDefault="00A9482F" w:rsidP="00A9482F">
            <w:pPr>
              <w:jc w:val="center"/>
              <w:rPr>
                <w:rFonts w:ascii="Times New Roman" w:hAnsi="Times New Roman"/>
                <w:lang w:val="lv-LV"/>
              </w:rPr>
            </w:pPr>
          </w:p>
        </w:tc>
        <w:tc>
          <w:tcPr>
            <w:tcW w:w="3371" w:type="dxa"/>
            <w:gridSpan w:val="3"/>
            <w:tcBorders>
              <w:top w:val="nil"/>
              <w:left w:val="nil"/>
              <w:bottom w:val="single" w:sz="4" w:space="0" w:color="auto"/>
              <w:right w:val="single" w:sz="4" w:space="0" w:color="auto"/>
            </w:tcBorders>
            <w:vAlign w:val="center"/>
          </w:tcPr>
          <w:p w:rsidR="00A9482F" w:rsidRPr="00AE40CC" w:rsidRDefault="00A9482F" w:rsidP="00A9482F">
            <w:pPr>
              <w:jc w:val="center"/>
              <w:rPr>
                <w:rFonts w:ascii="Times New Roman" w:hAnsi="Times New Roman"/>
                <w:lang w:val="lv-LV"/>
              </w:rPr>
            </w:pPr>
          </w:p>
        </w:tc>
        <w:tc>
          <w:tcPr>
            <w:tcW w:w="236" w:type="dxa"/>
            <w:tcBorders>
              <w:top w:val="single" w:sz="4" w:space="0" w:color="auto"/>
              <w:left w:val="single" w:sz="4" w:space="0" w:color="auto"/>
              <w:bottom w:val="single" w:sz="4" w:space="0" w:color="auto"/>
            </w:tcBorders>
            <w:vAlign w:val="center"/>
          </w:tcPr>
          <w:p w:rsidR="00A9482F" w:rsidRPr="00AE40CC" w:rsidRDefault="00A9482F" w:rsidP="00A9482F">
            <w:pPr>
              <w:jc w:val="center"/>
              <w:rPr>
                <w:rFonts w:ascii="Times New Roman" w:hAnsi="Times New Roman"/>
                <w:lang w:val="lv-LV"/>
              </w:rPr>
            </w:pPr>
          </w:p>
        </w:tc>
        <w:tc>
          <w:tcPr>
            <w:tcW w:w="3420" w:type="dxa"/>
            <w:gridSpan w:val="3"/>
            <w:tcBorders>
              <w:bottom w:val="single" w:sz="4" w:space="0" w:color="auto"/>
            </w:tcBorders>
            <w:vAlign w:val="center"/>
          </w:tcPr>
          <w:p w:rsidR="00A9482F" w:rsidRPr="00AE40CC" w:rsidRDefault="00570BF0" w:rsidP="00A9482F">
            <w:pPr>
              <w:jc w:val="center"/>
              <w:rPr>
                <w:rFonts w:ascii="Times New Roman" w:hAnsi="Times New Roman"/>
                <w:lang w:val="lv-LV"/>
              </w:rPr>
            </w:pPr>
            <w:r>
              <w:rPr>
                <w:rFonts w:ascii="Times New Roman" w:hAnsi="Times New Roman"/>
                <w:lang w:val="lv-LV"/>
              </w:rPr>
              <w:t>Iespējams otrs paraksts</w:t>
            </w:r>
          </w:p>
        </w:tc>
      </w:tr>
      <w:tr w:rsidR="002D7347" w:rsidRPr="00AE40CC" w:rsidTr="002D7347">
        <w:tc>
          <w:tcPr>
            <w:tcW w:w="1469" w:type="dxa"/>
            <w:vAlign w:val="center"/>
          </w:tcPr>
          <w:p w:rsidR="002D7347" w:rsidRPr="00AE40CC" w:rsidRDefault="00570BF0" w:rsidP="00C324D9">
            <w:pPr>
              <w:rPr>
                <w:rFonts w:ascii="Times New Roman" w:hAnsi="Times New Roman"/>
                <w:lang w:val="lv-LV"/>
              </w:rPr>
            </w:pPr>
            <w:r>
              <w:rPr>
                <w:rFonts w:ascii="Times New Roman" w:hAnsi="Times New Roman"/>
                <w:lang w:val="lv-LV"/>
              </w:rPr>
              <w:t>Vārds, Uzvārds</w:t>
            </w:r>
          </w:p>
        </w:tc>
        <w:tc>
          <w:tcPr>
            <w:tcW w:w="3371" w:type="dxa"/>
            <w:gridSpan w:val="3"/>
            <w:vAlign w:val="center"/>
          </w:tcPr>
          <w:p w:rsidR="002D7347" w:rsidRPr="00AE40CC" w:rsidRDefault="00570BF0" w:rsidP="00A9482F">
            <w:pPr>
              <w:jc w:val="center"/>
              <w:rPr>
                <w:rFonts w:ascii="Times New Roman" w:hAnsi="Times New Roman"/>
                <w:lang w:val="lv-LV"/>
              </w:rPr>
            </w:pPr>
            <w:r>
              <w:rPr>
                <w:rFonts w:ascii="Times New Roman" w:hAnsi="Times New Roman"/>
                <w:lang w:val="lv-LV"/>
              </w:rPr>
              <w:t>Tore Lasse By</w:t>
            </w:r>
          </w:p>
        </w:tc>
        <w:tc>
          <w:tcPr>
            <w:tcW w:w="236" w:type="dxa"/>
            <w:vAlign w:val="center"/>
          </w:tcPr>
          <w:p w:rsidR="002D7347" w:rsidRPr="00AE40CC" w:rsidRDefault="002D7347" w:rsidP="00A9482F">
            <w:pPr>
              <w:jc w:val="center"/>
              <w:rPr>
                <w:rFonts w:ascii="Times New Roman" w:hAnsi="Times New Roman"/>
                <w:lang w:val="lv-LV"/>
              </w:rPr>
            </w:pPr>
          </w:p>
        </w:tc>
        <w:tc>
          <w:tcPr>
            <w:tcW w:w="3420" w:type="dxa"/>
            <w:gridSpan w:val="3"/>
            <w:vAlign w:val="center"/>
          </w:tcPr>
          <w:p w:rsidR="002D7347" w:rsidRPr="00AE40CC" w:rsidRDefault="002D7347" w:rsidP="00A9482F">
            <w:pPr>
              <w:jc w:val="center"/>
              <w:rPr>
                <w:rFonts w:ascii="Times New Roman" w:hAnsi="Times New Roman"/>
                <w:lang w:val="lv-LV"/>
              </w:rPr>
            </w:pPr>
          </w:p>
        </w:tc>
      </w:tr>
      <w:tr w:rsidR="002D7347" w:rsidRPr="00AE40CC" w:rsidTr="002D7347">
        <w:tc>
          <w:tcPr>
            <w:tcW w:w="1469" w:type="dxa"/>
            <w:vAlign w:val="center"/>
          </w:tcPr>
          <w:p w:rsidR="002D7347" w:rsidRPr="00AE40CC" w:rsidRDefault="00570BF0" w:rsidP="00C324D9">
            <w:pPr>
              <w:rPr>
                <w:rFonts w:ascii="Times New Roman" w:hAnsi="Times New Roman"/>
                <w:lang w:val="lv-LV"/>
              </w:rPr>
            </w:pPr>
            <w:r>
              <w:rPr>
                <w:rFonts w:ascii="Times New Roman" w:hAnsi="Times New Roman"/>
                <w:lang w:val="lv-LV"/>
              </w:rPr>
              <w:lastRenderedPageBreak/>
              <w:t>Amats</w:t>
            </w:r>
          </w:p>
        </w:tc>
        <w:tc>
          <w:tcPr>
            <w:tcW w:w="3371" w:type="dxa"/>
            <w:gridSpan w:val="3"/>
            <w:vAlign w:val="center"/>
          </w:tcPr>
          <w:p w:rsidR="002D7347" w:rsidRPr="00AE40CC" w:rsidRDefault="00570BF0" w:rsidP="00CF52D1">
            <w:pPr>
              <w:jc w:val="center"/>
              <w:rPr>
                <w:rFonts w:ascii="Times New Roman" w:hAnsi="Times New Roman"/>
                <w:lang w:val="lv-LV"/>
              </w:rPr>
            </w:pPr>
            <w:r>
              <w:rPr>
                <w:rFonts w:ascii="Times New Roman" w:hAnsi="Times New Roman"/>
                <w:lang w:val="lv-LV"/>
              </w:rPr>
              <w:t xml:space="preserve">Direktors, EEZ finansējuma koordinators </w:t>
            </w:r>
          </w:p>
        </w:tc>
        <w:tc>
          <w:tcPr>
            <w:tcW w:w="236" w:type="dxa"/>
            <w:vAlign w:val="center"/>
          </w:tcPr>
          <w:p w:rsidR="002D7347" w:rsidRPr="00AE40CC" w:rsidRDefault="002D7347" w:rsidP="00A9482F">
            <w:pPr>
              <w:jc w:val="center"/>
              <w:rPr>
                <w:rFonts w:ascii="Times New Roman" w:hAnsi="Times New Roman"/>
                <w:lang w:val="lv-LV"/>
              </w:rPr>
            </w:pPr>
          </w:p>
        </w:tc>
        <w:tc>
          <w:tcPr>
            <w:tcW w:w="3420" w:type="dxa"/>
            <w:gridSpan w:val="3"/>
            <w:vAlign w:val="center"/>
          </w:tcPr>
          <w:p w:rsidR="002D7347" w:rsidRPr="00AE40CC" w:rsidRDefault="002D7347" w:rsidP="00A9482F">
            <w:pPr>
              <w:jc w:val="center"/>
              <w:rPr>
                <w:rFonts w:ascii="Times New Roman" w:hAnsi="Times New Roman"/>
                <w:lang w:val="lv-LV"/>
              </w:rPr>
            </w:pPr>
          </w:p>
        </w:tc>
      </w:tr>
      <w:tr w:rsidR="002D7347" w:rsidRPr="00AE40CC" w:rsidTr="002D7347">
        <w:tc>
          <w:tcPr>
            <w:tcW w:w="1469" w:type="dxa"/>
            <w:vAlign w:val="center"/>
          </w:tcPr>
          <w:p w:rsidR="002D7347" w:rsidRPr="00AE40CC" w:rsidRDefault="00570BF0" w:rsidP="00C324D9">
            <w:pPr>
              <w:rPr>
                <w:rFonts w:ascii="Times New Roman" w:hAnsi="Times New Roman"/>
                <w:lang w:val="lv-LV"/>
              </w:rPr>
            </w:pPr>
            <w:r>
              <w:rPr>
                <w:rFonts w:ascii="Times New Roman" w:hAnsi="Times New Roman"/>
                <w:lang w:val="lv-LV"/>
              </w:rPr>
              <w:t>Organizācija</w:t>
            </w:r>
          </w:p>
        </w:tc>
        <w:tc>
          <w:tcPr>
            <w:tcW w:w="3371" w:type="dxa"/>
            <w:gridSpan w:val="3"/>
            <w:vAlign w:val="center"/>
          </w:tcPr>
          <w:p w:rsidR="002D7347" w:rsidRPr="00AE40CC" w:rsidRDefault="00570BF0" w:rsidP="002E6AAD">
            <w:pPr>
              <w:jc w:val="center"/>
              <w:rPr>
                <w:rFonts w:ascii="Times New Roman" w:hAnsi="Times New Roman"/>
                <w:lang w:val="lv-LV"/>
              </w:rPr>
            </w:pPr>
            <w:r>
              <w:rPr>
                <w:rFonts w:ascii="Times New Roman" w:hAnsi="Times New Roman"/>
                <w:lang w:val="lv-LV"/>
              </w:rPr>
              <w:t xml:space="preserve">Norvēģijas Inovāciju aģentūra </w:t>
            </w:r>
          </w:p>
        </w:tc>
        <w:tc>
          <w:tcPr>
            <w:tcW w:w="236" w:type="dxa"/>
            <w:vAlign w:val="center"/>
          </w:tcPr>
          <w:p w:rsidR="002D7347" w:rsidRPr="00AE40CC" w:rsidRDefault="002D7347" w:rsidP="00A9482F">
            <w:pPr>
              <w:jc w:val="center"/>
              <w:rPr>
                <w:rFonts w:ascii="Times New Roman" w:hAnsi="Times New Roman"/>
                <w:lang w:val="lv-LV"/>
              </w:rPr>
            </w:pPr>
          </w:p>
        </w:tc>
        <w:tc>
          <w:tcPr>
            <w:tcW w:w="3420" w:type="dxa"/>
            <w:gridSpan w:val="3"/>
            <w:vAlign w:val="center"/>
          </w:tcPr>
          <w:p w:rsidR="002D7347" w:rsidRPr="00AE40CC" w:rsidRDefault="002D7347" w:rsidP="00A9482F">
            <w:pPr>
              <w:jc w:val="center"/>
              <w:rPr>
                <w:rFonts w:ascii="Times New Roman" w:hAnsi="Times New Roman"/>
                <w:lang w:val="lv-LV"/>
              </w:rPr>
            </w:pPr>
          </w:p>
        </w:tc>
      </w:tr>
      <w:tr w:rsidR="002D7347" w:rsidRPr="00AE40CC" w:rsidTr="002D7347">
        <w:tc>
          <w:tcPr>
            <w:tcW w:w="1469" w:type="dxa"/>
            <w:vAlign w:val="center"/>
          </w:tcPr>
          <w:p w:rsidR="002D7347" w:rsidRPr="00AE40CC" w:rsidRDefault="00570BF0" w:rsidP="00C324D9">
            <w:pPr>
              <w:rPr>
                <w:rFonts w:ascii="Times New Roman" w:hAnsi="Times New Roman"/>
                <w:lang w:val="lv-LV"/>
              </w:rPr>
            </w:pPr>
            <w:r>
              <w:rPr>
                <w:rFonts w:ascii="Times New Roman" w:hAnsi="Times New Roman"/>
                <w:lang w:val="lv-LV"/>
              </w:rPr>
              <w:t>Paraksts</w:t>
            </w:r>
          </w:p>
        </w:tc>
        <w:tc>
          <w:tcPr>
            <w:tcW w:w="3371" w:type="dxa"/>
            <w:gridSpan w:val="3"/>
            <w:vAlign w:val="center"/>
          </w:tcPr>
          <w:p w:rsidR="002D7347" w:rsidRPr="00AE40CC" w:rsidRDefault="002D7347" w:rsidP="00A9482F">
            <w:pPr>
              <w:jc w:val="center"/>
              <w:rPr>
                <w:rFonts w:ascii="Times New Roman" w:hAnsi="Times New Roman"/>
                <w:lang w:val="lv-LV"/>
              </w:rPr>
            </w:pPr>
          </w:p>
          <w:p w:rsidR="002D7347" w:rsidRPr="00AE40CC" w:rsidRDefault="002D7347" w:rsidP="00A9482F">
            <w:pPr>
              <w:jc w:val="center"/>
              <w:rPr>
                <w:rFonts w:ascii="Times New Roman" w:hAnsi="Times New Roman"/>
                <w:lang w:val="lv-LV"/>
              </w:rPr>
            </w:pPr>
          </w:p>
        </w:tc>
        <w:tc>
          <w:tcPr>
            <w:tcW w:w="236" w:type="dxa"/>
            <w:vAlign w:val="center"/>
          </w:tcPr>
          <w:p w:rsidR="002D7347" w:rsidRPr="00AE40CC" w:rsidRDefault="002D7347" w:rsidP="00A9482F">
            <w:pPr>
              <w:jc w:val="center"/>
              <w:rPr>
                <w:rFonts w:ascii="Times New Roman" w:hAnsi="Times New Roman"/>
                <w:lang w:val="lv-LV"/>
              </w:rPr>
            </w:pPr>
          </w:p>
        </w:tc>
        <w:tc>
          <w:tcPr>
            <w:tcW w:w="3420" w:type="dxa"/>
            <w:gridSpan w:val="3"/>
            <w:vAlign w:val="center"/>
          </w:tcPr>
          <w:p w:rsidR="002D7347" w:rsidRPr="00AE40CC" w:rsidRDefault="002D7347" w:rsidP="00A9482F">
            <w:pPr>
              <w:jc w:val="center"/>
              <w:rPr>
                <w:rFonts w:ascii="Times New Roman" w:hAnsi="Times New Roman"/>
                <w:lang w:val="lv-LV"/>
              </w:rPr>
            </w:pPr>
          </w:p>
        </w:tc>
      </w:tr>
      <w:tr w:rsidR="00CF52D1" w:rsidRPr="00AE40CC" w:rsidTr="002D7347">
        <w:tc>
          <w:tcPr>
            <w:tcW w:w="1469" w:type="dxa"/>
            <w:vAlign w:val="center"/>
          </w:tcPr>
          <w:p w:rsidR="00CF52D1" w:rsidRPr="00AE40CC" w:rsidRDefault="00CF52D1" w:rsidP="00A9482F">
            <w:pPr>
              <w:rPr>
                <w:rFonts w:ascii="Times New Roman" w:hAnsi="Times New Roman"/>
                <w:lang w:val="lv-LV"/>
              </w:rPr>
            </w:pPr>
          </w:p>
        </w:tc>
        <w:tc>
          <w:tcPr>
            <w:tcW w:w="1018" w:type="dxa"/>
            <w:vAlign w:val="center"/>
          </w:tcPr>
          <w:p w:rsidR="00CF52D1" w:rsidRPr="00AE40CC" w:rsidRDefault="00570BF0" w:rsidP="00C324D9">
            <w:pPr>
              <w:jc w:val="center"/>
              <w:rPr>
                <w:rFonts w:ascii="Times New Roman" w:hAnsi="Times New Roman"/>
                <w:lang w:val="lv-LV"/>
              </w:rPr>
            </w:pPr>
            <w:r>
              <w:rPr>
                <w:rFonts w:ascii="Times New Roman" w:hAnsi="Times New Roman"/>
                <w:lang w:val="lv-LV"/>
              </w:rPr>
              <w:t>Diena</w:t>
            </w:r>
          </w:p>
        </w:tc>
        <w:tc>
          <w:tcPr>
            <w:tcW w:w="1329" w:type="dxa"/>
            <w:vAlign w:val="center"/>
          </w:tcPr>
          <w:p w:rsidR="00CF52D1" w:rsidRPr="00AE40CC" w:rsidRDefault="00570BF0" w:rsidP="00C324D9">
            <w:pPr>
              <w:jc w:val="center"/>
              <w:rPr>
                <w:rFonts w:ascii="Times New Roman" w:hAnsi="Times New Roman"/>
                <w:lang w:val="lv-LV"/>
              </w:rPr>
            </w:pPr>
            <w:r>
              <w:rPr>
                <w:rFonts w:ascii="Times New Roman" w:hAnsi="Times New Roman"/>
                <w:lang w:val="lv-LV"/>
              </w:rPr>
              <w:t>Mēnesis</w:t>
            </w:r>
          </w:p>
        </w:tc>
        <w:tc>
          <w:tcPr>
            <w:tcW w:w="1024" w:type="dxa"/>
            <w:vAlign w:val="center"/>
          </w:tcPr>
          <w:p w:rsidR="00CF52D1" w:rsidRPr="00AE40CC" w:rsidRDefault="00570BF0" w:rsidP="00C324D9">
            <w:pPr>
              <w:jc w:val="center"/>
              <w:rPr>
                <w:rFonts w:ascii="Times New Roman" w:hAnsi="Times New Roman"/>
                <w:lang w:val="lv-LV"/>
              </w:rPr>
            </w:pPr>
            <w:r>
              <w:rPr>
                <w:rFonts w:ascii="Times New Roman" w:hAnsi="Times New Roman"/>
                <w:lang w:val="lv-LV"/>
              </w:rPr>
              <w:t>Gads</w:t>
            </w:r>
          </w:p>
        </w:tc>
        <w:tc>
          <w:tcPr>
            <w:tcW w:w="236" w:type="dxa"/>
            <w:vAlign w:val="center"/>
          </w:tcPr>
          <w:p w:rsidR="00CF52D1" w:rsidRPr="00AE40CC" w:rsidRDefault="00CF52D1" w:rsidP="00C324D9">
            <w:pPr>
              <w:jc w:val="center"/>
              <w:rPr>
                <w:rFonts w:ascii="Times New Roman" w:hAnsi="Times New Roman"/>
                <w:lang w:val="lv-LV"/>
              </w:rPr>
            </w:pPr>
          </w:p>
        </w:tc>
        <w:tc>
          <w:tcPr>
            <w:tcW w:w="1018" w:type="dxa"/>
            <w:vAlign w:val="center"/>
          </w:tcPr>
          <w:p w:rsidR="00CF52D1" w:rsidRPr="00AE40CC" w:rsidRDefault="00570BF0" w:rsidP="00C324D9">
            <w:pPr>
              <w:jc w:val="center"/>
              <w:rPr>
                <w:rFonts w:ascii="Times New Roman" w:hAnsi="Times New Roman"/>
                <w:lang w:val="lv-LV"/>
              </w:rPr>
            </w:pPr>
            <w:r>
              <w:rPr>
                <w:rFonts w:ascii="Times New Roman" w:hAnsi="Times New Roman"/>
                <w:lang w:val="lv-LV"/>
              </w:rPr>
              <w:t>Diena</w:t>
            </w:r>
          </w:p>
        </w:tc>
        <w:tc>
          <w:tcPr>
            <w:tcW w:w="1044" w:type="dxa"/>
            <w:vAlign w:val="center"/>
          </w:tcPr>
          <w:p w:rsidR="00CF52D1" w:rsidRPr="00AE40CC" w:rsidRDefault="00570BF0" w:rsidP="00C324D9">
            <w:pPr>
              <w:jc w:val="center"/>
              <w:rPr>
                <w:rFonts w:ascii="Times New Roman" w:hAnsi="Times New Roman"/>
                <w:lang w:val="lv-LV"/>
              </w:rPr>
            </w:pPr>
            <w:r>
              <w:rPr>
                <w:rFonts w:ascii="Times New Roman" w:hAnsi="Times New Roman"/>
                <w:lang w:val="lv-LV"/>
              </w:rPr>
              <w:t>Mēnesis</w:t>
            </w:r>
          </w:p>
        </w:tc>
        <w:tc>
          <w:tcPr>
            <w:tcW w:w="1358" w:type="dxa"/>
            <w:vAlign w:val="center"/>
          </w:tcPr>
          <w:p w:rsidR="00CF52D1" w:rsidRPr="00AE40CC" w:rsidRDefault="00570BF0" w:rsidP="00C324D9">
            <w:pPr>
              <w:jc w:val="center"/>
              <w:rPr>
                <w:rFonts w:ascii="Times New Roman" w:hAnsi="Times New Roman"/>
                <w:lang w:val="lv-LV"/>
              </w:rPr>
            </w:pPr>
            <w:r>
              <w:rPr>
                <w:rFonts w:ascii="Times New Roman" w:hAnsi="Times New Roman"/>
                <w:lang w:val="lv-LV"/>
              </w:rPr>
              <w:t>Gads</w:t>
            </w:r>
          </w:p>
        </w:tc>
      </w:tr>
      <w:tr w:rsidR="00A9482F" w:rsidRPr="00AE40CC" w:rsidTr="002D7347">
        <w:tc>
          <w:tcPr>
            <w:tcW w:w="1469" w:type="dxa"/>
            <w:vAlign w:val="center"/>
          </w:tcPr>
          <w:p w:rsidR="00A9482F" w:rsidRPr="00AE40CC" w:rsidRDefault="00570BF0" w:rsidP="00A9482F">
            <w:pPr>
              <w:rPr>
                <w:rFonts w:ascii="Times New Roman" w:hAnsi="Times New Roman"/>
                <w:lang w:val="lv-LV"/>
              </w:rPr>
            </w:pPr>
            <w:r>
              <w:rPr>
                <w:rFonts w:ascii="Times New Roman" w:hAnsi="Times New Roman"/>
                <w:lang w:val="lv-LV"/>
              </w:rPr>
              <w:t>Datums</w:t>
            </w:r>
          </w:p>
        </w:tc>
        <w:tc>
          <w:tcPr>
            <w:tcW w:w="1018" w:type="dxa"/>
            <w:vAlign w:val="center"/>
          </w:tcPr>
          <w:p w:rsidR="00A9482F" w:rsidRPr="00AE40CC" w:rsidRDefault="00A9482F" w:rsidP="00A9482F">
            <w:pPr>
              <w:jc w:val="center"/>
              <w:rPr>
                <w:rFonts w:ascii="Times New Roman" w:hAnsi="Times New Roman"/>
                <w:lang w:val="lv-LV"/>
              </w:rPr>
            </w:pPr>
          </w:p>
        </w:tc>
        <w:tc>
          <w:tcPr>
            <w:tcW w:w="1329" w:type="dxa"/>
            <w:vAlign w:val="center"/>
          </w:tcPr>
          <w:p w:rsidR="00A9482F" w:rsidRPr="00AE40CC" w:rsidRDefault="00A9482F" w:rsidP="00A9482F">
            <w:pPr>
              <w:jc w:val="center"/>
              <w:rPr>
                <w:rFonts w:ascii="Times New Roman" w:hAnsi="Times New Roman"/>
                <w:lang w:val="lv-LV"/>
              </w:rPr>
            </w:pPr>
          </w:p>
        </w:tc>
        <w:tc>
          <w:tcPr>
            <w:tcW w:w="1024" w:type="dxa"/>
            <w:vAlign w:val="center"/>
          </w:tcPr>
          <w:p w:rsidR="00A9482F" w:rsidRPr="00AE40CC" w:rsidRDefault="00570BF0" w:rsidP="00A9482F">
            <w:pPr>
              <w:jc w:val="center"/>
              <w:rPr>
                <w:rFonts w:ascii="Times New Roman" w:hAnsi="Times New Roman"/>
                <w:lang w:val="lv-LV"/>
              </w:rPr>
            </w:pPr>
            <w:r>
              <w:rPr>
                <w:rFonts w:ascii="Times New Roman" w:hAnsi="Times New Roman"/>
                <w:lang w:val="lv-LV"/>
              </w:rPr>
              <w:t>2012</w:t>
            </w:r>
          </w:p>
        </w:tc>
        <w:tc>
          <w:tcPr>
            <w:tcW w:w="236" w:type="dxa"/>
            <w:vAlign w:val="center"/>
          </w:tcPr>
          <w:p w:rsidR="00A9482F" w:rsidRPr="00AE40CC" w:rsidRDefault="00A9482F" w:rsidP="00A9482F">
            <w:pPr>
              <w:jc w:val="center"/>
              <w:rPr>
                <w:rFonts w:ascii="Times New Roman" w:hAnsi="Times New Roman"/>
                <w:lang w:val="lv-LV"/>
              </w:rPr>
            </w:pPr>
          </w:p>
        </w:tc>
        <w:tc>
          <w:tcPr>
            <w:tcW w:w="1018" w:type="dxa"/>
            <w:vAlign w:val="center"/>
          </w:tcPr>
          <w:p w:rsidR="00A9482F" w:rsidRPr="00AE40CC" w:rsidRDefault="00A9482F" w:rsidP="00A9482F">
            <w:pPr>
              <w:jc w:val="center"/>
              <w:rPr>
                <w:rFonts w:ascii="Times New Roman" w:hAnsi="Times New Roman"/>
                <w:lang w:val="lv-LV"/>
              </w:rPr>
            </w:pPr>
          </w:p>
        </w:tc>
        <w:tc>
          <w:tcPr>
            <w:tcW w:w="1044" w:type="dxa"/>
            <w:vAlign w:val="center"/>
          </w:tcPr>
          <w:p w:rsidR="00A9482F" w:rsidRPr="00AE40CC" w:rsidRDefault="00A9482F" w:rsidP="00A9482F">
            <w:pPr>
              <w:jc w:val="center"/>
              <w:rPr>
                <w:rFonts w:ascii="Times New Roman" w:hAnsi="Times New Roman"/>
                <w:lang w:val="lv-LV"/>
              </w:rPr>
            </w:pPr>
          </w:p>
        </w:tc>
        <w:tc>
          <w:tcPr>
            <w:tcW w:w="1358" w:type="dxa"/>
            <w:vAlign w:val="center"/>
          </w:tcPr>
          <w:p w:rsidR="00A9482F" w:rsidRPr="00AE40CC" w:rsidRDefault="00A9482F" w:rsidP="00A9482F">
            <w:pPr>
              <w:jc w:val="center"/>
              <w:rPr>
                <w:rFonts w:ascii="Times New Roman" w:hAnsi="Times New Roman"/>
                <w:lang w:val="lv-LV"/>
              </w:rPr>
            </w:pPr>
          </w:p>
        </w:tc>
      </w:tr>
    </w:tbl>
    <w:p w:rsidR="00A9482F" w:rsidRPr="00AE40CC" w:rsidRDefault="00A9482F" w:rsidP="00A9482F">
      <w:pPr>
        <w:spacing w:after="0"/>
        <w:rPr>
          <w:rFonts w:ascii="Times New Roman" w:hAnsi="Times New Roman"/>
          <w:lang w:val="lv-LV"/>
        </w:rPr>
      </w:pPr>
    </w:p>
    <w:p w:rsidR="001C69A0" w:rsidRPr="00AE40CC" w:rsidRDefault="00570BF0" w:rsidP="001C69A0">
      <w:pPr>
        <w:rPr>
          <w:rFonts w:ascii="Times New Roman" w:hAnsi="Times New Roman"/>
          <w:b/>
          <w:lang w:val="lv-LV"/>
        </w:rPr>
      </w:pPr>
      <w:r>
        <w:rPr>
          <w:rFonts w:ascii="Times New Roman" w:hAnsi="Times New Roman"/>
          <w:b/>
          <w:lang w:val="lv-LV"/>
        </w:rPr>
        <w:t>Vadošā iestāde</w:t>
      </w:r>
    </w:p>
    <w:p w:rsidR="00A9482F" w:rsidRPr="00AE40CC" w:rsidRDefault="00570BF0" w:rsidP="00131295">
      <w:pPr>
        <w:spacing w:after="0"/>
        <w:jc w:val="both"/>
        <w:rPr>
          <w:rFonts w:ascii="Times New Roman" w:hAnsi="Times New Roman"/>
          <w:lang w:val="lv-LV"/>
        </w:rPr>
      </w:pPr>
      <w:r>
        <w:rPr>
          <w:rFonts w:ascii="Times New Roman" w:hAnsi="Times New Roman"/>
          <w:lang w:val="lv-LV"/>
        </w:rPr>
        <w:t>Es apstiprinu, ka esmu pilnvarots parakstīt šo iesniegumu vadošās iestādes vārdā, ka esmu rūpīgi iepazinies ar visiem apgalvojumiem un informāciju šajā iesniegumā un ka tie atbilst Saprašanās memorandam.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1018"/>
        <w:gridCol w:w="1329"/>
        <w:gridCol w:w="1024"/>
        <w:gridCol w:w="236"/>
        <w:gridCol w:w="1018"/>
        <w:gridCol w:w="1044"/>
        <w:gridCol w:w="1358"/>
      </w:tblGrid>
      <w:tr w:rsidR="00A9482F" w:rsidRPr="00AE40CC" w:rsidTr="001C69A0">
        <w:tc>
          <w:tcPr>
            <w:tcW w:w="1469" w:type="dxa"/>
            <w:tcBorders>
              <w:top w:val="nil"/>
              <w:left w:val="nil"/>
              <w:bottom w:val="single" w:sz="4" w:space="0" w:color="auto"/>
              <w:right w:val="nil"/>
            </w:tcBorders>
            <w:vAlign w:val="center"/>
          </w:tcPr>
          <w:p w:rsidR="00A9482F" w:rsidRPr="00AE40CC" w:rsidRDefault="00A9482F" w:rsidP="00A9482F">
            <w:pPr>
              <w:jc w:val="center"/>
              <w:rPr>
                <w:rFonts w:ascii="Times New Roman" w:hAnsi="Times New Roman"/>
                <w:lang w:val="lv-LV"/>
              </w:rPr>
            </w:pPr>
          </w:p>
        </w:tc>
        <w:tc>
          <w:tcPr>
            <w:tcW w:w="3371" w:type="dxa"/>
            <w:gridSpan w:val="3"/>
            <w:tcBorders>
              <w:top w:val="nil"/>
              <w:left w:val="nil"/>
              <w:bottom w:val="single" w:sz="4" w:space="0" w:color="auto"/>
              <w:right w:val="single" w:sz="4" w:space="0" w:color="auto"/>
            </w:tcBorders>
            <w:vAlign w:val="center"/>
          </w:tcPr>
          <w:p w:rsidR="00A9482F" w:rsidRPr="00AE40CC" w:rsidRDefault="00A9482F" w:rsidP="00A9482F">
            <w:pPr>
              <w:jc w:val="center"/>
              <w:rPr>
                <w:rFonts w:ascii="Times New Roman" w:hAnsi="Times New Roman"/>
                <w:lang w:val="lv-LV"/>
              </w:rPr>
            </w:pPr>
          </w:p>
        </w:tc>
        <w:tc>
          <w:tcPr>
            <w:tcW w:w="236" w:type="dxa"/>
            <w:tcBorders>
              <w:top w:val="single" w:sz="4" w:space="0" w:color="auto"/>
              <w:left w:val="single" w:sz="4" w:space="0" w:color="auto"/>
              <w:bottom w:val="single" w:sz="4" w:space="0" w:color="auto"/>
            </w:tcBorders>
            <w:vAlign w:val="center"/>
          </w:tcPr>
          <w:p w:rsidR="00A9482F" w:rsidRPr="00AE40CC" w:rsidRDefault="00A9482F" w:rsidP="00A9482F">
            <w:pPr>
              <w:jc w:val="center"/>
              <w:rPr>
                <w:rFonts w:ascii="Times New Roman" w:hAnsi="Times New Roman"/>
                <w:lang w:val="lv-LV"/>
              </w:rPr>
            </w:pPr>
          </w:p>
        </w:tc>
        <w:tc>
          <w:tcPr>
            <w:tcW w:w="3420" w:type="dxa"/>
            <w:gridSpan w:val="3"/>
            <w:tcBorders>
              <w:bottom w:val="single" w:sz="4" w:space="0" w:color="auto"/>
            </w:tcBorders>
            <w:vAlign w:val="center"/>
          </w:tcPr>
          <w:p w:rsidR="00A9482F" w:rsidRPr="00AE40CC" w:rsidRDefault="00570BF0" w:rsidP="00A9482F">
            <w:pPr>
              <w:jc w:val="center"/>
              <w:rPr>
                <w:rFonts w:ascii="Times New Roman" w:hAnsi="Times New Roman"/>
                <w:lang w:val="lv-LV"/>
              </w:rPr>
            </w:pPr>
            <w:r>
              <w:rPr>
                <w:rFonts w:ascii="Times New Roman" w:hAnsi="Times New Roman"/>
                <w:lang w:val="lv-LV"/>
              </w:rPr>
              <w:t>Iespējams otrs paraksts</w:t>
            </w:r>
          </w:p>
        </w:tc>
      </w:tr>
      <w:tr w:rsidR="001C69A0" w:rsidRPr="00AE40CC" w:rsidTr="001C69A0">
        <w:tc>
          <w:tcPr>
            <w:tcW w:w="1469" w:type="dxa"/>
            <w:vAlign w:val="center"/>
          </w:tcPr>
          <w:p w:rsidR="001C69A0" w:rsidRPr="00AE40CC" w:rsidRDefault="00570BF0" w:rsidP="00C324D9">
            <w:pPr>
              <w:rPr>
                <w:rFonts w:ascii="Times New Roman" w:hAnsi="Times New Roman"/>
                <w:lang w:val="lv-LV"/>
              </w:rPr>
            </w:pPr>
            <w:r>
              <w:rPr>
                <w:rFonts w:ascii="Times New Roman" w:hAnsi="Times New Roman"/>
                <w:lang w:val="lv-LV"/>
              </w:rPr>
              <w:t>Vārds, Uzvārds</w:t>
            </w:r>
          </w:p>
        </w:tc>
        <w:tc>
          <w:tcPr>
            <w:tcW w:w="3371" w:type="dxa"/>
            <w:gridSpan w:val="3"/>
            <w:vAlign w:val="center"/>
          </w:tcPr>
          <w:p w:rsidR="001C69A0" w:rsidRPr="00AE40CC" w:rsidRDefault="00570BF0" w:rsidP="00B530A2">
            <w:pPr>
              <w:jc w:val="center"/>
              <w:rPr>
                <w:rFonts w:ascii="Times New Roman" w:hAnsi="Times New Roman"/>
                <w:lang w:val="lv-LV"/>
              </w:rPr>
            </w:pPr>
            <w:r>
              <w:rPr>
                <w:rFonts w:ascii="Times New Roman" w:hAnsi="Times New Roman"/>
                <w:lang w:val="lv-LV"/>
              </w:rPr>
              <w:t>Aleksandrs Antonovs</w:t>
            </w:r>
          </w:p>
        </w:tc>
        <w:tc>
          <w:tcPr>
            <w:tcW w:w="236" w:type="dxa"/>
            <w:vAlign w:val="center"/>
          </w:tcPr>
          <w:p w:rsidR="001C69A0" w:rsidRPr="00AE40CC" w:rsidRDefault="001C69A0" w:rsidP="00A9482F">
            <w:pPr>
              <w:jc w:val="center"/>
              <w:rPr>
                <w:rFonts w:ascii="Times New Roman" w:hAnsi="Times New Roman"/>
                <w:lang w:val="lv-LV"/>
              </w:rPr>
            </w:pPr>
          </w:p>
        </w:tc>
        <w:tc>
          <w:tcPr>
            <w:tcW w:w="3420" w:type="dxa"/>
            <w:gridSpan w:val="3"/>
            <w:vAlign w:val="center"/>
          </w:tcPr>
          <w:p w:rsidR="001C69A0" w:rsidRPr="00AE40CC" w:rsidRDefault="001C69A0" w:rsidP="00A9482F">
            <w:pPr>
              <w:jc w:val="center"/>
              <w:rPr>
                <w:rFonts w:ascii="Times New Roman" w:hAnsi="Times New Roman"/>
                <w:lang w:val="lv-LV"/>
              </w:rPr>
            </w:pPr>
          </w:p>
        </w:tc>
      </w:tr>
      <w:tr w:rsidR="001C69A0" w:rsidRPr="00AE40CC" w:rsidTr="001C69A0">
        <w:tc>
          <w:tcPr>
            <w:tcW w:w="1469" w:type="dxa"/>
            <w:vAlign w:val="center"/>
          </w:tcPr>
          <w:p w:rsidR="001C69A0" w:rsidRPr="00AE40CC" w:rsidRDefault="00570BF0" w:rsidP="00C324D9">
            <w:pPr>
              <w:rPr>
                <w:rFonts w:ascii="Times New Roman" w:hAnsi="Times New Roman"/>
                <w:lang w:val="lv-LV"/>
              </w:rPr>
            </w:pPr>
            <w:r>
              <w:rPr>
                <w:rFonts w:ascii="Times New Roman" w:hAnsi="Times New Roman"/>
                <w:lang w:val="lv-LV"/>
              </w:rPr>
              <w:t>Amats</w:t>
            </w:r>
          </w:p>
        </w:tc>
        <w:tc>
          <w:tcPr>
            <w:tcW w:w="3371" w:type="dxa"/>
            <w:gridSpan w:val="3"/>
            <w:vAlign w:val="center"/>
          </w:tcPr>
          <w:p w:rsidR="001C69A0" w:rsidRPr="00AE40CC" w:rsidRDefault="00570BF0" w:rsidP="001C69A0">
            <w:pPr>
              <w:jc w:val="center"/>
              <w:rPr>
                <w:rFonts w:ascii="Times New Roman" w:hAnsi="Times New Roman"/>
                <w:lang w:val="lv-LV"/>
              </w:rPr>
            </w:pPr>
            <w:r>
              <w:rPr>
                <w:rFonts w:ascii="Times New Roman" w:hAnsi="Times New Roman"/>
                <w:lang w:val="lv-LV"/>
              </w:rPr>
              <w:t xml:space="preserve">Nacionālās vadošās iestādes vadītājs </w:t>
            </w:r>
          </w:p>
        </w:tc>
        <w:tc>
          <w:tcPr>
            <w:tcW w:w="236" w:type="dxa"/>
            <w:vAlign w:val="center"/>
          </w:tcPr>
          <w:p w:rsidR="001C69A0" w:rsidRPr="00AE40CC" w:rsidRDefault="001C69A0" w:rsidP="00A9482F">
            <w:pPr>
              <w:jc w:val="center"/>
              <w:rPr>
                <w:rFonts w:ascii="Times New Roman" w:hAnsi="Times New Roman"/>
                <w:lang w:val="lv-LV"/>
              </w:rPr>
            </w:pPr>
          </w:p>
        </w:tc>
        <w:tc>
          <w:tcPr>
            <w:tcW w:w="3420" w:type="dxa"/>
            <w:gridSpan w:val="3"/>
            <w:vAlign w:val="center"/>
          </w:tcPr>
          <w:p w:rsidR="001C69A0" w:rsidRPr="00AE40CC" w:rsidRDefault="001C69A0" w:rsidP="00A9482F">
            <w:pPr>
              <w:jc w:val="center"/>
              <w:rPr>
                <w:rFonts w:ascii="Times New Roman" w:hAnsi="Times New Roman"/>
                <w:lang w:val="lv-LV"/>
              </w:rPr>
            </w:pPr>
          </w:p>
        </w:tc>
      </w:tr>
      <w:tr w:rsidR="001C69A0" w:rsidRPr="00AE40CC" w:rsidTr="001C69A0">
        <w:tc>
          <w:tcPr>
            <w:tcW w:w="1469" w:type="dxa"/>
            <w:vAlign w:val="center"/>
          </w:tcPr>
          <w:p w:rsidR="001C69A0" w:rsidRPr="00AE40CC" w:rsidRDefault="00570BF0" w:rsidP="00C324D9">
            <w:pPr>
              <w:rPr>
                <w:rFonts w:ascii="Times New Roman" w:hAnsi="Times New Roman"/>
                <w:lang w:val="lv-LV"/>
              </w:rPr>
            </w:pPr>
            <w:r>
              <w:rPr>
                <w:rFonts w:ascii="Times New Roman" w:hAnsi="Times New Roman"/>
                <w:lang w:val="lv-LV"/>
              </w:rPr>
              <w:t>Organizācija</w:t>
            </w:r>
          </w:p>
        </w:tc>
        <w:tc>
          <w:tcPr>
            <w:tcW w:w="3371" w:type="dxa"/>
            <w:gridSpan w:val="3"/>
            <w:vAlign w:val="center"/>
          </w:tcPr>
          <w:p w:rsidR="001C69A0" w:rsidRPr="00AE40CC" w:rsidRDefault="00570BF0" w:rsidP="001C69A0">
            <w:pPr>
              <w:jc w:val="center"/>
              <w:rPr>
                <w:rFonts w:ascii="Times New Roman" w:hAnsi="Times New Roman"/>
                <w:lang w:val="lv-LV"/>
              </w:rPr>
            </w:pPr>
            <w:r>
              <w:rPr>
                <w:rFonts w:ascii="Times New Roman" w:hAnsi="Times New Roman"/>
                <w:lang w:val="lv-LV"/>
              </w:rPr>
              <w:t xml:space="preserve">Finanšu Ministrija </w:t>
            </w:r>
          </w:p>
        </w:tc>
        <w:tc>
          <w:tcPr>
            <w:tcW w:w="236" w:type="dxa"/>
            <w:vAlign w:val="center"/>
          </w:tcPr>
          <w:p w:rsidR="001C69A0" w:rsidRPr="00AE40CC" w:rsidRDefault="001C69A0" w:rsidP="00A9482F">
            <w:pPr>
              <w:jc w:val="center"/>
              <w:rPr>
                <w:rFonts w:ascii="Times New Roman" w:hAnsi="Times New Roman"/>
                <w:lang w:val="lv-LV"/>
              </w:rPr>
            </w:pPr>
          </w:p>
        </w:tc>
        <w:tc>
          <w:tcPr>
            <w:tcW w:w="3420" w:type="dxa"/>
            <w:gridSpan w:val="3"/>
            <w:vAlign w:val="center"/>
          </w:tcPr>
          <w:p w:rsidR="001C69A0" w:rsidRPr="00AE40CC" w:rsidRDefault="001C69A0" w:rsidP="00A9482F">
            <w:pPr>
              <w:jc w:val="center"/>
              <w:rPr>
                <w:rFonts w:ascii="Times New Roman" w:hAnsi="Times New Roman"/>
                <w:lang w:val="lv-LV"/>
              </w:rPr>
            </w:pPr>
          </w:p>
        </w:tc>
      </w:tr>
      <w:tr w:rsidR="001C69A0" w:rsidRPr="00AE40CC" w:rsidTr="001C69A0">
        <w:tc>
          <w:tcPr>
            <w:tcW w:w="1469" w:type="dxa"/>
            <w:vAlign w:val="center"/>
          </w:tcPr>
          <w:p w:rsidR="001C69A0" w:rsidRPr="00AE40CC" w:rsidRDefault="00570BF0" w:rsidP="00C324D9">
            <w:pPr>
              <w:rPr>
                <w:rFonts w:ascii="Times New Roman" w:hAnsi="Times New Roman"/>
                <w:lang w:val="lv-LV"/>
              </w:rPr>
            </w:pPr>
            <w:r>
              <w:rPr>
                <w:rFonts w:ascii="Times New Roman" w:hAnsi="Times New Roman"/>
                <w:lang w:val="lv-LV"/>
              </w:rPr>
              <w:t>Paraksts</w:t>
            </w:r>
          </w:p>
        </w:tc>
        <w:tc>
          <w:tcPr>
            <w:tcW w:w="3371" w:type="dxa"/>
            <w:gridSpan w:val="3"/>
            <w:vAlign w:val="center"/>
          </w:tcPr>
          <w:p w:rsidR="001C69A0" w:rsidRPr="00AE40CC" w:rsidRDefault="001C69A0" w:rsidP="00A9482F">
            <w:pPr>
              <w:jc w:val="center"/>
              <w:rPr>
                <w:rFonts w:ascii="Times New Roman" w:hAnsi="Times New Roman"/>
                <w:lang w:val="lv-LV"/>
              </w:rPr>
            </w:pPr>
          </w:p>
          <w:p w:rsidR="001C69A0" w:rsidRPr="00AE40CC" w:rsidRDefault="001C69A0" w:rsidP="00A9482F">
            <w:pPr>
              <w:jc w:val="center"/>
              <w:rPr>
                <w:rFonts w:ascii="Times New Roman" w:hAnsi="Times New Roman"/>
                <w:lang w:val="lv-LV"/>
              </w:rPr>
            </w:pPr>
          </w:p>
        </w:tc>
        <w:tc>
          <w:tcPr>
            <w:tcW w:w="236" w:type="dxa"/>
            <w:vAlign w:val="center"/>
          </w:tcPr>
          <w:p w:rsidR="001C69A0" w:rsidRPr="00AE40CC" w:rsidRDefault="001C69A0" w:rsidP="00A9482F">
            <w:pPr>
              <w:jc w:val="center"/>
              <w:rPr>
                <w:rFonts w:ascii="Times New Roman" w:hAnsi="Times New Roman"/>
                <w:lang w:val="lv-LV"/>
              </w:rPr>
            </w:pPr>
          </w:p>
        </w:tc>
        <w:tc>
          <w:tcPr>
            <w:tcW w:w="3420" w:type="dxa"/>
            <w:gridSpan w:val="3"/>
            <w:vAlign w:val="center"/>
          </w:tcPr>
          <w:p w:rsidR="001C69A0" w:rsidRPr="00AE40CC" w:rsidRDefault="001C69A0" w:rsidP="00A9482F">
            <w:pPr>
              <w:jc w:val="center"/>
              <w:rPr>
                <w:rFonts w:ascii="Times New Roman" w:hAnsi="Times New Roman"/>
                <w:lang w:val="lv-LV"/>
              </w:rPr>
            </w:pPr>
          </w:p>
        </w:tc>
      </w:tr>
      <w:tr w:rsidR="001C69A0" w:rsidRPr="00AE40CC" w:rsidTr="001C69A0">
        <w:tc>
          <w:tcPr>
            <w:tcW w:w="1469" w:type="dxa"/>
            <w:vAlign w:val="center"/>
          </w:tcPr>
          <w:p w:rsidR="001C69A0" w:rsidRPr="00AE40CC" w:rsidRDefault="001C69A0" w:rsidP="00C324D9">
            <w:pPr>
              <w:rPr>
                <w:rFonts w:ascii="Times New Roman" w:hAnsi="Times New Roman"/>
                <w:lang w:val="lv-LV"/>
              </w:rPr>
            </w:pPr>
          </w:p>
        </w:tc>
        <w:tc>
          <w:tcPr>
            <w:tcW w:w="1018" w:type="dxa"/>
            <w:vAlign w:val="center"/>
          </w:tcPr>
          <w:p w:rsidR="001C69A0" w:rsidRPr="00AE40CC" w:rsidRDefault="00570BF0" w:rsidP="00C324D9">
            <w:pPr>
              <w:jc w:val="center"/>
              <w:rPr>
                <w:rFonts w:ascii="Times New Roman" w:hAnsi="Times New Roman"/>
                <w:lang w:val="lv-LV"/>
              </w:rPr>
            </w:pPr>
            <w:r>
              <w:rPr>
                <w:rFonts w:ascii="Times New Roman" w:hAnsi="Times New Roman"/>
                <w:lang w:val="lv-LV"/>
              </w:rPr>
              <w:t>Diena</w:t>
            </w:r>
          </w:p>
        </w:tc>
        <w:tc>
          <w:tcPr>
            <w:tcW w:w="1329" w:type="dxa"/>
            <w:vAlign w:val="center"/>
          </w:tcPr>
          <w:p w:rsidR="001C69A0" w:rsidRPr="00AE40CC" w:rsidRDefault="00570BF0" w:rsidP="00C324D9">
            <w:pPr>
              <w:jc w:val="center"/>
              <w:rPr>
                <w:rFonts w:ascii="Times New Roman" w:hAnsi="Times New Roman"/>
                <w:lang w:val="lv-LV"/>
              </w:rPr>
            </w:pPr>
            <w:r>
              <w:rPr>
                <w:rFonts w:ascii="Times New Roman" w:hAnsi="Times New Roman"/>
                <w:lang w:val="lv-LV"/>
              </w:rPr>
              <w:t>Mēnesis</w:t>
            </w:r>
          </w:p>
        </w:tc>
        <w:tc>
          <w:tcPr>
            <w:tcW w:w="1024" w:type="dxa"/>
            <w:vAlign w:val="center"/>
          </w:tcPr>
          <w:p w:rsidR="001C69A0" w:rsidRPr="00AE40CC" w:rsidRDefault="00570BF0" w:rsidP="00C324D9">
            <w:pPr>
              <w:jc w:val="center"/>
              <w:rPr>
                <w:rFonts w:ascii="Times New Roman" w:hAnsi="Times New Roman"/>
                <w:lang w:val="lv-LV"/>
              </w:rPr>
            </w:pPr>
            <w:r>
              <w:rPr>
                <w:rFonts w:ascii="Times New Roman" w:hAnsi="Times New Roman"/>
                <w:lang w:val="lv-LV"/>
              </w:rPr>
              <w:t>Gads</w:t>
            </w:r>
          </w:p>
        </w:tc>
        <w:tc>
          <w:tcPr>
            <w:tcW w:w="236" w:type="dxa"/>
            <w:vAlign w:val="center"/>
          </w:tcPr>
          <w:p w:rsidR="001C69A0" w:rsidRPr="00AE40CC" w:rsidRDefault="001C69A0" w:rsidP="00C324D9">
            <w:pPr>
              <w:jc w:val="center"/>
              <w:rPr>
                <w:rFonts w:ascii="Times New Roman" w:hAnsi="Times New Roman"/>
                <w:lang w:val="lv-LV"/>
              </w:rPr>
            </w:pPr>
          </w:p>
        </w:tc>
        <w:tc>
          <w:tcPr>
            <w:tcW w:w="1018" w:type="dxa"/>
            <w:vAlign w:val="center"/>
          </w:tcPr>
          <w:p w:rsidR="001C69A0" w:rsidRPr="00AE40CC" w:rsidRDefault="00570BF0" w:rsidP="00C324D9">
            <w:pPr>
              <w:jc w:val="center"/>
              <w:rPr>
                <w:rFonts w:ascii="Times New Roman" w:hAnsi="Times New Roman"/>
                <w:lang w:val="lv-LV"/>
              </w:rPr>
            </w:pPr>
            <w:r>
              <w:rPr>
                <w:rFonts w:ascii="Times New Roman" w:hAnsi="Times New Roman"/>
                <w:lang w:val="lv-LV"/>
              </w:rPr>
              <w:t>Diena</w:t>
            </w:r>
          </w:p>
        </w:tc>
        <w:tc>
          <w:tcPr>
            <w:tcW w:w="1044" w:type="dxa"/>
            <w:vAlign w:val="center"/>
          </w:tcPr>
          <w:p w:rsidR="001C69A0" w:rsidRPr="00AE40CC" w:rsidRDefault="00570BF0" w:rsidP="00C324D9">
            <w:pPr>
              <w:jc w:val="center"/>
              <w:rPr>
                <w:rFonts w:ascii="Times New Roman" w:hAnsi="Times New Roman"/>
                <w:lang w:val="lv-LV"/>
              </w:rPr>
            </w:pPr>
            <w:r>
              <w:rPr>
                <w:rFonts w:ascii="Times New Roman" w:hAnsi="Times New Roman"/>
                <w:lang w:val="lv-LV"/>
              </w:rPr>
              <w:t>Mēnesis</w:t>
            </w:r>
          </w:p>
        </w:tc>
        <w:tc>
          <w:tcPr>
            <w:tcW w:w="1358" w:type="dxa"/>
            <w:vAlign w:val="center"/>
          </w:tcPr>
          <w:p w:rsidR="001C69A0" w:rsidRPr="00AE40CC" w:rsidRDefault="00570BF0" w:rsidP="00C324D9">
            <w:pPr>
              <w:jc w:val="center"/>
              <w:rPr>
                <w:rFonts w:ascii="Times New Roman" w:hAnsi="Times New Roman"/>
                <w:lang w:val="lv-LV"/>
              </w:rPr>
            </w:pPr>
            <w:r>
              <w:rPr>
                <w:rFonts w:ascii="Times New Roman" w:hAnsi="Times New Roman"/>
                <w:lang w:val="lv-LV"/>
              </w:rPr>
              <w:t>Gads</w:t>
            </w:r>
          </w:p>
        </w:tc>
      </w:tr>
      <w:tr w:rsidR="001C69A0" w:rsidRPr="001667A1" w:rsidTr="001C69A0">
        <w:tc>
          <w:tcPr>
            <w:tcW w:w="1469" w:type="dxa"/>
            <w:vAlign w:val="center"/>
          </w:tcPr>
          <w:p w:rsidR="001C69A0" w:rsidRPr="00AE40CC" w:rsidRDefault="00570BF0" w:rsidP="00C324D9">
            <w:pPr>
              <w:rPr>
                <w:rFonts w:ascii="Times New Roman" w:hAnsi="Times New Roman"/>
                <w:lang w:val="lv-LV"/>
              </w:rPr>
            </w:pPr>
            <w:r>
              <w:rPr>
                <w:rFonts w:ascii="Times New Roman" w:hAnsi="Times New Roman"/>
                <w:lang w:val="lv-LV"/>
              </w:rPr>
              <w:t>Datums</w:t>
            </w:r>
          </w:p>
        </w:tc>
        <w:tc>
          <w:tcPr>
            <w:tcW w:w="1018" w:type="dxa"/>
            <w:vAlign w:val="center"/>
          </w:tcPr>
          <w:p w:rsidR="001C69A0" w:rsidRPr="00AE40CC" w:rsidRDefault="001C69A0" w:rsidP="00C324D9">
            <w:pPr>
              <w:jc w:val="center"/>
              <w:rPr>
                <w:rFonts w:ascii="Times New Roman" w:hAnsi="Times New Roman"/>
                <w:lang w:val="lv-LV"/>
              </w:rPr>
            </w:pPr>
          </w:p>
        </w:tc>
        <w:tc>
          <w:tcPr>
            <w:tcW w:w="1329" w:type="dxa"/>
            <w:vAlign w:val="center"/>
          </w:tcPr>
          <w:p w:rsidR="001C69A0" w:rsidRPr="00AE40CC" w:rsidRDefault="001C69A0" w:rsidP="00C324D9">
            <w:pPr>
              <w:jc w:val="center"/>
              <w:rPr>
                <w:rFonts w:ascii="Times New Roman" w:hAnsi="Times New Roman"/>
                <w:lang w:val="lv-LV"/>
              </w:rPr>
            </w:pPr>
          </w:p>
        </w:tc>
        <w:tc>
          <w:tcPr>
            <w:tcW w:w="1024" w:type="dxa"/>
            <w:vAlign w:val="center"/>
          </w:tcPr>
          <w:p w:rsidR="001C69A0" w:rsidRPr="001667A1" w:rsidRDefault="00570BF0" w:rsidP="00C324D9">
            <w:pPr>
              <w:jc w:val="center"/>
              <w:rPr>
                <w:rFonts w:ascii="Times New Roman" w:hAnsi="Times New Roman"/>
                <w:lang w:val="lv-LV"/>
              </w:rPr>
            </w:pPr>
            <w:r>
              <w:rPr>
                <w:rFonts w:ascii="Times New Roman" w:hAnsi="Times New Roman"/>
                <w:lang w:val="lv-LV"/>
              </w:rPr>
              <w:t>2012</w:t>
            </w:r>
          </w:p>
        </w:tc>
        <w:tc>
          <w:tcPr>
            <w:tcW w:w="236" w:type="dxa"/>
            <w:vAlign w:val="center"/>
          </w:tcPr>
          <w:p w:rsidR="001C69A0" w:rsidRPr="001667A1" w:rsidRDefault="001C69A0" w:rsidP="00C324D9">
            <w:pPr>
              <w:jc w:val="center"/>
              <w:rPr>
                <w:rFonts w:ascii="Times New Roman" w:hAnsi="Times New Roman"/>
                <w:lang w:val="lv-LV"/>
              </w:rPr>
            </w:pPr>
          </w:p>
        </w:tc>
        <w:tc>
          <w:tcPr>
            <w:tcW w:w="1018" w:type="dxa"/>
            <w:vAlign w:val="center"/>
          </w:tcPr>
          <w:p w:rsidR="001C69A0" w:rsidRPr="001667A1" w:rsidRDefault="001C69A0" w:rsidP="00C324D9">
            <w:pPr>
              <w:jc w:val="center"/>
              <w:rPr>
                <w:rFonts w:ascii="Times New Roman" w:hAnsi="Times New Roman"/>
                <w:lang w:val="lv-LV"/>
              </w:rPr>
            </w:pPr>
          </w:p>
        </w:tc>
        <w:tc>
          <w:tcPr>
            <w:tcW w:w="1044" w:type="dxa"/>
            <w:vAlign w:val="center"/>
          </w:tcPr>
          <w:p w:rsidR="001C69A0" w:rsidRPr="001667A1" w:rsidRDefault="001C69A0" w:rsidP="00C324D9">
            <w:pPr>
              <w:jc w:val="center"/>
              <w:rPr>
                <w:rFonts w:ascii="Times New Roman" w:hAnsi="Times New Roman"/>
                <w:lang w:val="lv-LV"/>
              </w:rPr>
            </w:pPr>
          </w:p>
        </w:tc>
        <w:tc>
          <w:tcPr>
            <w:tcW w:w="1358" w:type="dxa"/>
            <w:vAlign w:val="center"/>
          </w:tcPr>
          <w:p w:rsidR="001C69A0" w:rsidRPr="001667A1" w:rsidRDefault="001C69A0" w:rsidP="00C324D9">
            <w:pPr>
              <w:jc w:val="center"/>
              <w:rPr>
                <w:rFonts w:ascii="Times New Roman" w:hAnsi="Times New Roman"/>
                <w:lang w:val="lv-LV"/>
              </w:rPr>
            </w:pPr>
          </w:p>
        </w:tc>
      </w:tr>
    </w:tbl>
    <w:p w:rsidR="00A9482F" w:rsidRDefault="00A9482F" w:rsidP="00E770A3">
      <w:pPr>
        <w:rPr>
          <w:rFonts w:ascii="Times New Roman" w:hAnsi="Times New Roman"/>
          <w:lang w:val="lv-LV"/>
        </w:rPr>
      </w:pPr>
    </w:p>
    <w:p w:rsidR="00BF0683" w:rsidRPr="005279AC" w:rsidRDefault="00BF0683" w:rsidP="00BF0683">
      <w:pPr>
        <w:jc w:val="both"/>
        <w:rPr>
          <w:rFonts w:ascii="Times New Roman" w:hAnsi="Times New Roman"/>
        </w:rPr>
      </w:pPr>
      <w:r>
        <w:rPr>
          <w:rFonts w:ascii="Times New Roman" w:hAnsi="Times New Roman"/>
        </w:rPr>
        <w:t>Ekonomikas</w:t>
      </w:r>
      <w:r w:rsidRPr="005279AC">
        <w:rPr>
          <w:rFonts w:ascii="Times New Roman" w:hAnsi="Times New Roman"/>
        </w:rPr>
        <w:t xml:space="preserve"> ministrs</w:t>
      </w:r>
      <w:r w:rsidRPr="005279AC">
        <w:rPr>
          <w:rFonts w:ascii="Times New Roman" w:hAnsi="Times New Roman"/>
        </w:rPr>
        <w:tab/>
      </w:r>
      <w:r w:rsidRPr="005279AC">
        <w:rPr>
          <w:rFonts w:ascii="Times New Roman" w:hAnsi="Times New Roman"/>
        </w:rPr>
        <w:tab/>
      </w:r>
      <w:r w:rsidRPr="005279AC">
        <w:rPr>
          <w:rFonts w:ascii="Times New Roman" w:hAnsi="Times New Roman"/>
        </w:rPr>
        <w:tab/>
      </w:r>
      <w:r w:rsidRPr="005279A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D.Pavļuts</w:t>
      </w:r>
    </w:p>
    <w:p w:rsidR="00BF0683" w:rsidRPr="005279AC" w:rsidRDefault="00BF0683" w:rsidP="00BF0683">
      <w:pPr>
        <w:jc w:val="both"/>
        <w:rPr>
          <w:rFonts w:ascii="Times New Roman" w:hAnsi="Times New Roman"/>
        </w:rPr>
      </w:pPr>
    </w:p>
    <w:p w:rsidR="00BF0683" w:rsidRPr="005279AC" w:rsidRDefault="00BF0683" w:rsidP="00BF0683">
      <w:pPr>
        <w:jc w:val="both"/>
        <w:rPr>
          <w:rFonts w:ascii="Times New Roman" w:hAnsi="Times New Roman"/>
        </w:rPr>
      </w:pPr>
      <w:r w:rsidRPr="005279AC">
        <w:rPr>
          <w:rFonts w:ascii="Times New Roman" w:hAnsi="Times New Roman"/>
        </w:rPr>
        <w:t xml:space="preserve">Iesniedzējs: </w:t>
      </w:r>
      <w:r>
        <w:rPr>
          <w:rFonts w:ascii="Times New Roman" w:hAnsi="Times New Roman"/>
        </w:rPr>
        <w:t>Ekonomikas ministrs</w:t>
      </w:r>
      <w:r w:rsidRPr="005279AC">
        <w:rPr>
          <w:rFonts w:ascii="Times New Roman" w:hAnsi="Times New Roman"/>
        </w:rPr>
        <w:tab/>
      </w:r>
      <w:r w:rsidRPr="005279AC">
        <w:rPr>
          <w:rFonts w:ascii="Times New Roman" w:hAnsi="Times New Roman"/>
        </w:rPr>
        <w:tab/>
      </w:r>
      <w:r w:rsidRPr="005279AC">
        <w:rPr>
          <w:rFonts w:ascii="Times New Roman" w:hAnsi="Times New Roman"/>
        </w:rPr>
        <w:tab/>
      </w:r>
      <w:r w:rsidRPr="005279AC">
        <w:rPr>
          <w:rFonts w:ascii="Times New Roman" w:hAnsi="Times New Roman"/>
        </w:rPr>
        <w:tab/>
      </w:r>
      <w:r w:rsidRPr="005279AC">
        <w:rPr>
          <w:rFonts w:ascii="Times New Roman" w:hAnsi="Times New Roman"/>
        </w:rPr>
        <w:tab/>
      </w:r>
      <w:r>
        <w:rPr>
          <w:rFonts w:ascii="Times New Roman" w:hAnsi="Times New Roman"/>
        </w:rPr>
        <w:tab/>
        <w:t>D.Pavļuts</w:t>
      </w:r>
    </w:p>
    <w:p w:rsidR="00BF0683" w:rsidRPr="005279AC" w:rsidRDefault="00BF0683" w:rsidP="00BF0683">
      <w:pPr>
        <w:jc w:val="both"/>
        <w:rPr>
          <w:rFonts w:ascii="Times New Roman" w:hAnsi="Times New Roman"/>
        </w:rPr>
      </w:pPr>
    </w:p>
    <w:p w:rsidR="00BF0683" w:rsidRPr="005279AC" w:rsidRDefault="00BF0683" w:rsidP="00BF0683">
      <w:pPr>
        <w:jc w:val="both"/>
        <w:rPr>
          <w:rFonts w:ascii="Times New Roman" w:hAnsi="Times New Roman"/>
        </w:rPr>
      </w:pPr>
      <w:r w:rsidRPr="005279AC">
        <w:rPr>
          <w:rFonts w:ascii="Times New Roman" w:hAnsi="Times New Roman"/>
        </w:rPr>
        <w:t>V</w:t>
      </w:r>
      <w:r w:rsidR="002B7757">
        <w:rPr>
          <w:rFonts w:ascii="Times New Roman" w:hAnsi="Times New Roman"/>
        </w:rPr>
        <w:t>īza</w:t>
      </w:r>
      <w:r w:rsidRPr="005279AC">
        <w:rPr>
          <w:rFonts w:ascii="Times New Roman" w:hAnsi="Times New Roman"/>
        </w:rPr>
        <w:t xml:space="preserve">: </w:t>
      </w:r>
      <w:r>
        <w:rPr>
          <w:rFonts w:ascii="Times New Roman" w:hAnsi="Times New Roman"/>
        </w:rPr>
        <w:t>Ekonomikas</w:t>
      </w:r>
      <w:r w:rsidRPr="005279AC">
        <w:rPr>
          <w:rFonts w:ascii="Times New Roman" w:hAnsi="Times New Roman"/>
        </w:rPr>
        <w:t xml:space="preserve"> ministrijas valsts sekretārs</w:t>
      </w:r>
      <w:r w:rsidRPr="005279AC">
        <w:rPr>
          <w:rFonts w:ascii="Times New Roman" w:hAnsi="Times New Roman"/>
        </w:rPr>
        <w:tab/>
      </w:r>
      <w:r w:rsidRPr="005279AC">
        <w:rPr>
          <w:rFonts w:ascii="Times New Roman" w:hAnsi="Times New Roman"/>
        </w:rPr>
        <w:tab/>
      </w:r>
      <w:r w:rsidRPr="005279AC">
        <w:rPr>
          <w:rFonts w:ascii="Times New Roman" w:hAnsi="Times New Roman"/>
        </w:rPr>
        <w:tab/>
      </w:r>
      <w:r w:rsidRPr="005279AC">
        <w:rPr>
          <w:rFonts w:ascii="Times New Roman" w:hAnsi="Times New Roman"/>
        </w:rPr>
        <w:tab/>
      </w:r>
      <w:r>
        <w:rPr>
          <w:rFonts w:ascii="Times New Roman" w:hAnsi="Times New Roman"/>
        </w:rPr>
        <w:tab/>
        <w:t>J.Pūce</w:t>
      </w:r>
    </w:p>
    <w:p w:rsidR="00BF0683" w:rsidRDefault="00BF0683" w:rsidP="00BF0683">
      <w:pPr>
        <w:rPr>
          <w:rFonts w:ascii="Times New Roman" w:hAnsi="Times New Roman"/>
          <w:lang w:val="lv-LV"/>
        </w:rPr>
      </w:pPr>
    </w:p>
    <w:p w:rsidR="00BF0683" w:rsidRDefault="00BF0683" w:rsidP="00BF0683">
      <w:pPr>
        <w:rPr>
          <w:rFonts w:ascii="Times New Roman" w:hAnsi="Times New Roman"/>
          <w:lang w:val="lv-LV"/>
        </w:rPr>
      </w:pPr>
    </w:p>
    <w:p w:rsidR="00BF0683" w:rsidRPr="009C195A" w:rsidRDefault="00C136DA" w:rsidP="00BF0683">
      <w:pPr>
        <w:spacing w:after="0"/>
        <w:rPr>
          <w:rFonts w:ascii="Times New Roman" w:hAnsi="Times New Roman"/>
          <w:sz w:val="18"/>
          <w:szCs w:val="18"/>
        </w:rPr>
      </w:pPr>
      <w:r>
        <w:rPr>
          <w:rFonts w:ascii="Times New Roman" w:hAnsi="Times New Roman"/>
          <w:sz w:val="18"/>
          <w:szCs w:val="18"/>
        </w:rPr>
        <w:t>22.02.2012 20:29</w:t>
      </w:r>
    </w:p>
    <w:p w:rsidR="00BF0683" w:rsidRPr="009C195A" w:rsidRDefault="00F34F72" w:rsidP="00BF0683">
      <w:pPr>
        <w:spacing w:after="0"/>
        <w:rPr>
          <w:rFonts w:ascii="Times New Roman" w:hAnsi="Times New Roman"/>
          <w:sz w:val="18"/>
          <w:szCs w:val="18"/>
        </w:rPr>
      </w:pPr>
      <w:fldSimple w:instr=" NUMWORDS   \* MERGEFORMAT ">
        <w:r w:rsidR="002F0F35" w:rsidRPr="002F0F35">
          <w:rPr>
            <w:rFonts w:ascii="Times New Roman" w:hAnsi="Times New Roman"/>
            <w:noProof/>
            <w:sz w:val="18"/>
            <w:szCs w:val="18"/>
          </w:rPr>
          <w:t>15827</w:t>
        </w:r>
      </w:fldSimple>
    </w:p>
    <w:p w:rsidR="00BF0683" w:rsidRPr="009C195A" w:rsidRDefault="00C501BB" w:rsidP="00BF0683">
      <w:pPr>
        <w:spacing w:after="0"/>
        <w:rPr>
          <w:rFonts w:ascii="Times New Roman" w:hAnsi="Times New Roman"/>
          <w:sz w:val="18"/>
          <w:szCs w:val="18"/>
        </w:rPr>
      </w:pPr>
      <w:r>
        <w:rPr>
          <w:rFonts w:ascii="Times New Roman" w:hAnsi="Times New Roman"/>
          <w:sz w:val="18"/>
          <w:szCs w:val="18"/>
        </w:rPr>
        <w:t>Una Vanaga</w:t>
      </w:r>
    </w:p>
    <w:p w:rsidR="00BF0683" w:rsidRPr="009C195A" w:rsidRDefault="00BF0683" w:rsidP="00BF0683">
      <w:pPr>
        <w:spacing w:after="0"/>
        <w:rPr>
          <w:rFonts w:ascii="Times New Roman" w:hAnsi="Times New Roman"/>
          <w:sz w:val="18"/>
          <w:szCs w:val="18"/>
          <w:lang w:val="lv-LV"/>
        </w:rPr>
      </w:pPr>
      <w:r w:rsidRPr="009C195A">
        <w:rPr>
          <w:rFonts w:ascii="Times New Roman" w:hAnsi="Times New Roman"/>
          <w:sz w:val="18"/>
          <w:szCs w:val="18"/>
        </w:rPr>
        <w:t>Tālr.</w:t>
      </w:r>
      <w:r w:rsidR="00A161A1">
        <w:rPr>
          <w:rFonts w:ascii="Times New Roman" w:hAnsi="Times New Roman"/>
          <w:sz w:val="18"/>
          <w:szCs w:val="18"/>
        </w:rPr>
        <w:t xml:space="preserve"> .</w:t>
      </w:r>
      <w:r w:rsidRPr="009C195A">
        <w:rPr>
          <w:rFonts w:ascii="Times New Roman" w:hAnsi="Times New Roman"/>
          <w:sz w:val="18"/>
          <w:szCs w:val="18"/>
        </w:rPr>
        <w:t xml:space="preserve"> 67013</w:t>
      </w:r>
      <w:r w:rsidR="00C501BB">
        <w:rPr>
          <w:rFonts w:ascii="Times New Roman" w:hAnsi="Times New Roman"/>
          <w:sz w:val="18"/>
          <w:szCs w:val="18"/>
        </w:rPr>
        <w:t>129</w:t>
      </w:r>
      <w:r w:rsidRPr="009C195A">
        <w:rPr>
          <w:rFonts w:ascii="Times New Roman" w:hAnsi="Times New Roman"/>
          <w:sz w:val="18"/>
          <w:szCs w:val="18"/>
        </w:rPr>
        <w:t xml:space="preserve">; </w:t>
      </w:r>
      <w:hyperlink r:id="rId16" w:history="1">
        <w:r w:rsidR="00C501BB" w:rsidRPr="00FA6541">
          <w:rPr>
            <w:rStyle w:val="Hyperlink"/>
            <w:rFonts w:ascii="Times New Roman" w:hAnsi="Times New Roman"/>
            <w:sz w:val="18"/>
            <w:szCs w:val="18"/>
          </w:rPr>
          <w:t>Una.Vanaga@em.gov.lv</w:t>
        </w:r>
      </w:hyperlink>
    </w:p>
    <w:p w:rsidR="00BF0683" w:rsidRPr="001667A1" w:rsidRDefault="00BF0683" w:rsidP="00E770A3">
      <w:pPr>
        <w:rPr>
          <w:rFonts w:ascii="Times New Roman" w:hAnsi="Times New Roman"/>
          <w:lang w:val="lv-LV"/>
        </w:rPr>
      </w:pPr>
    </w:p>
    <w:sectPr w:rsidR="00BF0683" w:rsidRPr="001667A1" w:rsidSect="001A733F">
      <w:pgSz w:w="12240" w:h="15840"/>
      <w:pgMar w:top="1440" w:right="1797" w:bottom="1440" w:left="2126"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D9" w:rsidRDefault="00433AD9">
      <w:r>
        <w:separator/>
      </w:r>
    </w:p>
  </w:endnote>
  <w:endnote w:type="continuationSeparator" w:id="0">
    <w:p w:rsidR="00433AD9" w:rsidRDefault="00433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21" w:rsidRDefault="00F34F72" w:rsidP="00A9482F">
    <w:pPr>
      <w:pStyle w:val="Footer"/>
      <w:framePr w:wrap="around" w:vAnchor="text" w:hAnchor="margin" w:xAlign="right" w:y="1"/>
      <w:rPr>
        <w:rStyle w:val="PageNumber"/>
      </w:rPr>
    </w:pPr>
    <w:r>
      <w:rPr>
        <w:rStyle w:val="PageNumber"/>
      </w:rPr>
      <w:fldChar w:fldCharType="begin"/>
    </w:r>
    <w:r w:rsidR="008D4221">
      <w:rPr>
        <w:rStyle w:val="PageNumber"/>
      </w:rPr>
      <w:instrText xml:space="preserve">PAGE  </w:instrText>
    </w:r>
    <w:r>
      <w:rPr>
        <w:rStyle w:val="PageNumber"/>
      </w:rPr>
      <w:fldChar w:fldCharType="end"/>
    </w:r>
  </w:p>
  <w:p w:rsidR="008D4221" w:rsidRDefault="008D4221" w:rsidP="00A948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21" w:rsidRDefault="008D4221" w:rsidP="00F079B7">
    <w:pPr>
      <w:pStyle w:val="Footer"/>
      <w:ind w:right="360"/>
      <w:jc w:val="both"/>
    </w:pPr>
    <w:r w:rsidRPr="00F079B7">
      <w:rPr>
        <w:rFonts w:ascii="Times New Roman" w:hAnsi="Times New Roman"/>
        <w:sz w:val="20"/>
        <w:szCs w:val="20"/>
      </w:rPr>
      <w:t>EMRikp_</w:t>
    </w:r>
    <w:r>
      <w:rPr>
        <w:rFonts w:ascii="Times New Roman" w:hAnsi="Times New Roman"/>
        <w:sz w:val="20"/>
        <w:szCs w:val="20"/>
      </w:rPr>
      <w:t>2</w:t>
    </w:r>
    <w:r w:rsidR="00C501BB">
      <w:rPr>
        <w:rFonts w:ascii="Times New Roman" w:hAnsi="Times New Roman"/>
        <w:sz w:val="20"/>
        <w:szCs w:val="20"/>
      </w:rPr>
      <w:t>2</w:t>
    </w:r>
    <w:r w:rsidRPr="00F079B7">
      <w:rPr>
        <w:rFonts w:ascii="Times New Roman" w:hAnsi="Times New Roman"/>
        <w:sz w:val="20"/>
        <w:szCs w:val="20"/>
      </w:rPr>
      <w:t xml:space="preserve">0212_NFI_LV21; Pielikums Ministru kabineta </w:t>
    </w:r>
    <w:smartTag w:uri="schemas-tilde-lv/tildestengine" w:element="veidnes">
      <w:smartTagPr>
        <w:attr w:name="baseform" w:val="rīkojum|s"/>
        <w:attr w:name="id" w:val="-1"/>
        <w:attr w:name="text" w:val="rīkojuma"/>
      </w:smartTagPr>
      <w:r w:rsidRPr="00F079B7">
        <w:rPr>
          <w:rFonts w:ascii="Times New Roman" w:hAnsi="Times New Roman"/>
          <w:sz w:val="20"/>
          <w:szCs w:val="20"/>
        </w:rPr>
        <w:t>rīkojuma</w:t>
      </w:r>
    </w:smartTag>
    <w:r w:rsidRPr="00F079B7">
      <w:rPr>
        <w:rFonts w:ascii="Times New Roman" w:hAnsi="Times New Roman"/>
        <w:sz w:val="20"/>
        <w:szCs w:val="20"/>
      </w:rPr>
      <w:t xml:space="preserve"> projektam „</w:t>
    </w:r>
    <w:r w:rsidRPr="00F079B7">
      <w:rPr>
        <w:rFonts w:ascii="Times New Roman" w:hAnsi="Times New Roman"/>
        <w:sz w:val="20"/>
        <w:szCs w:val="20"/>
        <w:lang w:val="lv-LV"/>
      </w:rPr>
      <w:t>Par Norvēģijas finanšu instrumenta līdzfinansētās programmas „Inovācijas „zaļās” ražošanas jomā” iesnieguma projektu</w:t>
    </w:r>
    <w:r w:rsidRPr="00F079B7">
      <w:rPr>
        <w:rFonts w:ascii="Times New Roman" w:hAnsi="Times New Roman"/>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21" w:rsidRPr="00F079B7" w:rsidRDefault="008D4221" w:rsidP="00F079B7">
    <w:pPr>
      <w:pStyle w:val="Footer"/>
      <w:jc w:val="both"/>
      <w:rPr>
        <w:rFonts w:ascii="Times New Roman" w:hAnsi="Times New Roman"/>
        <w:sz w:val="20"/>
        <w:szCs w:val="20"/>
      </w:rPr>
    </w:pPr>
    <w:r w:rsidRPr="00F079B7">
      <w:rPr>
        <w:rFonts w:ascii="Times New Roman" w:hAnsi="Times New Roman"/>
        <w:sz w:val="20"/>
        <w:szCs w:val="20"/>
      </w:rPr>
      <w:t>EMRikp_</w:t>
    </w:r>
    <w:r>
      <w:rPr>
        <w:rFonts w:ascii="Times New Roman" w:hAnsi="Times New Roman"/>
        <w:sz w:val="20"/>
        <w:szCs w:val="20"/>
      </w:rPr>
      <w:t>2</w:t>
    </w:r>
    <w:r w:rsidR="00C501BB">
      <w:rPr>
        <w:rFonts w:ascii="Times New Roman" w:hAnsi="Times New Roman"/>
        <w:sz w:val="20"/>
        <w:szCs w:val="20"/>
      </w:rPr>
      <w:t>2</w:t>
    </w:r>
    <w:r w:rsidRPr="00F079B7">
      <w:rPr>
        <w:rFonts w:ascii="Times New Roman" w:hAnsi="Times New Roman"/>
        <w:sz w:val="20"/>
        <w:szCs w:val="20"/>
      </w:rPr>
      <w:t xml:space="preserve">0212_NFI_LV21; </w:t>
    </w:r>
    <w:bookmarkStart w:id="25" w:name="OLE_LINK6"/>
    <w:bookmarkStart w:id="26" w:name="OLE_LINK9"/>
    <w:r w:rsidRPr="00F079B7">
      <w:rPr>
        <w:rFonts w:ascii="Times New Roman" w:hAnsi="Times New Roman"/>
        <w:sz w:val="20"/>
        <w:szCs w:val="20"/>
      </w:rPr>
      <w:t xml:space="preserve">Pielikums Ministru kabineta </w:t>
    </w:r>
    <w:smartTag w:uri="schemas-tilde-lv/tildestengine" w:element="veidnes">
      <w:smartTagPr>
        <w:attr w:name="baseform" w:val="rīkojum|s"/>
        <w:attr w:name="id" w:val="-1"/>
        <w:attr w:name="text" w:val="rīkojuma"/>
      </w:smartTagPr>
      <w:r w:rsidRPr="00F079B7">
        <w:rPr>
          <w:rFonts w:ascii="Times New Roman" w:hAnsi="Times New Roman"/>
          <w:sz w:val="20"/>
          <w:szCs w:val="20"/>
        </w:rPr>
        <w:t>rīkojuma</w:t>
      </w:r>
    </w:smartTag>
    <w:r w:rsidRPr="00F079B7">
      <w:rPr>
        <w:rFonts w:ascii="Times New Roman" w:hAnsi="Times New Roman"/>
        <w:sz w:val="20"/>
        <w:szCs w:val="20"/>
      </w:rPr>
      <w:t xml:space="preserve"> projektam „</w:t>
    </w:r>
    <w:bookmarkStart w:id="27" w:name="OLE_LINK7"/>
    <w:bookmarkStart w:id="28" w:name="OLE_LINK8"/>
    <w:r w:rsidRPr="00F079B7">
      <w:rPr>
        <w:rFonts w:ascii="Times New Roman" w:hAnsi="Times New Roman"/>
        <w:sz w:val="20"/>
        <w:szCs w:val="20"/>
        <w:lang w:val="lv-LV"/>
      </w:rPr>
      <w:t>Par Norvēģijas finanšu instrumenta līdzfinansētās programmas „Inovācijas „zaļās” ražošanas jomā” iesnieguma projektu</w:t>
    </w:r>
    <w:bookmarkEnd w:id="27"/>
    <w:bookmarkEnd w:id="28"/>
    <w:r w:rsidRPr="00F079B7">
      <w:rPr>
        <w:rFonts w:ascii="Times New Roman" w:hAnsi="Times New Roman"/>
        <w:sz w:val="20"/>
        <w:szCs w:val="20"/>
      </w:rPr>
      <w:t>”</w:t>
    </w:r>
    <w:bookmarkEnd w:id="25"/>
    <w:bookmarkEnd w:id="2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D9" w:rsidRDefault="00433AD9">
      <w:r>
        <w:separator/>
      </w:r>
    </w:p>
  </w:footnote>
  <w:footnote w:type="continuationSeparator" w:id="0">
    <w:p w:rsidR="00433AD9" w:rsidRDefault="00433AD9">
      <w:r>
        <w:continuationSeparator/>
      </w:r>
    </w:p>
  </w:footnote>
  <w:footnote w:id="1">
    <w:p w:rsidR="008D4221" w:rsidRPr="00CE726A" w:rsidRDefault="008D4221">
      <w:pPr>
        <w:pStyle w:val="FootnoteText"/>
        <w:rPr>
          <w:rFonts w:ascii="Times New Roman" w:hAnsi="Times New Roman"/>
          <w:lang w:val="lv-LV"/>
        </w:rPr>
      </w:pPr>
      <w:r w:rsidRPr="00CE726A">
        <w:rPr>
          <w:rStyle w:val="FootnoteReference"/>
          <w:rFonts w:ascii="Times New Roman" w:hAnsi="Times New Roman"/>
        </w:rPr>
        <w:footnoteRef/>
      </w:r>
      <w:r w:rsidRPr="00CE726A">
        <w:rPr>
          <w:rFonts w:ascii="Times New Roman" w:hAnsi="Times New Roman"/>
        </w:rPr>
        <w:t xml:space="preserve"> </w:t>
      </w:r>
      <w:r w:rsidRPr="00CE726A">
        <w:rPr>
          <w:rFonts w:ascii="Times New Roman" w:hAnsi="Times New Roman"/>
          <w:lang w:val="lv-LV"/>
        </w:rPr>
        <w:t xml:space="preserve">Pēc </w:t>
      </w:r>
      <w:r>
        <w:rPr>
          <w:rFonts w:ascii="Times New Roman" w:hAnsi="Times New Roman"/>
          <w:lang w:val="lv-LV"/>
        </w:rPr>
        <w:t>Ekonomiskās sadarbības un attīstības organizācijas (</w:t>
      </w:r>
      <w:r w:rsidRPr="00CE726A">
        <w:rPr>
          <w:rFonts w:ascii="Times New Roman" w:hAnsi="Times New Roman"/>
          <w:lang w:val="lv-LV"/>
        </w:rPr>
        <w:t>OECD</w:t>
      </w:r>
      <w:r>
        <w:rPr>
          <w:rFonts w:ascii="Times New Roman" w:hAnsi="Times New Roman"/>
          <w:lang w:val="lv-LV"/>
        </w:rPr>
        <w:t>)</w:t>
      </w:r>
      <w:r w:rsidRPr="00CE726A">
        <w:rPr>
          <w:rFonts w:ascii="Times New Roman" w:hAnsi="Times New Roman"/>
          <w:lang w:val="lv-LV"/>
        </w:rPr>
        <w:t xml:space="preserve"> skalas</w:t>
      </w:r>
      <w:r>
        <w:rPr>
          <w:rFonts w:ascii="Times New Roman" w:hAnsi="Times New Roman"/>
          <w:lang w:val="lv-LV"/>
        </w:rPr>
        <w:t>.</w:t>
      </w:r>
    </w:p>
  </w:footnote>
  <w:footnote w:id="2">
    <w:p w:rsidR="008D4221" w:rsidRPr="00E0477A" w:rsidRDefault="008D4221" w:rsidP="00A344FD">
      <w:pPr>
        <w:pStyle w:val="FootnoteText"/>
        <w:spacing w:after="0"/>
        <w:jc w:val="both"/>
        <w:rPr>
          <w:rFonts w:ascii="Times New Roman" w:hAnsi="Times New Roman"/>
          <w:lang w:val="lv-LV"/>
        </w:rPr>
      </w:pPr>
      <w:r w:rsidRPr="00E0477A">
        <w:rPr>
          <w:rStyle w:val="FootnoteReference"/>
          <w:rFonts w:ascii="Times New Roman" w:hAnsi="Times New Roman"/>
        </w:rPr>
        <w:footnoteRef/>
      </w:r>
      <w:r w:rsidRPr="00E0477A">
        <w:rPr>
          <w:rFonts w:ascii="Times New Roman" w:hAnsi="Times New Roman"/>
        </w:rPr>
        <w:t xml:space="preserve"> </w:t>
      </w:r>
      <w:r w:rsidRPr="00CA44F0">
        <w:rPr>
          <w:rFonts w:ascii="Times New Roman" w:hAnsi="Times New Roman"/>
          <w:color w:val="000000" w:themeColor="text1"/>
        </w:rPr>
        <w:t xml:space="preserve">Interneta vietne: </w:t>
      </w:r>
      <w:r w:rsidRPr="00DA3808">
        <w:rPr>
          <w:rFonts w:ascii="Times New Roman" w:hAnsi="Times New Roman"/>
          <w:color w:val="000000" w:themeColor="text1"/>
        </w:rPr>
        <w:t>http://ec.europa.eu/europe2020/priorities/sustainable-growth/index_en.htm</w:t>
      </w:r>
      <w:r w:rsidRPr="00CA44F0">
        <w:rPr>
          <w:rFonts w:ascii="Times New Roman" w:hAnsi="Times New Roman"/>
          <w:color w:val="000000" w:themeColor="text1"/>
        </w:rPr>
        <w:t>, Eiropas Komisija, 15.12.2011.</w:t>
      </w:r>
    </w:p>
  </w:footnote>
  <w:footnote w:id="3">
    <w:p w:rsidR="008D4221" w:rsidRPr="00CA44F0" w:rsidRDefault="008D4221" w:rsidP="004934A7">
      <w:pPr>
        <w:pStyle w:val="FootnoteText"/>
        <w:spacing w:after="0"/>
        <w:jc w:val="both"/>
        <w:rPr>
          <w:rFonts w:ascii="Times New Roman" w:hAnsi="Times New Roman"/>
          <w:color w:val="000000" w:themeColor="text1"/>
          <w:lang w:val="lv-LV"/>
        </w:rPr>
      </w:pPr>
      <w:r w:rsidRPr="00CA44F0">
        <w:rPr>
          <w:rStyle w:val="FootnoteReference"/>
          <w:rFonts w:ascii="Times New Roman" w:hAnsi="Times New Roman"/>
          <w:color w:val="000000" w:themeColor="text1"/>
        </w:rPr>
        <w:footnoteRef/>
      </w:r>
      <w:r w:rsidRPr="00CA44F0">
        <w:rPr>
          <w:rFonts w:ascii="Times New Roman" w:hAnsi="Times New Roman"/>
          <w:color w:val="000000" w:themeColor="text1"/>
        </w:rPr>
        <w:t xml:space="preserve"> Interneta vietne: </w:t>
      </w:r>
      <w:hyperlink r:id="rId1" w:history="1">
        <w:r w:rsidRPr="00CA44F0">
          <w:rPr>
            <w:rStyle w:val="Hyperlink"/>
            <w:rFonts w:ascii="Times New Roman" w:hAnsi="Times New Roman"/>
            <w:color w:val="000000" w:themeColor="text1"/>
            <w:u w:val="none"/>
          </w:rPr>
          <w:t>http://ec.europa.eu/environment/etap/inaction/pdfs/1_en_act_part1_v5.pdf</w:t>
        </w:r>
      </w:hyperlink>
      <w:r w:rsidRPr="00CA44F0">
        <w:rPr>
          <w:rFonts w:ascii="Times New Roman" w:hAnsi="Times New Roman"/>
          <w:color w:val="000000" w:themeColor="text1"/>
        </w:rPr>
        <w:t>, Eiropas Komisija, 15.12.2011.</w:t>
      </w:r>
    </w:p>
  </w:footnote>
  <w:footnote w:id="4">
    <w:p w:rsidR="008D4221" w:rsidRPr="00E0477A" w:rsidRDefault="008D4221" w:rsidP="00A344FD">
      <w:pPr>
        <w:pStyle w:val="FootnoteText"/>
        <w:spacing w:after="0"/>
        <w:jc w:val="both"/>
        <w:rPr>
          <w:rFonts w:ascii="Times New Roman" w:hAnsi="Times New Roman"/>
          <w:lang w:val="lv-LV"/>
        </w:rPr>
      </w:pPr>
      <w:r w:rsidRPr="00E0477A">
        <w:rPr>
          <w:rStyle w:val="FootnoteReference"/>
          <w:rFonts w:ascii="Times New Roman" w:hAnsi="Times New Roman"/>
        </w:rPr>
        <w:footnoteRef/>
      </w:r>
      <w:r w:rsidRPr="00E0477A">
        <w:rPr>
          <w:rFonts w:ascii="Times New Roman" w:hAnsi="Times New Roman"/>
        </w:rPr>
        <w:t xml:space="preserve"> </w:t>
      </w:r>
      <w:r>
        <w:rPr>
          <w:rFonts w:ascii="Times New Roman" w:hAnsi="Times New Roman"/>
          <w:color w:val="000000"/>
        </w:rPr>
        <w:t>Interneta vietne</w:t>
      </w:r>
      <w:r w:rsidRPr="00E0477A">
        <w:rPr>
          <w:rFonts w:ascii="Times New Roman" w:hAnsi="Times New Roman"/>
        </w:rPr>
        <w:t>: http://ec.europa.eu/resource-efficient-europe/pdf/resource_efficient_europe_en.pdf</w:t>
      </w:r>
      <w:r w:rsidRPr="00CA44F0">
        <w:rPr>
          <w:rFonts w:ascii="Times New Roman" w:hAnsi="Times New Roman"/>
          <w:color w:val="000000" w:themeColor="text1"/>
        </w:rPr>
        <w:t xml:space="preserve"> Eiropas Komisija, 15.12.2011</w:t>
      </w:r>
      <w:r>
        <w:rPr>
          <w:rFonts w:ascii="Times New Roman" w:hAnsi="Times New Roman"/>
          <w:color w:val="000000" w:themeColor="text1"/>
        </w:rPr>
        <w:t>.</w:t>
      </w:r>
    </w:p>
  </w:footnote>
  <w:footnote w:id="5">
    <w:p w:rsidR="008D4221" w:rsidRPr="00CA44F0" w:rsidRDefault="008D4221" w:rsidP="00201756">
      <w:pPr>
        <w:jc w:val="both"/>
        <w:rPr>
          <w:rFonts w:ascii="Times New Roman" w:hAnsi="Times New Roman"/>
          <w:sz w:val="20"/>
          <w:szCs w:val="20"/>
          <w:lang w:val="lv-LV"/>
        </w:rPr>
      </w:pPr>
      <w:r w:rsidRPr="00CA44F0">
        <w:rPr>
          <w:rStyle w:val="FootnoteReference"/>
          <w:rFonts w:ascii="Times New Roman" w:eastAsia="Calibri" w:hAnsi="Times New Roman"/>
          <w:color w:val="000000"/>
          <w:sz w:val="20"/>
          <w:szCs w:val="20"/>
          <w:lang w:val="lv-LV"/>
        </w:rPr>
        <w:footnoteRef/>
      </w:r>
      <w:r w:rsidRPr="00CA44F0">
        <w:rPr>
          <w:rFonts w:ascii="Times New Roman" w:hAnsi="Times New Roman"/>
          <w:sz w:val="20"/>
          <w:szCs w:val="20"/>
          <w:lang w:val="lv-LV"/>
        </w:rPr>
        <w:t xml:space="preserve"> Pasaules biznesa padomes ilgtspējīgai attīstībai</w:t>
      </w:r>
      <w:r w:rsidRPr="00CA44F0">
        <w:rPr>
          <w:rFonts w:ascii="Times New Roman" w:hAnsi="Times New Roman"/>
          <w:sz w:val="20"/>
          <w:szCs w:val="20"/>
        </w:rPr>
        <w:t xml:space="preserve"> ziņojums </w:t>
      </w:r>
      <w:r>
        <w:rPr>
          <w:rFonts w:ascii="Times New Roman" w:hAnsi="Times New Roman"/>
          <w:lang w:val="lv-LV"/>
        </w:rPr>
        <w:t>„</w:t>
      </w:r>
      <w:r w:rsidRPr="00CA44F0">
        <w:rPr>
          <w:rFonts w:ascii="Times New Roman" w:hAnsi="Times New Roman"/>
          <w:sz w:val="20"/>
          <w:szCs w:val="20"/>
        </w:rPr>
        <w:t>Vīzija 2050</w:t>
      </w:r>
      <w:r>
        <w:rPr>
          <w:rFonts w:ascii="Times New Roman" w:hAnsi="Times New Roman"/>
          <w:sz w:val="20"/>
          <w:szCs w:val="20"/>
        </w:rPr>
        <w:t>”,</w:t>
      </w:r>
      <w:r w:rsidRPr="00CA44F0">
        <w:rPr>
          <w:rFonts w:ascii="Times New Roman" w:hAnsi="Times New Roman"/>
          <w:sz w:val="20"/>
          <w:szCs w:val="20"/>
        </w:rPr>
        <w:t xml:space="preserve"> </w:t>
      </w:r>
      <w:r w:rsidRPr="00CA44F0">
        <w:rPr>
          <w:rFonts w:ascii="Times New Roman" w:hAnsi="Times New Roman"/>
          <w:color w:val="000000"/>
          <w:sz w:val="20"/>
          <w:szCs w:val="20"/>
          <w:lang w:val="lv-LV"/>
        </w:rPr>
        <w:t xml:space="preserve">Interneta vietne: </w:t>
      </w:r>
      <w:r w:rsidRPr="000906C5">
        <w:rPr>
          <w:rFonts w:ascii="Times New Roman" w:hAnsi="Times New Roman"/>
          <w:color w:val="000000"/>
          <w:sz w:val="20"/>
          <w:szCs w:val="20"/>
          <w:lang w:val="lv-LV"/>
        </w:rPr>
        <w:t>http://www.wbcsd.org/web/projects/BZrole/Vision2050-FullReport_Final.pdf</w:t>
      </w:r>
      <w:r>
        <w:rPr>
          <w:rFonts w:ascii="Times New Roman" w:hAnsi="Times New Roman"/>
          <w:color w:val="000000"/>
          <w:sz w:val="20"/>
          <w:szCs w:val="20"/>
          <w:lang w:val="lv-LV"/>
        </w:rPr>
        <w:t>, 22.11.2011.</w:t>
      </w:r>
    </w:p>
    <w:p w:rsidR="008D4221" w:rsidRPr="00A6720F" w:rsidRDefault="008D4221" w:rsidP="00906E47">
      <w:pPr>
        <w:pStyle w:val="FootnoteText"/>
        <w:spacing w:after="0"/>
        <w:rPr>
          <w:rFonts w:ascii="Times New Roman" w:hAnsi="Times New Roman"/>
          <w:lang w:val="lv-LV"/>
        </w:rPr>
      </w:pPr>
    </w:p>
  </w:footnote>
  <w:footnote w:id="6">
    <w:p w:rsidR="008D4221" w:rsidRPr="00C912AF" w:rsidRDefault="008D4221" w:rsidP="00060B2C">
      <w:pPr>
        <w:pStyle w:val="FootnoteText"/>
        <w:spacing w:after="0"/>
        <w:jc w:val="both"/>
        <w:rPr>
          <w:rFonts w:ascii="Times New Roman" w:hAnsi="Times New Roman"/>
          <w:color w:val="000000"/>
          <w:lang w:val="lv-LV"/>
        </w:rPr>
      </w:pPr>
      <w:r w:rsidRPr="00C912AF">
        <w:rPr>
          <w:rStyle w:val="FootnoteReference"/>
          <w:rFonts w:ascii="Times New Roman" w:hAnsi="Times New Roman"/>
          <w:color w:val="000000"/>
        </w:rPr>
        <w:footnoteRef/>
      </w:r>
      <w:r w:rsidRPr="00C912AF">
        <w:rPr>
          <w:rFonts w:ascii="Times New Roman" w:hAnsi="Times New Roman"/>
          <w:color w:val="000000"/>
        </w:rPr>
        <w:t>Internet</w:t>
      </w:r>
      <w:r>
        <w:rPr>
          <w:rFonts w:ascii="Times New Roman" w:hAnsi="Times New Roman"/>
          <w:color w:val="000000"/>
        </w:rPr>
        <w:t>a</w:t>
      </w:r>
      <w:r w:rsidRPr="00C912AF">
        <w:rPr>
          <w:rFonts w:ascii="Times New Roman" w:hAnsi="Times New Roman"/>
          <w:color w:val="000000"/>
        </w:rPr>
        <w:t xml:space="preserve"> </w:t>
      </w:r>
      <w:r>
        <w:rPr>
          <w:rFonts w:ascii="Times New Roman" w:hAnsi="Times New Roman"/>
          <w:color w:val="000000"/>
        </w:rPr>
        <w:t>vietne</w:t>
      </w:r>
      <w:r w:rsidRPr="00C912AF">
        <w:rPr>
          <w:rFonts w:ascii="Times New Roman" w:hAnsi="Times New Roman"/>
          <w:color w:val="000000"/>
        </w:rPr>
        <w:t xml:space="preserve">: </w:t>
      </w:r>
      <w:hyperlink r:id="rId2" w:history="1">
        <w:r w:rsidRPr="00C912AF">
          <w:rPr>
            <w:rStyle w:val="Hyperlink"/>
            <w:rFonts w:ascii="Times New Roman" w:hAnsi="Times New Roman"/>
            <w:color w:val="000000"/>
            <w:u w:val="none"/>
          </w:rPr>
          <w:t>http://ec.europa.eu/enterprise/policies/industrial-competitiveness/industrial-policy/files/lv_country-chapter_lv.pdf</w:t>
        </w:r>
      </w:hyperlink>
      <w:r>
        <w:rPr>
          <w:rFonts w:ascii="Times New Roman" w:hAnsi="Times New Roman"/>
          <w:color w:val="000000"/>
        </w:rPr>
        <w:t>,</w:t>
      </w:r>
      <w:r w:rsidRPr="00C912AF">
        <w:rPr>
          <w:rFonts w:ascii="Times New Roman" w:hAnsi="Times New Roman"/>
          <w:color w:val="000000"/>
        </w:rPr>
        <w:t xml:space="preserve"> </w:t>
      </w:r>
      <w:r>
        <w:rPr>
          <w:rFonts w:ascii="Times New Roman" w:hAnsi="Times New Roman"/>
          <w:color w:val="000000"/>
        </w:rPr>
        <w:t>Eiropas Komisija, 15.12.2011.</w:t>
      </w:r>
    </w:p>
  </w:footnote>
  <w:footnote w:id="7">
    <w:p w:rsidR="008D4221" w:rsidRPr="008C66BA" w:rsidRDefault="008D4221" w:rsidP="00665FC0">
      <w:pPr>
        <w:pStyle w:val="Heading1"/>
        <w:numPr>
          <w:ilvl w:val="0"/>
          <w:numId w:val="0"/>
        </w:numPr>
        <w:shd w:val="clear" w:color="auto" w:fill="FFFFFF"/>
        <w:spacing w:before="0"/>
        <w:rPr>
          <w:rFonts w:ascii="Times New Roman" w:hAnsi="Times New Roman"/>
          <w:b w:val="0"/>
          <w:color w:val="000000"/>
          <w:sz w:val="20"/>
          <w:szCs w:val="20"/>
        </w:rPr>
      </w:pPr>
      <w:r w:rsidRPr="008C66BA">
        <w:rPr>
          <w:rStyle w:val="FootnoteReference"/>
          <w:rFonts w:ascii="Times New Roman" w:hAnsi="Times New Roman"/>
          <w:b w:val="0"/>
          <w:color w:val="000000"/>
          <w:sz w:val="20"/>
          <w:szCs w:val="20"/>
        </w:rPr>
        <w:footnoteRef/>
      </w:r>
      <w:r w:rsidRPr="008C66BA">
        <w:rPr>
          <w:rFonts w:ascii="Times New Roman" w:hAnsi="Times New Roman"/>
          <w:b w:val="0"/>
          <w:color w:val="000000"/>
          <w:sz w:val="20"/>
          <w:szCs w:val="20"/>
        </w:rPr>
        <w:t xml:space="preserve"> LiMaS Eko-</w:t>
      </w:r>
      <w:r w:rsidRPr="0093051F">
        <w:rPr>
          <w:rFonts w:ascii="Times New Roman" w:hAnsi="Times New Roman"/>
          <w:b w:val="0"/>
          <w:color w:val="000000" w:themeColor="text1"/>
          <w:sz w:val="20"/>
          <w:szCs w:val="20"/>
        </w:rPr>
        <w:t xml:space="preserve">inovāciju projekts, interneta vietne: </w:t>
      </w:r>
      <w:hyperlink r:id="rId3" w:history="1">
        <w:r w:rsidRPr="0093051F">
          <w:rPr>
            <w:rStyle w:val="Hyperlink"/>
            <w:rFonts w:ascii="Times New Roman" w:hAnsi="Times New Roman"/>
            <w:b w:val="0"/>
            <w:color w:val="000000" w:themeColor="text1"/>
            <w:sz w:val="20"/>
            <w:szCs w:val="20"/>
            <w:u w:val="none"/>
          </w:rPr>
          <w:t>http://www.limas-eup.eu/</w:t>
        </w:r>
      </w:hyperlink>
      <w:r w:rsidRPr="0093051F">
        <w:rPr>
          <w:rFonts w:ascii="Times New Roman" w:hAnsi="Times New Roman"/>
          <w:b w:val="0"/>
          <w:color w:val="000000" w:themeColor="text1"/>
          <w:sz w:val="20"/>
          <w:szCs w:val="20"/>
        </w:rPr>
        <w:t>, 15.12.2011.</w:t>
      </w:r>
    </w:p>
  </w:footnote>
  <w:footnote w:id="8">
    <w:p w:rsidR="008D4221" w:rsidRPr="0093051F" w:rsidRDefault="008D4221">
      <w:pPr>
        <w:pStyle w:val="FootnoteText"/>
        <w:rPr>
          <w:color w:val="000000" w:themeColor="text1"/>
          <w:lang w:val="lv-LV"/>
        </w:rPr>
      </w:pPr>
      <w:r w:rsidRPr="0093051F">
        <w:rPr>
          <w:rStyle w:val="FootnoteReference"/>
          <w:rFonts w:ascii="Times New Roman" w:hAnsi="Times New Roman"/>
          <w:color w:val="000000" w:themeColor="text1"/>
        </w:rPr>
        <w:footnoteRef/>
      </w:r>
      <w:r w:rsidRPr="0093051F">
        <w:rPr>
          <w:rFonts w:ascii="Times New Roman" w:hAnsi="Times New Roman"/>
          <w:color w:val="000000" w:themeColor="text1"/>
        </w:rPr>
        <w:t xml:space="preserve"> Duka Projekts, interneta vietne: </w:t>
      </w:r>
      <w:hyperlink r:id="rId4" w:anchor="/about-the-project/" w:history="1">
        <w:r w:rsidRPr="0093051F">
          <w:rPr>
            <w:rStyle w:val="Hyperlink"/>
            <w:rFonts w:ascii="Times New Roman" w:hAnsi="Times New Roman"/>
            <w:color w:val="000000" w:themeColor="text1"/>
            <w:u w:val="none"/>
          </w:rPr>
          <w:t>http://www.duka.riga.lv/#/about-the-project/</w:t>
        </w:r>
      </w:hyperlink>
      <w:r w:rsidRPr="0093051F">
        <w:rPr>
          <w:rFonts w:ascii="Times New Roman" w:hAnsi="Times New Roman"/>
          <w:color w:val="000000" w:themeColor="text1"/>
        </w:rPr>
        <w:t>, 19.01.2012.</w:t>
      </w:r>
    </w:p>
  </w:footnote>
  <w:footnote w:id="9">
    <w:p w:rsidR="008D4221" w:rsidRPr="004D213B" w:rsidRDefault="008D4221">
      <w:pPr>
        <w:pStyle w:val="FootnoteText"/>
        <w:rPr>
          <w:lang w:val="lv-LV"/>
        </w:rPr>
      </w:pPr>
      <w:r>
        <w:rPr>
          <w:rStyle w:val="FootnoteReference"/>
        </w:rPr>
        <w:footnoteRef/>
      </w:r>
      <w:r>
        <w:t xml:space="preserve"> </w:t>
      </w:r>
      <w:r w:rsidRPr="00871441">
        <w:rPr>
          <w:rFonts w:ascii="Times New Roman" w:hAnsi="Times New Roman"/>
          <w:lang w:val="lv-LV"/>
        </w:rPr>
        <w:t>EM piedāvā interpretēt partneri projektā kā investoru, tehnoloģiju piegādātāju, klientu vai piegādātāju.</w:t>
      </w:r>
      <w:r>
        <w:rPr>
          <w:rFonts w:ascii="Times New Roman" w:hAnsi="Times New Roman"/>
          <w:lang w:val="lv-LV"/>
        </w:rPr>
        <w:t xml:space="preserve"> Papildus informācija ir sniegta 3.14.3.sadaļā </w:t>
      </w:r>
      <w:r w:rsidRPr="001667A1">
        <w:rPr>
          <w:rFonts w:ascii="Times New Roman" w:hAnsi="Times New Roman"/>
          <w:lang w:val="lv-LV"/>
        </w:rPr>
        <w:t>„</w:t>
      </w:r>
      <w:r>
        <w:rPr>
          <w:rFonts w:ascii="Times New Roman" w:hAnsi="Times New Roman"/>
          <w:lang w:val="lv-LV"/>
        </w:rPr>
        <w:t>Konkursi”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21" w:rsidRDefault="00F34F72">
    <w:pPr>
      <w:pStyle w:val="Header"/>
      <w:jc w:val="center"/>
    </w:pPr>
    <w:r w:rsidRPr="00F079B7">
      <w:rPr>
        <w:rFonts w:ascii="Times New Roman" w:hAnsi="Times New Roman"/>
      </w:rPr>
      <w:fldChar w:fldCharType="begin"/>
    </w:r>
    <w:r w:rsidR="008D4221" w:rsidRPr="00F079B7">
      <w:rPr>
        <w:rFonts w:ascii="Times New Roman" w:hAnsi="Times New Roman"/>
      </w:rPr>
      <w:instrText xml:space="preserve"> PAGE   \* MERGEFORMAT </w:instrText>
    </w:r>
    <w:r w:rsidRPr="00F079B7">
      <w:rPr>
        <w:rFonts w:ascii="Times New Roman" w:hAnsi="Times New Roman"/>
      </w:rPr>
      <w:fldChar w:fldCharType="separate"/>
    </w:r>
    <w:r w:rsidR="002F0F35">
      <w:rPr>
        <w:rFonts w:ascii="Times New Roman" w:hAnsi="Times New Roman"/>
        <w:noProof/>
      </w:rPr>
      <w:t>42</w:t>
    </w:r>
    <w:r w:rsidRPr="00F079B7">
      <w:rPr>
        <w:rFonts w:ascii="Times New Roman" w:hAnsi="Times New Roman"/>
      </w:rPr>
      <w:fldChar w:fldCharType="end"/>
    </w:r>
  </w:p>
  <w:p w:rsidR="008D4221" w:rsidRDefault="008D4221" w:rsidP="00A9482F">
    <w:pPr>
      <w:pStyle w:val="Header"/>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21" w:rsidRDefault="008D4221">
    <w:pPr>
      <w:pStyle w:val="Header"/>
      <w:jc w:val="center"/>
    </w:pPr>
  </w:p>
  <w:p w:rsidR="008D4221" w:rsidRPr="00BE3A7D" w:rsidRDefault="008D4221" w:rsidP="00871E63">
    <w:pPr>
      <w:autoSpaceDE w:val="0"/>
      <w:autoSpaceDN w:val="0"/>
      <w:adjustRightInd w:val="0"/>
      <w:spacing w:after="0"/>
      <w:jc w:val="center"/>
      <w:rPr>
        <w:color w:val="000000"/>
        <w:sz w:val="28"/>
        <w:szCs w:val="28"/>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4"/>
    <w:multiLevelType w:val="singleLevel"/>
    <w:tmpl w:val="1B980EB0"/>
    <w:name w:val="WW8Num5"/>
    <w:lvl w:ilvl="0">
      <w:start w:val="1"/>
      <w:numFmt w:val="decimal"/>
      <w:lvlText w:val="%1)"/>
      <w:lvlJc w:val="left"/>
      <w:pPr>
        <w:tabs>
          <w:tab w:val="num" w:pos="397"/>
        </w:tabs>
        <w:ind w:left="397" w:hanging="397"/>
      </w:pPr>
      <w:rPr>
        <w:rFonts w:ascii="Calibri" w:eastAsia="Times New Roman" w:hAnsi="Calibri" w:cs="Calibri"/>
      </w:rPr>
    </w:lvl>
  </w:abstractNum>
  <w:abstractNum w:abstractNumId="2">
    <w:nsid w:val="00000009"/>
    <w:multiLevelType w:val="singleLevel"/>
    <w:tmpl w:val="00000009"/>
    <w:name w:val="WW8Num12"/>
    <w:lvl w:ilvl="0">
      <w:start w:val="1"/>
      <w:numFmt w:val="decimal"/>
      <w:lvlText w:val="%1)"/>
      <w:lvlJc w:val="left"/>
      <w:pPr>
        <w:tabs>
          <w:tab w:val="num" w:pos="750"/>
        </w:tabs>
        <w:ind w:left="750" w:hanging="390"/>
      </w:pPr>
    </w:lvl>
  </w:abstractNum>
  <w:abstractNum w:abstractNumId="3">
    <w:nsid w:val="0000000F"/>
    <w:multiLevelType w:val="singleLevel"/>
    <w:tmpl w:val="0000000F"/>
    <w:name w:val="WW8Num18"/>
    <w:lvl w:ilvl="0">
      <w:start w:val="1"/>
      <w:numFmt w:val="bullet"/>
      <w:lvlText w:val="-"/>
      <w:lvlJc w:val="left"/>
      <w:pPr>
        <w:tabs>
          <w:tab w:val="num" w:pos="0"/>
        </w:tabs>
        <w:ind w:left="1130" w:hanging="360"/>
      </w:pPr>
      <w:rPr>
        <w:rFonts w:ascii="Calibri" w:hAnsi="Calibri" w:cs="Wingdings"/>
      </w:rPr>
    </w:lvl>
  </w:abstractNum>
  <w:abstractNum w:abstractNumId="4">
    <w:nsid w:val="00000017"/>
    <w:multiLevelType w:val="singleLevel"/>
    <w:tmpl w:val="00000017"/>
    <w:name w:val="WW8Num26"/>
    <w:lvl w:ilvl="0">
      <w:start w:val="1"/>
      <w:numFmt w:val="bullet"/>
      <w:lvlText w:val=""/>
      <w:lvlJc w:val="left"/>
      <w:pPr>
        <w:tabs>
          <w:tab w:val="num" w:pos="720"/>
        </w:tabs>
        <w:ind w:left="720" w:hanging="360"/>
      </w:pPr>
      <w:rPr>
        <w:rFonts w:ascii="Symbol" w:hAnsi="Symbol" w:cs="Calibri"/>
        <w:sz w:val="20"/>
      </w:rPr>
    </w:lvl>
  </w:abstractNum>
  <w:abstractNum w:abstractNumId="5">
    <w:nsid w:val="00000018"/>
    <w:multiLevelType w:val="singleLevel"/>
    <w:tmpl w:val="00000018"/>
    <w:name w:val="WW8Num28"/>
    <w:lvl w:ilvl="0">
      <w:start w:val="1"/>
      <w:numFmt w:val="bullet"/>
      <w:lvlText w:val=""/>
      <w:lvlJc w:val="left"/>
      <w:pPr>
        <w:tabs>
          <w:tab w:val="num" w:pos="720"/>
        </w:tabs>
        <w:ind w:left="720" w:hanging="360"/>
      </w:pPr>
      <w:rPr>
        <w:rFonts w:ascii="Symbol" w:hAnsi="Symbol" w:cs="Symbol"/>
      </w:rPr>
    </w:lvl>
  </w:abstractNum>
  <w:abstractNum w:abstractNumId="6">
    <w:nsid w:val="0000001A"/>
    <w:multiLevelType w:val="singleLevel"/>
    <w:tmpl w:val="0000001A"/>
    <w:name w:val="WW8Num30"/>
    <w:lvl w:ilvl="0">
      <w:start w:val="1"/>
      <w:numFmt w:val="bullet"/>
      <w:lvlText w:val=""/>
      <w:lvlJc w:val="left"/>
      <w:pPr>
        <w:tabs>
          <w:tab w:val="num" w:pos="761"/>
        </w:tabs>
        <w:ind w:left="761" w:hanging="360"/>
      </w:pPr>
      <w:rPr>
        <w:rFonts w:ascii="Wingdings" w:hAnsi="Wingdings" w:cs="Symbol"/>
      </w:rPr>
    </w:lvl>
  </w:abstractNum>
  <w:abstractNum w:abstractNumId="7">
    <w:nsid w:val="0000001B"/>
    <w:multiLevelType w:val="singleLevel"/>
    <w:tmpl w:val="0000001B"/>
    <w:name w:val="WW8Num32"/>
    <w:lvl w:ilvl="0">
      <w:start w:val="1"/>
      <w:numFmt w:val="bullet"/>
      <w:lvlText w:val=""/>
      <w:lvlJc w:val="left"/>
      <w:pPr>
        <w:tabs>
          <w:tab w:val="num" w:pos="720"/>
        </w:tabs>
        <w:ind w:left="720" w:hanging="360"/>
      </w:pPr>
      <w:rPr>
        <w:rFonts w:ascii="Symbol" w:hAnsi="Symbol" w:cs="Times New Roman"/>
      </w:rPr>
    </w:lvl>
  </w:abstractNum>
  <w:abstractNum w:abstractNumId="8">
    <w:nsid w:val="0000001C"/>
    <w:multiLevelType w:val="singleLevel"/>
    <w:tmpl w:val="0000001C"/>
    <w:name w:val="WW8Num33"/>
    <w:lvl w:ilvl="0">
      <w:numFmt w:val="bullet"/>
      <w:lvlText w:val="-"/>
      <w:lvlJc w:val="left"/>
      <w:pPr>
        <w:tabs>
          <w:tab w:val="num" w:pos="720"/>
        </w:tabs>
        <w:ind w:left="720" w:hanging="360"/>
      </w:pPr>
      <w:rPr>
        <w:rFonts w:ascii="Times New Roman" w:hAnsi="Times New Roman" w:cs="Wingdings"/>
      </w:rPr>
    </w:lvl>
  </w:abstractNum>
  <w:abstractNum w:abstractNumId="9">
    <w:nsid w:val="0000001D"/>
    <w:multiLevelType w:val="singleLevel"/>
    <w:tmpl w:val="0000001D"/>
    <w:name w:val="WW8Num34"/>
    <w:lvl w:ilvl="0">
      <w:start w:val="1"/>
      <w:numFmt w:val="bullet"/>
      <w:lvlText w:val=""/>
      <w:lvlJc w:val="left"/>
      <w:pPr>
        <w:tabs>
          <w:tab w:val="num" w:pos="397"/>
        </w:tabs>
        <w:ind w:left="397" w:hanging="397"/>
      </w:pPr>
      <w:rPr>
        <w:rFonts w:ascii="Symbol" w:hAnsi="Symbol" w:cs="Symbol"/>
      </w:rPr>
    </w:lvl>
  </w:abstractNum>
  <w:abstractNum w:abstractNumId="10">
    <w:nsid w:val="00795CC1"/>
    <w:multiLevelType w:val="hybridMultilevel"/>
    <w:tmpl w:val="64F22C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7E45E24"/>
    <w:multiLevelType w:val="hybridMultilevel"/>
    <w:tmpl w:val="5D24CC48"/>
    <w:lvl w:ilvl="0" w:tplc="10FA82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0C5666C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710"/>
        </w:tabs>
        <w:ind w:left="171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1437450A"/>
    <w:multiLevelType w:val="hybridMultilevel"/>
    <w:tmpl w:val="9C5E48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6B31365"/>
    <w:multiLevelType w:val="hybridMultilevel"/>
    <w:tmpl w:val="9DEAC898"/>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nsid w:val="1CCC6639"/>
    <w:multiLevelType w:val="hybridMultilevel"/>
    <w:tmpl w:val="3858F524"/>
    <w:lvl w:ilvl="0" w:tplc="04260013">
      <w:start w:val="1"/>
      <w:numFmt w:val="upperRoman"/>
      <w:lvlText w:val="%1."/>
      <w:lvlJc w:val="righ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nsid w:val="1F314251"/>
    <w:multiLevelType w:val="hybridMultilevel"/>
    <w:tmpl w:val="ACFE2134"/>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nsid w:val="206B6FEA"/>
    <w:multiLevelType w:val="hybridMultilevel"/>
    <w:tmpl w:val="687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896C54"/>
    <w:multiLevelType w:val="hybridMultilevel"/>
    <w:tmpl w:val="208C03A2"/>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nsid w:val="28E52313"/>
    <w:multiLevelType w:val="hybridMultilevel"/>
    <w:tmpl w:val="B580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B963E5"/>
    <w:multiLevelType w:val="hybridMultilevel"/>
    <w:tmpl w:val="4DFC0BA4"/>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nsid w:val="31C648F4"/>
    <w:multiLevelType w:val="hybridMultilevel"/>
    <w:tmpl w:val="0192BFD2"/>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nsid w:val="32FD626A"/>
    <w:multiLevelType w:val="hybridMultilevel"/>
    <w:tmpl w:val="9FC6F32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7DE5690"/>
    <w:multiLevelType w:val="hybridMultilevel"/>
    <w:tmpl w:val="59A20FD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3331878"/>
    <w:multiLevelType w:val="hybridMultilevel"/>
    <w:tmpl w:val="B9382BE4"/>
    <w:lvl w:ilvl="0" w:tplc="04260019">
      <w:start w:val="1"/>
      <w:numFmt w:val="lowerLetter"/>
      <w:lvlText w:val="%1."/>
      <w:lvlJc w:val="left"/>
      <w:pPr>
        <w:ind w:left="1212" w:hanging="360"/>
      </w:p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abstractNum w:abstractNumId="25">
    <w:nsid w:val="63BF6D18"/>
    <w:multiLevelType w:val="hybridMultilevel"/>
    <w:tmpl w:val="4B847832"/>
    <w:lvl w:ilvl="0" w:tplc="04260019">
      <w:start w:val="1"/>
      <w:numFmt w:val="lowerLetter"/>
      <w:lvlText w:val="%1."/>
      <w:lvlJc w:val="left"/>
      <w:pPr>
        <w:ind w:left="1212" w:hanging="360"/>
      </w:p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abstractNum w:abstractNumId="26">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7">
    <w:nsid w:val="68B944CC"/>
    <w:multiLevelType w:val="hybridMultilevel"/>
    <w:tmpl w:val="FDCE6378"/>
    <w:lvl w:ilvl="0" w:tplc="93B8957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76A616A5"/>
    <w:multiLevelType w:val="hybridMultilevel"/>
    <w:tmpl w:val="26E6C058"/>
    <w:lvl w:ilvl="0" w:tplc="66C2A8D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nsid w:val="77C74C8D"/>
    <w:multiLevelType w:val="hybridMultilevel"/>
    <w:tmpl w:val="F21016CE"/>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Wingdings"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Wingdings"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Wingdings" w:hint="default"/>
      </w:rPr>
    </w:lvl>
    <w:lvl w:ilvl="8" w:tplc="04260005" w:tentative="1">
      <w:start w:val="1"/>
      <w:numFmt w:val="bullet"/>
      <w:lvlText w:val=""/>
      <w:lvlJc w:val="left"/>
      <w:pPr>
        <w:ind w:left="6764" w:hanging="360"/>
      </w:pPr>
      <w:rPr>
        <w:rFonts w:ascii="Wingdings" w:hAnsi="Wingdings" w:hint="default"/>
      </w:rPr>
    </w:lvl>
  </w:abstractNum>
  <w:num w:numId="1">
    <w:abstractNumId w:val="26"/>
  </w:num>
  <w:num w:numId="2">
    <w:abstractNumId w:val="17"/>
  </w:num>
  <w:num w:numId="3">
    <w:abstractNumId w:val="19"/>
  </w:num>
  <w:num w:numId="4">
    <w:abstractNumId w:val="12"/>
  </w:num>
  <w:num w:numId="5">
    <w:abstractNumId w:val="29"/>
  </w:num>
  <w:num w:numId="6">
    <w:abstractNumId w:val="10"/>
  </w:num>
  <w:num w:numId="7">
    <w:abstractNumId w:val="21"/>
  </w:num>
  <w:num w:numId="8">
    <w:abstractNumId w:val="20"/>
  </w:num>
  <w:num w:numId="9">
    <w:abstractNumId w:val="16"/>
  </w:num>
  <w:num w:numId="10">
    <w:abstractNumId w:val="14"/>
  </w:num>
  <w:num w:numId="11">
    <w:abstractNumId w:val="11"/>
  </w:num>
  <w:num w:numId="12">
    <w:abstractNumId w:val="28"/>
  </w:num>
  <w:num w:numId="13">
    <w:abstractNumId w:val="22"/>
  </w:num>
  <w:num w:numId="14">
    <w:abstractNumId w:val="13"/>
  </w:num>
  <w:num w:numId="15">
    <w:abstractNumId w:val="18"/>
  </w:num>
  <w:num w:numId="16">
    <w:abstractNumId w:val="23"/>
  </w:num>
  <w:num w:numId="17">
    <w:abstractNumId w:val="27"/>
  </w:num>
  <w:num w:numId="18">
    <w:abstractNumId w:val="15"/>
  </w:num>
  <w:num w:numId="19">
    <w:abstractNumId w:val="25"/>
  </w:num>
  <w:num w:numId="20">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0B4039"/>
    <w:rsid w:val="00000A97"/>
    <w:rsid w:val="0000285E"/>
    <w:rsid w:val="00002F5E"/>
    <w:rsid w:val="000030CD"/>
    <w:rsid w:val="00003872"/>
    <w:rsid w:val="00004753"/>
    <w:rsid w:val="00005935"/>
    <w:rsid w:val="00005A09"/>
    <w:rsid w:val="00006775"/>
    <w:rsid w:val="00007E38"/>
    <w:rsid w:val="000106A3"/>
    <w:rsid w:val="00010E6B"/>
    <w:rsid w:val="00011D7B"/>
    <w:rsid w:val="00013030"/>
    <w:rsid w:val="000144FA"/>
    <w:rsid w:val="00015589"/>
    <w:rsid w:val="00015947"/>
    <w:rsid w:val="00016AAB"/>
    <w:rsid w:val="00016D0A"/>
    <w:rsid w:val="00017560"/>
    <w:rsid w:val="00017DCE"/>
    <w:rsid w:val="0002004C"/>
    <w:rsid w:val="00020654"/>
    <w:rsid w:val="000217E2"/>
    <w:rsid w:val="0002195E"/>
    <w:rsid w:val="000223D9"/>
    <w:rsid w:val="00022C28"/>
    <w:rsid w:val="00024E10"/>
    <w:rsid w:val="000251FD"/>
    <w:rsid w:val="00026AF1"/>
    <w:rsid w:val="00026FF5"/>
    <w:rsid w:val="00027684"/>
    <w:rsid w:val="0003014D"/>
    <w:rsid w:val="0003160F"/>
    <w:rsid w:val="00033118"/>
    <w:rsid w:val="00033347"/>
    <w:rsid w:val="0003467D"/>
    <w:rsid w:val="000358DC"/>
    <w:rsid w:val="00036651"/>
    <w:rsid w:val="00036A33"/>
    <w:rsid w:val="00037649"/>
    <w:rsid w:val="00041781"/>
    <w:rsid w:val="00041C6B"/>
    <w:rsid w:val="0004252E"/>
    <w:rsid w:val="00043729"/>
    <w:rsid w:val="00043A1F"/>
    <w:rsid w:val="00043EAD"/>
    <w:rsid w:val="00044A81"/>
    <w:rsid w:val="00047396"/>
    <w:rsid w:val="000501AA"/>
    <w:rsid w:val="000513AA"/>
    <w:rsid w:val="00052A29"/>
    <w:rsid w:val="00052A3C"/>
    <w:rsid w:val="0005495D"/>
    <w:rsid w:val="000560B2"/>
    <w:rsid w:val="00056319"/>
    <w:rsid w:val="00056F9F"/>
    <w:rsid w:val="00057F73"/>
    <w:rsid w:val="0006073B"/>
    <w:rsid w:val="00060978"/>
    <w:rsid w:val="00060B2C"/>
    <w:rsid w:val="000619CD"/>
    <w:rsid w:val="00061F4F"/>
    <w:rsid w:val="00062D72"/>
    <w:rsid w:val="00063C85"/>
    <w:rsid w:val="000659CC"/>
    <w:rsid w:val="00067FDC"/>
    <w:rsid w:val="00070C68"/>
    <w:rsid w:val="000711DA"/>
    <w:rsid w:val="0007234B"/>
    <w:rsid w:val="000731F7"/>
    <w:rsid w:val="00075450"/>
    <w:rsid w:val="000759C2"/>
    <w:rsid w:val="00075B79"/>
    <w:rsid w:val="00075EB9"/>
    <w:rsid w:val="0007652A"/>
    <w:rsid w:val="00076DA6"/>
    <w:rsid w:val="00076DFC"/>
    <w:rsid w:val="00077DB7"/>
    <w:rsid w:val="00080CAC"/>
    <w:rsid w:val="00080F3A"/>
    <w:rsid w:val="00083356"/>
    <w:rsid w:val="00083907"/>
    <w:rsid w:val="00084497"/>
    <w:rsid w:val="000869AF"/>
    <w:rsid w:val="00086BB7"/>
    <w:rsid w:val="00087785"/>
    <w:rsid w:val="00090389"/>
    <w:rsid w:val="000906C5"/>
    <w:rsid w:val="000916CF"/>
    <w:rsid w:val="0009265A"/>
    <w:rsid w:val="00092845"/>
    <w:rsid w:val="000930D3"/>
    <w:rsid w:val="000932B1"/>
    <w:rsid w:val="0009395C"/>
    <w:rsid w:val="000945EE"/>
    <w:rsid w:val="00094755"/>
    <w:rsid w:val="00095ADB"/>
    <w:rsid w:val="00095F13"/>
    <w:rsid w:val="00096645"/>
    <w:rsid w:val="000972D7"/>
    <w:rsid w:val="000A0759"/>
    <w:rsid w:val="000A0ABA"/>
    <w:rsid w:val="000A18B7"/>
    <w:rsid w:val="000A2CD0"/>
    <w:rsid w:val="000A3A9C"/>
    <w:rsid w:val="000A3E2A"/>
    <w:rsid w:val="000A408A"/>
    <w:rsid w:val="000A458E"/>
    <w:rsid w:val="000A6A28"/>
    <w:rsid w:val="000A7650"/>
    <w:rsid w:val="000A7B6C"/>
    <w:rsid w:val="000B091B"/>
    <w:rsid w:val="000B1904"/>
    <w:rsid w:val="000B2123"/>
    <w:rsid w:val="000B33CD"/>
    <w:rsid w:val="000B3623"/>
    <w:rsid w:val="000B3F22"/>
    <w:rsid w:val="000B4039"/>
    <w:rsid w:val="000B484B"/>
    <w:rsid w:val="000B52FF"/>
    <w:rsid w:val="000B58CB"/>
    <w:rsid w:val="000B6690"/>
    <w:rsid w:val="000B6C8B"/>
    <w:rsid w:val="000C0601"/>
    <w:rsid w:val="000C0805"/>
    <w:rsid w:val="000C3184"/>
    <w:rsid w:val="000C5043"/>
    <w:rsid w:val="000C546B"/>
    <w:rsid w:val="000C548E"/>
    <w:rsid w:val="000C694B"/>
    <w:rsid w:val="000C727A"/>
    <w:rsid w:val="000D093F"/>
    <w:rsid w:val="000D0F52"/>
    <w:rsid w:val="000D111B"/>
    <w:rsid w:val="000D1A33"/>
    <w:rsid w:val="000D220A"/>
    <w:rsid w:val="000D494A"/>
    <w:rsid w:val="000D4D2C"/>
    <w:rsid w:val="000D6C17"/>
    <w:rsid w:val="000D7AEA"/>
    <w:rsid w:val="000E0218"/>
    <w:rsid w:val="000E024B"/>
    <w:rsid w:val="000E0726"/>
    <w:rsid w:val="000E073E"/>
    <w:rsid w:val="000E0D6C"/>
    <w:rsid w:val="000E1F14"/>
    <w:rsid w:val="000E29FC"/>
    <w:rsid w:val="000E2F43"/>
    <w:rsid w:val="000E39A4"/>
    <w:rsid w:val="000E41D5"/>
    <w:rsid w:val="000E5870"/>
    <w:rsid w:val="000E77DE"/>
    <w:rsid w:val="000F076E"/>
    <w:rsid w:val="000F17F2"/>
    <w:rsid w:val="000F3F73"/>
    <w:rsid w:val="000F417A"/>
    <w:rsid w:val="000F4505"/>
    <w:rsid w:val="000F47FC"/>
    <w:rsid w:val="000F5C5A"/>
    <w:rsid w:val="000F5E89"/>
    <w:rsid w:val="000F75C9"/>
    <w:rsid w:val="000F7C25"/>
    <w:rsid w:val="00103A1F"/>
    <w:rsid w:val="00110087"/>
    <w:rsid w:val="001101C1"/>
    <w:rsid w:val="00112270"/>
    <w:rsid w:val="00113200"/>
    <w:rsid w:val="00113E83"/>
    <w:rsid w:val="001149CB"/>
    <w:rsid w:val="00114BEE"/>
    <w:rsid w:val="00115C40"/>
    <w:rsid w:val="00116B37"/>
    <w:rsid w:val="00116BAE"/>
    <w:rsid w:val="001204E6"/>
    <w:rsid w:val="001207D8"/>
    <w:rsid w:val="00121472"/>
    <w:rsid w:val="00121674"/>
    <w:rsid w:val="00121958"/>
    <w:rsid w:val="00121D10"/>
    <w:rsid w:val="0012237B"/>
    <w:rsid w:val="001237DC"/>
    <w:rsid w:val="001237F7"/>
    <w:rsid w:val="001248D4"/>
    <w:rsid w:val="00124DE5"/>
    <w:rsid w:val="00125C92"/>
    <w:rsid w:val="001275B9"/>
    <w:rsid w:val="00130F8B"/>
    <w:rsid w:val="00131295"/>
    <w:rsid w:val="00131E5B"/>
    <w:rsid w:val="0013458B"/>
    <w:rsid w:val="00136A0D"/>
    <w:rsid w:val="001373BF"/>
    <w:rsid w:val="00137D3A"/>
    <w:rsid w:val="00137FE3"/>
    <w:rsid w:val="001406C5"/>
    <w:rsid w:val="00140E9E"/>
    <w:rsid w:val="00141200"/>
    <w:rsid w:val="00141425"/>
    <w:rsid w:val="0014142D"/>
    <w:rsid w:val="00142566"/>
    <w:rsid w:val="00142F4B"/>
    <w:rsid w:val="00145ED3"/>
    <w:rsid w:val="00147F27"/>
    <w:rsid w:val="001516CA"/>
    <w:rsid w:val="0015185B"/>
    <w:rsid w:val="00151DD1"/>
    <w:rsid w:val="00152320"/>
    <w:rsid w:val="00153D6B"/>
    <w:rsid w:val="0015401B"/>
    <w:rsid w:val="001562CF"/>
    <w:rsid w:val="0015666A"/>
    <w:rsid w:val="0016197A"/>
    <w:rsid w:val="00163528"/>
    <w:rsid w:val="001643F6"/>
    <w:rsid w:val="00164749"/>
    <w:rsid w:val="00165A4F"/>
    <w:rsid w:val="001667A1"/>
    <w:rsid w:val="00167057"/>
    <w:rsid w:val="00167500"/>
    <w:rsid w:val="00167E8C"/>
    <w:rsid w:val="001710FF"/>
    <w:rsid w:val="00171320"/>
    <w:rsid w:val="001719DE"/>
    <w:rsid w:val="00172F23"/>
    <w:rsid w:val="00172FE3"/>
    <w:rsid w:val="00173429"/>
    <w:rsid w:val="00173BF3"/>
    <w:rsid w:val="00176C19"/>
    <w:rsid w:val="00177A69"/>
    <w:rsid w:val="00177BF1"/>
    <w:rsid w:val="00180DAF"/>
    <w:rsid w:val="00181D20"/>
    <w:rsid w:val="0018223B"/>
    <w:rsid w:val="00182B68"/>
    <w:rsid w:val="0018329B"/>
    <w:rsid w:val="001834A1"/>
    <w:rsid w:val="0018350E"/>
    <w:rsid w:val="00183D2B"/>
    <w:rsid w:val="00184E21"/>
    <w:rsid w:val="00186332"/>
    <w:rsid w:val="001864AD"/>
    <w:rsid w:val="00190107"/>
    <w:rsid w:val="00190972"/>
    <w:rsid w:val="00190D29"/>
    <w:rsid w:val="00194116"/>
    <w:rsid w:val="00194AA0"/>
    <w:rsid w:val="00195646"/>
    <w:rsid w:val="0019581A"/>
    <w:rsid w:val="001962AD"/>
    <w:rsid w:val="00197324"/>
    <w:rsid w:val="001978DD"/>
    <w:rsid w:val="001A0CFA"/>
    <w:rsid w:val="001A127E"/>
    <w:rsid w:val="001A16F4"/>
    <w:rsid w:val="001A574C"/>
    <w:rsid w:val="001A58F2"/>
    <w:rsid w:val="001A733F"/>
    <w:rsid w:val="001B127A"/>
    <w:rsid w:val="001B3BDC"/>
    <w:rsid w:val="001B44F5"/>
    <w:rsid w:val="001B5A4F"/>
    <w:rsid w:val="001B6ACD"/>
    <w:rsid w:val="001B736D"/>
    <w:rsid w:val="001C0B69"/>
    <w:rsid w:val="001C13AC"/>
    <w:rsid w:val="001C1B02"/>
    <w:rsid w:val="001C1B56"/>
    <w:rsid w:val="001C3D34"/>
    <w:rsid w:val="001C3D62"/>
    <w:rsid w:val="001C3E7A"/>
    <w:rsid w:val="001C44E4"/>
    <w:rsid w:val="001C69A0"/>
    <w:rsid w:val="001C6C73"/>
    <w:rsid w:val="001C7418"/>
    <w:rsid w:val="001C7951"/>
    <w:rsid w:val="001D0E76"/>
    <w:rsid w:val="001D16BF"/>
    <w:rsid w:val="001D1D28"/>
    <w:rsid w:val="001D232B"/>
    <w:rsid w:val="001D4280"/>
    <w:rsid w:val="001D4387"/>
    <w:rsid w:val="001D46B9"/>
    <w:rsid w:val="001D4A4E"/>
    <w:rsid w:val="001D5F28"/>
    <w:rsid w:val="001D676A"/>
    <w:rsid w:val="001D6975"/>
    <w:rsid w:val="001D7DD4"/>
    <w:rsid w:val="001D7E43"/>
    <w:rsid w:val="001D7FD3"/>
    <w:rsid w:val="001E0196"/>
    <w:rsid w:val="001E09F7"/>
    <w:rsid w:val="001E0D96"/>
    <w:rsid w:val="001E1BAD"/>
    <w:rsid w:val="001E2DA7"/>
    <w:rsid w:val="001E2E34"/>
    <w:rsid w:val="001E4106"/>
    <w:rsid w:val="001E46BC"/>
    <w:rsid w:val="001E63AF"/>
    <w:rsid w:val="001E645F"/>
    <w:rsid w:val="001E706D"/>
    <w:rsid w:val="001F0163"/>
    <w:rsid w:val="001F0E9A"/>
    <w:rsid w:val="001F285F"/>
    <w:rsid w:val="001F4E7D"/>
    <w:rsid w:val="001F56F2"/>
    <w:rsid w:val="001F5904"/>
    <w:rsid w:val="001F6B97"/>
    <w:rsid w:val="00201756"/>
    <w:rsid w:val="002031B5"/>
    <w:rsid w:val="00203861"/>
    <w:rsid w:val="002038EC"/>
    <w:rsid w:val="00204086"/>
    <w:rsid w:val="0020531E"/>
    <w:rsid w:val="002055EB"/>
    <w:rsid w:val="0020683A"/>
    <w:rsid w:val="00210B1D"/>
    <w:rsid w:val="00211026"/>
    <w:rsid w:val="00211EDD"/>
    <w:rsid w:val="002134EC"/>
    <w:rsid w:val="00213BE4"/>
    <w:rsid w:val="00214401"/>
    <w:rsid w:val="0021500B"/>
    <w:rsid w:val="00215C0E"/>
    <w:rsid w:val="002166B3"/>
    <w:rsid w:val="002166D1"/>
    <w:rsid w:val="00216819"/>
    <w:rsid w:val="002218ED"/>
    <w:rsid w:val="002230B1"/>
    <w:rsid w:val="00223486"/>
    <w:rsid w:val="00224150"/>
    <w:rsid w:val="00224CEF"/>
    <w:rsid w:val="002273B6"/>
    <w:rsid w:val="0023051B"/>
    <w:rsid w:val="002313FF"/>
    <w:rsid w:val="00231C68"/>
    <w:rsid w:val="002342CB"/>
    <w:rsid w:val="002354A6"/>
    <w:rsid w:val="00235930"/>
    <w:rsid w:val="0023751F"/>
    <w:rsid w:val="0024020C"/>
    <w:rsid w:val="00240633"/>
    <w:rsid w:val="00240EEB"/>
    <w:rsid w:val="00241CD0"/>
    <w:rsid w:val="0024254C"/>
    <w:rsid w:val="00243287"/>
    <w:rsid w:val="00244CEE"/>
    <w:rsid w:val="00245075"/>
    <w:rsid w:val="00245A11"/>
    <w:rsid w:val="00245B4E"/>
    <w:rsid w:val="002469FC"/>
    <w:rsid w:val="00246A0A"/>
    <w:rsid w:val="00246C49"/>
    <w:rsid w:val="002479BB"/>
    <w:rsid w:val="002520BE"/>
    <w:rsid w:val="0025237C"/>
    <w:rsid w:val="0025330B"/>
    <w:rsid w:val="00253737"/>
    <w:rsid w:val="0025506A"/>
    <w:rsid w:val="00255912"/>
    <w:rsid w:val="002562C7"/>
    <w:rsid w:val="00256DA8"/>
    <w:rsid w:val="0025702E"/>
    <w:rsid w:val="00257C6A"/>
    <w:rsid w:val="00257C97"/>
    <w:rsid w:val="002620F8"/>
    <w:rsid w:val="00263BBC"/>
    <w:rsid w:val="002644D9"/>
    <w:rsid w:val="00264BFA"/>
    <w:rsid w:val="00265A98"/>
    <w:rsid w:val="00266EDA"/>
    <w:rsid w:val="00267439"/>
    <w:rsid w:val="00270098"/>
    <w:rsid w:val="0027087B"/>
    <w:rsid w:val="0027089D"/>
    <w:rsid w:val="00270EB9"/>
    <w:rsid w:val="002713D2"/>
    <w:rsid w:val="002714D3"/>
    <w:rsid w:val="00271A9B"/>
    <w:rsid w:val="002722F8"/>
    <w:rsid w:val="00272683"/>
    <w:rsid w:val="00273354"/>
    <w:rsid w:val="00273567"/>
    <w:rsid w:val="00274A18"/>
    <w:rsid w:val="00274CCF"/>
    <w:rsid w:val="00274EB7"/>
    <w:rsid w:val="0027514C"/>
    <w:rsid w:val="00275215"/>
    <w:rsid w:val="00275F69"/>
    <w:rsid w:val="002768F1"/>
    <w:rsid w:val="002778CB"/>
    <w:rsid w:val="00280D98"/>
    <w:rsid w:val="00282E80"/>
    <w:rsid w:val="002836AD"/>
    <w:rsid w:val="00283ED8"/>
    <w:rsid w:val="00283F92"/>
    <w:rsid w:val="002859DF"/>
    <w:rsid w:val="0028629A"/>
    <w:rsid w:val="002862D7"/>
    <w:rsid w:val="00286F9C"/>
    <w:rsid w:val="002904C1"/>
    <w:rsid w:val="00290E47"/>
    <w:rsid w:val="002910A2"/>
    <w:rsid w:val="00291209"/>
    <w:rsid w:val="002912E5"/>
    <w:rsid w:val="00292539"/>
    <w:rsid w:val="00292930"/>
    <w:rsid w:val="00294559"/>
    <w:rsid w:val="00294EF0"/>
    <w:rsid w:val="002954E7"/>
    <w:rsid w:val="00295546"/>
    <w:rsid w:val="00295AE3"/>
    <w:rsid w:val="0029607B"/>
    <w:rsid w:val="00296AA7"/>
    <w:rsid w:val="002978DC"/>
    <w:rsid w:val="002A029A"/>
    <w:rsid w:val="002A031F"/>
    <w:rsid w:val="002A0887"/>
    <w:rsid w:val="002A0A40"/>
    <w:rsid w:val="002A13D1"/>
    <w:rsid w:val="002A2833"/>
    <w:rsid w:val="002A3351"/>
    <w:rsid w:val="002A3C35"/>
    <w:rsid w:val="002A3FF3"/>
    <w:rsid w:val="002A411D"/>
    <w:rsid w:val="002A4697"/>
    <w:rsid w:val="002A6E51"/>
    <w:rsid w:val="002B21FC"/>
    <w:rsid w:val="002B2CCA"/>
    <w:rsid w:val="002B2D88"/>
    <w:rsid w:val="002B2EC8"/>
    <w:rsid w:val="002B300F"/>
    <w:rsid w:val="002B3935"/>
    <w:rsid w:val="002B558E"/>
    <w:rsid w:val="002B6E6C"/>
    <w:rsid w:val="002B7757"/>
    <w:rsid w:val="002B7CB5"/>
    <w:rsid w:val="002B7D67"/>
    <w:rsid w:val="002C0689"/>
    <w:rsid w:val="002C177C"/>
    <w:rsid w:val="002C1FDF"/>
    <w:rsid w:val="002C38A4"/>
    <w:rsid w:val="002C41ED"/>
    <w:rsid w:val="002C460C"/>
    <w:rsid w:val="002C49F8"/>
    <w:rsid w:val="002D03AE"/>
    <w:rsid w:val="002D3961"/>
    <w:rsid w:val="002D64EF"/>
    <w:rsid w:val="002D721A"/>
    <w:rsid w:val="002D7347"/>
    <w:rsid w:val="002D7DB7"/>
    <w:rsid w:val="002E0069"/>
    <w:rsid w:val="002E0F06"/>
    <w:rsid w:val="002E12AB"/>
    <w:rsid w:val="002E2AE6"/>
    <w:rsid w:val="002E318B"/>
    <w:rsid w:val="002E3252"/>
    <w:rsid w:val="002E6AAD"/>
    <w:rsid w:val="002E6DB8"/>
    <w:rsid w:val="002E70CC"/>
    <w:rsid w:val="002E7801"/>
    <w:rsid w:val="002F00D4"/>
    <w:rsid w:val="002F0F35"/>
    <w:rsid w:val="002F131B"/>
    <w:rsid w:val="002F24EA"/>
    <w:rsid w:val="002F3502"/>
    <w:rsid w:val="002F5C9A"/>
    <w:rsid w:val="002F6679"/>
    <w:rsid w:val="002F7597"/>
    <w:rsid w:val="00300096"/>
    <w:rsid w:val="00300CC5"/>
    <w:rsid w:val="00301C0B"/>
    <w:rsid w:val="003033CD"/>
    <w:rsid w:val="00303C8B"/>
    <w:rsid w:val="0030484E"/>
    <w:rsid w:val="00305846"/>
    <w:rsid w:val="00306244"/>
    <w:rsid w:val="00306785"/>
    <w:rsid w:val="00306831"/>
    <w:rsid w:val="00306B32"/>
    <w:rsid w:val="00306D4F"/>
    <w:rsid w:val="00310DC7"/>
    <w:rsid w:val="0031219A"/>
    <w:rsid w:val="003121DB"/>
    <w:rsid w:val="00312300"/>
    <w:rsid w:val="00312E86"/>
    <w:rsid w:val="003138B1"/>
    <w:rsid w:val="0031408D"/>
    <w:rsid w:val="00315298"/>
    <w:rsid w:val="00317415"/>
    <w:rsid w:val="00317B45"/>
    <w:rsid w:val="00317B49"/>
    <w:rsid w:val="0032082A"/>
    <w:rsid w:val="003209E7"/>
    <w:rsid w:val="0032194B"/>
    <w:rsid w:val="00321CA3"/>
    <w:rsid w:val="00321D86"/>
    <w:rsid w:val="00322069"/>
    <w:rsid w:val="0032244E"/>
    <w:rsid w:val="003227CF"/>
    <w:rsid w:val="00322955"/>
    <w:rsid w:val="00323E60"/>
    <w:rsid w:val="003249E0"/>
    <w:rsid w:val="00325530"/>
    <w:rsid w:val="003264B2"/>
    <w:rsid w:val="003265CE"/>
    <w:rsid w:val="003266A3"/>
    <w:rsid w:val="00327886"/>
    <w:rsid w:val="00330204"/>
    <w:rsid w:val="0033138F"/>
    <w:rsid w:val="003328AB"/>
    <w:rsid w:val="0033365C"/>
    <w:rsid w:val="00334D61"/>
    <w:rsid w:val="0034010D"/>
    <w:rsid w:val="00340EB4"/>
    <w:rsid w:val="0034259E"/>
    <w:rsid w:val="0034299A"/>
    <w:rsid w:val="00343928"/>
    <w:rsid w:val="0034545C"/>
    <w:rsid w:val="003461CD"/>
    <w:rsid w:val="003465DA"/>
    <w:rsid w:val="003479D7"/>
    <w:rsid w:val="0035109E"/>
    <w:rsid w:val="00352BAA"/>
    <w:rsid w:val="003530F4"/>
    <w:rsid w:val="00353884"/>
    <w:rsid w:val="0035394B"/>
    <w:rsid w:val="00354044"/>
    <w:rsid w:val="00354EE1"/>
    <w:rsid w:val="00354F93"/>
    <w:rsid w:val="003556FC"/>
    <w:rsid w:val="00355B68"/>
    <w:rsid w:val="00357917"/>
    <w:rsid w:val="00360B03"/>
    <w:rsid w:val="00361B7A"/>
    <w:rsid w:val="003620C2"/>
    <w:rsid w:val="00362270"/>
    <w:rsid w:val="003627F4"/>
    <w:rsid w:val="00363111"/>
    <w:rsid w:val="0036370A"/>
    <w:rsid w:val="00364491"/>
    <w:rsid w:val="003658D2"/>
    <w:rsid w:val="00366927"/>
    <w:rsid w:val="00366DCF"/>
    <w:rsid w:val="00366EE7"/>
    <w:rsid w:val="00370BC9"/>
    <w:rsid w:val="00371749"/>
    <w:rsid w:val="00371A3E"/>
    <w:rsid w:val="00371DBE"/>
    <w:rsid w:val="0037245A"/>
    <w:rsid w:val="00373A6E"/>
    <w:rsid w:val="00373FF3"/>
    <w:rsid w:val="003740CA"/>
    <w:rsid w:val="00374C39"/>
    <w:rsid w:val="00374C48"/>
    <w:rsid w:val="00375958"/>
    <w:rsid w:val="0038076C"/>
    <w:rsid w:val="00381382"/>
    <w:rsid w:val="0038203E"/>
    <w:rsid w:val="00382347"/>
    <w:rsid w:val="00383162"/>
    <w:rsid w:val="00383EAA"/>
    <w:rsid w:val="00385107"/>
    <w:rsid w:val="003855B9"/>
    <w:rsid w:val="0038587E"/>
    <w:rsid w:val="003908B0"/>
    <w:rsid w:val="0039159B"/>
    <w:rsid w:val="00391DC8"/>
    <w:rsid w:val="0039296D"/>
    <w:rsid w:val="00394717"/>
    <w:rsid w:val="003948BB"/>
    <w:rsid w:val="00395772"/>
    <w:rsid w:val="003961F2"/>
    <w:rsid w:val="00396A09"/>
    <w:rsid w:val="003A049E"/>
    <w:rsid w:val="003A0C72"/>
    <w:rsid w:val="003A36F0"/>
    <w:rsid w:val="003A385A"/>
    <w:rsid w:val="003A4D16"/>
    <w:rsid w:val="003A5441"/>
    <w:rsid w:val="003A56C4"/>
    <w:rsid w:val="003A5B81"/>
    <w:rsid w:val="003A6758"/>
    <w:rsid w:val="003A77C1"/>
    <w:rsid w:val="003B0761"/>
    <w:rsid w:val="003B0B85"/>
    <w:rsid w:val="003B0D35"/>
    <w:rsid w:val="003B1F84"/>
    <w:rsid w:val="003B2400"/>
    <w:rsid w:val="003B2D39"/>
    <w:rsid w:val="003B2F08"/>
    <w:rsid w:val="003B5733"/>
    <w:rsid w:val="003B796E"/>
    <w:rsid w:val="003C3215"/>
    <w:rsid w:val="003C3277"/>
    <w:rsid w:val="003C34DE"/>
    <w:rsid w:val="003C39A5"/>
    <w:rsid w:val="003C40BC"/>
    <w:rsid w:val="003C4EA9"/>
    <w:rsid w:val="003C5EAD"/>
    <w:rsid w:val="003D046F"/>
    <w:rsid w:val="003D0A6B"/>
    <w:rsid w:val="003D113E"/>
    <w:rsid w:val="003D1911"/>
    <w:rsid w:val="003D2991"/>
    <w:rsid w:val="003D29BC"/>
    <w:rsid w:val="003D5117"/>
    <w:rsid w:val="003D5294"/>
    <w:rsid w:val="003D55DA"/>
    <w:rsid w:val="003D6B41"/>
    <w:rsid w:val="003D6E16"/>
    <w:rsid w:val="003D760D"/>
    <w:rsid w:val="003D782F"/>
    <w:rsid w:val="003E0EFF"/>
    <w:rsid w:val="003E22C3"/>
    <w:rsid w:val="003E2556"/>
    <w:rsid w:val="003E4563"/>
    <w:rsid w:val="003E4A9C"/>
    <w:rsid w:val="003E4EE6"/>
    <w:rsid w:val="003E62AF"/>
    <w:rsid w:val="003E7ACD"/>
    <w:rsid w:val="003F015F"/>
    <w:rsid w:val="003F0FE6"/>
    <w:rsid w:val="003F11C0"/>
    <w:rsid w:val="003F1413"/>
    <w:rsid w:val="003F16C9"/>
    <w:rsid w:val="003F273B"/>
    <w:rsid w:val="003F4CCF"/>
    <w:rsid w:val="003F53F8"/>
    <w:rsid w:val="003F6027"/>
    <w:rsid w:val="003F7559"/>
    <w:rsid w:val="003F7883"/>
    <w:rsid w:val="00401CF4"/>
    <w:rsid w:val="00401D7F"/>
    <w:rsid w:val="004028AB"/>
    <w:rsid w:val="004029D4"/>
    <w:rsid w:val="004038F0"/>
    <w:rsid w:val="00406427"/>
    <w:rsid w:val="00407888"/>
    <w:rsid w:val="00407BAE"/>
    <w:rsid w:val="00410D18"/>
    <w:rsid w:val="004116AF"/>
    <w:rsid w:val="00411C52"/>
    <w:rsid w:val="0041315A"/>
    <w:rsid w:val="00413E03"/>
    <w:rsid w:val="00413FA0"/>
    <w:rsid w:val="004147AA"/>
    <w:rsid w:val="00414DC8"/>
    <w:rsid w:val="00415177"/>
    <w:rsid w:val="0041632B"/>
    <w:rsid w:val="00416FB2"/>
    <w:rsid w:val="004177A9"/>
    <w:rsid w:val="00423073"/>
    <w:rsid w:val="00425306"/>
    <w:rsid w:val="00426DBA"/>
    <w:rsid w:val="00426F1F"/>
    <w:rsid w:val="00430E1C"/>
    <w:rsid w:val="00431864"/>
    <w:rsid w:val="00433AD9"/>
    <w:rsid w:val="00433BBC"/>
    <w:rsid w:val="00433CE8"/>
    <w:rsid w:val="00433FB3"/>
    <w:rsid w:val="0043464A"/>
    <w:rsid w:val="00435094"/>
    <w:rsid w:val="004351F2"/>
    <w:rsid w:val="00435676"/>
    <w:rsid w:val="00435DC1"/>
    <w:rsid w:val="0043756C"/>
    <w:rsid w:val="00437EA1"/>
    <w:rsid w:val="00440308"/>
    <w:rsid w:val="0044212E"/>
    <w:rsid w:val="00442145"/>
    <w:rsid w:val="004422FE"/>
    <w:rsid w:val="004427E5"/>
    <w:rsid w:val="004455DB"/>
    <w:rsid w:val="00445DC6"/>
    <w:rsid w:val="00446574"/>
    <w:rsid w:val="0045070C"/>
    <w:rsid w:val="00450782"/>
    <w:rsid w:val="00452A6E"/>
    <w:rsid w:val="00453F2B"/>
    <w:rsid w:val="00455859"/>
    <w:rsid w:val="0045592C"/>
    <w:rsid w:val="00456523"/>
    <w:rsid w:val="004576E2"/>
    <w:rsid w:val="00457AB8"/>
    <w:rsid w:val="00460365"/>
    <w:rsid w:val="00460CAB"/>
    <w:rsid w:val="0046263E"/>
    <w:rsid w:val="00462A2F"/>
    <w:rsid w:val="00463E29"/>
    <w:rsid w:val="00466054"/>
    <w:rsid w:val="00466885"/>
    <w:rsid w:val="00466941"/>
    <w:rsid w:val="00466F53"/>
    <w:rsid w:val="0046740C"/>
    <w:rsid w:val="00467B69"/>
    <w:rsid w:val="00471406"/>
    <w:rsid w:val="00471A0E"/>
    <w:rsid w:val="004728E5"/>
    <w:rsid w:val="00472BCC"/>
    <w:rsid w:val="00473930"/>
    <w:rsid w:val="00474BFF"/>
    <w:rsid w:val="00474CB8"/>
    <w:rsid w:val="00475A1E"/>
    <w:rsid w:val="00475DE8"/>
    <w:rsid w:val="00477184"/>
    <w:rsid w:val="00477D5E"/>
    <w:rsid w:val="00480F2A"/>
    <w:rsid w:val="00480FAD"/>
    <w:rsid w:val="00481D8F"/>
    <w:rsid w:val="00482647"/>
    <w:rsid w:val="00482F08"/>
    <w:rsid w:val="00483B85"/>
    <w:rsid w:val="00483E23"/>
    <w:rsid w:val="00484F6E"/>
    <w:rsid w:val="0048549D"/>
    <w:rsid w:val="004858BA"/>
    <w:rsid w:val="00485C25"/>
    <w:rsid w:val="004869B8"/>
    <w:rsid w:val="00487B73"/>
    <w:rsid w:val="0049244A"/>
    <w:rsid w:val="004934A7"/>
    <w:rsid w:val="0049556B"/>
    <w:rsid w:val="00495F92"/>
    <w:rsid w:val="00497199"/>
    <w:rsid w:val="004A1114"/>
    <w:rsid w:val="004A1633"/>
    <w:rsid w:val="004A407A"/>
    <w:rsid w:val="004A423F"/>
    <w:rsid w:val="004A4552"/>
    <w:rsid w:val="004A62E5"/>
    <w:rsid w:val="004A6407"/>
    <w:rsid w:val="004B186A"/>
    <w:rsid w:val="004B3B49"/>
    <w:rsid w:val="004B3FE7"/>
    <w:rsid w:val="004B4A68"/>
    <w:rsid w:val="004B4C1D"/>
    <w:rsid w:val="004B4EEE"/>
    <w:rsid w:val="004B6A95"/>
    <w:rsid w:val="004C01DC"/>
    <w:rsid w:val="004C0517"/>
    <w:rsid w:val="004C0E66"/>
    <w:rsid w:val="004C13BC"/>
    <w:rsid w:val="004C1838"/>
    <w:rsid w:val="004C1AC8"/>
    <w:rsid w:val="004C1AE0"/>
    <w:rsid w:val="004C2CAA"/>
    <w:rsid w:val="004C2FA5"/>
    <w:rsid w:val="004C5C01"/>
    <w:rsid w:val="004D050C"/>
    <w:rsid w:val="004D213B"/>
    <w:rsid w:val="004D5EC4"/>
    <w:rsid w:val="004D6767"/>
    <w:rsid w:val="004D69A3"/>
    <w:rsid w:val="004E04AE"/>
    <w:rsid w:val="004E26AB"/>
    <w:rsid w:val="004E2C03"/>
    <w:rsid w:val="004E2C80"/>
    <w:rsid w:val="004E2D1D"/>
    <w:rsid w:val="004E32C2"/>
    <w:rsid w:val="004E3310"/>
    <w:rsid w:val="004E3696"/>
    <w:rsid w:val="004E5C84"/>
    <w:rsid w:val="004E7415"/>
    <w:rsid w:val="004E793D"/>
    <w:rsid w:val="004F0F0E"/>
    <w:rsid w:val="004F3002"/>
    <w:rsid w:val="004F50FF"/>
    <w:rsid w:val="004F519B"/>
    <w:rsid w:val="004F5AAF"/>
    <w:rsid w:val="004F5EDD"/>
    <w:rsid w:val="004F634A"/>
    <w:rsid w:val="004F7123"/>
    <w:rsid w:val="005003A8"/>
    <w:rsid w:val="00501D7E"/>
    <w:rsid w:val="00503096"/>
    <w:rsid w:val="005035A7"/>
    <w:rsid w:val="00504DDF"/>
    <w:rsid w:val="005059E2"/>
    <w:rsid w:val="005071B2"/>
    <w:rsid w:val="005073D5"/>
    <w:rsid w:val="00507CBA"/>
    <w:rsid w:val="005102E5"/>
    <w:rsid w:val="00510C61"/>
    <w:rsid w:val="005114D4"/>
    <w:rsid w:val="00511667"/>
    <w:rsid w:val="00513C01"/>
    <w:rsid w:val="00516A18"/>
    <w:rsid w:val="00520051"/>
    <w:rsid w:val="00520743"/>
    <w:rsid w:val="00520F75"/>
    <w:rsid w:val="00524AAD"/>
    <w:rsid w:val="00524BF6"/>
    <w:rsid w:val="0052550C"/>
    <w:rsid w:val="00525556"/>
    <w:rsid w:val="00525CCF"/>
    <w:rsid w:val="00527EAB"/>
    <w:rsid w:val="00530718"/>
    <w:rsid w:val="00530F88"/>
    <w:rsid w:val="00531139"/>
    <w:rsid w:val="005312D3"/>
    <w:rsid w:val="00531560"/>
    <w:rsid w:val="00531A37"/>
    <w:rsid w:val="00531FF1"/>
    <w:rsid w:val="005325FF"/>
    <w:rsid w:val="00532A99"/>
    <w:rsid w:val="005332F9"/>
    <w:rsid w:val="00534F6E"/>
    <w:rsid w:val="005359C7"/>
    <w:rsid w:val="00536E77"/>
    <w:rsid w:val="00537115"/>
    <w:rsid w:val="005372A2"/>
    <w:rsid w:val="0053797D"/>
    <w:rsid w:val="005403E5"/>
    <w:rsid w:val="005415A4"/>
    <w:rsid w:val="005418E9"/>
    <w:rsid w:val="00543558"/>
    <w:rsid w:val="00543A97"/>
    <w:rsid w:val="00543CC2"/>
    <w:rsid w:val="0054606A"/>
    <w:rsid w:val="00546BC5"/>
    <w:rsid w:val="005473B1"/>
    <w:rsid w:val="0055077E"/>
    <w:rsid w:val="0055150B"/>
    <w:rsid w:val="00551C91"/>
    <w:rsid w:val="00551CE3"/>
    <w:rsid w:val="00551F9A"/>
    <w:rsid w:val="00552B2E"/>
    <w:rsid w:val="00552F4E"/>
    <w:rsid w:val="00553EC2"/>
    <w:rsid w:val="0055482B"/>
    <w:rsid w:val="00556794"/>
    <w:rsid w:val="00556962"/>
    <w:rsid w:val="00556EC7"/>
    <w:rsid w:val="0055759A"/>
    <w:rsid w:val="00557A04"/>
    <w:rsid w:val="00560B84"/>
    <w:rsid w:val="00560C57"/>
    <w:rsid w:val="00560F56"/>
    <w:rsid w:val="00561223"/>
    <w:rsid w:val="005634CA"/>
    <w:rsid w:val="00563AF3"/>
    <w:rsid w:val="005657C5"/>
    <w:rsid w:val="0056594F"/>
    <w:rsid w:val="00566369"/>
    <w:rsid w:val="00567875"/>
    <w:rsid w:val="00570658"/>
    <w:rsid w:val="00570BF0"/>
    <w:rsid w:val="00572E23"/>
    <w:rsid w:val="00573256"/>
    <w:rsid w:val="00573C6C"/>
    <w:rsid w:val="00574BDC"/>
    <w:rsid w:val="005754FD"/>
    <w:rsid w:val="00576287"/>
    <w:rsid w:val="00576354"/>
    <w:rsid w:val="005802A4"/>
    <w:rsid w:val="0058033B"/>
    <w:rsid w:val="005811AD"/>
    <w:rsid w:val="00581233"/>
    <w:rsid w:val="0058246C"/>
    <w:rsid w:val="005826E7"/>
    <w:rsid w:val="00582F98"/>
    <w:rsid w:val="00585B7A"/>
    <w:rsid w:val="00586C36"/>
    <w:rsid w:val="005870CE"/>
    <w:rsid w:val="00590EE9"/>
    <w:rsid w:val="005910FF"/>
    <w:rsid w:val="005915DC"/>
    <w:rsid w:val="005942AD"/>
    <w:rsid w:val="00594B5D"/>
    <w:rsid w:val="0059538D"/>
    <w:rsid w:val="005956E7"/>
    <w:rsid w:val="00595F35"/>
    <w:rsid w:val="00596A6E"/>
    <w:rsid w:val="00596C29"/>
    <w:rsid w:val="00596ED9"/>
    <w:rsid w:val="005A0104"/>
    <w:rsid w:val="005A0848"/>
    <w:rsid w:val="005A132E"/>
    <w:rsid w:val="005A2F42"/>
    <w:rsid w:val="005A2F53"/>
    <w:rsid w:val="005A38DD"/>
    <w:rsid w:val="005A3BCC"/>
    <w:rsid w:val="005A4759"/>
    <w:rsid w:val="005A5FD2"/>
    <w:rsid w:val="005A7020"/>
    <w:rsid w:val="005A71FE"/>
    <w:rsid w:val="005B014B"/>
    <w:rsid w:val="005B0693"/>
    <w:rsid w:val="005B14A1"/>
    <w:rsid w:val="005B162F"/>
    <w:rsid w:val="005B1C95"/>
    <w:rsid w:val="005B2061"/>
    <w:rsid w:val="005B2C34"/>
    <w:rsid w:val="005B46F8"/>
    <w:rsid w:val="005B5720"/>
    <w:rsid w:val="005B6322"/>
    <w:rsid w:val="005B7039"/>
    <w:rsid w:val="005B7798"/>
    <w:rsid w:val="005B7C6A"/>
    <w:rsid w:val="005C0386"/>
    <w:rsid w:val="005C07F1"/>
    <w:rsid w:val="005C10E4"/>
    <w:rsid w:val="005C1B13"/>
    <w:rsid w:val="005C1FE2"/>
    <w:rsid w:val="005C2B6F"/>
    <w:rsid w:val="005C36B5"/>
    <w:rsid w:val="005C4D0F"/>
    <w:rsid w:val="005C4D17"/>
    <w:rsid w:val="005C4F35"/>
    <w:rsid w:val="005C6BE3"/>
    <w:rsid w:val="005D01C7"/>
    <w:rsid w:val="005D17D1"/>
    <w:rsid w:val="005D17F6"/>
    <w:rsid w:val="005D263F"/>
    <w:rsid w:val="005D2BBB"/>
    <w:rsid w:val="005D3B4B"/>
    <w:rsid w:val="005D483E"/>
    <w:rsid w:val="005D5966"/>
    <w:rsid w:val="005D7340"/>
    <w:rsid w:val="005D76C6"/>
    <w:rsid w:val="005D7D62"/>
    <w:rsid w:val="005E0A1E"/>
    <w:rsid w:val="005E1FF4"/>
    <w:rsid w:val="005E2DF6"/>
    <w:rsid w:val="005E35BE"/>
    <w:rsid w:val="005E4480"/>
    <w:rsid w:val="005E4980"/>
    <w:rsid w:val="005E6971"/>
    <w:rsid w:val="005E6EAD"/>
    <w:rsid w:val="005E76F5"/>
    <w:rsid w:val="005F12A4"/>
    <w:rsid w:val="005F1454"/>
    <w:rsid w:val="005F1A69"/>
    <w:rsid w:val="005F1B4F"/>
    <w:rsid w:val="005F1E39"/>
    <w:rsid w:val="005F2C8F"/>
    <w:rsid w:val="005F2EE6"/>
    <w:rsid w:val="005F3CEF"/>
    <w:rsid w:val="005F3EC9"/>
    <w:rsid w:val="005F42DC"/>
    <w:rsid w:val="005F6535"/>
    <w:rsid w:val="005F6BDD"/>
    <w:rsid w:val="005F6F0A"/>
    <w:rsid w:val="005F7977"/>
    <w:rsid w:val="00600007"/>
    <w:rsid w:val="00600DD8"/>
    <w:rsid w:val="00601137"/>
    <w:rsid w:val="006021E9"/>
    <w:rsid w:val="0060257B"/>
    <w:rsid w:val="00603BCC"/>
    <w:rsid w:val="006047DC"/>
    <w:rsid w:val="00606567"/>
    <w:rsid w:val="0060789E"/>
    <w:rsid w:val="00607B83"/>
    <w:rsid w:val="0061040C"/>
    <w:rsid w:val="00611374"/>
    <w:rsid w:val="00611628"/>
    <w:rsid w:val="00611A44"/>
    <w:rsid w:val="00612B2F"/>
    <w:rsid w:val="00615474"/>
    <w:rsid w:val="00615B92"/>
    <w:rsid w:val="00616A07"/>
    <w:rsid w:val="00617710"/>
    <w:rsid w:val="0062097A"/>
    <w:rsid w:val="00620FAF"/>
    <w:rsid w:val="006211E8"/>
    <w:rsid w:val="00621939"/>
    <w:rsid w:val="00622C19"/>
    <w:rsid w:val="006234FA"/>
    <w:rsid w:val="0062384B"/>
    <w:rsid w:val="00624D18"/>
    <w:rsid w:val="00631C60"/>
    <w:rsid w:val="00632734"/>
    <w:rsid w:val="0063287A"/>
    <w:rsid w:val="00632AF6"/>
    <w:rsid w:val="006365D0"/>
    <w:rsid w:val="00636B6B"/>
    <w:rsid w:val="00637108"/>
    <w:rsid w:val="006373F5"/>
    <w:rsid w:val="00637800"/>
    <w:rsid w:val="0063787B"/>
    <w:rsid w:val="00637985"/>
    <w:rsid w:val="006409A9"/>
    <w:rsid w:val="00642C91"/>
    <w:rsid w:val="006431E4"/>
    <w:rsid w:val="006437DE"/>
    <w:rsid w:val="00643C76"/>
    <w:rsid w:val="006442F4"/>
    <w:rsid w:val="00644F01"/>
    <w:rsid w:val="00645C91"/>
    <w:rsid w:val="0064700C"/>
    <w:rsid w:val="00650A2E"/>
    <w:rsid w:val="0065125A"/>
    <w:rsid w:val="00651EA6"/>
    <w:rsid w:val="00652529"/>
    <w:rsid w:val="006525A4"/>
    <w:rsid w:val="006528DE"/>
    <w:rsid w:val="006529B2"/>
    <w:rsid w:val="00653D7F"/>
    <w:rsid w:val="00654BE6"/>
    <w:rsid w:val="00654CD6"/>
    <w:rsid w:val="0065514B"/>
    <w:rsid w:val="00655286"/>
    <w:rsid w:val="00656D97"/>
    <w:rsid w:val="0065737C"/>
    <w:rsid w:val="00657750"/>
    <w:rsid w:val="00657E8B"/>
    <w:rsid w:val="00660779"/>
    <w:rsid w:val="006623D2"/>
    <w:rsid w:val="00664274"/>
    <w:rsid w:val="00664DB9"/>
    <w:rsid w:val="00665BA7"/>
    <w:rsid w:val="00665FC0"/>
    <w:rsid w:val="00667EE4"/>
    <w:rsid w:val="00667FE1"/>
    <w:rsid w:val="00671107"/>
    <w:rsid w:val="006714B9"/>
    <w:rsid w:val="00671EE5"/>
    <w:rsid w:val="006724BC"/>
    <w:rsid w:val="00673EBB"/>
    <w:rsid w:val="00680A47"/>
    <w:rsid w:val="00680AD9"/>
    <w:rsid w:val="00680F0A"/>
    <w:rsid w:val="006811AD"/>
    <w:rsid w:val="006815AC"/>
    <w:rsid w:val="00681C73"/>
    <w:rsid w:val="00681C75"/>
    <w:rsid w:val="0068387C"/>
    <w:rsid w:val="0068489D"/>
    <w:rsid w:val="0068778C"/>
    <w:rsid w:val="0069031B"/>
    <w:rsid w:val="00690B11"/>
    <w:rsid w:val="00691DCF"/>
    <w:rsid w:val="00693347"/>
    <w:rsid w:val="00693D1B"/>
    <w:rsid w:val="00693F79"/>
    <w:rsid w:val="00697122"/>
    <w:rsid w:val="006973CC"/>
    <w:rsid w:val="006A008D"/>
    <w:rsid w:val="006A04C2"/>
    <w:rsid w:val="006A1C40"/>
    <w:rsid w:val="006A1EA2"/>
    <w:rsid w:val="006A313A"/>
    <w:rsid w:val="006A31CC"/>
    <w:rsid w:val="006A331B"/>
    <w:rsid w:val="006A401D"/>
    <w:rsid w:val="006A476E"/>
    <w:rsid w:val="006A490B"/>
    <w:rsid w:val="006A5D02"/>
    <w:rsid w:val="006A6246"/>
    <w:rsid w:val="006A64FB"/>
    <w:rsid w:val="006A6D4A"/>
    <w:rsid w:val="006A756B"/>
    <w:rsid w:val="006B0AA0"/>
    <w:rsid w:val="006B1846"/>
    <w:rsid w:val="006B1AD3"/>
    <w:rsid w:val="006B2311"/>
    <w:rsid w:val="006B2D73"/>
    <w:rsid w:val="006B2DDF"/>
    <w:rsid w:val="006B31E1"/>
    <w:rsid w:val="006B3B4D"/>
    <w:rsid w:val="006B3CA2"/>
    <w:rsid w:val="006B5EE5"/>
    <w:rsid w:val="006B79A0"/>
    <w:rsid w:val="006B7E79"/>
    <w:rsid w:val="006C127D"/>
    <w:rsid w:val="006C24C6"/>
    <w:rsid w:val="006C2A23"/>
    <w:rsid w:val="006C347E"/>
    <w:rsid w:val="006C4058"/>
    <w:rsid w:val="006C41D1"/>
    <w:rsid w:val="006C4D3E"/>
    <w:rsid w:val="006C4F54"/>
    <w:rsid w:val="006C66A1"/>
    <w:rsid w:val="006C6D10"/>
    <w:rsid w:val="006C6D23"/>
    <w:rsid w:val="006C740E"/>
    <w:rsid w:val="006C7751"/>
    <w:rsid w:val="006D0BAC"/>
    <w:rsid w:val="006D0E88"/>
    <w:rsid w:val="006D191E"/>
    <w:rsid w:val="006D265E"/>
    <w:rsid w:val="006D3465"/>
    <w:rsid w:val="006D44DC"/>
    <w:rsid w:val="006D4719"/>
    <w:rsid w:val="006D4754"/>
    <w:rsid w:val="006D58B8"/>
    <w:rsid w:val="006D6381"/>
    <w:rsid w:val="006D74BC"/>
    <w:rsid w:val="006D7F78"/>
    <w:rsid w:val="006E0106"/>
    <w:rsid w:val="006E1CDC"/>
    <w:rsid w:val="006E29F2"/>
    <w:rsid w:val="006E46FD"/>
    <w:rsid w:val="006E4CDD"/>
    <w:rsid w:val="006E4EB0"/>
    <w:rsid w:val="006E5DAF"/>
    <w:rsid w:val="006F15E2"/>
    <w:rsid w:val="006F1A42"/>
    <w:rsid w:val="006F31F6"/>
    <w:rsid w:val="006F3886"/>
    <w:rsid w:val="006F4EB1"/>
    <w:rsid w:val="006F5EF6"/>
    <w:rsid w:val="006F64D3"/>
    <w:rsid w:val="006F68B1"/>
    <w:rsid w:val="006F7A19"/>
    <w:rsid w:val="007026CA"/>
    <w:rsid w:val="007033B6"/>
    <w:rsid w:val="00703C31"/>
    <w:rsid w:val="00704C79"/>
    <w:rsid w:val="00706029"/>
    <w:rsid w:val="00710511"/>
    <w:rsid w:val="00711C96"/>
    <w:rsid w:val="00712F92"/>
    <w:rsid w:val="0071439B"/>
    <w:rsid w:val="007145D3"/>
    <w:rsid w:val="00716432"/>
    <w:rsid w:val="00716AE6"/>
    <w:rsid w:val="00716F5D"/>
    <w:rsid w:val="00717CD2"/>
    <w:rsid w:val="0072048C"/>
    <w:rsid w:val="00721FAA"/>
    <w:rsid w:val="00723095"/>
    <w:rsid w:val="007249B3"/>
    <w:rsid w:val="00725A94"/>
    <w:rsid w:val="00727771"/>
    <w:rsid w:val="00727808"/>
    <w:rsid w:val="0072788A"/>
    <w:rsid w:val="00727D12"/>
    <w:rsid w:val="007317EC"/>
    <w:rsid w:val="00732219"/>
    <w:rsid w:val="0073279A"/>
    <w:rsid w:val="00732E1F"/>
    <w:rsid w:val="0073325F"/>
    <w:rsid w:val="00734278"/>
    <w:rsid w:val="007343A5"/>
    <w:rsid w:val="007343F1"/>
    <w:rsid w:val="00735564"/>
    <w:rsid w:val="007376D6"/>
    <w:rsid w:val="00737B09"/>
    <w:rsid w:val="00737F6D"/>
    <w:rsid w:val="00742854"/>
    <w:rsid w:val="007429C6"/>
    <w:rsid w:val="0074578D"/>
    <w:rsid w:val="00745CDF"/>
    <w:rsid w:val="007461DD"/>
    <w:rsid w:val="00747397"/>
    <w:rsid w:val="007505F2"/>
    <w:rsid w:val="0075095B"/>
    <w:rsid w:val="00751207"/>
    <w:rsid w:val="00751214"/>
    <w:rsid w:val="00751A50"/>
    <w:rsid w:val="0075201C"/>
    <w:rsid w:val="00752C9D"/>
    <w:rsid w:val="00753C64"/>
    <w:rsid w:val="007559C7"/>
    <w:rsid w:val="007564BE"/>
    <w:rsid w:val="00756891"/>
    <w:rsid w:val="00756FF0"/>
    <w:rsid w:val="00763431"/>
    <w:rsid w:val="007643FD"/>
    <w:rsid w:val="00764885"/>
    <w:rsid w:val="00765363"/>
    <w:rsid w:val="00765C3E"/>
    <w:rsid w:val="00766639"/>
    <w:rsid w:val="00766861"/>
    <w:rsid w:val="00767005"/>
    <w:rsid w:val="007673EE"/>
    <w:rsid w:val="00776179"/>
    <w:rsid w:val="007766C5"/>
    <w:rsid w:val="00777A0F"/>
    <w:rsid w:val="00777B7D"/>
    <w:rsid w:val="007806B7"/>
    <w:rsid w:val="0078227A"/>
    <w:rsid w:val="007824CA"/>
    <w:rsid w:val="00782696"/>
    <w:rsid w:val="00782B83"/>
    <w:rsid w:val="007847AA"/>
    <w:rsid w:val="00786BBB"/>
    <w:rsid w:val="00786F59"/>
    <w:rsid w:val="00795D35"/>
    <w:rsid w:val="00796BFD"/>
    <w:rsid w:val="007A227D"/>
    <w:rsid w:val="007A2FD7"/>
    <w:rsid w:val="007A36AD"/>
    <w:rsid w:val="007A48EE"/>
    <w:rsid w:val="007A5C81"/>
    <w:rsid w:val="007A5D9A"/>
    <w:rsid w:val="007A624B"/>
    <w:rsid w:val="007A6595"/>
    <w:rsid w:val="007A6DD4"/>
    <w:rsid w:val="007A7949"/>
    <w:rsid w:val="007A7FAA"/>
    <w:rsid w:val="007A7FCD"/>
    <w:rsid w:val="007B1D30"/>
    <w:rsid w:val="007B3ECB"/>
    <w:rsid w:val="007B446C"/>
    <w:rsid w:val="007B4951"/>
    <w:rsid w:val="007B56AB"/>
    <w:rsid w:val="007B5705"/>
    <w:rsid w:val="007B6655"/>
    <w:rsid w:val="007B6D07"/>
    <w:rsid w:val="007C0CD7"/>
    <w:rsid w:val="007C2FB2"/>
    <w:rsid w:val="007C2FFF"/>
    <w:rsid w:val="007C4A48"/>
    <w:rsid w:val="007C5031"/>
    <w:rsid w:val="007C6845"/>
    <w:rsid w:val="007C751F"/>
    <w:rsid w:val="007D173C"/>
    <w:rsid w:val="007D269A"/>
    <w:rsid w:val="007D29DC"/>
    <w:rsid w:val="007D2EBF"/>
    <w:rsid w:val="007D6FEC"/>
    <w:rsid w:val="007D7ACD"/>
    <w:rsid w:val="007E130E"/>
    <w:rsid w:val="007E1858"/>
    <w:rsid w:val="007E20AC"/>
    <w:rsid w:val="007E25F1"/>
    <w:rsid w:val="007E2E1F"/>
    <w:rsid w:val="007E5D05"/>
    <w:rsid w:val="007E65C5"/>
    <w:rsid w:val="007E7AD1"/>
    <w:rsid w:val="007E7DC7"/>
    <w:rsid w:val="007F02DF"/>
    <w:rsid w:val="007F07B9"/>
    <w:rsid w:val="007F1018"/>
    <w:rsid w:val="007F1C83"/>
    <w:rsid w:val="007F25DE"/>
    <w:rsid w:val="007F3612"/>
    <w:rsid w:val="007F3643"/>
    <w:rsid w:val="007F4FB1"/>
    <w:rsid w:val="007F5613"/>
    <w:rsid w:val="007F6C5D"/>
    <w:rsid w:val="007F7593"/>
    <w:rsid w:val="007F7826"/>
    <w:rsid w:val="00800852"/>
    <w:rsid w:val="0080179B"/>
    <w:rsid w:val="0080499B"/>
    <w:rsid w:val="00805504"/>
    <w:rsid w:val="0080555B"/>
    <w:rsid w:val="00807557"/>
    <w:rsid w:val="00810E91"/>
    <w:rsid w:val="00811B0C"/>
    <w:rsid w:val="00813D98"/>
    <w:rsid w:val="008177F1"/>
    <w:rsid w:val="008212F1"/>
    <w:rsid w:val="008216C5"/>
    <w:rsid w:val="00822985"/>
    <w:rsid w:val="0082316D"/>
    <w:rsid w:val="00823806"/>
    <w:rsid w:val="00824190"/>
    <w:rsid w:val="00825555"/>
    <w:rsid w:val="0082640F"/>
    <w:rsid w:val="00826C9A"/>
    <w:rsid w:val="00827773"/>
    <w:rsid w:val="008278FA"/>
    <w:rsid w:val="008306DF"/>
    <w:rsid w:val="00830781"/>
    <w:rsid w:val="00831B8C"/>
    <w:rsid w:val="0083318F"/>
    <w:rsid w:val="00833D86"/>
    <w:rsid w:val="008374F0"/>
    <w:rsid w:val="00837825"/>
    <w:rsid w:val="00837B7F"/>
    <w:rsid w:val="008400B3"/>
    <w:rsid w:val="00840989"/>
    <w:rsid w:val="00841D23"/>
    <w:rsid w:val="00843429"/>
    <w:rsid w:val="008435A6"/>
    <w:rsid w:val="008438B4"/>
    <w:rsid w:val="008443B4"/>
    <w:rsid w:val="00846EA4"/>
    <w:rsid w:val="00847D0E"/>
    <w:rsid w:val="00847F05"/>
    <w:rsid w:val="00850825"/>
    <w:rsid w:val="00850C5A"/>
    <w:rsid w:val="008522C5"/>
    <w:rsid w:val="008525D1"/>
    <w:rsid w:val="00853A18"/>
    <w:rsid w:val="00853DFD"/>
    <w:rsid w:val="00854652"/>
    <w:rsid w:val="00854C45"/>
    <w:rsid w:val="00855564"/>
    <w:rsid w:val="00855A46"/>
    <w:rsid w:val="00855B86"/>
    <w:rsid w:val="00857F62"/>
    <w:rsid w:val="0086000F"/>
    <w:rsid w:val="008600F8"/>
    <w:rsid w:val="008606DE"/>
    <w:rsid w:val="00860D2F"/>
    <w:rsid w:val="00861DEB"/>
    <w:rsid w:val="00862431"/>
    <w:rsid w:val="00862B3D"/>
    <w:rsid w:val="008634F3"/>
    <w:rsid w:val="0086447D"/>
    <w:rsid w:val="00865590"/>
    <w:rsid w:val="00865709"/>
    <w:rsid w:val="00866432"/>
    <w:rsid w:val="008666F0"/>
    <w:rsid w:val="008678A7"/>
    <w:rsid w:val="00867A8A"/>
    <w:rsid w:val="008702C3"/>
    <w:rsid w:val="00871441"/>
    <w:rsid w:val="00871521"/>
    <w:rsid w:val="0087164C"/>
    <w:rsid w:val="0087178E"/>
    <w:rsid w:val="00871E63"/>
    <w:rsid w:val="00872C25"/>
    <w:rsid w:val="0087462C"/>
    <w:rsid w:val="00875ADB"/>
    <w:rsid w:val="0087681B"/>
    <w:rsid w:val="00877666"/>
    <w:rsid w:val="008800F7"/>
    <w:rsid w:val="008803A3"/>
    <w:rsid w:val="0088136A"/>
    <w:rsid w:val="008814AD"/>
    <w:rsid w:val="008869D9"/>
    <w:rsid w:val="00890400"/>
    <w:rsid w:val="00891D61"/>
    <w:rsid w:val="00893D5E"/>
    <w:rsid w:val="00894525"/>
    <w:rsid w:val="00894F3E"/>
    <w:rsid w:val="00896A55"/>
    <w:rsid w:val="00896C80"/>
    <w:rsid w:val="00896C90"/>
    <w:rsid w:val="008A01B1"/>
    <w:rsid w:val="008A123C"/>
    <w:rsid w:val="008A13F2"/>
    <w:rsid w:val="008A1915"/>
    <w:rsid w:val="008A40DE"/>
    <w:rsid w:val="008A4CF8"/>
    <w:rsid w:val="008A66D8"/>
    <w:rsid w:val="008A6E4D"/>
    <w:rsid w:val="008B09B4"/>
    <w:rsid w:val="008B0E83"/>
    <w:rsid w:val="008B2242"/>
    <w:rsid w:val="008B299C"/>
    <w:rsid w:val="008B2DCF"/>
    <w:rsid w:val="008B3AC0"/>
    <w:rsid w:val="008B624E"/>
    <w:rsid w:val="008B7B73"/>
    <w:rsid w:val="008C098D"/>
    <w:rsid w:val="008C19E7"/>
    <w:rsid w:val="008C1AE5"/>
    <w:rsid w:val="008C1FB5"/>
    <w:rsid w:val="008C299C"/>
    <w:rsid w:val="008C340B"/>
    <w:rsid w:val="008C3911"/>
    <w:rsid w:val="008C485D"/>
    <w:rsid w:val="008C66BA"/>
    <w:rsid w:val="008C6F1A"/>
    <w:rsid w:val="008C7EF0"/>
    <w:rsid w:val="008D1472"/>
    <w:rsid w:val="008D3523"/>
    <w:rsid w:val="008D35AA"/>
    <w:rsid w:val="008D4221"/>
    <w:rsid w:val="008D4D5B"/>
    <w:rsid w:val="008D4EDE"/>
    <w:rsid w:val="008D589A"/>
    <w:rsid w:val="008E0731"/>
    <w:rsid w:val="008E137D"/>
    <w:rsid w:val="008E1C7E"/>
    <w:rsid w:val="008E265A"/>
    <w:rsid w:val="008E2974"/>
    <w:rsid w:val="008E4423"/>
    <w:rsid w:val="008E496E"/>
    <w:rsid w:val="008E4AEA"/>
    <w:rsid w:val="008E6833"/>
    <w:rsid w:val="008F1110"/>
    <w:rsid w:val="008F30B8"/>
    <w:rsid w:val="008F3874"/>
    <w:rsid w:val="008F3EDC"/>
    <w:rsid w:val="008F4DDA"/>
    <w:rsid w:val="008F51CE"/>
    <w:rsid w:val="008F6584"/>
    <w:rsid w:val="008F6B39"/>
    <w:rsid w:val="008F7452"/>
    <w:rsid w:val="008F78E5"/>
    <w:rsid w:val="009037B4"/>
    <w:rsid w:val="00905104"/>
    <w:rsid w:val="00905116"/>
    <w:rsid w:val="009060B3"/>
    <w:rsid w:val="009061DD"/>
    <w:rsid w:val="00906E47"/>
    <w:rsid w:val="009105E6"/>
    <w:rsid w:val="00910A2C"/>
    <w:rsid w:val="009111E8"/>
    <w:rsid w:val="00911C02"/>
    <w:rsid w:val="0091275B"/>
    <w:rsid w:val="009128D0"/>
    <w:rsid w:val="00915861"/>
    <w:rsid w:val="00917445"/>
    <w:rsid w:val="009202A7"/>
    <w:rsid w:val="00921085"/>
    <w:rsid w:val="00922183"/>
    <w:rsid w:val="009237E7"/>
    <w:rsid w:val="00924D89"/>
    <w:rsid w:val="00924EEC"/>
    <w:rsid w:val="00925626"/>
    <w:rsid w:val="00926BD9"/>
    <w:rsid w:val="0093035B"/>
    <w:rsid w:val="009304E0"/>
    <w:rsid w:val="0093051F"/>
    <w:rsid w:val="00930609"/>
    <w:rsid w:val="00930DBC"/>
    <w:rsid w:val="00932BF3"/>
    <w:rsid w:val="00933A92"/>
    <w:rsid w:val="00934054"/>
    <w:rsid w:val="0093468A"/>
    <w:rsid w:val="00935D71"/>
    <w:rsid w:val="0093613C"/>
    <w:rsid w:val="009364AD"/>
    <w:rsid w:val="00936644"/>
    <w:rsid w:val="00936EC5"/>
    <w:rsid w:val="00937298"/>
    <w:rsid w:val="00937AA3"/>
    <w:rsid w:val="009406BE"/>
    <w:rsid w:val="00940C67"/>
    <w:rsid w:val="00940E19"/>
    <w:rsid w:val="009411E3"/>
    <w:rsid w:val="009412C1"/>
    <w:rsid w:val="00943695"/>
    <w:rsid w:val="00945EF9"/>
    <w:rsid w:val="00946CA3"/>
    <w:rsid w:val="0094722C"/>
    <w:rsid w:val="0095112C"/>
    <w:rsid w:val="00951357"/>
    <w:rsid w:val="00953747"/>
    <w:rsid w:val="0095542C"/>
    <w:rsid w:val="0095699A"/>
    <w:rsid w:val="00956D13"/>
    <w:rsid w:val="009570A2"/>
    <w:rsid w:val="0096150C"/>
    <w:rsid w:val="00961CD3"/>
    <w:rsid w:val="009632A8"/>
    <w:rsid w:val="0096490D"/>
    <w:rsid w:val="00964EB5"/>
    <w:rsid w:val="0096514B"/>
    <w:rsid w:val="00967045"/>
    <w:rsid w:val="00967885"/>
    <w:rsid w:val="009678A6"/>
    <w:rsid w:val="009707C1"/>
    <w:rsid w:val="0097104D"/>
    <w:rsid w:val="00971065"/>
    <w:rsid w:val="00974452"/>
    <w:rsid w:val="00974B8B"/>
    <w:rsid w:val="00975CE7"/>
    <w:rsid w:val="009777F4"/>
    <w:rsid w:val="00980C5C"/>
    <w:rsid w:val="009810C0"/>
    <w:rsid w:val="0098251B"/>
    <w:rsid w:val="00982800"/>
    <w:rsid w:val="009847C6"/>
    <w:rsid w:val="0098511E"/>
    <w:rsid w:val="00985A3A"/>
    <w:rsid w:val="00985AE0"/>
    <w:rsid w:val="00985BF1"/>
    <w:rsid w:val="00986691"/>
    <w:rsid w:val="00987788"/>
    <w:rsid w:val="009903ED"/>
    <w:rsid w:val="00991185"/>
    <w:rsid w:val="00993150"/>
    <w:rsid w:val="0099392E"/>
    <w:rsid w:val="00994C40"/>
    <w:rsid w:val="00994FCD"/>
    <w:rsid w:val="00996E28"/>
    <w:rsid w:val="00997A3E"/>
    <w:rsid w:val="00997BAB"/>
    <w:rsid w:val="009A010A"/>
    <w:rsid w:val="009A162A"/>
    <w:rsid w:val="009A1904"/>
    <w:rsid w:val="009A1D72"/>
    <w:rsid w:val="009A31F9"/>
    <w:rsid w:val="009A3365"/>
    <w:rsid w:val="009A3CAD"/>
    <w:rsid w:val="009A4000"/>
    <w:rsid w:val="009A4422"/>
    <w:rsid w:val="009A4AAE"/>
    <w:rsid w:val="009A74E4"/>
    <w:rsid w:val="009A7568"/>
    <w:rsid w:val="009A795D"/>
    <w:rsid w:val="009B1250"/>
    <w:rsid w:val="009B199F"/>
    <w:rsid w:val="009B20BC"/>
    <w:rsid w:val="009B26E9"/>
    <w:rsid w:val="009B38F9"/>
    <w:rsid w:val="009B7628"/>
    <w:rsid w:val="009B7B25"/>
    <w:rsid w:val="009B7B2A"/>
    <w:rsid w:val="009C112A"/>
    <w:rsid w:val="009C23A9"/>
    <w:rsid w:val="009C2E12"/>
    <w:rsid w:val="009C2E2C"/>
    <w:rsid w:val="009C43DF"/>
    <w:rsid w:val="009C5403"/>
    <w:rsid w:val="009C5530"/>
    <w:rsid w:val="009C641B"/>
    <w:rsid w:val="009C67D3"/>
    <w:rsid w:val="009C7C85"/>
    <w:rsid w:val="009C7F40"/>
    <w:rsid w:val="009D045D"/>
    <w:rsid w:val="009D1030"/>
    <w:rsid w:val="009D11EE"/>
    <w:rsid w:val="009D2DC9"/>
    <w:rsid w:val="009D496A"/>
    <w:rsid w:val="009D49F7"/>
    <w:rsid w:val="009D4C40"/>
    <w:rsid w:val="009D553A"/>
    <w:rsid w:val="009D61AA"/>
    <w:rsid w:val="009D7290"/>
    <w:rsid w:val="009D7346"/>
    <w:rsid w:val="009D78A3"/>
    <w:rsid w:val="009D7D78"/>
    <w:rsid w:val="009E00D1"/>
    <w:rsid w:val="009E04CC"/>
    <w:rsid w:val="009E3542"/>
    <w:rsid w:val="009E4AD6"/>
    <w:rsid w:val="009E5553"/>
    <w:rsid w:val="009E64E1"/>
    <w:rsid w:val="009E65B4"/>
    <w:rsid w:val="009E68DE"/>
    <w:rsid w:val="009F035B"/>
    <w:rsid w:val="009F07E3"/>
    <w:rsid w:val="009F0955"/>
    <w:rsid w:val="009F29CC"/>
    <w:rsid w:val="009F3CE0"/>
    <w:rsid w:val="009F4A47"/>
    <w:rsid w:val="009F522A"/>
    <w:rsid w:val="009F646B"/>
    <w:rsid w:val="009F6569"/>
    <w:rsid w:val="009F702D"/>
    <w:rsid w:val="00A017BF"/>
    <w:rsid w:val="00A03CC2"/>
    <w:rsid w:val="00A06E1A"/>
    <w:rsid w:val="00A07D3B"/>
    <w:rsid w:val="00A11834"/>
    <w:rsid w:val="00A136B2"/>
    <w:rsid w:val="00A13927"/>
    <w:rsid w:val="00A1553D"/>
    <w:rsid w:val="00A161A1"/>
    <w:rsid w:val="00A1622A"/>
    <w:rsid w:val="00A1623F"/>
    <w:rsid w:val="00A16346"/>
    <w:rsid w:val="00A1788D"/>
    <w:rsid w:val="00A2006B"/>
    <w:rsid w:val="00A20571"/>
    <w:rsid w:val="00A21609"/>
    <w:rsid w:val="00A21F03"/>
    <w:rsid w:val="00A237D2"/>
    <w:rsid w:val="00A24281"/>
    <w:rsid w:val="00A26180"/>
    <w:rsid w:val="00A263DD"/>
    <w:rsid w:val="00A30565"/>
    <w:rsid w:val="00A31EA4"/>
    <w:rsid w:val="00A32101"/>
    <w:rsid w:val="00A32B73"/>
    <w:rsid w:val="00A3419E"/>
    <w:rsid w:val="00A3421E"/>
    <w:rsid w:val="00A344FD"/>
    <w:rsid w:val="00A351AD"/>
    <w:rsid w:val="00A351AF"/>
    <w:rsid w:val="00A35F8C"/>
    <w:rsid w:val="00A3720F"/>
    <w:rsid w:val="00A4063E"/>
    <w:rsid w:val="00A40D7F"/>
    <w:rsid w:val="00A41AD1"/>
    <w:rsid w:val="00A42187"/>
    <w:rsid w:val="00A4283A"/>
    <w:rsid w:val="00A42AD2"/>
    <w:rsid w:val="00A42BA5"/>
    <w:rsid w:val="00A43318"/>
    <w:rsid w:val="00A4432B"/>
    <w:rsid w:val="00A44A03"/>
    <w:rsid w:val="00A454AD"/>
    <w:rsid w:val="00A466CA"/>
    <w:rsid w:val="00A468AB"/>
    <w:rsid w:val="00A4746A"/>
    <w:rsid w:val="00A51851"/>
    <w:rsid w:val="00A51AC8"/>
    <w:rsid w:val="00A5588C"/>
    <w:rsid w:val="00A571EA"/>
    <w:rsid w:val="00A620E7"/>
    <w:rsid w:val="00A62A8F"/>
    <w:rsid w:val="00A64038"/>
    <w:rsid w:val="00A6544A"/>
    <w:rsid w:val="00A66775"/>
    <w:rsid w:val="00A6720F"/>
    <w:rsid w:val="00A7061A"/>
    <w:rsid w:val="00A71594"/>
    <w:rsid w:val="00A71C42"/>
    <w:rsid w:val="00A73125"/>
    <w:rsid w:val="00A734DB"/>
    <w:rsid w:val="00A73D13"/>
    <w:rsid w:val="00A74FB3"/>
    <w:rsid w:val="00A75AC7"/>
    <w:rsid w:val="00A75C07"/>
    <w:rsid w:val="00A75FDE"/>
    <w:rsid w:val="00A8196F"/>
    <w:rsid w:val="00A81A4F"/>
    <w:rsid w:val="00A82AD5"/>
    <w:rsid w:val="00A83CB1"/>
    <w:rsid w:val="00A83DEF"/>
    <w:rsid w:val="00A84588"/>
    <w:rsid w:val="00A8466F"/>
    <w:rsid w:val="00A848E3"/>
    <w:rsid w:val="00A85B93"/>
    <w:rsid w:val="00A86FBF"/>
    <w:rsid w:val="00A877B3"/>
    <w:rsid w:val="00A8788C"/>
    <w:rsid w:val="00A91061"/>
    <w:rsid w:val="00A93A0D"/>
    <w:rsid w:val="00A93F56"/>
    <w:rsid w:val="00A94233"/>
    <w:rsid w:val="00A9470A"/>
    <w:rsid w:val="00A9482F"/>
    <w:rsid w:val="00A949A6"/>
    <w:rsid w:val="00A95D20"/>
    <w:rsid w:val="00A972BA"/>
    <w:rsid w:val="00A97737"/>
    <w:rsid w:val="00AA0140"/>
    <w:rsid w:val="00AA0449"/>
    <w:rsid w:val="00AA12FE"/>
    <w:rsid w:val="00AA2609"/>
    <w:rsid w:val="00AA2C97"/>
    <w:rsid w:val="00AA3676"/>
    <w:rsid w:val="00AA39E8"/>
    <w:rsid w:val="00AA4BA7"/>
    <w:rsid w:val="00AA517F"/>
    <w:rsid w:val="00AA6566"/>
    <w:rsid w:val="00AA67F0"/>
    <w:rsid w:val="00AA6D03"/>
    <w:rsid w:val="00AB018E"/>
    <w:rsid w:val="00AB1601"/>
    <w:rsid w:val="00AB22D6"/>
    <w:rsid w:val="00AB2C12"/>
    <w:rsid w:val="00AB2EC2"/>
    <w:rsid w:val="00AB48FD"/>
    <w:rsid w:val="00AB74BD"/>
    <w:rsid w:val="00AB76EC"/>
    <w:rsid w:val="00AB79A5"/>
    <w:rsid w:val="00AB7EE5"/>
    <w:rsid w:val="00AC0593"/>
    <w:rsid w:val="00AC09FD"/>
    <w:rsid w:val="00AC0CBA"/>
    <w:rsid w:val="00AC11FE"/>
    <w:rsid w:val="00AC2D59"/>
    <w:rsid w:val="00AC3025"/>
    <w:rsid w:val="00AC33C1"/>
    <w:rsid w:val="00AC40E9"/>
    <w:rsid w:val="00AC693B"/>
    <w:rsid w:val="00AC70E2"/>
    <w:rsid w:val="00AC7198"/>
    <w:rsid w:val="00AD0E66"/>
    <w:rsid w:val="00AD29AB"/>
    <w:rsid w:val="00AD4EF8"/>
    <w:rsid w:val="00AD609C"/>
    <w:rsid w:val="00AE04F6"/>
    <w:rsid w:val="00AE0AB4"/>
    <w:rsid w:val="00AE37C8"/>
    <w:rsid w:val="00AE37F8"/>
    <w:rsid w:val="00AE40CC"/>
    <w:rsid w:val="00AE7342"/>
    <w:rsid w:val="00AE7651"/>
    <w:rsid w:val="00AF0141"/>
    <w:rsid w:val="00AF0D5A"/>
    <w:rsid w:val="00AF13CF"/>
    <w:rsid w:val="00AF1550"/>
    <w:rsid w:val="00AF333E"/>
    <w:rsid w:val="00AF515B"/>
    <w:rsid w:val="00AF5F22"/>
    <w:rsid w:val="00AF61F5"/>
    <w:rsid w:val="00AF62E3"/>
    <w:rsid w:val="00AF661E"/>
    <w:rsid w:val="00AF6E72"/>
    <w:rsid w:val="00B011E7"/>
    <w:rsid w:val="00B012CE"/>
    <w:rsid w:val="00B01808"/>
    <w:rsid w:val="00B01AFB"/>
    <w:rsid w:val="00B02629"/>
    <w:rsid w:val="00B0263C"/>
    <w:rsid w:val="00B07EF7"/>
    <w:rsid w:val="00B11041"/>
    <w:rsid w:val="00B130CD"/>
    <w:rsid w:val="00B1466E"/>
    <w:rsid w:val="00B15ECF"/>
    <w:rsid w:val="00B15F36"/>
    <w:rsid w:val="00B203A2"/>
    <w:rsid w:val="00B2065D"/>
    <w:rsid w:val="00B20720"/>
    <w:rsid w:val="00B2321C"/>
    <w:rsid w:val="00B2339B"/>
    <w:rsid w:val="00B24185"/>
    <w:rsid w:val="00B24E7D"/>
    <w:rsid w:val="00B260E8"/>
    <w:rsid w:val="00B26682"/>
    <w:rsid w:val="00B30885"/>
    <w:rsid w:val="00B31295"/>
    <w:rsid w:val="00B319ED"/>
    <w:rsid w:val="00B33103"/>
    <w:rsid w:val="00B336D7"/>
    <w:rsid w:val="00B33750"/>
    <w:rsid w:val="00B33FDA"/>
    <w:rsid w:val="00B33FE3"/>
    <w:rsid w:val="00B34755"/>
    <w:rsid w:val="00B34AFB"/>
    <w:rsid w:val="00B35595"/>
    <w:rsid w:val="00B35654"/>
    <w:rsid w:val="00B373D5"/>
    <w:rsid w:val="00B373FB"/>
    <w:rsid w:val="00B4098A"/>
    <w:rsid w:val="00B40F50"/>
    <w:rsid w:val="00B42890"/>
    <w:rsid w:val="00B43D41"/>
    <w:rsid w:val="00B44E2B"/>
    <w:rsid w:val="00B45B7A"/>
    <w:rsid w:val="00B45C7C"/>
    <w:rsid w:val="00B45EA7"/>
    <w:rsid w:val="00B45F59"/>
    <w:rsid w:val="00B4618C"/>
    <w:rsid w:val="00B500AB"/>
    <w:rsid w:val="00B500DC"/>
    <w:rsid w:val="00B50598"/>
    <w:rsid w:val="00B50C20"/>
    <w:rsid w:val="00B512FC"/>
    <w:rsid w:val="00B515D8"/>
    <w:rsid w:val="00B51C81"/>
    <w:rsid w:val="00B524F0"/>
    <w:rsid w:val="00B529E0"/>
    <w:rsid w:val="00B52B8D"/>
    <w:rsid w:val="00B52D2D"/>
    <w:rsid w:val="00B52F87"/>
    <w:rsid w:val="00B530A2"/>
    <w:rsid w:val="00B533C4"/>
    <w:rsid w:val="00B556A5"/>
    <w:rsid w:val="00B556F4"/>
    <w:rsid w:val="00B569FD"/>
    <w:rsid w:val="00B574A9"/>
    <w:rsid w:val="00B6081A"/>
    <w:rsid w:val="00B63E4E"/>
    <w:rsid w:val="00B6406E"/>
    <w:rsid w:val="00B656FD"/>
    <w:rsid w:val="00B67046"/>
    <w:rsid w:val="00B67BA1"/>
    <w:rsid w:val="00B70F31"/>
    <w:rsid w:val="00B71060"/>
    <w:rsid w:val="00B71592"/>
    <w:rsid w:val="00B715B4"/>
    <w:rsid w:val="00B7290B"/>
    <w:rsid w:val="00B73CFC"/>
    <w:rsid w:val="00B73DE3"/>
    <w:rsid w:val="00B75A48"/>
    <w:rsid w:val="00B77A8B"/>
    <w:rsid w:val="00B804D5"/>
    <w:rsid w:val="00B80CD1"/>
    <w:rsid w:val="00B80DEE"/>
    <w:rsid w:val="00B82EB3"/>
    <w:rsid w:val="00B8375D"/>
    <w:rsid w:val="00B8405F"/>
    <w:rsid w:val="00B84EBA"/>
    <w:rsid w:val="00B85B81"/>
    <w:rsid w:val="00B86239"/>
    <w:rsid w:val="00B86982"/>
    <w:rsid w:val="00B87269"/>
    <w:rsid w:val="00B87977"/>
    <w:rsid w:val="00B912B7"/>
    <w:rsid w:val="00B91FC9"/>
    <w:rsid w:val="00B922FA"/>
    <w:rsid w:val="00B933E7"/>
    <w:rsid w:val="00B94EF8"/>
    <w:rsid w:val="00B95000"/>
    <w:rsid w:val="00B953A0"/>
    <w:rsid w:val="00B95A75"/>
    <w:rsid w:val="00B95D77"/>
    <w:rsid w:val="00B960B5"/>
    <w:rsid w:val="00B9615B"/>
    <w:rsid w:val="00B9627A"/>
    <w:rsid w:val="00B97F91"/>
    <w:rsid w:val="00BA0270"/>
    <w:rsid w:val="00BA1710"/>
    <w:rsid w:val="00BA2909"/>
    <w:rsid w:val="00BA488E"/>
    <w:rsid w:val="00BA5A40"/>
    <w:rsid w:val="00BB1000"/>
    <w:rsid w:val="00BB1EC8"/>
    <w:rsid w:val="00BB35AC"/>
    <w:rsid w:val="00BB3E5C"/>
    <w:rsid w:val="00BB4408"/>
    <w:rsid w:val="00BB4A19"/>
    <w:rsid w:val="00BB5412"/>
    <w:rsid w:val="00BB5B95"/>
    <w:rsid w:val="00BC00DD"/>
    <w:rsid w:val="00BC0D1D"/>
    <w:rsid w:val="00BC155F"/>
    <w:rsid w:val="00BC1628"/>
    <w:rsid w:val="00BC1D7E"/>
    <w:rsid w:val="00BC2744"/>
    <w:rsid w:val="00BC3984"/>
    <w:rsid w:val="00BC5140"/>
    <w:rsid w:val="00BC678C"/>
    <w:rsid w:val="00BC7851"/>
    <w:rsid w:val="00BC7D7D"/>
    <w:rsid w:val="00BC7FE2"/>
    <w:rsid w:val="00BD0B5A"/>
    <w:rsid w:val="00BD0BE8"/>
    <w:rsid w:val="00BD0BFE"/>
    <w:rsid w:val="00BD1314"/>
    <w:rsid w:val="00BD20EF"/>
    <w:rsid w:val="00BD2130"/>
    <w:rsid w:val="00BD247C"/>
    <w:rsid w:val="00BD2D6F"/>
    <w:rsid w:val="00BD2DF6"/>
    <w:rsid w:val="00BD3D39"/>
    <w:rsid w:val="00BD4341"/>
    <w:rsid w:val="00BD70D0"/>
    <w:rsid w:val="00BE00FC"/>
    <w:rsid w:val="00BE0E8A"/>
    <w:rsid w:val="00BE47A3"/>
    <w:rsid w:val="00BE52D4"/>
    <w:rsid w:val="00BE5CE2"/>
    <w:rsid w:val="00BE5EEA"/>
    <w:rsid w:val="00BE5F8F"/>
    <w:rsid w:val="00BE74DA"/>
    <w:rsid w:val="00BE7D73"/>
    <w:rsid w:val="00BF0683"/>
    <w:rsid w:val="00BF079A"/>
    <w:rsid w:val="00BF10B0"/>
    <w:rsid w:val="00BF165B"/>
    <w:rsid w:val="00BF1DB7"/>
    <w:rsid w:val="00BF27BA"/>
    <w:rsid w:val="00BF2D1D"/>
    <w:rsid w:val="00BF39F6"/>
    <w:rsid w:val="00BF4E06"/>
    <w:rsid w:val="00BF556A"/>
    <w:rsid w:val="00BF59AD"/>
    <w:rsid w:val="00BF63D2"/>
    <w:rsid w:val="00C00DDC"/>
    <w:rsid w:val="00C00EB7"/>
    <w:rsid w:val="00C01506"/>
    <w:rsid w:val="00C01E41"/>
    <w:rsid w:val="00C02A1B"/>
    <w:rsid w:val="00C02C41"/>
    <w:rsid w:val="00C02F3A"/>
    <w:rsid w:val="00C04B70"/>
    <w:rsid w:val="00C06420"/>
    <w:rsid w:val="00C06657"/>
    <w:rsid w:val="00C113C7"/>
    <w:rsid w:val="00C1175E"/>
    <w:rsid w:val="00C136DA"/>
    <w:rsid w:val="00C13741"/>
    <w:rsid w:val="00C13B30"/>
    <w:rsid w:val="00C15AC9"/>
    <w:rsid w:val="00C15C5D"/>
    <w:rsid w:val="00C20497"/>
    <w:rsid w:val="00C213DD"/>
    <w:rsid w:val="00C21710"/>
    <w:rsid w:val="00C217D6"/>
    <w:rsid w:val="00C22ACF"/>
    <w:rsid w:val="00C2363A"/>
    <w:rsid w:val="00C23E6C"/>
    <w:rsid w:val="00C24BFB"/>
    <w:rsid w:val="00C2597A"/>
    <w:rsid w:val="00C2685B"/>
    <w:rsid w:val="00C272D2"/>
    <w:rsid w:val="00C30001"/>
    <w:rsid w:val="00C324D9"/>
    <w:rsid w:val="00C3341E"/>
    <w:rsid w:val="00C33C13"/>
    <w:rsid w:val="00C34843"/>
    <w:rsid w:val="00C3599B"/>
    <w:rsid w:val="00C36239"/>
    <w:rsid w:val="00C36647"/>
    <w:rsid w:val="00C36C78"/>
    <w:rsid w:val="00C37C8B"/>
    <w:rsid w:val="00C40F33"/>
    <w:rsid w:val="00C419B1"/>
    <w:rsid w:val="00C42106"/>
    <w:rsid w:val="00C42FC7"/>
    <w:rsid w:val="00C459EB"/>
    <w:rsid w:val="00C466E7"/>
    <w:rsid w:val="00C47DBE"/>
    <w:rsid w:val="00C501BB"/>
    <w:rsid w:val="00C51B00"/>
    <w:rsid w:val="00C5281F"/>
    <w:rsid w:val="00C5460A"/>
    <w:rsid w:val="00C54B94"/>
    <w:rsid w:val="00C55A12"/>
    <w:rsid w:val="00C56452"/>
    <w:rsid w:val="00C569AC"/>
    <w:rsid w:val="00C5717F"/>
    <w:rsid w:val="00C6001F"/>
    <w:rsid w:val="00C60AC2"/>
    <w:rsid w:val="00C61830"/>
    <w:rsid w:val="00C62997"/>
    <w:rsid w:val="00C657EB"/>
    <w:rsid w:val="00C666A7"/>
    <w:rsid w:val="00C66B7C"/>
    <w:rsid w:val="00C66C5E"/>
    <w:rsid w:val="00C66E0E"/>
    <w:rsid w:val="00C67BB5"/>
    <w:rsid w:val="00C70208"/>
    <w:rsid w:val="00C7105A"/>
    <w:rsid w:val="00C730A2"/>
    <w:rsid w:val="00C734CB"/>
    <w:rsid w:val="00C7393C"/>
    <w:rsid w:val="00C74920"/>
    <w:rsid w:val="00C74992"/>
    <w:rsid w:val="00C750A4"/>
    <w:rsid w:val="00C76C7C"/>
    <w:rsid w:val="00C76CB9"/>
    <w:rsid w:val="00C76DB7"/>
    <w:rsid w:val="00C772EB"/>
    <w:rsid w:val="00C77E57"/>
    <w:rsid w:val="00C8057C"/>
    <w:rsid w:val="00C81311"/>
    <w:rsid w:val="00C81F79"/>
    <w:rsid w:val="00C82A7A"/>
    <w:rsid w:val="00C82D9E"/>
    <w:rsid w:val="00C838F7"/>
    <w:rsid w:val="00C83C21"/>
    <w:rsid w:val="00C849AD"/>
    <w:rsid w:val="00C84F79"/>
    <w:rsid w:val="00C869E6"/>
    <w:rsid w:val="00C86D51"/>
    <w:rsid w:val="00C86DC6"/>
    <w:rsid w:val="00C912AF"/>
    <w:rsid w:val="00C92248"/>
    <w:rsid w:val="00C928A4"/>
    <w:rsid w:val="00C93748"/>
    <w:rsid w:val="00C937CA"/>
    <w:rsid w:val="00C93826"/>
    <w:rsid w:val="00C94103"/>
    <w:rsid w:val="00C96DEC"/>
    <w:rsid w:val="00C97AEF"/>
    <w:rsid w:val="00CA1B1D"/>
    <w:rsid w:val="00CA2EDC"/>
    <w:rsid w:val="00CA44F0"/>
    <w:rsid w:val="00CA5629"/>
    <w:rsid w:val="00CA5B5E"/>
    <w:rsid w:val="00CA6745"/>
    <w:rsid w:val="00CB13BA"/>
    <w:rsid w:val="00CB1D5A"/>
    <w:rsid w:val="00CB2AB3"/>
    <w:rsid w:val="00CB4F55"/>
    <w:rsid w:val="00CB55CB"/>
    <w:rsid w:val="00CB596C"/>
    <w:rsid w:val="00CB6121"/>
    <w:rsid w:val="00CB6D2C"/>
    <w:rsid w:val="00CB713A"/>
    <w:rsid w:val="00CB7284"/>
    <w:rsid w:val="00CB797C"/>
    <w:rsid w:val="00CB7AF2"/>
    <w:rsid w:val="00CC156B"/>
    <w:rsid w:val="00CC1A68"/>
    <w:rsid w:val="00CC1B03"/>
    <w:rsid w:val="00CC4F62"/>
    <w:rsid w:val="00CC5C47"/>
    <w:rsid w:val="00CD090F"/>
    <w:rsid w:val="00CD198F"/>
    <w:rsid w:val="00CD266C"/>
    <w:rsid w:val="00CD347E"/>
    <w:rsid w:val="00CD41EC"/>
    <w:rsid w:val="00CD52ED"/>
    <w:rsid w:val="00CD5B8B"/>
    <w:rsid w:val="00CD60B3"/>
    <w:rsid w:val="00CD6467"/>
    <w:rsid w:val="00CD6BBA"/>
    <w:rsid w:val="00CD70CF"/>
    <w:rsid w:val="00CD71B4"/>
    <w:rsid w:val="00CE093A"/>
    <w:rsid w:val="00CE17F4"/>
    <w:rsid w:val="00CE1FBF"/>
    <w:rsid w:val="00CE3E3F"/>
    <w:rsid w:val="00CE726A"/>
    <w:rsid w:val="00CE7A80"/>
    <w:rsid w:val="00CF0BD7"/>
    <w:rsid w:val="00CF279F"/>
    <w:rsid w:val="00CF3A67"/>
    <w:rsid w:val="00CF3E51"/>
    <w:rsid w:val="00CF4EC7"/>
    <w:rsid w:val="00CF52D1"/>
    <w:rsid w:val="00CF5E70"/>
    <w:rsid w:val="00CF6263"/>
    <w:rsid w:val="00CF6911"/>
    <w:rsid w:val="00CF6AC3"/>
    <w:rsid w:val="00D00377"/>
    <w:rsid w:val="00D0052E"/>
    <w:rsid w:val="00D00B28"/>
    <w:rsid w:val="00D00FFC"/>
    <w:rsid w:val="00D0318B"/>
    <w:rsid w:val="00D03209"/>
    <w:rsid w:val="00D0338C"/>
    <w:rsid w:val="00D03763"/>
    <w:rsid w:val="00D05CB4"/>
    <w:rsid w:val="00D06746"/>
    <w:rsid w:val="00D06F21"/>
    <w:rsid w:val="00D10E21"/>
    <w:rsid w:val="00D1142D"/>
    <w:rsid w:val="00D12B18"/>
    <w:rsid w:val="00D12C6E"/>
    <w:rsid w:val="00D1360B"/>
    <w:rsid w:val="00D140C4"/>
    <w:rsid w:val="00D14777"/>
    <w:rsid w:val="00D14F7E"/>
    <w:rsid w:val="00D153F9"/>
    <w:rsid w:val="00D154C2"/>
    <w:rsid w:val="00D16A1E"/>
    <w:rsid w:val="00D1788C"/>
    <w:rsid w:val="00D179CF"/>
    <w:rsid w:val="00D20615"/>
    <w:rsid w:val="00D22C02"/>
    <w:rsid w:val="00D2358F"/>
    <w:rsid w:val="00D2386C"/>
    <w:rsid w:val="00D239F4"/>
    <w:rsid w:val="00D24F22"/>
    <w:rsid w:val="00D27B9C"/>
    <w:rsid w:val="00D3063A"/>
    <w:rsid w:val="00D31969"/>
    <w:rsid w:val="00D31B7E"/>
    <w:rsid w:val="00D31D74"/>
    <w:rsid w:val="00D324AD"/>
    <w:rsid w:val="00D33D85"/>
    <w:rsid w:val="00D343CB"/>
    <w:rsid w:val="00D36F41"/>
    <w:rsid w:val="00D4067B"/>
    <w:rsid w:val="00D40A3D"/>
    <w:rsid w:val="00D41006"/>
    <w:rsid w:val="00D41095"/>
    <w:rsid w:val="00D41C32"/>
    <w:rsid w:val="00D42D0B"/>
    <w:rsid w:val="00D42EB5"/>
    <w:rsid w:val="00D43284"/>
    <w:rsid w:val="00D43F61"/>
    <w:rsid w:val="00D440E4"/>
    <w:rsid w:val="00D447A7"/>
    <w:rsid w:val="00D45152"/>
    <w:rsid w:val="00D45824"/>
    <w:rsid w:val="00D47EE7"/>
    <w:rsid w:val="00D502E1"/>
    <w:rsid w:val="00D505F5"/>
    <w:rsid w:val="00D50EA1"/>
    <w:rsid w:val="00D5186D"/>
    <w:rsid w:val="00D51F8A"/>
    <w:rsid w:val="00D52A9B"/>
    <w:rsid w:val="00D5306A"/>
    <w:rsid w:val="00D5349A"/>
    <w:rsid w:val="00D5389D"/>
    <w:rsid w:val="00D539D7"/>
    <w:rsid w:val="00D5600B"/>
    <w:rsid w:val="00D56E97"/>
    <w:rsid w:val="00D57C27"/>
    <w:rsid w:val="00D57FF3"/>
    <w:rsid w:val="00D60083"/>
    <w:rsid w:val="00D60505"/>
    <w:rsid w:val="00D623A1"/>
    <w:rsid w:val="00D62538"/>
    <w:rsid w:val="00D63350"/>
    <w:rsid w:val="00D63B66"/>
    <w:rsid w:val="00D654A4"/>
    <w:rsid w:val="00D654B8"/>
    <w:rsid w:val="00D6569F"/>
    <w:rsid w:val="00D65EE4"/>
    <w:rsid w:val="00D67333"/>
    <w:rsid w:val="00D67791"/>
    <w:rsid w:val="00D7045A"/>
    <w:rsid w:val="00D70C9F"/>
    <w:rsid w:val="00D7212E"/>
    <w:rsid w:val="00D73844"/>
    <w:rsid w:val="00D743C3"/>
    <w:rsid w:val="00D744CF"/>
    <w:rsid w:val="00D74949"/>
    <w:rsid w:val="00D74A39"/>
    <w:rsid w:val="00D75E6B"/>
    <w:rsid w:val="00D80291"/>
    <w:rsid w:val="00D80321"/>
    <w:rsid w:val="00D81F46"/>
    <w:rsid w:val="00D820F7"/>
    <w:rsid w:val="00D83580"/>
    <w:rsid w:val="00D847CC"/>
    <w:rsid w:val="00D858BE"/>
    <w:rsid w:val="00D872B7"/>
    <w:rsid w:val="00D903D3"/>
    <w:rsid w:val="00D90C35"/>
    <w:rsid w:val="00D90C5F"/>
    <w:rsid w:val="00D923CC"/>
    <w:rsid w:val="00D92FBC"/>
    <w:rsid w:val="00D93880"/>
    <w:rsid w:val="00D9439E"/>
    <w:rsid w:val="00D9444A"/>
    <w:rsid w:val="00D94920"/>
    <w:rsid w:val="00D94B79"/>
    <w:rsid w:val="00D95A03"/>
    <w:rsid w:val="00D95BA9"/>
    <w:rsid w:val="00D95F03"/>
    <w:rsid w:val="00DA00A2"/>
    <w:rsid w:val="00DA0388"/>
    <w:rsid w:val="00DA0608"/>
    <w:rsid w:val="00DA0790"/>
    <w:rsid w:val="00DA0AB2"/>
    <w:rsid w:val="00DA2AB1"/>
    <w:rsid w:val="00DA37D0"/>
    <w:rsid w:val="00DA3808"/>
    <w:rsid w:val="00DA48E4"/>
    <w:rsid w:val="00DA4A10"/>
    <w:rsid w:val="00DA4AFA"/>
    <w:rsid w:val="00DA56CB"/>
    <w:rsid w:val="00DA7C20"/>
    <w:rsid w:val="00DA7D3C"/>
    <w:rsid w:val="00DB0299"/>
    <w:rsid w:val="00DB1022"/>
    <w:rsid w:val="00DB19E7"/>
    <w:rsid w:val="00DB1B58"/>
    <w:rsid w:val="00DB2068"/>
    <w:rsid w:val="00DB2D58"/>
    <w:rsid w:val="00DB315C"/>
    <w:rsid w:val="00DB3423"/>
    <w:rsid w:val="00DB440F"/>
    <w:rsid w:val="00DB4894"/>
    <w:rsid w:val="00DB4C63"/>
    <w:rsid w:val="00DB5043"/>
    <w:rsid w:val="00DB651F"/>
    <w:rsid w:val="00DB7DE2"/>
    <w:rsid w:val="00DC0804"/>
    <w:rsid w:val="00DC0C47"/>
    <w:rsid w:val="00DC0E57"/>
    <w:rsid w:val="00DC2622"/>
    <w:rsid w:val="00DC36CB"/>
    <w:rsid w:val="00DC3B5B"/>
    <w:rsid w:val="00DC3C68"/>
    <w:rsid w:val="00DC3D6B"/>
    <w:rsid w:val="00DC5BAC"/>
    <w:rsid w:val="00DC6C0B"/>
    <w:rsid w:val="00DD0E31"/>
    <w:rsid w:val="00DD2389"/>
    <w:rsid w:val="00DD2DBE"/>
    <w:rsid w:val="00DD2DF1"/>
    <w:rsid w:val="00DD3AA2"/>
    <w:rsid w:val="00DD404F"/>
    <w:rsid w:val="00DD4FB1"/>
    <w:rsid w:val="00DD6BDE"/>
    <w:rsid w:val="00DD73A0"/>
    <w:rsid w:val="00DD7F61"/>
    <w:rsid w:val="00DE0171"/>
    <w:rsid w:val="00DE0C48"/>
    <w:rsid w:val="00DE25CD"/>
    <w:rsid w:val="00DE2E22"/>
    <w:rsid w:val="00DE2F7D"/>
    <w:rsid w:val="00DE318F"/>
    <w:rsid w:val="00DE3740"/>
    <w:rsid w:val="00DE5983"/>
    <w:rsid w:val="00DE7999"/>
    <w:rsid w:val="00DE7E7B"/>
    <w:rsid w:val="00DE7FCA"/>
    <w:rsid w:val="00DF26C3"/>
    <w:rsid w:val="00DF29A1"/>
    <w:rsid w:val="00DF4794"/>
    <w:rsid w:val="00DF5A77"/>
    <w:rsid w:val="00DF7DFB"/>
    <w:rsid w:val="00DF7EB3"/>
    <w:rsid w:val="00E00F6B"/>
    <w:rsid w:val="00E0294A"/>
    <w:rsid w:val="00E04052"/>
    <w:rsid w:val="00E040B6"/>
    <w:rsid w:val="00E046C3"/>
    <w:rsid w:val="00E04767"/>
    <w:rsid w:val="00E0477A"/>
    <w:rsid w:val="00E04A53"/>
    <w:rsid w:val="00E06F14"/>
    <w:rsid w:val="00E0727C"/>
    <w:rsid w:val="00E077A7"/>
    <w:rsid w:val="00E104C9"/>
    <w:rsid w:val="00E11425"/>
    <w:rsid w:val="00E12D5D"/>
    <w:rsid w:val="00E133FE"/>
    <w:rsid w:val="00E13944"/>
    <w:rsid w:val="00E13AE6"/>
    <w:rsid w:val="00E1474F"/>
    <w:rsid w:val="00E15595"/>
    <w:rsid w:val="00E172FA"/>
    <w:rsid w:val="00E20BB3"/>
    <w:rsid w:val="00E20DB3"/>
    <w:rsid w:val="00E21F83"/>
    <w:rsid w:val="00E2221B"/>
    <w:rsid w:val="00E244C9"/>
    <w:rsid w:val="00E247BE"/>
    <w:rsid w:val="00E31D66"/>
    <w:rsid w:val="00E33D81"/>
    <w:rsid w:val="00E34CD5"/>
    <w:rsid w:val="00E36502"/>
    <w:rsid w:val="00E36D11"/>
    <w:rsid w:val="00E37321"/>
    <w:rsid w:val="00E375BC"/>
    <w:rsid w:val="00E37993"/>
    <w:rsid w:val="00E41271"/>
    <w:rsid w:val="00E416C6"/>
    <w:rsid w:val="00E4218B"/>
    <w:rsid w:val="00E4275C"/>
    <w:rsid w:val="00E440A9"/>
    <w:rsid w:val="00E4434E"/>
    <w:rsid w:val="00E446A0"/>
    <w:rsid w:val="00E50A06"/>
    <w:rsid w:val="00E50F7B"/>
    <w:rsid w:val="00E51185"/>
    <w:rsid w:val="00E5189A"/>
    <w:rsid w:val="00E51909"/>
    <w:rsid w:val="00E519AC"/>
    <w:rsid w:val="00E540B7"/>
    <w:rsid w:val="00E540C2"/>
    <w:rsid w:val="00E54FBE"/>
    <w:rsid w:val="00E55562"/>
    <w:rsid w:val="00E5746A"/>
    <w:rsid w:val="00E57EA3"/>
    <w:rsid w:val="00E601A0"/>
    <w:rsid w:val="00E6176C"/>
    <w:rsid w:val="00E62C0C"/>
    <w:rsid w:val="00E63E27"/>
    <w:rsid w:val="00E64730"/>
    <w:rsid w:val="00E64880"/>
    <w:rsid w:val="00E64A17"/>
    <w:rsid w:val="00E64FA5"/>
    <w:rsid w:val="00E6572E"/>
    <w:rsid w:val="00E66674"/>
    <w:rsid w:val="00E66FEC"/>
    <w:rsid w:val="00E67D21"/>
    <w:rsid w:val="00E70070"/>
    <w:rsid w:val="00E71D50"/>
    <w:rsid w:val="00E7348A"/>
    <w:rsid w:val="00E736A3"/>
    <w:rsid w:val="00E759E0"/>
    <w:rsid w:val="00E77057"/>
    <w:rsid w:val="00E770A3"/>
    <w:rsid w:val="00E77560"/>
    <w:rsid w:val="00E8097B"/>
    <w:rsid w:val="00E80FDC"/>
    <w:rsid w:val="00E840CA"/>
    <w:rsid w:val="00E85471"/>
    <w:rsid w:val="00E858B6"/>
    <w:rsid w:val="00E86C1B"/>
    <w:rsid w:val="00E87155"/>
    <w:rsid w:val="00E90C0E"/>
    <w:rsid w:val="00E92AFD"/>
    <w:rsid w:val="00E933DF"/>
    <w:rsid w:val="00E93822"/>
    <w:rsid w:val="00E94FEA"/>
    <w:rsid w:val="00E95165"/>
    <w:rsid w:val="00E957F0"/>
    <w:rsid w:val="00E959CF"/>
    <w:rsid w:val="00E9619F"/>
    <w:rsid w:val="00E977A2"/>
    <w:rsid w:val="00E978D4"/>
    <w:rsid w:val="00EA0864"/>
    <w:rsid w:val="00EA296C"/>
    <w:rsid w:val="00EA4245"/>
    <w:rsid w:val="00EA4806"/>
    <w:rsid w:val="00EA691E"/>
    <w:rsid w:val="00EA715D"/>
    <w:rsid w:val="00EB0148"/>
    <w:rsid w:val="00EB1DD1"/>
    <w:rsid w:val="00EB280F"/>
    <w:rsid w:val="00EB529D"/>
    <w:rsid w:val="00EB5ED4"/>
    <w:rsid w:val="00EB73C4"/>
    <w:rsid w:val="00EB7794"/>
    <w:rsid w:val="00EC0A5E"/>
    <w:rsid w:val="00EC1FE9"/>
    <w:rsid w:val="00EC24E7"/>
    <w:rsid w:val="00EC30D8"/>
    <w:rsid w:val="00EC3BB0"/>
    <w:rsid w:val="00EC3E45"/>
    <w:rsid w:val="00EC6162"/>
    <w:rsid w:val="00EC6C9B"/>
    <w:rsid w:val="00ED31AC"/>
    <w:rsid w:val="00ED5EA0"/>
    <w:rsid w:val="00ED658F"/>
    <w:rsid w:val="00ED692A"/>
    <w:rsid w:val="00ED7571"/>
    <w:rsid w:val="00ED7BA4"/>
    <w:rsid w:val="00EE01F0"/>
    <w:rsid w:val="00EE3D25"/>
    <w:rsid w:val="00EE7EF1"/>
    <w:rsid w:val="00EF06FE"/>
    <w:rsid w:val="00EF0B56"/>
    <w:rsid w:val="00EF0D61"/>
    <w:rsid w:val="00EF1A36"/>
    <w:rsid w:val="00EF1CF2"/>
    <w:rsid w:val="00EF1EA1"/>
    <w:rsid w:val="00EF2852"/>
    <w:rsid w:val="00EF2D15"/>
    <w:rsid w:val="00EF46AD"/>
    <w:rsid w:val="00EF573D"/>
    <w:rsid w:val="00EF7913"/>
    <w:rsid w:val="00F013A4"/>
    <w:rsid w:val="00F01400"/>
    <w:rsid w:val="00F01A97"/>
    <w:rsid w:val="00F02917"/>
    <w:rsid w:val="00F02E45"/>
    <w:rsid w:val="00F056A8"/>
    <w:rsid w:val="00F05FE4"/>
    <w:rsid w:val="00F0637F"/>
    <w:rsid w:val="00F077EE"/>
    <w:rsid w:val="00F079B7"/>
    <w:rsid w:val="00F120DA"/>
    <w:rsid w:val="00F137CA"/>
    <w:rsid w:val="00F13F76"/>
    <w:rsid w:val="00F13FC0"/>
    <w:rsid w:val="00F14CA7"/>
    <w:rsid w:val="00F151EF"/>
    <w:rsid w:val="00F153A3"/>
    <w:rsid w:val="00F158B4"/>
    <w:rsid w:val="00F16F11"/>
    <w:rsid w:val="00F177A9"/>
    <w:rsid w:val="00F1785A"/>
    <w:rsid w:val="00F201D3"/>
    <w:rsid w:val="00F20897"/>
    <w:rsid w:val="00F20B23"/>
    <w:rsid w:val="00F21CDE"/>
    <w:rsid w:val="00F22554"/>
    <w:rsid w:val="00F24942"/>
    <w:rsid w:val="00F26519"/>
    <w:rsid w:val="00F2668A"/>
    <w:rsid w:val="00F279D4"/>
    <w:rsid w:val="00F31A12"/>
    <w:rsid w:val="00F33F2A"/>
    <w:rsid w:val="00F344BF"/>
    <w:rsid w:val="00F34F72"/>
    <w:rsid w:val="00F35425"/>
    <w:rsid w:val="00F35637"/>
    <w:rsid w:val="00F35E87"/>
    <w:rsid w:val="00F37AE9"/>
    <w:rsid w:val="00F37EF7"/>
    <w:rsid w:val="00F37FC0"/>
    <w:rsid w:val="00F4113A"/>
    <w:rsid w:val="00F41462"/>
    <w:rsid w:val="00F41A04"/>
    <w:rsid w:val="00F437C2"/>
    <w:rsid w:val="00F43A2B"/>
    <w:rsid w:val="00F43CF1"/>
    <w:rsid w:val="00F43F79"/>
    <w:rsid w:val="00F4496E"/>
    <w:rsid w:val="00F467CF"/>
    <w:rsid w:val="00F46EAF"/>
    <w:rsid w:val="00F47AA0"/>
    <w:rsid w:val="00F47B0C"/>
    <w:rsid w:val="00F512A8"/>
    <w:rsid w:val="00F51DFE"/>
    <w:rsid w:val="00F56CC3"/>
    <w:rsid w:val="00F56DA0"/>
    <w:rsid w:val="00F60E16"/>
    <w:rsid w:val="00F6126A"/>
    <w:rsid w:val="00F6143C"/>
    <w:rsid w:val="00F61478"/>
    <w:rsid w:val="00F62C8E"/>
    <w:rsid w:val="00F64A5D"/>
    <w:rsid w:val="00F6751B"/>
    <w:rsid w:val="00F70D4D"/>
    <w:rsid w:val="00F712FC"/>
    <w:rsid w:val="00F716F6"/>
    <w:rsid w:val="00F72ACB"/>
    <w:rsid w:val="00F72D10"/>
    <w:rsid w:val="00F738E1"/>
    <w:rsid w:val="00F7461E"/>
    <w:rsid w:val="00F75EF6"/>
    <w:rsid w:val="00F76490"/>
    <w:rsid w:val="00F76720"/>
    <w:rsid w:val="00F80ACD"/>
    <w:rsid w:val="00F80FB9"/>
    <w:rsid w:val="00F82E9E"/>
    <w:rsid w:val="00F83226"/>
    <w:rsid w:val="00F833B0"/>
    <w:rsid w:val="00F83DDF"/>
    <w:rsid w:val="00F85DDE"/>
    <w:rsid w:val="00F864D4"/>
    <w:rsid w:val="00F94831"/>
    <w:rsid w:val="00F94D9A"/>
    <w:rsid w:val="00F951AB"/>
    <w:rsid w:val="00F95A1F"/>
    <w:rsid w:val="00F9629D"/>
    <w:rsid w:val="00F96F0F"/>
    <w:rsid w:val="00F9745C"/>
    <w:rsid w:val="00FA0219"/>
    <w:rsid w:val="00FA17BB"/>
    <w:rsid w:val="00FA2AEC"/>
    <w:rsid w:val="00FA30A2"/>
    <w:rsid w:val="00FA4C65"/>
    <w:rsid w:val="00FA4D18"/>
    <w:rsid w:val="00FA6468"/>
    <w:rsid w:val="00FA74D1"/>
    <w:rsid w:val="00FB0DBD"/>
    <w:rsid w:val="00FB0DF4"/>
    <w:rsid w:val="00FB13E9"/>
    <w:rsid w:val="00FB1CDC"/>
    <w:rsid w:val="00FB21E9"/>
    <w:rsid w:val="00FB2596"/>
    <w:rsid w:val="00FB27F4"/>
    <w:rsid w:val="00FB326D"/>
    <w:rsid w:val="00FB43C7"/>
    <w:rsid w:val="00FB505B"/>
    <w:rsid w:val="00FB51FA"/>
    <w:rsid w:val="00FB5E51"/>
    <w:rsid w:val="00FB6697"/>
    <w:rsid w:val="00FB6FBD"/>
    <w:rsid w:val="00FB7127"/>
    <w:rsid w:val="00FB7C2B"/>
    <w:rsid w:val="00FB7DA8"/>
    <w:rsid w:val="00FC1A23"/>
    <w:rsid w:val="00FC26D4"/>
    <w:rsid w:val="00FC2DE7"/>
    <w:rsid w:val="00FC2FA0"/>
    <w:rsid w:val="00FC4367"/>
    <w:rsid w:val="00FC52B5"/>
    <w:rsid w:val="00FC76CC"/>
    <w:rsid w:val="00FC7B3D"/>
    <w:rsid w:val="00FD0346"/>
    <w:rsid w:val="00FD19E8"/>
    <w:rsid w:val="00FD31A2"/>
    <w:rsid w:val="00FD39A7"/>
    <w:rsid w:val="00FD4627"/>
    <w:rsid w:val="00FD47BE"/>
    <w:rsid w:val="00FD50E3"/>
    <w:rsid w:val="00FD516E"/>
    <w:rsid w:val="00FD6753"/>
    <w:rsid w:val="00FD7532"/>
    <w:rsid w:val="00FD7AFD"/>
    <w:rsid w:val="00FD7D3F"/>
    <w:rsid w:val="00FE041C"/>
    <w:rsid w:val="00FE1152"/>
    <w:rsid w:val="00FE116B"/>
    <w:rsid w:val="00FE1BC8"/>
    <w:rsid w:val="00FE2800"/>
    <w:rsid w:val="00FE29BC"/>
    <w:rsid w:val="00FE2D74"/>
    <w:rsid w:val="00FE368F"/>
    <w:rsid w:val="00FE4924"/>
    <w:rsid w:val="00FE4968"/>
    <w:rsid w:val="00FE59EA"/>
    <w:rsid w:val="00FF08B4"/>
    <w:rsid w:val="00FF0D6E"/>
    <w:rsid w:val="00FF19D2"/>
    <w:rsid w:val="00FF1B94"/>
    <w:rsid w:val="00FF2370"/>
    <w:rsid w:val="00FF245B"/>
    <w:rsid w:val="00FF39AD"/>
    <w:rsid w:val="00FF3CA3"/>
    <w:rsid w:val="00FF40C9"/>
    <w:rsid w:val="00FF4C73"/>
    <w:rsid w:val="00FF51D7"/>
    <w:rsid w:val="00FF604D"/>
    <w:rsid w:val="00FF63B8"/>
    <w:rsid w:val="00FF6D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39"/>
    <w:pPr>
      <w:spacing w:after="120"/>
    </w:pPr>
    <w:rPr>
      <w:rFonts w:ascii="Calibri" w:hAnsi="Calibri"/>
      <w:sz w:val="22"/>
      <w:szCs w:val="22"/>
      <w:lang w:val="nb-NO" w:eastAsia="en-US"/>
    </w:rPr>
  </w:style>
  <w:style w:type="paragraph" w:styleId="Heading1">
    <w:name w:val="heading 1"/>
    <w:basedOn w:val="Normal"/>
    <w:next w:val="Normal"/>
    <w:link w:val="Heading1Char"/>
    <w:qFormat/>
    <w:rsid w:val="00DD17F5"/>
    <w:pPr>
      <w:keepNext/>
      <w:keepLines/>
      <w:numPr>
        <w:numId w:val="4"/>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4"/>
      </w:numPr>
      <w:tabs>
        <w:tab w:val="num" w:pos="576"/>
      </w:tabs>
      <w:spacing w:before="200" w:after="0"/>
      <w:ind w:left="576"/>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4"/>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0B4039"/>
    <w:pPr>
      <w:keepNext/>
      <w:keepLines/>
      <w:numPr>
        <w:ilvl w:val="3"/>
        <w:numId w:val="4"/>
      </w:numPr>
      <w:spacing w:before="200" w:after="0"/>
      <w:outlineLvl w:val="3"/>
    </w:pPr>
    <w:rPr>
      <w:rFonts w:ascii="Cambria" w:eastAsia="Calibri" w:hAnsi="Cambria"/>
      <w:b/>
      <w:bCs/>
      <w:i/>
      <w:iCs/>
      <w:color w:val="4F81BD"/>
    </w:rPr>
  </w:style>
  <w:style w:type="paragraph" w:styleId="Heading5">
    <w:name w:val="heading 5"/>
    <w:basedOn w:val="Normal"/>
    <w:next w:val="Normal"/>
    <w:qFormat/>
    <w:rsid w:val="00F27977"/>
    <w:pPr>
      <w:numPr>
        <w:ilvl w:val="4"/>
        <w:numId w:val="4"/>
      </w:numPr>
      <w:spacing w:before="240" w:after="60"/>
      <w:outlineLvl w:val="4"/>
    </w:pPr>
    <w:rPr>
      <w:b/>
      <w:bCs/>
      <w:i/>
      <w:iCs/>
      <w:sz w:val="26"/>
      <w:szCs w:val="26"/>
    </w:rPr>
  </w:style>
  <w:style w:type="paragraph" w:styleId="Heading6">
    <w:name w:val="heading 6"/>
    <w:basedOn w:val="Normal"/>
    <w:next w:val="Normal"/>
    <w:qFormat/>
    <w:rsid w:val="00F27977"/>
    <w:pPr>
      <w:numPr>
        <w:ilvl w:val="5"/>
        <w:numId w:val="4"/>
      </w:numPr>
      <w:spacing w:before="240" w:after="60"/>
      <w:outlineLvl w:val="5"/>
    </w:pPr>
    <w:rPr>
      <w:rFonts w:ascii="Times New Roman" w:hAnsi="Times New Roman"/>
      <w:b/>
      <w:bCs/>
    </w:rPr>
  </w:style>
  <w:style w:type="paragraph" w:styleId="Heading7">
    <w:name w:val="heading 7"/>
    <w:basedOn w:val="Normal"/>
    <w:next w:val="Normal"/>
    <w:qFormat/>
    <w:rsid w:val="00F27977"/>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qFormat/>
    <w:rsid w:val="00F27977"/>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qFormat/>
    <w:rsid w:val="00F27977"/>
    <w:pPr>
      <w:numPr>
        <w:ilvl w:val="8"/>
        <w:numId w:val="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val="nb-NO" w:eastAsia="en-US"/>
    </w:rPr>
  </w:style>
  <w:style w:type="character" w:customStyle="1" w:styleId="Heading2Char">
    <w:name w:val="Heading 2 Char"/>
    <w:link w:val="Heading2"/>
    <w:locked/>
    <w:rsid w:val="00DD17F5"/>
    <w:rPr>
      <w:rFonts w:ascii="Cambria" w:eastAsia="Calibri" w:hAnsi="Cambria"/>
      <w:b/>
      <w:bCs/>
      <w:color w:val="4F81BD"/>
      <w:sz w:val="26"/>
      <w:szCs w:val="26"/>
      <w:lang w:val="nb-NO" w:eastAsia="en-US"/>
    </w:rPr>
  </w:style>
  <w:style w:type="character" w:customStyle="1" w:styleId="Heading3Char">
    <w:name w:val="Heading 3 Char"/>
    <w:link w:val="Heading3"/>
    <w:locked/>
    <w:rsid w:val="00DD17F5"/>
    <w:rPr>
      <w:rFonts w:ascii="Cambria" w:eastAsia="Calibri" w:hAnsi="Cambria"/>
      <w:b/>
      <w:bCs/>
      <w:color w:val="4F81BD"/>
      <w:sz w:val="22"/>
      <w:szCs w:val="22"/>
      <w:lang w:val="nb-NO" w:eastAsia="en-US"/>
    </w:rPr>
  </w:style>
  <w:style w:type="character" w:customStyle="1" w:styleId="Heading4Char">
    <w:name w:val="Heading 4 Char"/>
    <w:link w:val="Heading4"/>
    <w:locked/>
    <w:rsid w:val="000B4039"/>
    <w:rPr>
      <w:rFonts w:ascii="Cambria" w:eastAsia="Calibri" w:hAnsi="Cambria"/>
      <w:b/>
      <w:bCs/>
      <w:i/>
      <w:iCs/>
      <w:color w:val="4F81BD"/>
      <w:sz w:val="22"/>
      <w:szCs w:val="22"/>
      <w:lang w:val="nb-NO" w:eastAsia="en-US"/>
    </w:rPr>
  </w:style>
  <w:style w:type="paragraph" w:customStyle="1" w:styleId="ColorfulList-Accent11">
    <w:name w:val="Colorful List - Accent 11"/>
    <w:basedOn w:val="Normal"/>
    <w:uiPriority w:val="34"/>
    <w:qFormat/>
    <w:rsid w:val="000B4039"/>
    <w:pPr>
      <w:ind w:left="720"/>
      <w:contextualSpacing/>
    </w:pPr>
  </w:style>
  <w:style w:type="character" w:styleId="CommentReference">
    <w:name w:val="annotation reference"/>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semiHidden/>
    <w:rsid w:val="00764C30"/>
    <w:pPr>
      <w:tabs>
        <w:tab w:val="left" w:pos="440"/>
        <w:tab w:val="right" w:leader="dot" w:pos="8630"/>
      </w:tabs>
    </w:pPr>
  </w:style>
  <w:style w:type="paragraph" w:styleId="TOC2">
    <w:name w:val="toc 2"/>
    <w:basedOn w:val="Normal"/>
    <w:next w:val="Normal"/>
    <w:autoRedefine/>
    <w:semiHidden/>
    <w:rsid w:val="004A54C3"/>
    <w:pPr>
      <w:ind w:left="220"/>
    </w:pPr>
  </w:style>
  <w:style w:type="paragraph" w:styleId="TOC3">
    <w:name w:val="toc 3"/>
    <w:basedOn w:val="Normal"/>
    <w:next w:val="Normal"/>
    <w:autoRedefine/>
    <w:semiHidden/>
    <w:rsid w:val="004A54C3"/>
    <w:pPr>
      <w:ind w:left="440"/>
    </w:pPr>
  </w:style>
  <w:style w:type="character" w:styleId="Hyperlink">
    <w:name w:val="Hyperlink"/>
    <w:uiPriority w:val="99"/>
    <w:rsid w:val="004A54C3"/>
    <w:rPr>
      <w:color w:val="0000FF"/>
      <w:u w:val="single"/>
    </w:rPr>
  </w:style>
  <w:style w:type="table" w:styleId="TableGrid">
    <w:name w:val="Table Grid"/>
    <w:basedOn w:val="TableNormal"/>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rPr>
  </w:style>
  <w:style w:type="character" w:customStyle="1" w:styleId="StyleBold">
    <w:name w:val="Style Bold"/>
    <w:rsid w:val="00AF6AF8"/>
    <w:rPr>
      <w:rFonts w:ascii="Cambria" w:hAnsi="Cambria"/>
      <w:b/>
      <w:bCs/>
    </w:rPr>
  </w:style>
  <w:style w:type="paragraph" w:styleId="Footer">
    <w:name w:val="footer"/>
    <w:basedOn w:val="Normal"/>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link w:val="HeaderChar"/>
    <w:uiPriority w:val="99"/>
    <w:rsid w:val="00357BC5"/>
    <w:pPr>
      <w:tabs>
        <w:tab w:val="center" w:pos="4320"/>
        <w:tab w:val="right" w:pos="8640"/>
      </w:tabs>
    </w:pPr>
  </w:style>
  <w:style w:type="paragraph" w:styleId="FootnoteText">
    <w:name w:val="footnote text"/>
    <w:basedOn w:val="Normal"/>
    <w:link w:val="FootnoteTextChar"/>
    <w:rsid w:val="003D77E8"/>
    <w:rPr>
      <w:sz w:val="20"/>
      <w:szCs w:val="20"/>
    </w:rPr>
  </w:style>
  <w:style w:type="character" w:styleId="FootnoteReference">
    <w:name w:val="footnote reference"/>
    <w:rsid w:val="003D77E8"/>
    <w:rPr>
      <w:vertAlign w:val="superscript"/>
    </w:rPr>
  </w:style>
  <w:style w:type="character" w:customStyle="1" w:styleId="FootnoteTextChar">
    <w:name w:val="Footnote Text Char"/>
    <w:link w:val="FootnoteText"/>
    <w:rsid w:val="004C3576"/>
    <w:rPr>
      <w:rFonts w:ascii="Calibri" w:hAnsi="Calibri"/>
      <w:lang w:val="nb-NO" w:eastAsia="en-US"/>
    </w:rPr>
  </w:style>
  <w:style w:type="character" w:styleId="Strong">
    <w:name w:val="Strong"/>
    <w:uiPriority w:val="22"/>
    <w:qFormat/>
    <w:rsid w:val="004C3576"/>
    <w:rPr>
      <w:b/>
      <w:bCs/>
    </w:rPr>
  </w:style>
  <w:style w:type="paragraph" w:styleId="BodyText">
    <w:name w:val="Body Text"/>
    <w:basedOn w:val="Normal"/>
    <w:link w:val="BodyTextChar"/>
    <w:rsid w:val="006008A2"/>
    <w:rPr>
      <w:rFonts w:ascii="Times New Roman" w:hAnsi="Times New Roman"/>
      <w:sz w:val="24"/>
      <w:szCs w:val="24"/>
      <w:lang w:val="en-GB"/>
    </w:rPr>
  </w:style>
  <w:style w:type="character" w:customStyle="1" w:styleId="BodyTextChar">
    <w:name w:val="Body Text Char"/>
    <w:link w:val="BodyText"/>
    <w:rsid w:val="006008A2"/>
    <w:rPr>
      <w:sz w:val="24"/>
      <w:szCs w:val="24"/>
      <w:lang w:val="en-GB" w:eastAsia="en-US"/>
    </w:rPr>
  </w:style>
  <w:style w:type="character" w:customStyle="1" w:styleId="st1">
    <w:name w:val="st1"/>
    <w:basedOn w:val="DefaultParagraphFont"/>
    <w:rsid w:val="006D2238"/>
  </w:style>
  <w:style w:type="character" w:styleId="HTMLCite">
    <w:name w:val="HTML Cite"/>
    <w:unhideWhenUsed/>
    <w:rsid w:val="00B54069"/>
    <w:rPr>
      <w:i w:val="0"/>
      <w:iCs w:val="0"/>
      <w:color w:val="0E774A"/>
    </w:rPr>
  </w:style>
  <w:style w:type="character" w:styleId="Emphasis">
    <w:name w:val="Emphasis"/>
    <w:uiPriority w:val="20"/>
    <w:qFormat/>
    <w:rsid w:val="00A511C9"/>
    <w:rPr>
      <w:b/>
      <w:bCs/>
      <w:i w:val="0"/>
      <w:iCs w:val="0"/>
    </w:rPr>
  </w:style>
  <w:style w:type="paragraph" w:styleId="ListParagraph">
    <w:name w:val="List Paragraph"/>
    <w:basedOn w:val="Normal"/>
    <w:uiPriority w:val="34"/>
    <w:qFormat/>
    <w:rsid w:val="00E54FBE"/>
    <w:pPr>
      <w:ind w:left="720"/>
      <w:contextualSpacing/>
    </w:pPr>
  </w:style>
  <w:style w:type="paragraph" w:styleId="NormalWeb">
    <w:name w:val="Normal (Web)"/>
    <w:basedOn w:val="Normal"/>
    <w:uiPriority w:val="99"/>
    <w:unhideWhenUsed/>
    <w:rsid w:val="00560C57"/>
    <w:pPr>
      <w:spacing w:before="100" w:beforeAutospacing="1" w:after="100" w:afterAutospacing="1"/>
    </w:pPr>
    <w:rPr>
      <w:rFonts w:ascii="Times New Roman" w:hAnsi="Times New Roman"/>
      <w:sz w:val="24"/>
      <w:szCs w:val="24"/>
      <w:lang w:val="lv-LV" w:eastAsia="lv-LV"/>
    </w:rPr>
  </w:style>
  <w:style w:type="character" w:customStyle="1" w:styleId="Galvenais">
    <w:name w:val="Galvenais"/>
    <w:rsid w:val="00CB7284"/>
    <w:rPr>
      <w:rFonts w:ascii="Times New Roman" w:hAnsi="Times New Roman" w:cs="Times New Roman"/>
      <w:sz w:val="24"/>
    </w:rPr>
  </w:style>
  <w:style w:type="character" w:customStyle="1" w:styleId="apple-style-span">
    <w:name w:val="apple-style-span"/>
    <w:basedOn w:val="DefaultParagraphFont"/>
    <w:rsid w:val="00C22ACF"/>
  </w:style>
  <w:style w:type="paragraph" w:styleId="NoSpacing">
    <w:name w:val="No Spacing"/>
    <w:uiPriority w:val="1"/>
    <w:qFormat/>
    <w:rsid w:val="008A13F2"/>
    <w:rPr>
      <w:rFonts w:ascii="Calibri" w:hAnsi="Calibri"/>
      <w:sz w:val="22"/>
      <w:szCs w:val="22"/>
      <w:lang w:val="nb-NO" w:eastAsia="en-US"/>
    </w:rPr>
  </w:style>
  <w:style w:type="character" w:customStyle="1" w:styleId="st">
    <w:name w:val="st"/>
    <w:basedOn w:val="DefaultParagraphFont"/>
    <w:rsid w:val="00BB3E5C"/>
  </w:style>
  <w:style w:type="character" w:customStyle="1" w:styleId="FootnoteCharacters">
    <w:name w:val="Footnote Characters"/>
    <w:rsid w:val="00DE5983"/>
    <w:rPr>
      <w:vertAlign w:val="superscript"/>
    </w:rPr>
  </w:style>
  <w:style w:type="character" w:customStyle="1" w:styleId="HeaderChar">
    <w:name w:val="Header Char"/>
    <w:link w:val="Header"/>
    <w:uiPriority w:val="99"/>
    <w:rsid w:val="00F079B7"/>
    <w:rPr>
      <w:rFonts w:ascii="Calibri" w:hAnsi="Calibri"/>
      <w:sz w:val="22"/>
      <w:szCs w:val="22"/>
      <w:lang w:val="nb-NO" w:eastAsia="en-US"/>
    </w:rPr>
  </w:style>
  <w:style w:type="paragraph" w:customStyle="1" w:styleId="xl93">
    <w:name w:val="xl93"/>
    <w:basedOn w:val="Normal"/>
    <w:rsid w:val="00520F75"/>
    <w:pPr>
      <w:spacing w:before="100" w:beforeAutospacing="1" w:after="100" w:afterAutospacing="1"/>
    </w:pPr>
    <w:rPr>
      <w:rFonts w:ascii="Times New Roman" w:eastAsia="Calibri" w:hAnsi="Times New Roman"/>
      <w:sz w:val="24"/>
      <w:szCs w:val="24"/>
      <w:lang w:val="lv-LV" w:eastAsia="lv-LV"/>
    </w:rPr>
  </w:style>
  <w:style w:type="character" w:styleId="FollowedHyperlink">
    <w:name w:val="FollowedHyperlink"/>
    <w:basedOn w:val="DefaultParagraphFont"/>
    <w:rsid w:val="00CA44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608819">
      <w:bodyDiv w:val="1"/>
      <w:marLeft w:val="0"/>
      <w:marRight w:val="0"/>
      <w:marTop w:val="0"/>
      <w:marBottom w:val="0"/>
      <w:divBdr>
        <w:top w:val="none" w:sz="0" w:space="0" w:color="auto"/>
        <w:left w:val="none" w:sz="0" w:space="0" w:color="auto"/>
        <w:bottom w:val="none" w:sz="0" w:space="0" w:color="auto"/>
        <w:right w:val="none" w:sz="0" w:space="0" w:color="auto"/>
      </w:divBdr>
    </w:div>
    <w:div w:id="54012656">
      <w:bodyDiv w:val="1"/>
      <w:marLeft w:val="0"/>
      <w:marRight w:val="0"/>
      <w:marTop w:val="0"/>
      <w:marBottom w:val="0"/>
      <w:divBdr>
        <w:top w:val="none" w:sz="0" w:space="0" w:color="auto"/>
        <w:left w:val="none" w:sz="0" w:space="0" w:color="auto"/>
        <w:bottom w:val="none" w:sz="0" w:space="0" w:color="auto"/>
        <w:right w:val="none" w:sz="0" w:space="0" w:color="auto"/>
      </w:divBdr>
    </w:div>
    <w:div w:id="85005119">
      <w:bodyDiv w:val="1"/>
      <w:marLeft w:val="0"/>
      <w:marRight w:val="0"/>
      <w:marTop w:val="0"/>
      <w:marBottom w:val="0"/>
      <w:divBdr>
        <w:top w:val="none" w:sz="0" w:space="0" w:color="auto"/>
        <w:left w:val="none" w:sz="0" w:space="0" w:color="auto"/>
        <w:bottom w:val="none" w:sz="0" w:space="0" w:color="auto"/>
        <w:right w:val="none" w:sz="0" w:space="0" w:color="auto"/>
      </w:divBdr>
      <w:divsChild>
        <w:div w:id="83578512">
          <w:marLeft w:val="0"/>
          <w:marRight w:val="0"/>
          <w:marTop w:val="0"/>
          <w:marBottom w:val="0"/>
          <w:divBdr>
            <w:top w:val="none" w:sz="0" w:space="0" w:color="auto"/>
            <w:left w:val="none" w:sz="0" w:space="0" w:color="auto"/>
            <w:bottom w:val="none" w:sz="0" w:space="0" w:color="auto"/>
            <w:right w:val="none" w:sz="0" w:space="0" w:color="auto"/>
          </w:divBdr>
          <w:divsChild>
            <w:div w:id="1574584721">
              <w:marLeft w:val="0"/>
              <w:marRight w:val="0"/>
              <w:marTop w:val="0"/>
              <w:marBottom w:val="0"/>
              <w:divBdr>
                <w:top w:val="none" w:sz="0" w:space="0" w:color="auto"/>
                <w:left w:val="none" w:sz="0" w:space="0" w:color="auto"/>
                <w:bottom w:val="none" w:sz="0" w:space="0" w:color="auto"/>
                <w:right w:val="none" w:sz="0" w:space="0" w:color="auto"/>
              </w:divBdr>
              <w:divsChild>
                <w:div w:id="2007784790">
                  <w:marLeft w:val="0"/>
                  <w:marRight w:val="0"/>
                  <w:marTop w:val="0"/>
                  <w:marBottom w:val="0"/>
                  <w:divBdr>
                    <w:top w:val="none" w:sz="0" w:space="0" w:color="auto"/>
                    <w:left w:val="none" w:sz="0" w:space="0" w:color="auto"/>
                    <w:bottom w:val="none" w:sz="0" w:space="0" w:color="auto"/>
                    <w:right w:val="none" w:sz="0" w:space="0" w:color="auto"/>
                  </w:divBdr>
                  <w:divsChild>
                    <w:div w:id="166557490">
                      <w:marLeft w:val="0"/>
                      <w:marRight w:val="0"/>
                      <w:marTop w:val="0"/>
                      <w:marBottom w:val="0"/>
                      <w:divBdr>
                        <w:top w:val="none" w:sz="0" w:space="0" w:color="auto"/>
                        <w:left w:val="none" w:sz="0" w:space="0" w:color="auto"/>
                        <w:bottom w:val="none" w:sz="0" w:space="0" w:color="auto"/>
                        <w:right w:val="none" w:sz="0" w:space="0" w:color="auto"/>
                      </w:divBdr>
                      <w:divsChild>
                        <w:div w:id="2070105300">
                          <w:marLeft w:val="0"/>
                          <w:marRight w:val="0"/>
                          <w:marTop w:val="0"/>
                          <w:marBottom w:val="0"/>
                          <w:divBdr>
                            <w:top w:val="none" w:sz="0" w:space="0" w:color="auto"/>
                            <w:left w:val="none" w:sz="0" w:space="0" w:color="auto"/>
                            <w:bottom w:val="none" w:sz="0" w:space="0" w:color="auto"/>
                            <w:right w:val="none" w:sz="0" w:space="0" w:color="auto"/>
                          </w:divBdr>
                          <w:divsChild>
                            <w:div w:id="13485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0578">
      <w:bodyDiv w:val="1"/>
      <w:marLeft w:val="0"/>
      <w:marRight w:val="0"/>
      <w:marTop w:val="0"/>
      <w:marBottom w:val="0"/>
      <w:divBdr>
        <w:top w:val="none" w:sz="0" w:space="0" w:color="auto"/>
        <w:left w:val="none" w:sz="0" w:space="0" w:color="auto"/>
        <w:bottom w:val="none" w:sz="0" w:space="0" w:color="auto"/>
        <w:right w:val="none" w:sz="0" w:space="0" w:color="auto"/>
      </w:divBdr>
    </w:div>
    <w:div w:id="171071877">
      <w:bodyDiv w:val="1"/>
      <w:marLeft w:val="0"/>
      <w:marRight w:val="0"/>
      <w:marTop w:val="0"/>
      <w:marBottom w:val="0"/>
      <w:divBdr>
        <w:top w:val="none" w:sz="0" w:space="0" w:color="auto"/>
        <w:left w:val="none" w:sz="0" w:space="0" w:color="auto"/>
        <w:bottom w:val="none" w:sz="0" w:space="0" w:color="auto"/>
        <w:right w:val="none" w:sz="0" w:space="0" w:color="auto"/>
      </w:divBdr>
      <w:divsChild>
        <w:div w:id="614479449">
          <w:marLeft w:val="0"/>
          <w:marRight w:val="0"/>
          <w:marTop w:val="0"/>
          <w:marBottom w:val="0"/>
          <w:divBdr>
            <w:top w:val="none" w:sz="0" w:space="0" w:color="auto"/>
            <w:left w:val="none" w:sz="0" w:space="0" w:color="auto"/>
            <w:bottom w:val="none" w:sz="0" w:space="0" w:color="auto"/>
            <w:right w:val="none" w:sz="0" w:space="0" w:color="auto"/>
          </w:divBdr>
          <w:divsChild>
            <w:div w:id="479733313">
              <w:marLeft w:val="0"/>
              <w:marRight w:val="0"/>
              <w:marTop w:val="0"/>
              <w:marBottom w:val="0"/>
              <w:divBdr>
                <w:top w:val="none" w:sz="0" w:space="0" w:color="auto"/>
                <w:left w:val="none" w:sz="0" w:space="0" w:color="auto"/>
                <w:bottom w:val="none" w:sz="0" w:space="0" w:color="auto"/>
                <w:right w:val="none" w:sz="0" w:space="0" w:color="auto"/>
              </w:divBdr>
              <w:divsChild>
                <w:div w:id="1418136571">
                  <w:marLeft w:val="0"/>
                  <w:marRight w:val="0"/>
                  <w:marTop w:val="0"/>
                  <w:marBottom w:val="0"/>
                  <w:divBdr>
                    <w:top w:val="none" w:sz="0" w:space="0" w:color="auto"/>
                    <w:left w:val="none" w:sz="0" w:space="0" w:color="auto"/>
                    <w:bottom w:val="none" w:sz="0" w:space="0" w:color="auto"/>
                    <w:right w:val="none" w:sz="0" w:space="0" w:color="auto"/>
                  </w:divBdr>
                  <w:divsChild>
                    <w:div w:id="753093513">
                      <w:marLeft w:val="0"/>
                      <w:marRight w:val="0"/>
                      <w:marTop w:val="0"/>
                      <w:marBottom w:val="0"/>
                      <w:divBdr>
                        <w:top w:val="none" w:sz="0" w:space="0" w:color="auto"/>
                        <w:left w:val="none" w:sz="0" w:space="0" w:color="auto"/>
                        <w:bottom w:val="none" w:sz="0" w:space="0" w:color="auto"/>
                        <w:right w:val="none" w:sz="0" w:space="0" w:color="auto"/>
                      </w:divBdr>
                      <w:divsChild>
                        <w:div w:id="13026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4592">
      <w:bodyDiv w:val="1"/>
      <w:marLeft w:val="0"/>
      <w:marRight w:val="0"/>
      <w:marTop w:val="0"/>
      <w:marBottom w:val="0"/>
      <w:divBdr>
        <w:top w:val="none" w:sz="0" w:space="0" w:color="auto"/>
        <w:left w:val="none" w:sz="0" w:space="0" w:color="auto"/>
        <w:bottom w:val="none" w:sz="0" w:space="0" w:color="auto"/>
        <w:right w:val="none" w:sz="0" w:space="0" w:color="auto"/>
      </w:divBdr>
    </w:div>
    <w:div w:id="273513703">
      <w:bodyDiv w:val="1"/>
      <w:marLeft w:val="0"/>
      <w:marRight w:val="0"/>
      <w:marTop w:val="100"/>
      <w:marBottom w:val="100"/>
      <w:divBdr>
        <w:top w:val="none" w:sz="0" w:space="0" w:color="auto"/>
        <w:left w:val="none" w:sz="0" w:space="0" w:color="auto"/>
        <w:bottom w:val="none" w:sz="0" w:space="0" w:color="auto"/>
        <w:right w:val="none" w:sz="0" w:space="0" w:color="auto"/>
      </w:divBdr>
      <w:divsChild>
        <w:div w:id="1703045294">
          <w:marLeft w:val="0"/>
          <w:marRight w:val="0"/>
          <w:marTop w:val="100"/>
          <w:marBottom w:val="100"/>
          <w:divBdr>
            <w:top w:val="none" w:sz="0" w:space="0" w:color="auto"/>
            <w:left w:val="none" w:sz="0" w:space="0" w:color="auto"/>
            <w:bottom w:val="none" w:sz="0" w:space="0" w:color="auto"/>
            <w:right w:val="none" w:sz="0" w:space="0" w:color="auto"/>
          </w:divBdr>
          <w:divsChild>
            <w:div w:id="50927317">
              <w:marLeft w:val="0"/>
              <w:marRight w:val="0"/>
              <w:marTop w:val="0"/>
              <w:marBottom w:val="0"/>
              <w:divBdr>
                <w:top w:val="none" w:sz="0" w:space="0" w:color="auto"/>
                <w:left w:val="none" w:sz="0" w:space="0" w:color="auto"/>
                <w:bottom w:val="none" w:sz="0" w:space="0" w:color="auto"/>
                <w:right w:val="none" w:sz="0" w:space="0" w:color="auto"/>
              </w:divBdr>
              <w:divsChild>
                <w:div w:id="1169516361">
                  <w:marLeft w:val="1"/>
                  <w:marRight w:val="0"/>
                  <w:marTop w:val="0"/>
                  <w:marBottom w:val="0"/>
                  <w:divBdr>
                    <w:top w:val="none" w:sz="0" w:space="0" w:color="auto"/>
                    <w:left w:val="none" w:sz="0" w:space="0" w:color="auto"/>
                    <w:bottom w:val="none" w:sz="0" w:space="0" w:color="auto"/>
                    <w:right w:val="none" w:sz="0" w:space="0" w:color="auto"/>
                  </w:divBdr>
                  <w:divsChild>
                    <w:div w:id="952908052">
                      <w:marLeft w:val="0"/>
                      <w:marRight w:val="0"/>
                      <w:marTop w:val="0"/>
                      <w:marBottom w:val="0"/>
                      <w:divBdr>
                        <w:top w:val="none" w:sz="0" w:space="0" w:color="auto"/>
                        <w:left w:val="none" w:sz="0" w:space="0" w:color="auto"/>
                        <w:bottom w:val="none" w:sz="0" w:space="0" w:color="auto"/>
                        <w:right w:val="none" w:sz="0" w:space="0" w:color="auto"/>
                      </w:divBdr>
                      <w:divsChild>
                        <w:div w:id="1061296218">
                          <w:marLeft w:val="0"/>
                          <w:marRight w:val="0"/>
                          <w:marTop w:val="0"/>
                          <w:marBottom w:val="0"/>
                          <w:divBdr>
                            <w:top w:val="none" w:sz="0" w:space="0" w:color="auto"/>
                            <w:left w:val="none" w:sz="0" w:space="0" w:color="auto"/>
                            <w:bottom w:val="none" w:sz="0" w:space="0" w:color="auto"/>
                            <w:right w:val="none" w:sz="0" w:space="0" w:color="auto"/>
                          </w:divBdr>
                          <w:divsChild>
                            <w:div w:id="2099327745">
                              <w:marLeft w:val="0"/>
                              <w:marRight w:val="0"/>
                              <w:marTop w:val="300"/>
                              <w:marBottom w:val="0"/>
                              <w:divBdr>
                                <w:top w:val="none" w:sz="0" w:space="0" w:color="auto"/>
                                <w:left w:val="none" w:sz="0" w:space="0" w:color="auto"/>
                                <w:bottom w:val="none" w:sz="0" w:space="0" w:color="auto"/>
                                <w:right w:val="none" w:sz="0" w:space="0" w:color="auto"/>
                              </w:divBdr>
                              <w:divsChild>
                                <w:div w:id="628517011">
                                  <w:marLeft w:val="0"/>
                                  <w:marRight w:val="0"/>
                                  <w:marTop w:val="0"/>
                                  <w:marBottom w:val="0"/>
                                  <w:divBdr>
                                    <w:top w:val="none" w:sz="0" w:space="0" w:color="auto"/>
                                    <w:left w:val="none" w:sz="0" w:space="0" w:color="auto"/>
                                    <w:bottom w:val="none" w:sz="0" w:space="0" w:color="auto"/>
                                    <w:right w:val="none" w:sz="0" w:space="0" w:color="auto"/>
                                  </w:divBdr>
                                  <w:divsChild>
                                    <w:div w:id="13452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835749">
      <w:bodyDiv w:val="1"/>
      <w:marLeft w:val="0"/>
      <w:marRight w:val="0"/>
      <w:marTop w:val="0"/>
      <w:marBottom w:val="0"/>
      <w:divBdr>
        <w:top w:val="none" w:sz="0" w:space="0" w:color="auto"/>
        <w:left w:val="none" w:sz="0" w:space="0" w:color="auto"/>
        <w:bottom w:val="none" w:sz="0" w:space="0" w:color="auto"/>
        <w:right w:val="none" w:sz="0" w:space="0" w:color="auto"/>
      </w:divBdr>
      <w:divsChild>
        <w:div w:id="227304802">
          <w:marLeft w:val="0"/>
          <w:marRight w:val="0"/>
          <w:marTop w:val="48"/>
          <w:marBottom w:val="0"/>
          <w:divBdr>
            <w:top w:val="none" w:sz="0" w:space="0" w:color="auto"/>
            <w:left w:val="none" w:sz="0" w:space="0" w:color="auto"/>
            <w:bottom w:val="none" w:sz="0" w:space="0" w:color="auto"/>
            <w:right w:val="none" w:sz="0" w:space="0" w:color="auto"/>
          </w:divBdr>
          <w:divsChild>
            <w:div w:id="1233271292">
              <w:marLeft w:val="0"/>
              <w:marRight w:val="0"/>
              <w:marTop w:val="0"/>
              <w:marBottom w:val="0"/>
              <w:divBdr>
                <w:top w:val="none" w:sz="0" w:space="0" w:color="auto"/>
                <w:left w:val="none" w:sz="0" w:space="0" w:color="auto"/>
                <w:bottom w:val="none" w:sz="0" w:space="0" w:color="auto"/>
                <w:right w:val="none" w:sz="0" w:space="0" w:color="auto"/>
              </w:divBdr>
              <w:divsChild>
                <w:div w:id="14544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0570">
      <w:bodyDiv w:val="1"/>
      <w:marLeft w:val="0"/>
      <w:marRight w:val="0"/>
      <w:marTop w:val="0"/>
      <w:marBottom w:val="0"/>
      <w:divBdr>
        <w:top w:val="none" w:sz="0" w:space="0" w:color="auto"/>
        <w:left w:val="none" w:sz="0" w:space="0" w:color="auto"/>
        <w:bottom w:val="none" w:sz="0" w:space="0" w:color="auto"/>
        <w:right w:val="none" w:sz="0" w:space="0" w:color="auto"/>
      </w:divBdr>
    </w:div>
    <w:div w:id="558252077">
      <w:bodyDiv w:val="1"/>
      <w:marLeft w:val="0"/>
      <w:marRight w:val="0"/>
      <w:marTop w:val="0"/>
      <w:marBottom w:val="0"/>
      <w:divBdr>
        <w:top w:val="none" w:sz="0" w:space="0" w:color="auto"/>
        <w:left w:val="none" w:sz="0" w:space="0" w:color="auto"/>
        <w:bottom w:val="none" w:sz="0" w:space="0" w:color="auto"/>
        <w:right w:val="none" w:sz="0" w:space="0" w:color="auto"/>
      </w:divBdr>
      <w:divsChild>
        <w:div w:id="97719308">
          <w:marLeft w:val="0"/>
          <w:marRight w:val="0"/>
          <w:marTop w:val="0"/>
          <w:marBottom w:val="0"/>
          <w:divBdr>
            <w:top w:val="single" w:sz="2" w:space="0" w:color="auto"/>
            <w:left w:val="single" w:sz="2" w:space="0" w:color="auto"/>
            <w:bottom w:val="single" w:sz="2" w:space="0" w:color="auto"/>
            <w:right w:val="single" w:sz="2" w:space="0" w:color="auto"/>
          </w:divBdr>
          <w:divsChild>
            <w:div w:id="1020547161">
              <w:marLeft w:val="0"/>
              <w:marRight w:val="0"/>
              <w:marTop w:val="0"/>
              <w:marBottom w:val="0"/>
              <w:divBdr>
                <w:top w:val="none" w:sz="0" w:space="0" w:color="auto"/>
                <w:left w:val="none" w:sz="0" w:space="0" w:color="auto"/>
                <w:bottom w:val="none" w:sz="0" w:space="0" w:color="auto"/>
                <w:right w:val="none" w:sz="0" w:space="0" w:color="auto"/>
              </w:divBdr>
              <w:divsChild>
                <w:div w:id="580413342">
                  <w:marLeft w:val="0"/>
                  <w:marRight w:val="0"/>
                  <w:marTop w:val="375"/>
                  <w:marBottom w:val="375"/>
                  <w:divBdr>
                    <w:top w:val="none" w:sz="0" w:space="0" w:color="auto"/>
                    <w:left w:val="none" w:sz="0" w:space="0" w:color="auto"/>
                    <w:bottom w:val="none" w:sz="0" w:space="0" w:color="auto"/>
                    <w:right w:val="none" w:sz="0" w:space="0" w:color="auto"/>
                  </w:divBdr>
                  <w:divsChild>
                    <w:div w:id="1993170685">
                      <w:marLeft w:val="0"/>
                      <w:marRight w:val="0"/>
                      <w:marTop w:val="0"/>
                      <w:marBottom w:val="0"/>
                      <w:divBdr>
                        <w:top w:val="none" w:sz="0" w:space="0" w:color="auto"/>
                        <w:left w:val="none" w:sz="0" w:space="0" w:color="auto"/>
                        <w:bottom w:val="none" w:sz="0" w:space="0" w:color="auto"/>
                        <w:right w:val="none" w:sz="0" w:space="0" w:color="auto"/>
                      </w:divBdr>
                      <w:divsChild>
                        <w:div w:id="7781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1196">
      <w:bodyDiv w:val="1"/>
      <w:marLeft w:val="0"/>
      <w:marRight w:val="0"/>
      <w:marTop w:val="0"/>
      <w:marBottom w:val="0"/>
      <w:divBdr>
        <w:top w:val="none" w:sz="0" w:space="0" w:color="auto"/>
        <w:left w:val="none" w:sz="0" w:space="0" w:color="auto"/>
        <w:bottom w:val="none" w:sz="0" w:space="0" w:color="auto"/>
        <w:right w:val="none" w:sz="0" w:space="0" w:color="auto"/>
      </w:divBdr>
    </w:div>
    <w:div w:id="915630526">
      <w:bodyDiv w:val="1"/>
      <w:marLeft w:val="0"/>
      <w:marRight w:val="0"/>
      <w:marTop w:val="0"/>
      <w:marBottom w:val="0"/>
      <w:divBdr>
        <w:top w:val="none" w:sz="0" w:space="0" w:color="auto"/>
        <w:left w:val="none" w:sz="0" w:space="0" w:color="auto"/>
        <w:bottom w:val="none" w:sz="0" w:space="0" w:color="auto"/>
        <w:right w:val="none" w:sz="0" w:space="0" w:color="auto"/>
      </w:divBdr>
      <w:divsChild>
        <w:div w:id="1028020962">
          <w:marLeft w:val="0"/>
          <w:marRight w:val="0"/>
          <w:marTop w:val="0"/>
          <w:marBottom w:val="0"/>
          <w:divBdr>
            <w:top w:val="none" w:sz="0" w:space="0" w:color="auto"/>
            <w:left w:val="single" w:sz="12" w:space="0" w:color="003399"/>
            <w:bottom w:val="none" w:sz="0" w:space="0" w:color="auto"/>
            <w:right w:val="single" w:sz="12" w:space="0" w:color="003399"/>
          </w:divBdr>
          <w:divsChild>
            <w:div w:id="281154916">
              <w:marLeft w:val="0"/>
              <w:marRight w:val="0"/>
              <w:marTop w:val="0"/>
              <w:marBottom w:val="0"/>
              <w:divBdr>
                <w:top w:val="single" w:sz="6" w:space="0" w:color="072C6F"/>
                <w:left w:val="single" w:sz="6" w:space="0" w:color="072C6F"/>
                <w:bottom w:val="single" w:sz="6" w:space="8" w:color="072C6F"/>
                <w:right w:val="single" w:sz="6" w:space="0" w:color="072C6F"/>
              </w:divBdr>
              <w:divsChild>
                <w:div w:id="1757676568">
                  <w:marLeft w:val="0"/>
                  <w:marRight w:val="0"/>
                  <w:marTop w:val="0"/>
                  <w:marBottom w:val="0"/>
                  <w:divBdr>
                    <w:top w:val="none" w:sz="0" w:space="0" w:color="auto"/>
                    <w:left w:val="none" w:sz="0" w:space="0" w:color="auto"/>
                    <w:bottom w:val="none" w:sz="0" w:space="0" w:color="auto"/>
                    <w:right w:val="none" w:sz="0" w:space="0" w:color="auto"/>
                  </w:divBdr>
                  <w:divsChild>
                    <w:div w:id="1794134535">
                      <w:marLeft w:val="0"/>
                      <w:marRight w:val="0"/>
                      <w:marTop w:val="0"/>
                      <w:marBottom w:val="0"/>
                      <w:divBdr>
                        <w:top w:val="none" w:sz="0" w:space="0" w:color="auto"/>
                        <w:left w:val="none" w:sz="0" w:space="0" w:color="auto"/>
                        <w:bottom w:val="none" w:sz="0" w:space="0" w:color="auto"/>
                        <w:right w:val="none" w:sz="0" w:space="0" w:color="auto"/>
                      </w:divBdr>
                      <w:divsChild>
                        <w:div w:id="1650556633">
                          <w:marLeft w:val="-3150"/>
                          <w:marRight w:val="0"/>
                          <w:marTop w:val="0"/>
                          <w:marBottom w:val="0"/>
                          <w:divBdr>
                            <w:top w:val="none" w:sz="0" w:space="0" w:color="auto"/>
                            <w:left w:val="none" w:sz="0" w:space="0" w:color="auto"/>
                            <w:bottom w:val="none" w:sz="0" w:space="0" w:color="auto"/>
                            <w:right w:val="none" w:sz="0" w:space="0" w:color="auto"/>
                          </w:divBdr>
                          <w:divsChild>
                            <w:div w:id="673072812">
                              <w:marLeft w:val="3150"/>
                              <w:marRight w:val="0"/>
                              <w:marTop w:val="0"/>
                              <w:marBottom w:val="0"/>
                              <w:divBdr>
                                <w:top w:val="none" w:sz="0" w:space="0" w:color="auto"/>
                                <w:left w:val="none" w:sz="0" w:space="0" w:color="auto"/>
                                <w:bottom w:val="none" w:sz="0" w:space="0" w:color="auto"/>
                                <w:right w:val="none" w:sz="0" w:space="0" w:color="auto"/>
                              </w:divBdr>
                              <w:divsChild>
                                <w:div w:id="1672485497">
                                  <w:marLeft w:val="0"/>
                                  <w:marRight w:val="-3000"/>
                                  <w:marTop w:val="0"/>
                                  <w:marBottom w:val="0"/>
                                  <w:divBdr>
                                    <w:top w:val="none" w:sz="0" w:space="0" w:color="auto"/>
                                    <w:left w:val="none" w:sz="0" w:space="0" w:color="auto"/>
                                    <w:bottom w:val="none" w:sz="0" w:space="0" w:color="auto"/>
                                    <w:right w:val="none" w:sz="0" w:space="0" w:color="auto"/>
                                  </w:divBdr>
                                  <w:divsChild>
                                    <w:div w:id="788402543">
                                      <w:marLeft w:val="0"/>
                                      <w:marRight w:val="3000"/>
                                      <w:marTop w:val="0"/>
                                      <w:marBottom w:val="0"/>
                                      <w:divBdr>
                                        <w:top w:val="none" w:sz="0" w:space="0" w:color="auto"/>
                                        <w:left w:val="none" w:sz="0" w:space="0" w:color="auto"/>
                                        <w:bottom w:val="none" w:sz="0" w:space="0" w:color="auto"/>
                                        <w:right w:val="none" w:sz="0" w:space="0" w:color="auto"/>
                                      </w:divBdr>
                                      <w:divsChild>
                                        <w:div w:id="600917782">
                                          <w:marLeft w:val="0"/>
                                          <w:marRight w:val="0"/>
                                          <w:marTop w:val="30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 w:id="929118208">
      <w:bodyDiv w:val="1"/>
      <w:marLeft w:val="0"/>
      <w:marRight w:val="0"/>
      <w:marTop w:val="0"/>
      <w:marBottom w:val="0"/>
      <w:divBdr>
        <w:top w:val="none" w:sz="0" w:space="0" w:color="auto"/>
        <w:left w:val="none" w:sz="0" w:space="0" w:color="auto"/>
        <w:bottom w:val="none" w:sz="0" w:space="0" w:color="auto"/>
        <w:right w:val="none" w:sz="0" w:space="0" w:color="auto"/>
      </w:divBdr>
      <w:divsChild>
        <w:div w:id="792216762">
          <w:marLeft w:val="0"/>
          <w:marRight w:val="0"/>
          <w:marTop w:val="48"/>
          <w:marBottom w:val="0"/>
          <w:divBdr>
            <w:top w:val="none" w:sz="0" w:space="0" w:color="auto"/>
            <w:left w:val="none" w:sz="0" w:space="0" w:color="auto"/>
            <w:bottom w:val="none" w:sz="0" w:space="0" w:color="auto"/>
            <w:right w:val="none" w:sz="0" w:space="0" w:color="auto"/>
          </w:divBdr>
          <w:divsChild>
            <w:div w:id="558177019">
              <w:marLeft w:val="0"/>
              <w:marRight w:val="0"/>
              <w:marTop w:val="0"/>
              <w:marBottom w:val="0"/>
              <w:divBdr>
                <w:top w:val="none" w:sz="0" w:space="0" w:color="auto"/>
                <w:left w:val="none" w:sz="0" w:space="0" w:color="auto"/>
                <w:bottom w:val="none" w:sz="0" w:space="0" w:color="auto"/>
                <w:right w:val="none" w:sz="0" w:space="0" w:color="auto"/>
              </w:divBdr>
              <w:divsChild>
                <w:div w:id="18037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611">
      <w:bodyDiv w:val="1"/>
      <w:marLeft w:val="0"/>
      <w:marRight w:val="0"/>
      <w:marTop w:val="0"/>
      <w:marBottom w:val="0"/>
      <w:divBdr>
        <w:top w:val="none" w:sz="0" w:space="0" w:color="auto"/>
        <w:left w:val="none" w:sz="0" w:space="0" w:color="auto"/>
        <w:bottom w:val="none" w:sz="0" w:space="0" w:color="auto"/>
        <w:right w:val="none" w:sz="0" w:space="0" w:color="auto"/>
      </w:divBdr>
      <w:divsChild>
        <w:div w:id="1374501413">
          <w:marLeft w:val="0"/>
          <w:marRight w:val="0"/>
          <w:marTop w:val="525"/>
          <w:marBottom w:val="45"/>
          <w:divBdr>
            <w:top w:val="none" w:sz="0" w:space="0" w:color="auto"/>
            <w:left w:val="none" w:sz="0" w:space="0" w:color="auto"/>
            <w:bottom w:val="none" w:sz="0" w:space="0" w:color="auto"/>
            <w:right w:val="none" w:sz="0" w:space="0" w:color="auto"/>
          </w:divBdr>
          <w:divsChild>
            <w:div w:id="478150765">
              <w:marLeft w:val="0"/>
              <w:marRight w:val="-5250"/>
              <w:marTop w:val="0"/>
              <w:marBottom w:val="0"/>
              <w:divBdr>
                <w:top w:val="none" w:sz="0" w:space="0" w:color="auto"/>
                <w:left w:val="none" w:sz="0" w:space="0" w:color="auto"/>
                <w:bottom w:val="none" w:sz="0" w:space="0" w:color="auto"/>
                <w:right w:val="none" w:sz="0" w:space="0" w:color="auto"/>
              </w:divBdr>
              <w:divsChild>
                <w:div w:id="1373312195">
                  <w:marLeft w:val="0"/>
                  <w:marRight w:val="4200"/>
                  <w:marTop w:val="0"/>
                  <w:marBottom w:val="0"/>
                  <w:divBdr>
                    <w:top w:val="none" w:sz="0" w:space="0" w:color="auto"/>
                    <w:left w:val="none" w:sz="0" w:space="0" w:color="auto"/>
                    <w:bottom w:val="none" w:sz="0" w:space="0" w:color="auto"/>
                    <w:right w:val="single" w:sz="18" w:space="0" w:color="D5DADD"/>
                  </w:divBdr>
                  <w:divsChild>
                    <w:div w:id="6344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42930">
      <w:bodyDiv w:val="1"/>
      <w:marLeft w:val="0"/>
      <w:marRight w:val="0"/>
      <w:marTop w:val="0"/>
      <w:marBottom w:val="0"/>
      <w:divBdr>
        <w:top w:val="none" w:sz="0" w:space="0" w:color="auto"/>
        <w:left w:val="none" w:sz="0" w:space="0" w:color="auto"/>
        <w:bottom w:val="none" w:sz="0" w:space="0" w:color="auto"/>
        <w:right w:val="none" w:sz="0" w:space="0" w:color="auto"/>
      </w:divBdr>
      <w:divsChild>
        <w:div w:id="946348406">
          <w:marLeft w:val="0"/>
          <w:marRight w:val="0"/>
          <w:marTop w:val="0"/>
          <w:marBottom w:val="0"/>
          <w:divBdr>
            <w:top w:val="none" w:sz="0" w:space="0" w:color="auto"/>
            <w:left w:val="none" w:sz="0" w:space="0" w:color="auto"/>
            <w:bottom w:val="none" w:sz="0" w:space="0" w:color="auto"/>
            <w:right w:val="none" w:sz="0" w:space="0" w:color="auto"/>
          </w:divBdr>
          <w:divsChild>
            <w:div w:id="1480684370">
              <w:marLeft w:val="0"/>
              <w:marRight w:val="0"/>
              <w:marTop w:val="0"/>
              <w:marBottom w:val="0"/>
              <w:divBdr>
                <w:top w:val="none" w:sz="0" w:space="0" w:color="auto"/>
                <w:left w:val="none" w:sz="0" w:space="0" w:color="auto"/>
                <w:bottom w:val="none" w:sz="0" w:space="0" w:color="auto"/>
                <w:right w:val="none" w:sz="0" w:space="0" w:color="auto"/>
              </w:divBdr>
              <w:divsChild>
                <w:div w:id="25913400">
                  <w:marLeft w:val="0"/>
                  <w:marRight w:val="0"/>
                  <w:marTop w:val="0"/>
                  <w:marBottom w:val="0"/>
                  <w:divBdr>
                    <w:top w:val="none" w:sz="0" w:space="0" w:color="auto"/>
                    <w:left w:val="none" w:sz="0" w:space="0" w:color="auto"/>
                    <w:bottom w:val="none" w:sz="0" w:space="0" w:color="auto"/>
                    <w:right w:val="none" w:sz="0" w:space="0" w:color="auto"/>
                  </w:divBdr>
                  <w:divsChild>
                    <w:div w:id="934899580">
                      <w:marLeft w:val="0"/>
                      <w:marRight w:val="0"/>
                      <w:marTop w:val="0"/>
                      <w:marBottom w:val="0"/>
                      <w:divBdr>
                        <w:top w:val="none" w:sz="0" w:space="0" w:color="auto"/>
                        <w:left w:val="none" w:sz="0" w:space="0" w:color="auto"/>
                        <w:bottom w:val="none" w:sz="0" w:space="0" w:color="auto"/>
                        <w:right w:val="none" w:sz="0" w:space="0" w:color="auto"/>
                      </w:divBdr>
                      <w:divsChild>
                        <w:div w:id="2013101850">
                          <w:marLeft w:val="0"/>
                          <w:marRight w:val="0"/>
                          <w:marTop w:val="0"/>
                          <w:marBottom w:val="0"/>
                          <w:divBdr>
                            <w:top w:val="none" w:sz="0" w:space="0" w:color="auto"/>
                            <w:left w:val="none" w:sz="0" w:space="0" w:color="auto"/>
                            <w:bottom w:val="none" w:sz="0" w:space="0" w:color="auto"/>
                            <w:right w:val="none" w:sz="0" w:space="0" w:color="auto"/>
                          </w:divBdr>
                          <w:divsChild>
                            <w:div w:id="1982617562">
                              <w:marLeft w:val="-75"/>
                              <w:marRight w:val="-75"/>
                              <w:marTop w:val="0"/>
                              <w:marBottom w:val="0"/>
                              <w:divBdr>
                                <w:top w:val="none" w:sz="0" w:space="0" w:color="auto"/>
                                <w:left w:val="none" w:sz="0" w:space="0" w:color="auto"/>
                                <w:bottom w:val="none" w:sz="0" w:space="0" w:color="auto"/>
                                <w:right w:val="none" w:sz="0" w:space="0" w:color="auto"/>
                              </w:divBdr>
                              <w:divsChild>
                                <w:div w:id="1109931105">
                                  <w:marLeft w:val="-75"/>
                                  <w:marRight w:val="-75"/>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463936196">
                                          <w:marLeft w:val="0"/>
                                          <w:marRight w:val="0"/>
                                          <w:marTop w:val="0"/>
                                          <w:marBottom w:val="0"/>
                                          <w:divBdr>
                                            <w:top w:val="none" w:sz="0" w:space="0" w:color="auto"/>
                                            <w:left w:val="none" w:sz="0" w:space="0" w:color="auto"/>
                                            <w:bottom w:val="none" w:sz="0" w:space="0" w:color="auto"/>
                                            <w:right w:val="none" w:sz="0" w:space="0" w:color="auto"/>
                                          </w:divBdr>
                                          <w:divsChild>
                                            <w:div w:id="928152038">
                                              <w:marLeft w:val="240"/>
                                              <w:marRight w:val="240"/>
                                              <w:marTop w:val="0"/>
                                              <w:marBottom w:val="0"/>
                                              <w:divBdr>
                                                <w:top w:val="none" w:sz="0" w:space="0" w:color="auto"/>
                                                <w:left w:val="none" w:sz="0" w:space="0" w:color="auto"/>
                                                <w:bottom w:val="none" w:sz="0" w:space="0" w:color="auto"/>
                                                <w:right w:val="none" w:sz="0" w:space="0" w:color="auto"/>
                                              </w:divBdr>
                                              <w:divsChild>
                                                <w:div w:id="1583292880">
                                                  <w:marLeft w:val="-240"/>
                                                  <w:marRight w:val="0"/>
                                                  <w:marTop w:val="0"/>
                                                  <w:marBottom w:val="0"/>
                                                  <w:divBdr>
                                                    <w:top w:val="none" w:sz="0" w:space="0" w:color="auto"/>
                                                    <w:left w:val="none" w:sz="0" w:space="0" w:color="auto"/>
                                                    <w:bottom w:val="none" w:sz="0" w:space="0" w:color="auto"/>
                                                    <w:right w:val="none" w:sz="0" w:space="0" w:color="auto"/>
                                                  </w:divBdr>
                                                  <w:divsChild>
                                                    <w:div w:id="816802175">
                                                      <w:marLeft w:val="0"/>
                                                      <w:marRight w:val="-240"/>
                                                      <w:marTop w:val="0"/>
                                                      <w:marBottom w:val="0"/>
                                                      <w:divBdr>
                                                        <w:top w:val="none" w:sz="0" w:space="0" w:color="auto"/>
                                                        <w:left w:val="none" w:sz="0" w:space="0" w:color="auto"/>
                                                        <w:bottom w:val="none" w:sz="0" w:space="0" w:color="auto"/>
                                                        <w:right w:val="none" w:sz="0" w:space="0" w:color="auto"/>
                                                      </w:divBdr>
                                                      <w:divsChild>
                                                        <w:div w:id="390425375">
                                                          <w:marLeft w:val="0"/>
                                                          <w:marRight w:val="0"/>
                                                          <w:marTop w:val="0"/>
                                                          <w:marBottom w:val="0"/>
                                                          <w:divBdr>
                                                            <w:top w:val="none" w:sz="0" w:space="0" w:color="auto"/>
                                                            <w:left w:val="none" w:sz="0" w:space="0" w:color="auto"/>
                                                            <w:bottom w:val="none" w:sz="0" w:space="0" w:color="auto"/>
                                                            <w:right w:val="none" w:sz="0" w:space="0" w:color="auto"/>
                                                          </w:divBdr>
                                                          <w:divsChild>
                                                            <w:div w:id="1144084827">
                                                              <w:marLeft w:val="0"/>
                                                              <w:marRight w:val="0"/>
                                                              <w:marTop w:val="0"/>
                                                              <w:marBottom w:val="0"/>
                                                              <w:divBdr>
                                                                <w:top w:val="none" w:sz="0" w:space="0" w:color="auto"/>
                                                                <w:left w:val="none" w:sz="0" w:space="0" w:color="auto"/>
                                                                <w:bottom w:val="none" w:sz="0" w:space="0" w:color="auto"/>
                                                                <w:right w:val="none" w:sz="0" w:space="0" w:color="auto"/>
                                                              </w:divBdr>
                                                              <w:divsChild>
                                                                <w:div w:id="1400009744">
                                                                  <w:marLeft w:val="0"/>
                                                                  <w:marRight w:val="0"/>
                                                                  <w:marTop w:val="0"/>
                                                                  <w:marBottom w:val="0"/>
                                                                  <w:divBdr>
                                                                    <w:top w:val="none" w:sz="0" w:space="0" w:color="auto"/>
                                                                    <w:left w:val="none" w:sz="0" w:space="0" w:color="auto"/>
                                                                    <w:bottom w:val="none" w:sz="0" w:space="0" w:color="auto"/>
                                                                    <w:right w:val="none" w:sz="0" w:space="0" w:color="auto"/>
                                                                  </w:divBdr>
                                                                  <w:divsChild>
                                                                    <w:div w:id="1998264294">
                                                                      <w:marLeft w:val="0"/>
                                                                      <w:marRight w:val="0"/>
                                                                      <w:marTop w:val="0"/>
                                                                      <w:marBottom w:val="0"/>
                                                                      <w:divBdr>
                                                                        <w:top w:val="none" w:sz="0" w:space="0" w:color="auto"/>
                                                                        <w:left w:val="none" w:sz="0" w:space="0" w:color="auto"/>
                                                                        <w:bottom w:val="none" w:sz="0" w:space="0" w:color="auto"/>
                                                                        <w:right w:val="none" w:sz="0" w:space="0" w:color="auto"/>
                                                                      </w:divBdr>
                                                                      <w:divsChild>
                                                                        <w:div w:id="1892763649">
                                                                          <w:marLeft w:val="0"/>
                                                                          <w:marRight w:val="0"/>
                                                                          <w:marTop w:val="60"/>
                                                                          <w:marBottom w:val="0"/>
                                                                          <w:divBdr>
                                                                            <w:top w:val="none" w:sz="0" w:space="0" w:color="auto"/>
                                                                            <w:left w:val="none" w:sz="0" w:space="0" w:color="auto"/>
                                                                            <w:bottom w:val="none" w:sz="0" w:space="0" w:color="auto"/>
                                                                            <w:right w:val="none" w:sz="0" w:space="0" w:color="auto"/>
                                                                          </w:divBdr>
                                                                          <w:divsChild>
                                                                            <w:div w:id="134029554">
                                                                              <w:marLeft w:val="0"/>
                                                                              <w:marRight w:val="0"/>
                                                                              <w:marTop w:val="0"/>
                                                                              <w:marBottom w:val="0"/>
                                                                              <w:divBdr>
                                                                                <w:top w:val="none" w:sz="0" w:space="0" w:color="auto"/>
                                                                                <w:left w:val="none" w:sz="0" w:space="0" w:color="auto"/>
                                                                                <w:bottom w:val="none" w:sz="0" w:space="0" w:color="auto"/>
                                                                                <w:right w:val="none" w:sz="0" w:space="0" w:color="auto"/>
                                                                              </w:divBdr>
                                                                              <w:divsChild>
                                                                                <w:div w:id="265384418">
                                                                                  <w:marLeft w:val="0"/>
                                                                                  <w:marRight w:val="0"/>
                                                                                  <w:marTop w:val="0"/>
                                                                                  <w:marBottom w:val="0"/>
                                                                                  <w:divBdr>
                                                                                    <w:top w:val="none" w:sz="0" w:space="0" w:color="auto"/>
                                                                                    <w:left w:val="none" w:sz="0" w:space="0" w:color="auto"/>
                                                                                    <w:bottom w:val="none" w:sz="0" w:space="0" w:color="auto"/>
                                                                                    <w:right w:val="none" w:sz="0" w:space="0" w:color="auto"/>
                                                                                  </w:divBdr>
                                                                                  <w:divsChild>
                                                                                    <w:div w:id="593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39442">
      <w:bodyDiv w:val="1"/>
      <w:marLeft w:val="0"/>
      <w:marRight w:val="0"/>
      <w:marTop w:val="0"/>
      <w:marBottom w:val="0"/>
      <w:divBdr>
        <w:top w:val="none" w:sz="0" w:space="0" w:color="auto"/>
        <w:left w:val="none" w:sz="0" w:space="0" w:color="auto"/>
        <w:bottom w:val="none" w:sz="0" w:space="0" w:color="auto"/>
        <w:right w:val="none" w:sz="0" w:space="0" w:color="auto"/>
      </w:divBdr>
      <w:divsChild>
        <w:div w:id="1056125453">
          <w:marLeft w:val="0"/>
          <w:marRight w:val="0"/>
          <w:marTop w:val="0"/>
          <w:marBottom w:val="0"/>
          <w:divBdr>
            <w:top w:val="none" w:sz="0" w:space="0" w:color="auto"/>
            <w:left w:val="none" w:sz="0" w:space="0" w:color="auto"/>
            <w:bottom w:val="none" w:sz="0" w:space="0" w:color="auto"/>
            <w:right w:val="none" w:sz="0" w:space="0" w:color="auto"/>
          </w:divBdr>
          <w:divsChild>
            <w:div w:id="1084452513">
              <w:marLeft w:val="0"/>
              <w:marRight w:val="0"/>
              <w:marTop w:val="0"/>
              <w:marBottom w:val="0"/>
              <w:divBdr>
                <w:top w:val="none" w:sz="0" w:space="0" w:color="auto"/>
                <w:left w:val="none" w:sz="0" w:space="0" w:color="auto"/>
                <w:bottom w:val="none" w:sz="0" w:space="0" w:color="auto"/>
                <w:right w:val="none" w:sz="0" w:space="0" w:color="auto"/>
              </w:divBdr>
              <w:divsChild>
                <w:div w:id="1717195433">
                  <w:marLeft w:val="0"/>
                  <w:marRight w:val="0"/>
                  <w:marTop w:val="0"/>
                  <w:marBottom w:val="0"/>
                  <w:divBdr>
                    <w:top w:val="none" w:sz="0" w:space="0" w:color="auto"/>
                    <w:left w:val="none" w:sz="0" w:space="0" w:color="auto"/>
                    <w:bottom w:val="none" w:sz="0" w:space="0" w:color="auto"/>
                    <w:right w:val="none" w:sz="0" w:space="0" w:color="auto"/>
                  </w:divBdr>
                  <w:divsChild>
                    <w:div w:id="1736272202">
                      <w:marLeft w:val="0"/>
                      <w:marRight w:val="0"/>
                      <w:marTop w:val="0"/>
                      <w:marBottom w:val="0"/>
                      <w:divBdr>
                        <w:top w:val="none" w:sz="0" w:space="0" w:color="auto"/>
                        <w:left w:val="none" w:sz="0" w:space="0" w:color="auto"/>
                        <w:bottom w:val="none" w:sz="0" w:space="0" w:color="auto"/>
                        <w:right w:val="none" w:sz="0" w:space="0" w:color="auto"/>
                      </w:divBdr>
                      <w:divsChild>
                        <w:div w:id="1615673100">
                          <w:marLeft w:val="0"/>
                          <w:marRight w:val="0"/>
                          <w:marTop w:val="0"/>
                          <w:marBottom w:val="0"/>
                          <w:divBdr>
                            <w:top w:val="none" w:sz="0" w:space="0" w:color="auto"/>
                            <w:left w:val="none" w:sz="0" w:space="0" w:color="auto"/>
                            <w:bottom w:val="none" w:sz="0" w:space="0" w:color="auto"/>
                            <w:right w:val="none" w:sz="0" w:space="0" w:color="auto"/>
                          </w:divBdr>
                          <w:divsChild>
                            <w:div w:id="1180894751">
                              <w:marLeft w:val="-75"/>
                              <w:marRight w:val="-75"/>
                              <w:marTop w:val="0"/>
                              <w:marBottom w:val="0"/>
                              <w:divBdr>
                                <w:top w:val="none" w:sz="0" w:space="0" w:color="auto"/>
                                <w:left w:val="none" w:sz="0" w:space="0" w:color="auto"/>
                                <w:bottom w:val="none" w:sz="0" w:space="0" w:color="auto"/>
                                <w:right w:val="none" w:sz="0" w:space="0" w:color="auto"/>
                              </w:divBdr>
                              <w:divsChild>
                                <w:div w:id="693270722">
                                  <w:marLeft w:val="-75"/>
                                  <w:marRight w:val="-75"/>
                                  <w:marTop w:val="0"/>
                                  <w:marBottom w:val="0"/>
                                  <w:divBdr>
                                    <w:top w:val="none" w:sz="0" w:space="0" w:color="auto"/>
                                    <w:left w:val="none" w:sz="0" w:space="0" w:color="auto"/>
                                    <w:bottom w:val="none" w:sz="0" w:space="0" w:color="auto"/>
                                    <w:right w:val="none" w:sz="0" w:space="0" w:color="auto"/>
                                  </w:divBdr>
                                  <w:divsChild>
                                    <w:div w:id="1829517997">
                                      <w:marLeft w:val="0"/>
                                      <w:marRight w:val="0"/>
                                      <w:marTop w:val="0"/>
                                      <w:marBottom w:val="0"/>
                                      <w:divBdr>
                                        <w:top w:val="none" w:sz="0" w:space="0" w:color="auto"/>
                                        <w:left w:val="none" w:sz="0" w:space="0" w:color="auto"/>
                                        <w:bottom w:val="none" w:sz="0" w:space="0" w:color="auto"/>
                                        <w:right w:val="none" w:sz="0" w:space="0" w:color="auto"/>
                                      </w:divBdr>
                                      <w:divsChild>
                                        <w:div w:id="1236162679">
                                          <w:marLeft w:val="0"/>
                                          <w:marRight w:val="0"/>
                                          <w:marTop w:val="0"/>
                                          <w:marBottom w:val="0"/>
                                          <w:divBdr>
                                            <w:top w:val="none" w:sz="0" w:space="0" w:color="auto"/>
                                            <w:left w:val="none" w:sz="0" w:space="0" w:color="auto"/>
                                            <w:bottom w:val="none" w:sz="0" w:space="0" w:color="auto"/>
                                            <w:right w:val="none" w:sz="0" w:space="0" w:color="auto"/>
                                          </w:divBdr>
                                          <w:divsChild>
                                            <w:div w:id="1726180058">
                                              <w:marLeft w:val="240"/>
                                              <w:marRight w:val="240"/>
                                              <w:marTop w:val="0"/>
                                              <w:marBottom w:val="0"/>
                                              <w:divBdr>
                                                <w:top w:val="none" w:sz="0" w:space="0" w:color="auto"/>
                                                <w:left w:val="none" w:sz="0" w:space="0" w:color="auto"/>
                                                <w:bottom w:val="none" w:sz="0" w:space="0" w:color="auto"/>
                                                <w:right w:val="none" w:sz="0" w:space="0" w:color="auto"/>
                                              </w:divBdr>
                                              <w:divsChild>
                                                <w:div w:id="1562015965">
                                                  <w:marLeft w:val="-240"/>
                                                  <w:marRight w:val="0"/>
                                                  <w:marTop w:val="0"/>
                                                  <w:marBottom w:val="0"/>
                                                  <w:divBdr>
                                                    <w:top w:val="none" w:sz="0" w:space="0" w:color="auto"/>
                                                    <w:left w:val="none" w:sz="0" w:space="0" w:color="auto"/>
                                                    <w:bottom w:val="none" w:sz="0" w:space="0" w:color="auto"/>
                                                    <w:right w:val="none" w:sz="0" w:space="0" w:color="auto"/>
                                                  </w:divBdr>
                                                  <w:divsChild>
                                                    <w:div w:id="1823085141">
                                                      <w:marLeft w:val="0"/>
                                                      <w:marRight w:val="-240"/>
                                                      <w:marTop w:val="0"/>
                                                      <w:marBottom w:val="0"/>
                                                      <w:divBdr>
                                                        <w:top w:val="none" w:sz="0" w:space="0" w:color="auto"/>
                                                        <w:left w:val="none" w:sz="0" w:space="0" w:color="auto"/>
                                                        <w:bottom w:val="none" w:sz="0" w:space="0" w:color="auto"/>
                                                        <w:right w:val="none" w:sz="0" w:space="0" w:color="auto"/>
                                                      </w:divBdr>
                                                      <w:divsChild>
                                                        <w:div w:id="133450163">
                                                          <w:marLeft w:val="0"/>
                                                          <w:marRight w:val="0"/>
                                                          <w:marTop w:val="0"/>
                                                          <w:marBottom w:val="0"/>
                                                          <w:divBdr>
                                                            <w:top w:val="none" w:sz="0" w:space="0" w:color="auto"/>
                                                            <w:left w:val="none" w:sz="0" w:space="0" w:color="auto"/>
                                                            <w:bottom w:val="none" w:sz="0" w:space="0" w:color="auto"/>
                                                            <w:right w:val="none" w:sz="0" w:space="0" w:color="auto"/>
                                                          </w:divBdr>
                                                          <w:divsChild>
                                                            <w:div w:id="243613464">
                                                              <w:marLeft w:val="0"/>
                                                              <w:marRight w:val="0"/>
                                                              <w:marTop w:val="0"/>
                                                              <w:marBottom w:val="0"/>
                                                              <w:divBdr>
                                                                <w:top w:val="none" w:sz="0" w:space="0" w:color="auto"/>
                                                                <w:left w:val="none" w:sz="0" w:space="0" w:color="auto"/>
                                                                <w:bottom w:val="none" w:sz="0" w:space="0" w:color="auto"/>
                                                                <w:right w:val="none" w:sz="0" w:space="0" w:color="auto"/>
                                                              </w:divBdr>
                                                              <w:divsChild>
                                                                <w:div w:id="1612394476">
                                                                  <w:marLeft w:val="0"/>
                                                                  <w:marRight w:val="0"/>
                                                                  <w:marTop w:val="0"/>
                                                                  <w:marBottom w:val="0"/>
                                                                  <w:divBdr>
                                                                    <w:top w:val="none" w:sz="0" w:space="0" w:color="auto"/>
                                                                    <w:left w:val="none" w:sz="0" w:space="0" w:color="auto"/>
                                                                    <w:bottom w:val="none" w:sz="0" w:space="0" w:color="auto"/>
                                                                    <w:right w:val="none" w:sz="0" w:space="0" w:color="auto"/>
                                                                  </w:divBdr>
                                                                  <w:divsChild>
                                                                    <w:div w:id="620264749">
                                                                      <w:marLeft w:val="0"/>
                                                                      <w:marRight w:val="0"/>
                                                                      <w:marTop w:val="0"/>
                                                                      <w:marBottom w:val="0"/>
                                                                      <w:divBdr>
                                                                        <w:top w:val="none" w:sz="0" w:space="0" w:color="auto"/>
                                                                        <w:left w:val="none" w:sz="0" w:space="0" w:color="auto"/>
                                                                        <w:bottom w:val="none" w:sz="0" w:space="0" w:color="auto"/>
                                                                        <w:right w:val="none" w:sz="0" w:space="0" w:color="auto"/>
                                                                      </w:divBdr>
                                                                      <w:divsChild>
                                                                        <w:div w:id="770052795">
                                                                          <w:marLeft w:val="0"/>
                                                                          <w:marRight w:val="0"/>
                                                                          <w:marTop w:val="60"/>
                                                                          <w:marBottom w:val="0"/>
                                                                          <w:divBdr>
                                                                            <w:top w:val="none" w:sz="0" w:space="0" w:color="auto"/>
                                                                            <w:left w:val="none" w:sz="0" w:space="0" w:color="auto"/>
                                                                            <w:bottom w:val="none" w:sz="0" w:space="0" w:color="auto"/>
                                                                            <w:right w:val="none" w:sz="0" w:space="0" w:color="auto"/>
                                                                          </w:divBdr>
                                                                          <w:divsChild>
                                                                            <w:div w:id="2086604722">
                                                                              <w:marLeft w:val="0"/>
                                                                              <w:marRight w:val="0"/>
                                                                              <w:marTop w:val="0"/>
                                                                              <w:marBottom w:val="0"/>
                                                                              <w:divBdr>
                                                                                <w:top w:val="none" w:sz="0" w:space="0" w:color="auto"/>
                                                                                <w:left w:val="none" w:sz="0" w:space="0" w:color="auto"/>
                                                                                <w:bottom w:val="none" w:sz="0" w:space="0" w:color="auto"/>
                                                                                <w:right w:val="none" w:sz="0" w:space="0" w:color="auto"/>
                                                                              </w:divBdr>
                                                                              <w:divsChild>
                                                                                <w:div w:id="1754355571">
                                                                                  <w:marLeft w:val="0"/>
                                                                                  <w:marRight w:val="0"/>
                                                                                  <w:marTop w:val="0"/>
                                                                                  <w:marBottom w:val="0"/>
                                                                                  <w:divBdr>
                                                                                    <w:top w:val="none" w:sz="0" w:space="0" w:color="auto"/>
                                                                                    <w:left w:val="none" w:sz="0" w:space="0" w:color="auto"/>
                                                                                    <w:bottom w:val="none" w:sz="0" w:space="0" w:color="auto"/>
                                                                                    <w:right w:val="none" w:sz="0" w:space="0" w:color="auto"/>
                                                                                  </w:divBdr>
                                                                                  <w:divsChild>
                                                                                    <w:div w:id="17085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852218">
      <w:bodyDiv w:val="1"/>
      <w:marLeft w:val="0"/>
      <w:marRight w:val="0"/>
      <w:marTop w:val="0"/>
      <w:marBottom w:val="0"/>
      <w:divBdr>
        <w:top w:val="none" w:sz="0" w:space="0" w:color="auto"/>
        <w:left w:val="none" w:sz="0" w:space="0" w:color="auto"/>
        <w:bottom w:val="none" w:sz="0" w:space="0" w:color="auto"/>
        <w:right w:val="none" w:sz="0" w:space="0" w:color="auto"/>
      </w:divBdr>
      <w:divsChild>
        <w:div w:id="1176924556">
          <w:marLeft w:val="1166"/>
          <w:marRight w:val="0"/>
          <w:marTop w:val="125"/>
          <w:marBottom w:val="0"/>
          <w:divBdr>
            <w:top w:val="none" w:sz="0" w:space="0" w:color="auto"/>
            <w:left w:val="none" w:sz="0" w:space="0" w:color="auto"/>
            <w:bottom w:val="none" w:sz="0" w:space="0" w:color="auto"/>
            <w:right w:val="none" w:sz="0" w:space="0" w:color="auto"/>
          </w:divBdr>
        </w:div>
      </w:divsChild>
    </w:div>
    <w:div w:id="1130518241">
      <w:bodyDiv w:val="1"/>
      <w:marLeft w:val="0"/>
      <w:marRight w:val="0"/>
      <w:marTop w:val="0"/>
      <w:marBottom w:val="0"/>
      <w:divBdr>
        <w:top w:val="none" w:sz="0" w:space="0" w:color="auto"/>
        <w:left w:val="none" w:sz="0" w:space="0" w:color="auto"/>
        <w:bottom w:val="none" w:sz="0" w:space="0" w:color="auto"/>
        <w:right w:val="none" w:sz="0" w:space="0" w:color="auto"/>
      </w:divBdr>
      <w:divsChild>
        <w:div w:id="1229801962">
          <w:marLeft w:val="0"/>
          <w:marRight w:val="0"/>
          <w:marTop w:val="0"/>
          <w:marBottom w:val="0"/>
          <w:divBdr>
            <w:top w:val="none" w:sz="0" w:space="0" w:color="auto"/>
            <w:left w:val="none" w:sz="0" w:space="0" w:color="auto"/>
            <w:bottom w:val="none" w:sz="0" w:space="0" w:color="auto"/>
            <w:right w:val="none" w:sz="0" w:space="0" w:color="auto"/>
          </w:divBdr>
          <w:divsChild>
            <w:div w:id="391390579">
              <w:marLeft w:val="0"/>
              <w:marRight w:val="0"/>
              <w:marTop w:val="0"/>
              <w:marBottom w:val="0"/>
              <w:divBdr>
                <w:top w:val="none" w:sz="0" w:space="0" w:color="auto"/>
                <w:left w:val="none" w:sz="0" w:space="0" w:color="auto"/>
                <w:bottom w:val="none" w:sz="0" w:space="0" w:color="auto"/>
                <w:right w:val="none" w:sz="0" w:space="0" w:color="auto"/>
              </w:divBdr>
              <w:divsChild>
                <w:div w:id="2025210058">
                  <w:marLeft w:val="0"/>
                  <w:marRight w:val="0"/>
                  <w:marTop w:val="0"/>
                  <w:marBottom w:val="0"/>
                  <w:divBdr>
                    <w:top w:val="none" w:sz="0" w:space="0" w:color="auto"/>
                    <w:left w:val="none" w:sz="0" w:space="0" w:color="auto"/>
                    <w:bottom w:val="none" w:sz="0" w:space="0" w:color="auto"/>
                    <w:right w:val="none" w:sz="0" w:space="0" w:color="auto"/>
                  </w:divBdr>
                  <w:divsChild>
                    <w:div w:id="700474705">
                      <w:marLeft w:val="0"/>
                      <w:marRight w:val="0"/>
                      <w:marTop w:val="0"/>
                      <w:marBottom w:val="0"/>
                      <w:divBdr>
                        <w:top w:val="none" w:sz="0" w:space="0" w:color="auto"/>
                        <w:left w:val="none" w:sz="0" w:space="0" w:color="auto"/>
                        <w:bottom w:val="none" w:sz="0" w:space="0" w:color="auto"/>
                        <w:right w:val="none" w:sz="0" w:space="0" w:color="auto"/>
                      </w:divBdr>
                      <w:divsChild>
                        <w:div w:id="1088650887">
                          <w:marLeft w:val="0"/>
                          <w:marRight w:val="0"/>
                          <w:marTop w:val="0"/>
                          <w:marBottom w:val="0"/>
                          <w:divBdr>
                            <w:top w:val="none" w:sz="0" w:space="0" w:color="auto"/>
                            <w:left w:val="none" w:sz="0" w:space="0" w:color="auto"/>
                            <w:bottom w:val="none" w:sz="0" w:space="0" w:color="auto"/>
                            <w:right w:val="none" w:sz="0" w:space="0" w:color="auto"/>
                          </w:divBdr>
                          <w:divsChild>
                            <w:div w:id="467631358">
                              <w:marLeft w:val="0"/>
                              <w:marRight w:val="0"/>
                              <w:marTop w:val="0"/>
                              <w:marBottom w:val="0"/>
                              <w:divBdr>
                                <w:top w:val="none" w:sz="0" w:space="0" w:color="auto"/>
                                <w:left w:val="none" w:sz="0" w:space="0" w:color="auto"/>
                                <w:bottom w:val="none" w:sz="0" w:space="0" w:color="auto"/>
                                <w:right w:val="none" w:sz="0" w:space="0" w:color="auto"/>
                              </w:divBdr>
                              <w:divsChild>
                                <w:div w:id="811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097184">
      <w:bodyDiv w:val="1"/>
      <w:marLeft w:val="0"/>
      <w:marRight w:val="0"/>
      <w:marTop w:val="0"/>
      <w:marBottom w:val="0"/>
      <w:divBdr>
        <w:top w:val="none" w:sz="0" w:space="0" w:color="auto"/>
        <w:left w:val="none" w:sz="0" w:space="0" w:color="auto"/>
        <w:bottom w:val="none" w:sz="0" w:space="0" w:color="auto"/>
        <w:right w:val="none" w:sz="0" w:space="0" w:color="auto"/>
      </w:divBdr>
      <w:divsChild>
        <w:div w:id="650788874">
          <w:marLeft w:val="1166"/>
          <w:marRight w:val="0"/>
          <w:marTop w:val="125"/>
          <w:marBottom w:val="0"/>
          <w:divBdr>
            <w:top w:val="none" w:sz="0" w:space="0" w:color="auto"/>
            <w:left w:val="none" w:sz="0" w:space="0" w:color="auto"/>
            <w:bottom w:val="none" w:sz="0" w:space="0" w:color="auto"/>
            <w:right w:val="none" w:sz="0" w:space="0" w:color="auto"/>
          </w:divBdr>
        </w:div>
      </w:divsChild>
    </w:div>
    <w:div w:id="1439525764">
      <w:bodyDiv w:val="1"/>
      <w:marLeft w:val="0"/>
      <w:marRight w:val="0"/>
      <w:marTop w:val="0"/>
      <w:marBottom w:val="0"/>
      <w:divBdr>
        <w:top w:val="none" w:sz="0" w:space="0" w:color="auto"/>
        <w:left w:val="none" w:sz="0" w:space="0" w:color="auto"/>
        <w:bottom w:val="none" w:sz="0" w:space="0" w:color="auto"/>
        <w:right w:val="none" w:sz="0" w:space="0" w:color="auto"/>
      </w:divBdr>
      <w:divsChild>
        <w:div w:id="823934622">
          <w:marLeft w:val="0"/>
          <w:marRight w:val="0"/>
          <w:marTop w:val="0"/>
          <w:marBottom w:val="0"/>
          <w:divBdr>
            <w:top w:val="single" w:sz="2" w:space="0" w:color="auto"/>
            <w:left w:val="single" w:sz="2" w:space="0" w:color="auto"/>
            <w:bottom w:val="single" w:sz="2" w:space="0" w:color="auto"/>
            <w:right w:val="single" w:sz="2" w:space="0" w:color="auto"/>
          </w:divBdr>
          <w:divsChild>
            <w:div w:id="404107986">
              <w:marLeft w:val="0"/>
              <w:marRight w:val="0"/>
              <w:marTop w:val="0"/>
              <w:marBottom w:val="0"/>
              <w:divBdr>
                <w:top w:val="none" w:sz="0" w:space="0" w:color="auto"/>
                <w:left w:val="none" w:sz="0" w:space="0" w:color="auto"/>
                <w:bottom w:val="none" w:sz="0" w:space="0" w:color="auto"/>
                <w:right w:val="none" w:sz="0" w:space="0" w:color="auto"/>
              </w:divBdr>
              <w:divsChild>
                <w:div w:id="1496607635">
                  <w:marLeft w:val="0"/>
                  <w:marRight w:val="0"/>
                  <w:marTop w:val="375"/>
                  <w:marBottom w:val="375"/>
                  <w:divBdr>
                    <w:top w:val="none" w:sz="0" w:space="0" w:color="auto"/>
                    <w:left w:val="none" w:sz="0" w:space="0" w:color="auto"/>
                    <w:bottom w:val="none" w:sz="0" w:space="0" w:color="auto"/>
                    <w:right w:val="none" w:sz="0" w:space="0" w:color="auto"/>
                  </w:divBdr>
                  <w:divsChild>
                    <w:div w:id="9374199">
                      <w:marLeft w:val="0"/>
                      <w:marRight w:val="0"/>
                      <w:marTop w:val="0"/>
                      <w:marBottom w:val="0"/>
                      <w:divBdr>
                        <w:top w:val="none" w:sz="0" w:space="0" w:color="auto"/>
                        <w:left w:val="none" w:sz="0" w:space="0" w:color="auto"/>
                        <w:bottom w:val="none" w:sz="0" w:space="0" w:color="auto"/>
                        <w:right w:val="none" w:sz="0" w:space="0" w:color="auto"/>
                      </w:divBdr>
                      <w:divsChild>
                        <w:div w:id="13309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6850">
      <w:bodyDiv w:val="1"/>
      <w:marLeft w:val="0"/>
      <w:marRight w:val="0"/>
      <w:marTop w:val="0"/>
      <w:marBottom w:val="0"/>
      <w:divBdr>
        <w:top w:val="none" w:sz="0" w:space="0" w:color="auto"/>
        <w:left w:val="none" w:sz="0" w:space="0" w:color="auto"/>
        <w:bottom w:val="none" w:sz="0" w:space="0" w:color="auto"/>
        <w:right w:val="none" w:sz="0" w:space="0" w:color="auto"/>
      </w:divBdr>
    </w:div>
    <w:div w:id="1547796201">
      <w:bodyDiv w:val="1"/>
      <w:marLeft w:val="0"/>
      <w:marRight w:val="0"/>
      <w:marTop w:val="0"/>
      <w:marBottom w:val="0"/>
      <w:divBdr>
        <w:top w:val="none" w:sz="0" w:space="0" w:color="auto"/>
        <w:left w:val="none" w:sz="0" w:space="0" w:color="auto"/>
        <w:bottom w:val="none" w:sz="0" w:space="0" w:color="auto"/>
        <w:right w:val="none" w:sz="0" w:space="0" w:color="auto"/>
      </w:divBdr>
    </w:div>
    <w:div w:id="1595818840">
      <w:bodyDiv w:val="1"/>
      <w:marLeft w:val="0"/>
      <w:marRight w:val="0"/>
      <w:marTop w:val="0"/>
      <w:marBottom w:val="0"/>
      <w:divBdr>
        <w:top w:val="none" w:sz="0" w:space="0" w:color="auto"/>
        <w:left w:val="none" w:sz="0" w:space="0" w:color="auto"/>
        <w:bottom w:val="none" w:sz="0" w:space="0" w:color="auto"/>
        <w:right w:val="none" w:sz="0" w:space="0" w:color="auto"/>
      </w:divBdr>
      <w:divsChild>
        <w:div w:id="196966024">
          <w:marLeft w:val="0"/>
          <w:marRight w:val="0"/>
          <w:marTop w:val="0"/>
          <w:marBottom w:val="0"/>
          <w:divBdr>
            <w:top w:val="single" w:sz="2" w:space="0" w:color="auto"/>
            <w:left w:val="single" w:sz="2" w:space="0" w:color="auto"/>
            <w:bottom w:val="single" w:sz="2" w:space="0" w:color="auto"/>
            <w:right w:val="single" w:sz="2" w:space="0" w:color="auto"/>
          </w:divBdr>
          <w:divsChild>
            <w:div w:id="1455296960">
              <w:marLeft w:val="0"/>
              <w:marRight w:val="0"/>
              <w:marTop w:val="0"/>
              <w:marBottom w:val="0"/>
              <w:divBdr>
                <w:top w:val="none" w:sz="0" w:space="0" w:color="auto"/>
                <w:left w:val="none" w:sz="0" w:space="0" w:color="auto"/>
                <w:bottom w:val="none" w:sz="0" w:space="0" w:color="auto"/>
                <w:right w:val="none" w:sz="0" w:space="0" w:color="auto"/>
              </w:divBdr>
              <w:divsChild>
                <w:div w:id="1294403363">
                  <w:marLeft w:val="0"/>
                  <w:marRight w:val="0"/>
                  <w:marTop w:val="340"/>
                  <w:marBottom w:val="340"/>
                  <w:divBdr>
                    <w:top w:val="none" w:sz="0" w:space="0" w:color="auto"/>
                    <w:left w:val="none" w:sz="0" w:space="0" w:color="auto"/>
                    <w:bottom w:val="none" w:sz="0" w:space="0" w:color="auto"/>
                    <w:right w:val="none" w:sz="0" w:space="0" w:color="auto"/>
                  </w:divBdr>
                  <w:divsChild>
                    <w:div w:id="338852488">
                      <w:marLeft w:val="0"/>
                      <w:marRight w:val="0"/>
                      <w:marTop w:val="0"/>
                      <w:marBottom w:val="0"/>
                      <w:divBdr>
                        <w:top w:val="none" w:sz="0" w:space="0" w:color="auto"/>
                        <w:left w:val="none" w:sz="0" w:space="0" w:color="auto"/>
                        <w:bottom w:val="none" w:sz="0" w:space="0" w:color="auto"/>
                        <w:right w:val="none" w:sz="0" w:space="0" w:color="auto"/>
                      </w:divBdr>
                      <w:divsChild>
                        <w:div w:id="20978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7570">
      <w:bodyDiv w:val="1"/>
      <w:marLeft w:val="0"/>
      <w:marRight w:val="0"/>
      <w:marTop w:val="0"/>
      <w:marBottom w:val="0"/>
      <w:divBdr>
        <w:top w:val="none" w:sz="0" w:space="0" w:color="auto"/>
        <w:left w:val="none" w:sz="0" w:space="0" w:color="auto"/>
        <w:bottom w:val="none" w:sz="0" w:space="0" w:color="auto"/>
        <w:right w:val="none" w:sz="0" w:space="0" w:color="auto"/>
      </w:divBdr>
    </w:div>
    <w:div w:id="1697652014">
      <w:bodyDiv w:val="1"/>
      <w:marLeft w:val="0"/>
      <w:marRight w:val="0"/>
      <w:marTop w:val="0"/>
      <w:marBottom w:val="0"/>
      <w:divBdr>
        <w:top w:val="none" w:sz="0" w:space="0" w:color="auto"/>
        <w:left w:val="none" w:sz="0" w:space="0" w:color="auto"/>
        <w:bottom w:val="none" w:sz="0" w:space="0" w:color="auto"/>
        <w:right w:val="none" w:sz="0" w:space="0" w:color="auto"/>
      </w:divBdr>
      <w:divsChild>
        <w:div w:id="428160146">
          <w:marLeft w:val="0"/>
          <w:marRight w:val="0"/>
          <w:marTop w:val="0"/>
          <w:marBottom w:val="0"/>
          <w:divBdr>
            <w:top w:val="single" w:sz="6" w:space="0" w:color="000000"/>
            <w:left w:val="none" w:sz="0" w:space="0" w:color="auto"/>
            <w:bottom w:val="none" w:sz="0" w:space="0" w:color="auto"/>
            <w:right w:val="none" w:sz="0" w:space="0" w:color="auto"/>
          </w:divBdr>
          <w:divsChild>
            <w:div w:id="549145526">
              <w:marLeft w:val="0"/>
              <w:marRight w:val="0"/>
              <w:marTop w:val="0"/>
              <w:marBottom w:val="0"/>
              <w:divBdr>
                <w:top w:val="none" w:sz="0" w:space="0" w:color="auto"/>
                <w:left w:val="none" w:sz="0" w:space="0" w:color="auto"/>
                <w:bottom w:val="none" w:sz="0" w:space="0" w:color="auto"/>
                <w:right w:val="none" w:sz="0" w:space="0" w:color="auto"/>
              </w:divBdr>
              <w:divsChild>
                <w:div w:id="388768751">
                  <w:marLeft w:val="0"/>
                  <w:marRight w:val="0"/>
                  <w:marTop w:val="0"/>
                  <w:marBottom w:val="0"/>
                  <w:divBdr>
                    <w:top w:val="none" w:sz="0" w:space="0" w:color="auto"/>
                    <w:left w:val="none" w:sz="0" w:space="0" w:color="auto"/>
                    <w:bottom w:val="none" w:sz="0" w:space="0" w:color="auto"/>
                    <w:right w:val="none" w:sz="0" w:space="0" w:color="auto"/>
                  </w:divBdr>
                  <w:divsChild>
                    <w:div w:id="456486647">
                      <w:marLeft w:val="0"/>
                      <w:marRight w:val="0"/>
                      <w:marTop w:val="0"/>
                      <w:marBottom w:val="0"/>
                      <w:divBdr>
                        <w:top w:val="none" w:sz="0" w:space="0" w:color="auto"/>
                        <w:left w:val="none" w:sz="0" w:space="0" w:color="auto"/>
                        <w:bottom w:val="none" w:sz="0" w:space="0" w:color="auto"/>
                        <w:right w:val="none" w:sz="0" w:space="0" w:color="auto"/>
                      </w:divBdr>
                      <w:divsChild>
                        <w:div w:id="530383883">
                          <w:marLeft w:val="0"/>
                          <w:marRight w:val="0"/>
                          <w:marTop w:val="0"/>
                          <w:marBottom w:val="0"/>
                          <w:divBdr>
                            <w:top w:val="none" w:sz="0" w:space="0" w:color="auto"/>
                            <w:left w:val="none" w:sz="0" w:space="0" w:color="auto"/>
                            <w:bottom w:val="none" w:sz="0" w:space="0" w:color="auto"/>
                            <w:right w:val="none" w:sz="0" w:space="0" w:color="auto"/>
                          </w:divBdr>
                          <w:divsChild>
                            <w:div w:id="1223710770">
                              <w:marLeft w:val="0"/>
                              <w:marRight w:val="0"/>
                              <w:marTop w:val="0"/>
                              <w:marBottom w:val="0"/>
                              <w:divBdr>
                                <w:top w:val="none" w:sz="0" w:space="0" w:color="auto"/>
                                <w:left w:val="none" w:sz="0" w:space="0" w:color="auto"/>
                                <w:bottom w:val="none" w:sz="0" w:space="0" w:color="auto"/>
                                <w:right w:val="none" w:sz="0" w:space="0" w:color="auto"/>
                              </w:divBdr>
                              <w:divsChild>
                                <w:div w:id="862128287">
                                  <w:marLeft w:val="0"/>
                                  <w:marRight w:val="0"/>
                                  <w:marTop w:val="0"/>
                                  <w:marBottom w:val="0"/>
                                  <w:divBdr>
                                    <w:top w:val="none" w:sz="0" w:space="0" w:color="auto"/>
                                    <w:left w:val="none" w:sz="0" w:space="0" w:color="auto"/>
                                    <w:bottom w:val="none" w:sz="0" w:space="0" w:color="auto"/>
                                    <w:right w:val="none" w:sz="0" w:space="0" w:color="auto"/>
                                  </w:divBdr>
                                  <w:divsChild>
                                    <w:div w:id="1592617429">
                                      <w:marLeft w:val="0"/>
                                      <w:marRight w:val="0"/>
                                      <w:marTop w:val="0"/>
                                      <w:marBottom w:val="0"/>
                                      <w:divBdr>
                                        <w:top w:val="none" w:sz="0" w:space="0" w:color="auto"/>
                                        <w:left w:val="none" w:sz="0" w:space="0" w:color="auto"/>
                                        <w:bottom w:val="none" w:sz="0" w:space="0" w:color="auto"/>
                                        <w:right w:val="none" w:sz="0" w:space="0" w:color="auto"/>
                                      </w:divBdr>
                                      <w:divsChild>
                                        <w:div w:id="1072629032">
                                          <w:marLeft w:val="0"/>
                                          <w:marRight w:val="0"/>
                                          <w:marTop w:val="0"/>
                                          <w:marBottom w:val="0"/>
                                          <w:divBdr>
                                            <w:top w:val="none" w:sz="0" w:space="0" w:color="auto"/>
                                            <w:left w:val="none" w:sz="0" w:space="0" w:color="auto"/>
                                            <w:bottom w:val="none" w:sz="0" w:space="0" w:color="auto"/>
                                            <w:right w:val="none" w:sz="0" w:space="0" w:color="auto"/>
                                          </w:divBdr>
                                          <w:divsChild>
                                            <w:div w:id="11761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154349">
      <w:bodyDiv w:val="1"/>
      <w:marLeft w:val="0"/>
      <w:marRight w:val="0"/>
      <w:marTop w:val="0"/>
      <w:marBottom w:val="0"/>
      <w:divBdr>
        <w:top w:val="none" w:sz="0" w:space="0" w:color="auto"/>
        <w:left w:val="none" w:sz="0" w:space="0" w:color="auto"/>
        <w:bottom w:val="none" w:sz="0" w:space="0" w:color="auto"/>
        <w:right w:val="none" w:sz="0" w:space="0" w:color="auto"/>
      </w:divBdr>
      <w:divsChild>
        <w:div w:id="1245802213">
          <w:marLeft w:val="0"/>
          <w:marRight w:val="0"/>
          <w:marTop w:val="0"/>
          <w:marBottom w:val="0"/>
          <w:divBdr>
            <w:top w:val="none" w:sz="0" w:space="0" w:color="auto"/>
            <w:left w:val="none" w:sz="0" w:space="0" w:color="auto"/>
            <w:bottom w:val="none" w:sz="0" w:space="0" w:color="auto"/>
            <w:right w:val="none" w:sz="0" w:space="0" w:color="auto"/>
          </w:divBdr>
          <w:divsChild>
            <w:div w:id="212279006">
              <w:marLeft w:val="0"/>
              <w:marRight w:val="0"/>
              <w:marTop w:val="0"/>
              <w:marBottom w:val="0"/>
              <w:divBdr>
                <w:top w:val="none" w:sz="0" w:space="0" w:color="auto"/>
                <w:left w:val="none" w:sz="0" w:space="0" w:color="auto"/>
                <w:bottom w:val="none" w:sz="0" w:space="0" w:color="auto"/>
                <w:right w:val="none" w:sz="0" w:space="0" w:color="auto"/>
              </w:divBdr>
              <w:divsChild>
                <w:div w:id="1568761944">
                  <w:marLeft w:val="0"/>
                  <w:marRight w:val="0"/>
                  <w:marTop w:val="0"/>
                  <w:marBottom w:val="0"/>
                  <w:divBdr>
                    <w:top w:val="none" w:sz="0" w:space="0" w:color="auto"/>
                    <w:left w:val="none" w:sz="0" w:space="0" w:color="auto"/>
                    <w:bottom w:val="none" w:sz="0" w:space="0" w:color="auto"/>
                    <w:right w:val="none" w:sz="0" w:space="0" w:color="auto"/>
                  </w:divBdr>
                  <w:divsChild>
                    <w:div w:id="1069424007">
                      <w:marLeft w:val="0"/>
                      <w:marRight w:val="0"/>
                      <w:marTop w:val="0"/>
                      <w:marBottom w:val="0"/>
                      <w:divBdr>
                        <w:top w:val="none" w:sz="0" w:space="0" w:color="auto"/>
                        <w:left w:val="none" w:sz="0" w:space="0" w:color="auto"/>
                        <w:bottom w:val="none" w:sz="0" w:space="0" w:color="auto"/>
                        <w:right w:val="none" w:sz="0" w:space="0" w:color="auto"/>
                      </w:divBdr>
                      <w:divsChild>
                        <w:div w:id="894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83660">
      <w:bodyDiv w:val="1"/>
      <w:marLeft w:val="0"/>
      <w:marRight w:val="0"/>
      <w:marTop w:val="0"/>
      <w:marBottom w:val="0"/>
      <w:divBdr>
        <w:top w:val="none" w:sz="0" w:space="0" w:color="auto"/>
        <w:left w:val="none" w:sz="0" w:space="0" w:color="auto"/>
        <w:bottom w:val="none" w:sz="0" w:space="0" w:color="auto"/>
        <w:right w:val="none" w:sz="0" w:space="0" w:color="auto"/>
      </w:divBdr>
      <w:divsChild>
        <w:div w:id="1898590054">
          <w:marLeft w:val="0"/>
          <w:marRight w:val="0"/>
          <w:marTop w:val="0"/>
          <w:marBottom w:val="0"/>
          <w:divBdr>
            <w:top w:val="none" w:sz="0" w:space="0" w:color="auto"/>
            <w:left w:val="none" w:sz="0" w:space="0" w:color="auto"/>
            <w:bottom w:val="none" w:sz="0" w:space="0" w:color="auto"/>
            <w:right w:val="none" w:sz="0" w:space="0" w:color="auto"/>
          </w:divBdr>
          <w:divsChild>
            <w:div w:id="853615488">
              <w:marLeft w:val="0"/>
              <w:marRight w:val="0"/>
              <w:marTop w:val="0"/>
              <w:marBottom w:val="0"/>
              <w:divBdr>
                <w:top w:val="none" w:sz="0" w:space="0" w:color="auto"/>
                <w:left w:val="none" w:sz="0" w:space="0" w:color="auto"/>
                <w:bottom w:val="none" w:sz="0" w:space="0" w:color="auto"/>
                <w:right w:val="none" w:sz="0" w:space="0" w:color="auto"/>
              </w:divBdr>
              <w:divsChild>
                <w:div w:id="1765220008">
                  <w:marLeft w:val="0"/>
                  <w:marRight w:val="0"/>
                  <w:marTop w:val="0"/>
                  <w:marBottom w:val="0"/>
                  <w:divBdr>
                    <w:top w:val="none" w:sz="0" w:space="0" w:color="auto"/>
                    <w:left w:val="none" w:sz="0" w:space="0" w:color="auto"/>
                    <w:bottom w:val="none" w:sz="0" w:space="0" w:color="auto"/>
                    <w:right w:val="none" w:sz="0" w:space="0" w:color="auto"/>
                  </w:divBdr>
                  <w:divsChild>
                    <w:div w:id="1751192089">
                      <w:marLeft w:val="0"/>
                      <w:marRight w:val="0"/>
                      <w:marTop w:val="0"/>
                      <w:marBottom w:val="0"/>
                      <w:divBdr>
                        <w:top w:val="none" w:sz="0" w:space="0" w:color="auto"/>
                        <w:left w:val="none" w:sz="0" w:space="0" w:color="auto"/>
                        <w:bottom w:val="none" w:sz="0" w:space="0" w:color="auto"/>
                        <w:right w:val="none" w:sz="0" w:space="0" w:color="auto"/>
                      </w:divBdr>
                      <w:divsChild>
                        <w:div w:id="873687654">
                          <w:marLeft w:val="0"/>
                          <w:marRight w:val="0"/>
                          <w:marTop w:val="0"/>
                          <w:marBottom w:val="0"/>
                          <w:divBdr>
                            <w:top w:val="none" w:sz="0" w:space="0" w:color="auto"/>
                            <w:left w:val="none" w:sz="0" w:space="0" w:color="auto"/>
                            <w:bottom w:val="none" w:sz="0" w:space="0" w:color="auto"/>
                            <w:right w:val="none" w:sz="0" w:space="0" w:color="auto"/>
                          </w:divBdr>
                          <w:divsChild>
                            <w:div w:id="1874152294">
                              <w:marLeft w:val="0"/>
                              <w:marRight w:val="0"/>
                              <w:marTop w:val="0"/>
                              <w:marBottom w:val="0"/>
                              <w:divBdr>
                                <w:top w:val="none" w:sz="0" w:space="0" w:color="auto"/>
                                <w:left w:val="none" w:sz="0" w:space="0" w:color="auto"/>
                                <w:bottom w:val="none" w:sz="0" w:space="0" w:color="auto"/>
                                <w:right w:val="none" w:sz="0" w:space="0" w:color="auto"/>
                              </w:divBdr>
                              <w:divsChild>
                                <w:div w:id="11549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4399">
      <w:bodyDiv w:val="1"/>
      <w:marLeft w:val="0"/>
      <w:marRight w:val="0"/>
      <w:marTop w:val="0"/>
      <w:marBottom w:val="0"/>
      <w:divBdr>
        <w:top w:val="none" w:sz="0" w:space="0" w:color="auto"/>
        <w:left w:val="none" w:sz="0" w:space="0" w:color="auto"/>
        <w:bottom w:val="none" w:sz="0" w:space="0" w:color="auto"/>
        <w:right w:val="none" w:sz="0" w:space="0" w:color="auto"/>
      </w:divBdr>
      <w:divsChild>
        <w:div w:id="1351179687">
          <w:marLeft w:val="0"/>
          <w:marRight w:val="0"/>
          <w:marTop w:val="0"/>
          <w:marBottom w:val="0"/>
          <w:divBdr>
            <w:top w:val="none" w:sz="0" w:space="0" w:color="auto"/>
            <w:left w:val="none" w:sz="0" w:space="0" w:color="auto"/>
            <w:bottom w:val="none" w:sz="0" w:space="0" w:color="auto"/>
            <w:right w:val="none" w:sz="0" w:space="0" w:color="auto"/>
          </w:divBdr>
          <w:divsChild>
            <w:div w:id="947081891">
              <w:marLeft w:val="0"/>
              <w:marRight w:val="0"/>
              <w:marTop w:val="0"/>
              <w:marBottom w:val="0"/>
              <w:divBdr>
                <w:top w:val="none" w:sz="0" w:space="0" w:color="auto"/>
                <w:left w:val="none" w:sz="0" w:space="0" w:color="auto"/>
                <w:bottom w:val="none" w:sz="0" w:space="0" w:color="auto"/>
                <w:right w:val="none" w:sz="0" w:space="0" w:color="auto"/>
              </w:divBdr>
              <w:divsChild>
                <w:div w:id="2072919032">
                  <w:marLeft w:val="0"/>
                  <w:marRight w:val="0"/>
                  <w:marTop w:val="0"/>
                  <w:marBottom w:val="0"/>
                  <w:divBdr>
                    <w:top w:val="none" w:sz="0" w:space="0" w:color="auto"/>
                    <w:left w:val="none" w:sz="0" w:space="0" w:color="auto"/>
                    <w:bottom w:val="none" w:sz="0" w:space="0" w:color="auto"/>
                    <w:right w:val="none" w:sz="0" w:space="0" w:color="auto"/>
                  </w:divBdr>
                  <w:divsChild>
                    <w:div w:id="1485657918">
                      <w:marLeft w:val="0"/>
                      <w:marRight w:val="0"/>
                      <w:marTop w:val="0"/>
                      <w:marBottom w:val="0"/>
                      <w:divBdr>
                        <w:top w:val="none" w:sz="0" w:space="0" w:color="auto"/>
                        <w:left w:val="none" w:sz="0" w:space="0" w:color="auto"/>
                        <w:bottom w:val="none" w:sz="0" w:space="0" w:color="auto"/>
                        <w:right w:val="none" w:sz="0" w:space="0" w:color="auto"/>
                      </w:divBdr>
                      <w:divsChild>
                        <w:div w:id="6181642">
                          <w:marLeft w:val="0"/>
                          <w:marRight w:val="0"/>
                          <w:marTop w:val="0"/>
                          <w:marBottom w:val="0"/>
                          <w:divBdr>
                            <w:top w:val="none" w:sz="0" w:space="0" w:color="auto"/>
                            <w:left w:val="none" w:sz="0" w:space="0" w:color="auto"/>
                            <w:bottom w:val="none" w:sz="0" w:space="0" w:color="auto"/>
                            <w:right w:val="none" w:sz="0" w:space="0" w:color="auto"/>
                          </w:divBdr>
                          <w:divsChild>
                            <w:div w:id="1981887358">
                              <w:marLeft w:val="-75"/>
                              <w:marRight w:val="-75"/>
                              <w:marTop w:val="0"/>
                              <w:marBottom w:val="0"/>
                              <w:divBdr>
                                <w:top w:val="none" w:sz="0" w:space="0" w:color="auto"/>
                                <w:left w:val="none" w:sz="0" w:space="0" w:color="auto"/>
                                <w:bottom w:val="none" w:sz="0" w:space="0" w:color="auto"/>
                                <w:right w:val="none" w:sz="0" w:space="0" w:color="auto"/>
                              </w:divBdr>
                              <w:divsChild>
                                <w:div w:id="955139587">
                                  <w:marLeft w:val="-75"/>
                                  <w:marRight w:val="-75"/>
                                  <w:marTop w:val="0"/>
                                  <w:marBottom w:val="0"/>
                                  <w:divBdr>
                                    <w:top w:val="none" w:sz="0" w:space="0" w:color="auto"/>
                                    <w:left w:val="none" w:sz="0" w:space="0" w:color="auto"/>
                                    <w:bottom w:val="none" w:sz="0" w:space="0" w:color="auto"/>
                                    <w:right w:val="none" w:sz="0" w:space="0" w:color="auto"/>
                                  </w:divBdr>
                                  <w:divsChild>
                                    <w:div w:id="2000693926">
                                      <w:marLeft w:val="0"/>
                                      <w:marRight w:val="0"/>
                                      <w:marTop w:val="0"/>
                                      <w:marBottom w:val="0"/>
                                      <w:divBdr>
                                        <w:top w:val="none" w:sz="0" w:space="0" w:color="auto"/>
                                        <w:left w:val="none" w:sz="0" w:space="0" w:color="auto"/>
                                        <w:bottom w:val="none" w:sz="0" w:space="0" w:color="auto"/>
                                        <w:right w:val="none" w:sz="0" w:space="0" w:color="auto"/>
                                      </w:divBdr>
                                      <w:divsChild>
                                        <w:div w:id="879904716">
                                          <w:marLeft w:val="0"/>
                                          <w:marRight w:val="0"/>
                                          <w:marTop w:val="0"/>
                                          <w:marBottom w:val="0"/>
                                          <w:divBdr>
                                            <w:top w:val="none" w:sz="0" w:space="0" w:color="auto"/>
                                            <w:left w:val="none" w:sz="0" w:space="0" w:color="auto"/>
                                            <w:bottom w:val="none" w:sz="0" w:space="0" w:color="auto"/>
                                            <w:right w:val="none" w:sz="0" w:space="0" w:color="auto"/>
                                          </w:divBdr>
                                          <w:divsChild>
                                            <w:div w:id="509687710">
                                              <w:marLeft w:val="240"/>
                                              <w:marRight w:val="240"/>
                                              <w:marTop w:val="0"/>
                                              <w:marBottom w:val="0"/>
                                              <w:divBdr>
                                                <w:top w:val="none" w:sz="0" w:space="0" w:color="auto"/>
                                                <w:left w:val="none" w:sz="0" w:space="0" w:color="auto"/>
                                                <w:bottom w:val="none" w:sz="0" w:space="0" w:color="auto"/>
                                                <w:right w:val="none" w:sz="0" w:space="0" w:color="auto"/>
                                              </w:divBdr>
                                              <w:divsChild>
                                                <w:div w:id="1805614326">
                                                  <w:marLeft w:val="-240"/>
                                                  <w:marRight w:val="0"/>
                                                  <w:marTop w:val="0"/>
                                                  <w:marBottom w:val="0"/>
                                                  <w:divBdr>
                                                    <w:top w:val="none" w:sz="0" w:space="0" w:color="auto"/>
                                                    <w:left w:val="none" w:sz="0" w:space="0" w:color="auto"/>
                                                    <w:bottom w:val="none" w:sz="0" w:space="0" w:color="auto"/>
                                                    <w:right w:val="none" w:sz="0" w:space="0" w:color="auto"/>
                                                  </w:divBdr>
                                                  <w:divsChild>
                                                    <w:div w:id="631401449">
                                                      <w:marLeft w:val="0"/>
                                                      <w:marRight w:val="-240"/>
                                                      <w:marTop w:val="0"/>
                                                      <w:marBottom w:val="0"/>
                                                      <w:divBdr>
                                                        <w:top w:val="none" w:sz="0" w:space="0" w:color="auto"/>
                                                        <w:left w:val="none" w:sz="0" w:space="0" w:color="auto"/>
                                                        <w:bottom w:val="none" w:sz="0" w:space="0" w:color="auto"/>
                                                        <w:right w:val="none" w:sz="0" w:space="0" w:color="auto"/>
                                                      </w:divBdr>
                                                      <w:divsChild>
                                                        <w:div w:id="1471248096">
                                                          <w:marLeft w:val="0"/>
                                                          <w:marRight w:val="0"/>
                                                          <w:marTop w:val="0"/>
                                                          <w:marBottom w:val="0"/>
                                                          <w:divBdr>
                                                            <w:top w:val="none" w:sz="0" w:space="0" w:color="auto"/>
                                                            <w:left w:val="none" w:sz="0" w:space="0" w:color="auto"/>
                                                            <w:bottom w:val="none" w:sz="0" w:space="0" w:color="auto"/>
                                                            <w:right w:val="none" w:sz="0" w:space="0" w:color="auto"/>
                                                          </w:divBdr>
                                                          <w:divsChild>
                                                            <w:div w:id="132138965">
                                                              <w:marLeft w:val="0"/>
                                                              <w:marRight w:val="0"/>
                                                              <w:marTop w:val="0"/>
                                                              <w:marBottom w:val="0"/>
                                                              <w:divBdr>
                                                                <w:top w:val="none" w:sz="0" w:space="0" w:color="auto"/>
                                                                <w:left w:val="none" w:sz="0" w:space="0" w:color="auto"/>
                                                                <w:bottom w:val="none" w:sz="0" w:space="0" w:color="auto"/>
                                                                <w:right w:val="none" w:sz="0" w:space="0" w:color="auto"/>
                                                              </w:divBdr>
                                                              <w:divsChild>
                                                                <w:div w:id="2009743882">
                                                                  <w:marLeft w:val="0"/>
                                                                  <w:marRight w:val="0"/>
                                                                  <w:marTop w:val="0"/>
                                                                  <w:marBottom w:val="0"/>
                                                                  <w:divBdr>
                                                                    <w:top w:val="none" w:sz="0" w:space="0" w:color="auto"/>
                                                                    <w:left w:val="none" w:sz="0" w:space="0" w:color="auto"/>
                                                                    <w:bottom w:val="none" w:sz="0" w:space="0" w:color="auto"/>
                                                                    <w:right w:val="none" w:sz="0" w:space="0" w:color="auto"/>
                                                                  </w:divBdr>
                                                                  <w:divsChild>
                                                                    <w:div w:id="2075227844">
                                                                      <w:marLeft w:val="0"/>
                                                                      <w:marRight w:val="0"/>
                                                                      <w:marTop w:val="0"/>
                                                                      <w:marBottom w:val="0"/>
                                                                      <w:divBdr>
                                                                        <w:top w:val="none" w:sz="0" w:space="0" w:color="auto"/>
                                                                        <w:left w:val="none" w:sz="0" w:space="0" w:color="auto"/>
                                                                        <w:bottom w:val="none" w:sz="0" w:space="0" w:color="auto"/>
                                                                        <w:right w:val="none" w:sz="0" w:space="0" w:color="auto"/>
                                                                      </w:divBdr>
                                                                      <w:divsChild>
                                                                        <w:div w:id="1219628103">
                                                                          <w:marLeft w:val="0"/>
                                                                          <w:marRight w:val="0"/>
                                                                          <w:marTop w:val="60"/>
                                                                          <w:marBottom w:val="0"/>
                                                                          <w:divBdr>
                                                                            <w:top w:val="none" w:sz="0" w:space="0" w:color="auto"/>
                                                                            <w:left w:val="none" w:sz="0" w:space="0" w:color="auto"/>
                                                                            <w:bottom w:val="none" w:sz="0" w:space="0" w:color="auto"/>
                                                                            <w:right w:val="none" w:sz="0" w:space="0" w:color="auto"/>
                                                                          </w:divBdr>
                                                                          <w:divsChild>
                                                                            <w:div w:id="1219166907">
                                                                              <w:marLeft w:val="0"/>
                                                                              <w:marRight w:val="0"/>
                                                                              <w:marTop w:val="0"/>
                                                                              <w:marBottom w:val="0"/>
                                                                              <w:divBdr>
                                                                                <w:top w:val="none" w:sz="0" w:space="0" w:color="auto"/>
                                                                                <w:left w:val="none" w:sz="0" w:space="0" w:color="auto"/>
                                                                                <w:bottom w:val="none" w:sz="0" w:space="0" w:color="auto"/>
                                                                                <w:right w:val="none" w:sz="0" w:space="0" w:color="auto"/>
                                                                              </w:divBdr>
                                                                              <w:divsChild>
                                                                                <w:div w:id="1966622557">
                                                                                  <w:marLeft w:val="0"/>
                                                                                  <w:marRight w:val="0"/>
                                                                                  <w:marTop w:val="0"/>
                                                                                  <w:marBottom w:val="0"/>
                                                                                  <w:divBdr>
                                                                                    <w:top w:val="none" w:sz="0" w:space="0" w:color="auto"/>
                                                                                    <w:left w:val="none" w:sz="0" w:space="0" w:color="auto"/>
                                                                                    <w:bottom w:val="none" w:sz="0" w:space="0" w:color="auto"/>
                                                                                    <w:right w:val="none" w:sz="0" w:space="0" w:color="auto"/>
                                                                                  </w:divBdr>
                                                                                  <w:divsChild>
                                                                                    <w:div w:id="659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76111">
      <w:bodyDiv w:val="1"/>
      <w:marLeft w:val="0"/>
      <w:marRight w:val="0"/>
      <w:marTop w:val="0"/>
      <w:marBottom w:val="0"/>
      <w:divBdr>
        <w:top w:val="none" w:sz="0" w:space="0" w:color="auto"/>
        <w:left w:val="none" w:sz="0" w:space="0" w:color="auto"/>
        <w:bottom w:val="none" w:sz="0" w:space="0" w:color="auto"/>
        <w:right w:val="none" w:sz="0" w:space="0" w:color="auto"/>
      </w:divBdr>
      <w:divsChild>
        <w:div w:id="1905140127">
          <w:marLeft w:val="0"/>
          <w:marRight w:val="0"/>
          <w:marTop w:val="0"/>
          <w:marBottom w:val="0"/>
          <w:divBdr>
            <w:top w:val="none" w:sz="0" w:space="0" w:color="auto"/>
            <w:left w:val="none" w:sz="0" w:space="0" w:color="auto"/>
            <w:bottom w:val="none" w:sz="0" w:space="0" w:color="auto"/>
            <w:right w:val="none" w:sz="0" w:space="0" w:color="auto"/>
          </w:divBdr>
          <w:divsChild>
            <w:div w:id="877163524">
              <w:marLeft w:val="0"/>
              <w:marRight w:val="0"/>
              <w:marTop w:val="0"/>
              <w:marBottom w:val="0"/>
              <w:divBdr>
                <w:top w:val="none" w:sz="0" w:space="0" w:color="auto"/>
                <w:left w:val="none" w:sz="0" w:space="0" w:color="auto"/>
                <w:bottom w:val="none" w:sz="0" w:space="0" w:color="auto"/>
                <w:right w:val="none" w:sz="0" w:space="0" w:color="auto"/>
              </w:divBdr>
              <w:divsChild>
                <w:div w:id="2035643231">
                  <w:marLeft w:val="0"/>
                  <w:marRight w:val="0"/>
                  <w:marTop w:val="0"/>
                  <w:marBottom w:val="0"/>
                  <w:divBdr>
                    <w:top w:val="none" w:sz="0" w:space="0" w:color="auto"/>
                    <w:left w:val="none" w:sz="0" w:space="0" w:color="auto"/>
                    <w:bottom w:val="none" w:sz="0" w:space="0" w:color="auto"/>
                    <w:right w:val="none" w:sz="0" w:space="0" w:color="auto"/>
                  </w:divBdr>
                  <w:divsChild>
                    <w:div w:id="9230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4307">
      <w:bodyDiv w:val="1"/>
      <w:marLeft w:val="0"/>
      <w:marRight w:val="0"/>
      <w:marTop w:val="0"/>
      <w:marBottom w:val="0"/>
      <w:divBdr>
        <w:top w:val="none" w:sz="0" w:space="0" w:color="auto"/>
        <w:left w:val="none" w:sz="0" w:space="0" w:color="auto"/>
        <w:bottom w:val="none" w:sz="0" w:space="0" w:color="auto"/>
        <w:right w:val="none" w:sz="0" w:space="0" w:color="auto"/>
      </w:divBdr>
      <w:divsChild>
        <w:div w:id="1971014371">
          <w:marLeft w:val="1166"/>
          <w:marRight w:val="0"/>
          <w:marTop w:val="149"/>
          <w:marBottom w:val="0"/>
          <w:divBdr>
            <w:top w:val="none" w:sz="0" w:space="0" w:color="auto"/>
            <w:left w:val="none" w:sz="0" w:space="0" w:color="auto"/>
            <w:bottom w:val="none" w:sz="0" w:space="0" w:color="auto"/>
            <w:right w:val="none" w:sz="0" w:space="0" w:color="auto"/>
          </w:divBdr>
        </w:div>
      </w:divsChild>
    </w:div>
    <w:div w:id="2093818866">
      <w:bodyDiv w:val="1"/>
      <w:marLeft w:val="0"/>
      <w:marRight w:val="0"/>
      <w:marTop w:val="0"/>
      <w:marBottom w:val="0"/>
      <w:divBdr>
        <w:top w:val="none" w:sz="0" w:space="0" w:color="auto"/>
        <w:left w:val="none" w:sz="0" w:space="0" w:color="auto"/>
        <w:bottom w:val="none" w:sz="0" w:space="0" w:color="auto"/>
        <w:right w:val="none" w:sz="0" w:space="0" w:color="auto"/>
      </w:divBdr>
      <w:divsChild>
        <w:div w:id="713500594">
          <w:marLeft w:val="0"/>
          <w:marRight w:val="0"/>
          <w:marTop w:val="0"/>
          <w:marBottom w:val="0"/>
          <w:divBdr>
            <w:top w:val="none" w:sz="0" w:space="0" w:color="auto"/>
            <w:left w:val="none" w:sz="0" w:space="0" w:color="auto"/>
            <w:bottom w:val="none" w:sz="0" w:space="0" w:color="auto"/>
            <w:right w:val="none" w:sz="0" w:space="0" w:color="auto"/>
          </w:divBdr>
          <w:divsChild>
            <w:div w:id="276789734">
              <w:marLeft w:val="0"/>
              <w:marRight w:val="0"/>
              <w:marTop w:val="0"/>
              <w:marBottom w:val="0"/>
              <w:divBdr>
                <w:top w:val="none" w:sz="0" w:space="0" w:color="auto"/>
                <w:left w:val="none" w:sz="0" w:space="0" w:color="auto"/>
                <w:bottom w:val="none" w:sz="0" w:space="0" w:color="auto"/>
                <w:right w:val="none" w:sz="0" w:space="0" w:color="auto"/>
              </w:divBdr>
              <w:divsChild>
                <w:div w:id="576328832">
                  <w:marLeft w:val="0"/>
                  <w:marRight w:val="0"/>
                  <w:marTop w:val="0"/>
                  <w:marBottom w:val="0"/>
                  <w:divBdr>
                    <w:top w:val="none" w:sz="0" w:space="0" w:color="auto"/>
                    <w:left w:val="none" w:sz="0" w:space="0" w:color="auto"/>
                    <w:bottom w:val="none" w:sz="0" w:space="0" w:color="auto"/>
                    <w:right w:val="none" w:sz="0" w:space="0" w:color="auto"/>
                  </w:divBdr>
                  <w:divsChild>
                    <w:div w:id="1770664594">
                      <w:marLeft w:val="0"/>
                      <w:marRight w:val="0"/>
                      <w:marTop w:val="0"/>
                      <w:marBottom w:val="0"/>
                      <w:divBdr>
                        <w:top w:val="none" w:sz="0" w:space="0" w:color="auto"/>
                        <w:left w:val="none" w:sz="0" w:space="0" w:color="auto"/>
                        <w:bottom w:val="none" w:sz="0" w:space="0" w:color="auto"/>
                        <w:right w:val="none" w:sz="0" w:space="0" w:color="auto"/>
                      </w:divBdr>
                      <w:divsChild>
                        <w:div w:id="1815562264">
                          <w:marLeft w:val="0"/>
                          <w:marRight w:val="0"/>
                          <w:marTop w:val="0"/>
                          <w:marBottom w:val="0"/>
                          <w:divBdr>
                            <w:top w:val="none" w:sz="0" w:space="0" w:color="auto"/>
                            <w:left w:val="none" w:sz="0" w:space="0" w:color="auto"/>
                            <w:bottom w:val="none" w:sz="0" w:space="0" w:color="auto"/>
                            <w:right w:val="none" w:sz="0" w:space="0" w:color="auto"/>
                          </w:divBdr>
                          <w:divsChild>
                            <w:div w:id="1726025104">
                              <w:marLeft w:val="-75"/>
                              <w:marRight w:val="-75"/>
                              <w:marTop w:val="0"/>
                              <w:marBottom w:val="0"/>
                              <w:divBdr>
                                <w:top w:val="none" w:sz="0" w:space="0" w:color="auto"/>
                                <w:left w:val="none" w:sz="0" w:space="0" w:color="auto"/>
                                <w:bottom w:val="none" w:sz="0" w:space="0" w:color="auto"/>
                                <w:right w:val="none" w:sz="0" w:space="0" w:color="auto"/>
                              </w:divBdr>
                              <w:divsChild>
                                <w:div w:id="1437365249">
                                  <w:marLeft w:val="-75"/>
                                  <w:marRight w:val="-75"/>
                                  <w:marTop w:val="0"/>
                                  <w:marBottom w:val="0"/>
                                  <w:divBdr>
                                    <w:top w:val="none" w:sz="0" w:space="0" w:color="auto"/>
                                    <w:left w:val="none" w:sz="0" w:space="0" w:color="auto"/>
                                    <w:bottom w:val="none" w:sz="0" w:space="0" w:color="auto"/>
                                    <w:right w:val="none" w:sz="0" w:space="0" w:color="auto"/>
                                  </w:divBdr>
                                  <w:divsChild>
                                    <w:div w:id="1848907456">
                                      <w:marLeft w:val="0"/>
                                      <w:marRight w:val="0"/>
                                      <w:marTop w:val="0"/>
                                      <w:marBottom w:val="0"/>
                                      <w:divBdr>
                                        <w:top w:val="none" w:sz="0" w:space="0" w:color="auto"/>
                                        <w:left w:val="none" w:sz="0" w:space="0" w:color="auto"/>
                                        <w:bottom w:val="none" w:sz="0" w:space="0" w:color="auto"/>
                                        <w:right w:val="none" w:sz="0" w:space="0" w:color="auto"/>
                                      </w:divBdr>
                                      <w:divsChild>
                                        <w:div w:id="1678464476">
                                          <w:marLeft w:val="0"/>
                                          <w:marRight w:val="0"/>
                                          <w:marTop w:val="0"/>
                                          <w:marBottom w:val="0"/>
                                          <w:divBdr>
                                            <w:top w:val="none" w:sz="0" w:space="0" w:color="auto"/>
                                            <w:left w:val="none" w:sz="0" w:space="0" w:color="auto"/>
                                            <w:bottom w:val="none" w:sz="0" w:space="0" w:color="auto"/>
                                            <w:right w:val="none" w:sz="0" w:space="0" w:color="auto"/>
                                          </w:divBdr>
                                          <w:divsChild>
                                            <w:div w:id="336737079">
                                              <w:marLeft w:val="240"/>
                                              <w:marRight w:val="240"/>
                                              <w:marTop w:val="0"/>
                                              <w:marBottom w:val="0"/>
                                              <w:divBdr>
                                                <w:top w:val="none" w:sz="0" w:space="0" w:color="auto"/>
                                                <w:left w:val="none" w:sz="0" w:space="0" w:color="auto"/>
                                                <w:bottom w:val="none" w:sz="0" w:space="0" w:color="auto"/>
                                                <w:right w:val="none" w:sz="0" w:space="0" w:color="auto"/>
                                              </w:divBdr>
                                              <w:divsChild>
                                                <w:div w:id="1982879080">
                                                  <w:marLeft w:val="-240"/>
                                                  <w:marRight w:val="0"/>
                                                  <w:marTop w:val="0"/>
                                                  <w:marBottom w:val="0"/>
                                                  <w:divBdr>
                                                    <w:top w:val="none" w:sz="0" w:space="0" w:color="auto"/>
                                                    <w:left w:val="none" w:sz="0" w:space="0" w:color="auto"/>
                                                    <w:bottom w:val="none" w:sz="0" w:space="0" w:color="auto"/>
                                                    <w:right w:val="none" w:sz="0" w:space="0" w:color="auto"/>
                                                  </w:divBdr>
                                                  <w:divsChild>
                                                    <w:div w:id="256524469">
                                                      <w:marLeft w:val="0"/>
                                                      <w:marRight w:val="-240"/>
                                                      <w:marTop w:val="0"/>
                                                      <w:marBottom w:val="0"/>
                                                      <w:divBdr>
                                                        <w:top w:val="none" w:sz="0" w:space="0" w:color="auto"/>
                                                        <w:left w:val="none" w:sz="0" w:space="0" w:color="auto"/>
                                                        <w:bottom w:val="none" w:sz="0" w:space="0" w:color="auto"/>
                                                        <w:right w:val="none" w:sz="0" w:space="0" w:color="auto"/>
                                                      </w:divBdr>
                                                      <w:divsChild>
                                                        <w:div w:id="748312005">
                                                          <w:marLeft w:val="0"/>
                                                          <w:marRight w:val="0"/>
                                                          <w:marTop w:val="0"/>
                                                          <w:marBottom w:val="0"/>
                                                          <w:divBdr>
                                                            <w:top w:val="none" w:sz="0" w:space="0" w:color="auto"/>
                                                            <w:left w:val="none" w:sz="0" w:space="0" w:color="auto"/>
                                                            <w:bottom w:val="none" w:sz="0" w:space="0" w:color="auto"/>
                                                            <w:right w:val="none" w:sz="0" w:space="0" w:color="auto"/>
                                                          </w:divBdr>
                                                          <w:divsChild>
                                                            <w:div w:id="599530035">
                                                              <w:marLeft w:val="0"/>
                                                              <w:marRight w:val="0"/>
                                                              <w:marTop w:val="0"/>
                                                              <w:marBottom w:val="0"/>
                                                              <w:divBdr>
                                                                <w:top w:val="none" w:sz="0" w:space="0" w:color="auto"/>
                                                                <w:left w:val="none" w:sz="0" w:space="0" w:color="auto"/>
                                                                <w:bottom w:val="none" w:sz="0" w:space="0" w:color="auto"/>
                                                                <w:right w:val="none" w:sz="0" w:space="0" w:color="auto"/>
                                                              </w:divBdr>
                                                              <w:divsChild>
                                                                <w:div w:id="1322150563">
                                                                  <w:marLeft w:val="0"/>
                                                                  <w:marRight w:val="0"/>
                                                                  <w:marTop w:val="0"/>
                                                                  <w:marBottom w:val="0"/>
                                                                  <w:divBdr>
                                                                    <w:top w:val="none" w:sz="0" w:space="0" w:color="auto"/>
                                                                    <w:left w:val="none" w:sz="0" w:space="0" w:color="auto"/>
                                                                    <w:bottom w:val="none" w:sz="0" w:space="0" w:color="auto"/>
                                                                    <w:right w:val="none" w:sz="0" w:space="0" w:color="auto"/>
                                                                  </w:divBdr>
                                                                  <w:divsChild>
                                                                    <w:div w:id="481233259">
                                                                      <w:marLeft w:val="0"/>
                                                                      <w:marRight w:val="0"/>
                                                                      <w:marTop w:val="0"/>
                                                                      <w:marBottom w:val="0"/>
                                                                      <w:divBdr>
                                                                        <w:top w:val="none" w:sz="0" w:space="0" w:color="auto"/>
                                                                        <w:left w:val="none" w:sz="0" w:space="0" w:color="auto"/>
                                                                        <w:bottom w:val="none" w:sz="0" w:space="0" w:color="auto"/>
                                                                        <w:right w:val="none" w:sz="0" w:space="0" w:color="auto"/>
                                                                      </w:divBdr>
                                                                      <w:divsChild>
                                                                        <w:div w:id="1196380897">
                                                                          <w:marLeft w:val="0"/>
                                                                          <w:marRight w:val="0"/>
                                                                          <w:marTop w:val="60"/>
                                                                          <w:marBottom w:val="0"/>
                                                                          <w:divBdr>
                                                                            <w:top w:val="none" w:sz="0" w:space="0" w:color="auto"/>
                                                                            <w:left w:val="none" w:sz="0" w:space="0" w:color="auto"/>
                                                                            <w:bottom w:val="none" w:sz="0" w:space="0" w:color="auto"/>
                                                                            <w:right w:val="none" w:sz="0" w:space="0" w:color="auto"/>
                                                                          </w:divBdr>
                                                                          <w:divsChild>
                                                                            <w:div w:id="1691099090">
                                                                              <w:marLeft w:val="0"/>
                                                                              <w:marRight w:val="0"/>
                                                                              <w:marTop w:val="0"/>
                                                                              <w:marBottom w:val="0"/>
                                                                              <w:divBdr>
                                                                                <w:top w:val="none" w:sz="0" w:space="0" w:color="auto"/>
                                                                                <w:left w:val="none" w:sz="0" w:space="0" w:color="auto"/>
                                                                                <w:bottom w:val="none" w:sz="0" w:space="0" w:color="auto"/>
                                                                                <w:right w:val="none" w:sz="0" w:space="0" w:color="auto"/>
                                                                              </w:divBdr>
                                                                              <w:divsChild>
                                                                                <w:div w:id="845287641">
                                                                                  <w:marLeft w:val="0"/>
                                                                                  <w:marRight w:val="0"/>
                                                                                  <w:marTop w:val="0"/>
                                                                                  <w:marBottom w:val="0"/>
                                                                                  <w:divBdr>
                                                                                    <w:top w:val="none" w:sz="0" w:space="0" w:color="auto"/>
                                                                                    <w:left w:val="none" w:sz="0" w:space="0" w:color="auto"/>
                                                                                    <w:bottom w:val="none" w:sz="0" w:space="0" w:color="auto"/>
                                                                                    <w:right w:val="none" w:sz="0" w:space="0" w:color="auto"/>
                                                                                  </w:divBdr>
                                                                                  <w:divsChild>
                                                                                    <w:div w:id="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394401">
      <w:bodyDiv w:val="1"/>
      <w:marLeft w:val="0"/>
      <w:marRight w:val="0"/>
      <w:marTop w:val="0"/>
      <w:marBottom w:val="0"/>
      <w:divBdr>
        <w:top w:val="none" w:sz="0" w:space="0" w:color="auto"/>
        <w:left w:val="none" w:sz="0" w:space="0" w:color="auto"/>
        <w:bottom w:val="none" w:sz="0" w:space="0" w:color="auto"/>
        <w:right w:val="none" w:sz="0" w:space="0" w:color="auto"/>
      </w:divBdr>
      <w:divsChild>
        <w:div w:id="895823405">
          <w:marLeft w:val="0"/>
          <w:marRight w:val="0"/>
          <w:marTop w:val="0"/>
          <w:marBottom w:val="0"/>
          <w:divBdr>
            <w:top w:val="none" w:sz="0" w:space="0" w:color="auto"/>
            <w:left w:val="none" w:sz="0" w:space="0" w:color="auto"/>
            <w:bottom w:val="none" w:sz="0" w:space="0" w:color="auto"/>
            <w:right w:val="none" w:sz="0" w:space="0" w:color="auto"/>
          </w:divBdr>
          <w:divsChild>
            <w:div w:id="959654332">
              <w:marLeft w:val="0"/>
              <w:marRight w:val="0"/>
              <w:marTop w:val="0"/>
              <w:marBottom w:val="0"/>
              <w:divBdr>
                <w:top w:val="none" w:sz="0" w:space="0" w:color="auto"/>
                <w:left w:val="none" w:sz="0" w:space="0" w:color="auto"/>
                <w:bottom w:val="none" w:sz="0" w:space="0" w:color="auto"/>
                <w:right w:val="none" w:sz="0" w:space="0" w:color="auto"/>
              </w:divBdr>
              <w:divsChild>
                <w:div w:id="75051797">
                  <w:marLeft w:val="0"/>
                  <w:marRight w:val="0"/>
                  <w:marTop w:val="0"/>
                  <w:marBottom w:val="0"/>
                  <w:divBdr>
                    <w:top w:val="none" w:sz="0" w:space="0" w:color="auto"/>
                    <w:left w:val="none" w:sz="0" w:space="0" w:color="auto"/>
                    <w:bottom w:val="none" w:sz="0" w:space="0" w:color="auto"/>
                    <w:right w:val="none" w:sz="0" w:space="0" w:color="auto"/>
                  </w:divBdr>
                  <w:divsChild>
                    <w:div w:id="1891380254">
                      <w:marLeft w:val="0"/>
                      <w:marRight w:val="0"/>
                      <w:marTop w:val="0"/>
                      <w:marBottom w:val="0"/>
                      <w:divBdr>
                        <w:top w:val="none" w:sz="0" w:space="0" w:color="auto"/>
                        <w:left w:val="none" w:sz="0" w:space="0" w:color="auto"/>
                        <w:bottom w:val="none" w:sz="0" w:space="0" w:color="auto"/>
                        <w:right w:val="none" w:sz="0" w:space="0" w:color="auto"/>
                      </w:divBdr>
                      <w:divsChild>
                        <w:div w:id="1514760659">
                          <w:marLeft w:val="0"/>
                          <w:marRight w:val="0"/>
                          <w:marTop w:val="0"/>
                          <w:marBottom w:val="0"/>
                          <w:divBdr>
                            <w:top w:val="none" w:sz="0" w:space="0" w:color="auto"/>
                            <w:left w:val="none" w:sz="0" w:space="0" w:color="auto"/>
                            <w:bottom w:val="none" w:sz="0" w:space="0" w:color="auto"/>
                            <w:right w:val="none" w:sz="0" w:space="0" w:color="auto"/>
                          </w:divBdr>
                          <w:divsChild>
                            <w:div w:id="678192838">
                              <w:marLeft w:val="-75"/>
                              <w:marRight w:val="-75"/>
                              <w:marTop w:val="0"/>
                              <w:marBottom w:val="0"/>
                              <w:divBdr>
                                <w:top w:val="none" w:sz="0" w:space="0" w:color="auto"/>
                                <w:left w:val="none" w:sz="0" w:space="0" w:color="auto"/>
                                <w:bottom w:val="none" w:sz="0" w:space="0" w:color="auto"/>
                                <w:right w:val="none" w:sz="0" w:space="0" w:color="auto"/>
                              </w:divBdr>
                              <w:divsChild>
                                <w:div w:id="116220759">
                                  <w:marLeft w:val="-75"/>
                                  <w:marRight w:val="-75"/>
                                  <w:marTop w:val="0"/>
                                  <w:marBottom w:val="0"/>
                                  <w:divBdr>
                                    <w:top w:val="none" w:sz="0" w:space="0" w:color="auto"/>
                                    <w:left w:val="none" w:sz="0" w:space="0" w:color="auto"/>
                                    <w:bottom w:val="none" w:sz="0" w:space="0" w:color="auto"/>
                                    <w:right w:val="none" w:sz="0" w:space="0" w:color="auto"/>
                                  </w:divBdr>
                                  <w:divsChild>
                                    <w:div w:id="1182739419">
                                      <w:marLeft w:val="0"/>
                                      <w:marRight w:val="0"/>
                                      <w:marTop w:val="0"/>
                                      <w:marBottom w:val="0"/>
                                      <w:divBdr>
                                        <w:top w:val="none" w:sz="0" w:space="0" w:color="auto"/>
                                        <w:left w:val="none" w:sz="0" w:space="0" w:color="auto"/>
                                        <w:bottom w:val="none" w:sz="0" w:space="0" w:color="auto"/>
                                        <w:right w:val="none" w:sz="0" w:space="0" w:color="auto"/>
                                      </w:divBdr>
                                      <w:divsChild>
                                        <w:div w:id="1987852824">
                                          <w:marLeft w:val="0"/>
                                          <w:marRight w:val="0"/>
                                          <w:marTop w:val="0"/>
                                          <w:marBottom w:val="0"/>
                                          <w:divBdr>
                                            <w:top w:val="none" w:sz="0" w:space="0" w:color="auto"/>
                                            <w:left w:val="none" w:sz="0" w:space="0" w:color="auto"/>
                                            <w:bottom w:val="none" w:sz="0" w:space="0" w:color="auto"/>
                                            <w:right w:val="none" w:sz="0" w:space="0" w:color="auto"/>
                                          </w:divBdr>
                                          <w:divsChild>
                                            <w:div w:id="1727948677">
                                              <w:marLeft w:val="240"/>
                                              <w:marRight w:val="240"/>
                                              <w:marTop w:val="0"/>
                                              <w:marBottom w:val="0"/>
                                              <w:divBdr>
                                                <w:top w:val="none" w:sz="0" w:space="0" w:color="auto"/>
                                                <w:left w:val="none" w:sz="0" w:space="0" w:color="auto"/>
                                                <w:bottom w:val="none" w:sz="0" w:space="0" w:color="auto"/>
                                                <w:right w:val="none" w:sz="0" w:space="0" w:color="auto"/>
                                              </w:divBdr>
                                              <w:divsChild>
                                                <w:div w:id="604121037">
                                                  <w:marLeft w:val="-240"/>
                                                  <w:marRight w:val="0"/>
                                                  <w:marTop w:val="0"/>
                                                  <w:marBottom w:val="0"/>
                                                  <w:divBdr>
                                                    <w:top w:val="none" w:sz="0" w:space="0" w:color="auto"/>
                                                    <w:left w:val="none" w:sz="0" w:space="0" w:color="auto"/>
                                                    <w:bottom w:val="none" w:sz="0" w:space="0" w:color="auto"/>
                                                    <w:right w:val="none" w:sz="0" w:space="0" w:color="auto"/>
                                                  </w:divBdr>
                                                  <w:divsChild>
                                                    <w:div w:id="532612891">
                                                      <w:marLeft w:val="0"/>
                                                      <w:marRight w:val="-240"/>
                                                      <w:marTop w:val="0"/>
                                                      <w:marBottom w:val="0"/>
                                                      <w:divBdr>
                                                        <w:top w:val="none" w:sz="0" w:space="0" w:color="auto"/>
                                                        <w:left w:val="none" w:sz="0" w:space="0" w:color="auto"/>
                                                        <w:bottom w:val="none" w:sz="0" w:space="0" w:color="auto"/>
                                                        <w:right w:val="none" w:sz="0" w:space="0" w:color="auto"/>
                                                      </w:divBdr>
                                                      <w:divsChild>
                                                        <w:div w:id="968052045">
                                                          <w:marLeft w:val="0"/>
                                                          <w:marRight w:val="0"/>
                                                          <w:marTop w:val="0"/>
                                                          <w:marBottom w:val="0"/>
                                                          <w:divBdr>
                                                            <w:top w:val="none" w:sz="0" w:space="0" w:color="auto"/>
                                                            <w:left w:val="none" w:sz="0" w:space="0" w:color="auto"/>
                                                            <w:bottom w:val="none" w:sz="0" w:space="0" w:color="auto"/>
                                                            <w:right w:val="none" w:sz="0" w:space="0" w:color="auto"/>
                                                          </w:divBdr>
                                                          <w:divsChild>
                                                            <w:div w:id="1340110744">
                                                              <w:marLeft w:val="0"/>
                                                              <w:marRight w:val="0"/>
                                                              <w:marTop w:val="0"/>
                                                              <w:marBottom w:val="0"/>
                                                              <w:divBdr>
                                                                <w:top w:val="none" w:sz="0" w:space="0" w:color="auto"/>
                                                                <w:left w:val="none" w:sz="0" w:space="0" w:color="auto"/>
                                                                <w:bottom w:val="none" w:sz="0" w:space="0" w:color="auto"/>
                                                                <w:right w:val="none" w:sz="0" w:space="0" w:color="auto"/>
                                                              </w:divBdr>
                                                              <w:divsChild>
                                                                <w:div w:id="914390937">
                                                                  <w:marLeft w:val="0"/>
                                                                  <w:marRight w:val="0"/>
                                                                  <w:marTop w:val="0"/>
                                                                  <w:marBottom w:val="0"/>
                                                                  <w:divBdr>
                                                                    <w:top w:val="none" w:sz="0" w:space="0" w:color="auto"/>
                                                                    <w:left w:val="none" w:sz="0" w:space="0" w:color="auto"/>
                                                                    <w:bottom w:val="none" w:sz="0" w:space="0" w:color="auto"/>
                                                                    <w:right w:val="none" w:sz="0" w:space="0" w:color="auto"/>
                                                                  </w:divBdr>
                                                                  <w:divsChild>
                                                                    <w:div w:id="859585174">
                                                                      <w:marLeft w:val="0"/>
                                                                      <w:marRight w:val="0"/>
                                                                      <w:marTop w:val="0"/>
                                                                      <w:marBottom w:val="0"/>
                                                                      <w:divBdr>
                                                                        <w:top w:val="none" w:sz="0" w:space="0" w:color="auto"/>
                                                                        <w:left w:val="none" w:sz="0" w:space="0" w:color="auto"/>
                                                                        <w:bottom w:val="none" w:sz="0" w:space="0" w:color="auto"/>
                                                                        <w:right w:val="none" w:sz="0" w:space="0" w:color="auto"/>
                                                                      </w:divBdr>
                                                                      <w:divsChild>
                                                                        <w:div w:id="1320230415">
                                                                          <w:marLeft w:val="0"/>
                                                                          <w:marRight w:val="0"/>
                                                                          <w:marTop w:val="60"/>
                                                                          <w:marBottom w:val="0"/>
                                                                          <w:divBdr>
                                                                            <w:top w:val="none" w:sz="0" w:space="0" w:color="auto"/>
                                                                            <w:left w:val="none" w:sz="0" w:space="0" w:color="auto"/>
                                                                            <w:bottom w:val="none" w:sz="0" w:space="0" w:color="auto"/>
                                                                            <w:right w:val="none" w:sz="0" w:space="0" w:color="auto"/>
                                                                          </w:divBdr>
                                                                          <w:divsChild>
                                                                            <w:div w:id="1195075550">
                                                                              <w:marLeft w:val="0"/>
                                                                              <w:marRight w:val="0"/>
                                                                              <w:marTop w:val="0"/>
                                                                              <w:marBottom w:val="0"/>
                                                                              <w:divBdr>
                                                                                <w:top w:val="none" w:sz="0" w:space="0" w:color="auto"/>
                                                                                <w:left w:val="none" w:sz="0" w:space="0" w:color="auto"/>
                                                                                <w:bottom w:val="none" w:sz="0" w:space="0" w:color="auto"/>
                                                                                <w:right w:val="none" w:sz="0" w:space="0" w:color="auto"/>
                                                                              </w:divBdr>
                                                                              <w:divsChild>
                                                                                <w:div w:id="1724788995">
                                                                                  <w:marLeft w:val="0"/>
                                                                                  <w:marRight w:val="0"/>
                                                                                  <w:marTop w:val="0"/>
                                                                                  <w:marBottom w:val="0"/>
                                                                                  <w:divBdr>
                                                                                    <w:top w:val="none" w:sz="0" w:space="0" w:color="auto"/>
                                                                                    <w:left w:val="none" w:sz="0" w:space="0" w:color="auto"/>
                                                                                    <w:bottom w:val="none" w:sz="0" w:space="0" w:color="auto"/>
                                                                                    <w:right w:val="none" w:sz="0" w:space="0" w:color="auto"/>
                                                                                  </w:divBdr>
                                                                                  <w:divsChild>
                                                                                    <w:div w:id="10396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ing@efta.i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na.Vanaga@e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vvc.gov.lv/export/sites/default/docs/LRTA/Likumi/On_Taxes_and_Fees.doc" TargetMode="External"/><Relationship Id="rId4" Type="http://schemas.openxmlformats.org/officeDocument/2006/relationships/settings" Target="settings.xml"/><Relationship Id="rId9" Type="http://schemas.openxmlformats.org/officeDocument/2006/relationships/hyperlink" Target="http://www.vvc.gov.lv/export/sites/default/docs/LRTA/Likumi/Labour_Law.doc"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limas-eup.eu/" TargetMode="External"/><Relationship Id="rId2" Type="http://schemas.openxmlformats.org/officeDocument/2006/relationships/hyperlink" Target="http://ec.europa.eu/enterprise/policies/industrial-competitiveness/industrial-policy/files/lv_country-chapter_lv.pdf" TargetMode="External"/><Relationship Id="rId1" Type="http://schemas.openxmlformats.org/officeDocument/2006/relationships/hyperlink" Target="http://ec.europa.eu/environment/etap/inaction/pdfs/1_en_act_part1_v5.pdf" TargetMode="External"/><Relationship Id="rId4" Type="http://schemas.openxmlformats.org/officeDocument/2006/relationships/hyperlink" Target="http://www.duka.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E734-A115-4D27-8B30-F1824C4C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42</Pages>
  <Words>15901</Words>
  <Characters>111152</Characters>
  <Application>Microsoft Office Word</Application>
  <DocSecurity>0</DocSecurity>
  <Lines>2470</Lines>
  <Paragraphs>1124</Paragraphs>
  <ScaleCrop>false</ScaleCrop>
  <HeadingPairs>
    <vt:vector size="2" baseType="variant">
      <vt:variant>
        <vt:lpstr>Title</vt:lpstr>
      </vt:variant>
      <vt:variant>
        <vt:i4>1</vt:i4>
      </vt:variant>
    </vt:vector>
  </HeadingPairs>
  <TitlesOfParts>
    <vt:vector size="1" baseType="lpstr">
      <vt:lpstr>Pielikums Ministru kabineta rīkojuma projektam „Par Norvēģijas finanšu instrumenta līdzfinansētās programmas „Inovācijas „zaļās” ražošanas jomā” iesnieguma projektu”</vt:lpstr>
    </vt:vector>
  </TitlesOfParts>
  <Company>EFTA</Company>
  <LinksUpToDate>false</LinksUpToDate>
  <CharactersWithSpaces>125929</CharactersWithSpaces>
  <SharedDoc>false</SharedDoc>
  <HLinks>
    <vt:vector size="24" baseType="variant">
      <vt:variant>
        <vt:i4>5242981</vt:i4>
      </vt:variant>
      <vt:variant>
        <vt:i4>6</vt:i4>
      </vt:variant>
      <vt:variant>
        <vt:i4>0</vt:i4>
      </vt:variant>
      <vt:variant>
        <vt:i4>5</vt:i4>
      </vt:variant>
      <vt:variant>
        <vt:lpwstr>http://www.vvc.gov.lv/export/sites/default/docs/LRTA/Likumi/On_Taxes_and_Fees.doc</vt:lpwstr>
      </vt:variant>
      <vt:variant>
        <vt:lpwstr/>
      </vt:variant>
      <vt:variant>
        <vt:i4>6684745</vt:i4>
      </vt:variant>
      <vt:variant>
        <vt:i4>3</vt:i4>
      </vt:variant>
      <vt:variant>
        <vt:i4>0</vt:i4>
      </vt:variant>
      <vt:variant>
        <vt:i4>5</vt:i4>
      </vt:variant>
      <vt:variant>
        <vt:lpwstr>http://www.vvc.gov.lv/export/sites/default/docs/LRTA/Likumi/Labour_Law.doc</vt:lpwstr>
      </vt:variant>
      <vt:variant>
        <vt:lpwstr/>
      </vt:variant>
      <vt:variant>
        <vt:i4>5046388</vt:i4>
      </vt:variant>
      <vt:variant>
        <vt:i4>0</vt:i4>
      </vt:variant>
      <vt:variant>
        <vt:i4>0</vt:i4>
      </vt:variant>
      <vt:variant>
        <vt:i4>5</vt:i4>
      </vt:variant>
      <vt:variant>
        <vt:lpwstr>mailto:reporting@efta.int</vt:lpwstr>
      </vt:variant>
      <vt:variant>
        <vt:lpwstr/>
      </vt:variant>
      <vt:variant>
        <vt:i4>524362</vt:i4>
      </vt:variant>
      <vt:variant>
        <vt:i4>0</vt:i4>
      </vt:variant>
      <vt:variant>
        <vt:i4>0</vt:i4>
      </vt:variant>
      <vt:variant>
        <vt:i4>5</vt:i4>
      </vt:variant>
      <vt:variant>
        <vt:lpwstr>http://ec.europa.eu/enterprise/policies/industrial-competitiveness/industrial-policy/files/lv_country-chapter_lv.pdf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projektam „Par Norvēģijas finanšu instrumenta līdzfinansētās programmas „Inovācijas „zaļās” ražošanas jomā” iesnieguma projektu”</dc:title>
  <dc:subject>Pielikums</dc:subject>
  <dc:creator>Una Vanaga</dc:creator>
  <cp:keywords/>
  <dc:description>Una.Vanaga@em.gov.lv, 67013129</dc:description>
  <cp:lastModifiedBy>Māris Krūmiņš</cp:lastModifiedBy>
  <cp:revision>87</cp:revision>
  <cp:lastPrinted>2012-02-10T15:28:00Z</cp:lastPrinted>
  <dcterms:created xsi:type="dcterms:W3CDTF">2012-02-16T12:25:00Z</dcterms:created>
  <dcterms:modified xsi:type="dcterms:W3CDTF">2012-02-22T18:29:00Z</dcterms:modified>
</cp:coreProperties>
</file>