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2CD21" w14:textId="77777777" w:rsidR="00741EF1" w:rsidRPr="00741EF1" w:rsidRDefault="00741EF1" w:rsidP="00741EF1">
      <w:pPr>
        <w:rPr>
          <w:snapToGrid/>
          <w:sz w:val="28"/>
          <w:szCs w:val="28"/>
          <w:lang w:val="lv-LV" w:eastAsia="lv-LV"/>
        </w:rPr>
      </w:pPr>
      <w:r w:rsidRPr="00741EF1">
        <w:rPr>
          <w:snapToGrid/>
          <w:sz w:val="28"/>
          <w:szCs w:val="28"/>
          <w:lang w:val="lv-LV" w:eastAsia="lv-LV"/>
        </w:rPr>
        <w:t>Latvijas Republika</w:t>
      </w:r>
    </w:p>
    <w:p w14:paraId="0B642FDA" w14:textId="77777777" w:rsidR="00741EF1" w:rsidRPr="00741EF1" w:rsidRDefault="00741EF1" w:rsidP="00741EF1">
      <w:pPr>
        <w:rPr>
          <w:snapToGrid/>
          <w:sz w:val="28"/>
          <w:szCs w:val="28"/>
          <w:lang w:val="lv-LV" w:eastAsia="lv-LV"/>
        </w:rPr>
      </w:pPr>
      <w:r w:rsidRPr="00741EF1">
        <w:rPr>
          <w:snapToGrid/>
          <w:sz w:val="28"/>
          <w:szCs w:val="28"/>
          <w:lang w:val="lv-LV" w:eastAsia="lv-LV"/>
        </w:rPr>
        <w:t>Ekonomikas ministrija</w:t>
      </w:r>
    </w:p>
    <w:p w14:paraId="1D8C6EE7" w14:textId="77777777" w:rsidR="00741EF1" w:rsidRPr="00B70687" w:rsidRDefault="00741EF1" w:rsidP="00B70687">
      <w:pPr>
        <w:rPr>
          <w:b/>
          <w:lang w:val="lv-LV"/>
        </w:rPr>
      </w:pPr>
    </w:p>
    <w:p w14:paraId="2F8749F1" w14:textId="77777777" w:rsidR="00741EF1" w:rsidRPr="00B70687" w:rsidRDefault="00741EF1" w:rsidP="00B70687">
      <w:pPr>
        <w:rPr>
          <w:b/>
          <w:lang w:val="lv-LV"/>
        </w:rPr>
      </w:pPr>
    </w:p>
    <w:p w14:paraId="742C7AF7" w14:textId="77777777" w:rsidR="00741EF1" w:rsidRPr="00B70687" w:rsidRDefault="00741EF1" w:rsidP="00B70687">
      <w:pPr>
        <w:rPr>
          <w:b/>
          <w:lang w:val="lv-LV"/>
        </w:rPr>
      </w:pPr>
    </w:p>
    <w:p w14:paraId="69763C74" w14:textId="77777777" w:rsidR="00741EF1" w:rsidRPr="00B70687" w:rsidRDefault="00741EF1" w:rsidP="00B70687">
      <w:pPr>
        <w:rPr>
          <w:b/>
          <w:lang w:val="lv-LV"/>
        </w:rPr>
      </w:pPr>
    </w:p>
    <w:p w14:paraId="77FA2F8A" w14:textId="77777777" w:rsidR="00741EF1" w:rsidRPr="00B70687" w:rsidRDefault="00741EF1" w:rsidP="00B70687">
      <w:pPr>
        <w:rPr>
          <w:b/>
          <w:lang w:val="lv-LV"/>
        </w:rPr>
      </w:pPr>
    </w:p>
    <w:p w14:paraId="53FEB592" w14:textId="77777777" w:rsidR="00741EF1" w:rsidRPr="00B70687" w:rsidRDefault="00741EF1" w:rsidP="00B70687">
      <w:pPr>
        <w:rPr>
          <w:b/>
          <w:lang w:val="lv-LV"/>
        </w:rPr>
      </w:pPr>
    </w:p>
    <w:p w14:paraId="6D88865E" w14:textId="77777777" w:rsidR="00371B67" w:rsidRPr="00B70687" w:rsidRDefault="00371B67" w:rsidP="00B70687">
      <w:pPr>
        <w:rPr>
          <w:b/>
          <w:lang w:val="lv-LV"/>
        </w:rPr>
      </w:pPr>
    </w:p>
    <w:p w14:paraId="2997A64E" w14:textId="77777777" w:rsidR="00371B67" w:rsidRPr="00B70687" w:rsidRDefault="00371B67" w:rsidP="00B70687">
      <w:pPr>
        <w:rPr>
          <w:b/>
          <w:lang w:val="lv-LV"/>
        </w:rPr>
      </w:pPr>
    </w:p>
    <w:p w14:paraId="39D3D661" w14:textId="77777777" w:rsidR="00371B67" w:rsidRPr="00B70687" w:rsidRDefault="00371B67" w:rsidP="00B70687">
      <w:pPr>
        <w:rPr>
          <w:b/>
          <w:lang w:val="lv-LV"/>
        </w:rPr>
      </w:pPr>
    </w:p>
    <w:p w14:paraId="0ED40B20" w14:textId="77777777" w:rsidR="00926945" w:rsidRPr="00B70687" w:rsidRDefault="00926945" w:rsidP="00B70687">
      <w:pPr>
        <w:rPr>
          <w:b/>
          <w:lang w:val="lv-LV"/>
        </w:rPr>
      </w:pPr>
    </w:p>
    <w:p w14:paraId="77BB93D4" w14:textId="77777777" w:rsidR="00371B67" w:rsidRPr="00B70687" w:rsidRDefault="00371B67" w:rsidP="00B70687">
      <w:pPr>
        <w:rPr>
          <w:b/>
          <w:lang w:val="lv-LV"/>
        </w:rPr>
      </w:pPr>
    </w:p>
    <w:p w14:paraId="7223179C" w14:textId="77777777" w:rsidR="00371B67" w:rsidRPr="00B70687" w:rsidRDefault="00371B67" w:rsidP="00B70687">
      <w:pPr>
        <w:rPr>
          <w:b/>
          <w:lang w:val="lv-LV"/>
        </w:rPr>
      </w:pPr>
    </w:p>
    <w:p w14:paraId="474DB595" w14:textId="77777777" w:rsidR="00741EF1" w:rsidRPr="00741EF1" w:rsidRDefault="00741EF1" w:rsidP="00741EF1">
      <w:pPr>
        <w:jc w:val="center"/>
        <w:rPr>
          <w:b/>
          <w:snapToGrid/>
          <w:sz w:val="28"/>
          <w:szCs w:val="28"/>
          <w:lang w:val="lv-LV" w:eastAsia="lv-LV"/>
        </w:rPr>
      </w:pPr>
      <w:r w:rsidRPr="00741EF1">
        <w:rPr>
          <w:b/>
          <w:snapToGrid/>
          <w:sz w:val="28"/>
          <w:szCs w:val="28"/>
          <w:lang w:val="lv-LV" w:eastAsia="lv-LV"/>
        </w:rPr>
        <w:t xml:space="preserve">Informatīvais ziņojums „Latvijas Republikas </w:t>
      </w:r>
      <w:r w:rsidR="008852DA">
        <w:rPr>
          <w:b/>
          <w:snapToGrid/>
          <w:sz w:val="28"/>
          <w:szCs w:val="28"/>
          <w:lang w:val="lv-LV" w:eastAsia="lv-LV"/>
        </w:rPr>
        <w:t>Otrais r</w:t>
      </w:r>
      <w:r w:rsidRPr="00741EF1">
        <w:rPr>
          <w:b/>
          <w:snapToGrid/>
          <w:sz w:val="28"/>
          <w:szCs w:val="28"/>
          <w:lang w:val="lv-LV" w:eastAsia="lv-LV"/>
        </w:rPr>
        <w:t>egulārais ziņojums atbilstoši Eiropas Parlamenta un Padomes 2009. gada 23. aprīļa Direktīvas 2009/28/EK par atjaunojamo energoresursu izmantošanas veicināšanu un ar ko groza un sekojoši atceļ Direktīvas 2001/77/EK un 2003/30/EK 22. pantam”</w:t>
      </w:r>
    </w:p>
    <w:p w14:paraId="0B3BDCFD" w14:textId="77777777" w:rsidR="00741EF1" w:rsidRDefault="00741EF1" w:rsidP="00B70687">
      <w:pPr>
        <w:rPr>
          <w:lang w:val="lv-LV"/>
        </w:rPr>
      </w:pPr>
    </w:p>
    <w:p w14:paraId="129990CF" w14:textId="77777777" w:rsidR="00741EF1" w:rsidRDefault="00741EF1" w:rsidP="00B70687">
      <w:pPr>
        <w:rPr>
          <w:lang w:val="lv-LV"/>
        </w:rPr>
      </w:pPr>
    </w:p>
    <w:p w14:paraId="2854FFD6" w14:textId="77777777" w:rsidR="00741EF1" w:rsidRDefault="00741EF1" w:rsidP="00B70687">
      <w:pPr>
        <w:rPr>
          <w:lang w:val="lv-LV"/>
        </w:rPr>
      </w:pPr>
    </w:p>
    <w:p w14:paraId="5FE775C7" w14:textId="77777777" w:rsidR="00741EF1" w:rsidRDefault="00741EF1" w:rsidP="00B70687">
      <w:pPr>
        <w:rPr>
          <w:lang w:val="lv-LV"/>
        </w:rPr>
      </w:pPr>
    </w:p>
    <w:p w14:paraId="4D9E469B" w14:textId="77777777" w:rsidR="00741EF1" w:rsidRDefault="00741EF1" w:rsidP="00B70687">
      <w:pPr>
        <w:rPr>
          <w:lang w:val="lv-LV"/>
        </w:rPr>
      </w:pPr>
    </w:p>
    <w:p w14:paraId="4C07970D" w14:textId="77777777" w:rsidR="00741EF1" w:rsidRDefault="00741EF1" w:rsidP="00B70687">
      <w:pPr>
        <w:rPr>
          <w:lang w:val="lv-LV"/>
        </w:rPr>
      </w:pPr>
    </w:p>
    <w:p w14:paraId="5A3AB965" w14:textId="77777777" w:rsidR="00741EF1" w:rsidRDefault="00741EF1" w:rsidP="00B70687">
      <w:pPr>
        <w:rPr>
          <w:lang w:val="lv-LV"/>
        </w:rPr>
      </w:pPr>
    </w:p>
    <w:p w14:paraId="19E73235" w14:textId="77777777" w:rsidR="00741EF1" w:rsidRDefault="00741EF1" w:rsidP="00B70687">
      <w:pPr>
        <w:rPr>
          <w:lang w:val="lv-LV"/>
        </w:rPr>
      </w:pPr>
    </w:p>
    <w:p w14:paraId="557DDEEA" w14:textId="77777777" w:rsidR="00741EF1" w:rsidRDefault="00741EF1" w:rsidP="00B70687">
      <w:pPr>
        <w:rPr>
          <w:lang w:val="lv-LV"/>
        </w:rPr>
      </w:pPr>
    </w:p>
    <w:p w14:paraId="58DD91AB" w14:textId="77777777" w:rsidR="00741EF1" w:rsidRDefault="00741EF1" w:rsidP="00B70687">
      <w:pPr>
        <w:rPr>
          <w:lang w:val="lv-LV"/>
        </w:rPr>
      </w:pPr>
    </w:p>
    <w:p w14:paraId="472A4515" w14:textId="77777777" w:rsidR="00741EF1" w:rsidRDefault="00741EF1" w:rsidP="00B70687">
      <w:pPr>
        <w:rPr>
          <w:lang w:val="lv-LV"/>
        </w:rPr>
      </w:pPr>
    </w:p>
    <w:p w14:paraId="3BA9090D" w14:textId="77777777" w:rsidR="00741EF1" w:rsidRDefault="00741EF1" w:rsidP="00B70687">
      <w:pPr>
        <w:rPr>
          <w:lang w:val="lv-LV"/>
        </w:rPr>
      </w:pPr>
    </w:p>
    <w:p w14:paraId="5ECD0A11" w14:textId="77777777" w:rsidR="00741EF1" w:rsidRDefault="00741EF1" w:rsidP="00B70687">
      <w:pPr>
        <w:rPr>
          <w:lang w:val="lv-LV"/>
        </w:rPr>
      </w:pPr>
    </w:p>
    <w:p w14:paraId="7B081FEA" w14:textId="77777777" w:rsidR="00741EF1" w:rsidRDefault="00741EF1" w:rsidP="00B70687">
      <w:pPr>
        <w:rPr>
          <w:lang w:val="lv-LV"/>
        </w:rPr>
      </w:pPr>
    </w:p>
    <w:p w14:paraId="01BD49E0" w14:textId="77777777" w:rsidR="00741EF1" w:rsidRDefault="00741EF1" w:rsidP="00B70687">
      <w:pPr>
        <w:rPr>
          <w:lang w:val="lv-LV"/>
        </w:rPr>
      </w:pPr>
    </w:p>
    <w:p w14:paraId="55C7BF36" w14:textId="77777777" w:rsidR="00741EF1" w:rsidRDefault="00741EF1" w:rsidP="00B70687">
      <w:pPr>
        <w:rPr>
          <w:lang w:val="lv-LV"/>
        </w:rPr>
      </w:pPr>
    </w:p>
    <w:p w14:paraId="6AFF543B" w14:textId="77777777" w:rsidR="00741EF1" w:rsidRDefault="00741EF1" w:rsidP="00B70687">
      <w:pPr>
        <w:rPr>
          <w:lang w:val="lv-LV"/>
        </w:rPr>
      </w:pPr>
    </w:p>
    <w:p w14:paraId="604F5591" w14:textId="77777777" w:rsidR="00741EF1" w:rsidRDefault="00741EF1" w:rsidP="00B70687">
      <w:pPr>
        <w:rPr>
          <w:lang w:val="lv-LV"/>
        </w:rPr>
      </w:pPr>
    </w:p>
    <w:p w14:paraId="5E927883" w14:textId="77777777" w:rsidR="00741EF1" w:rsidRDefault="00741EF1" w:rsidP="00B70687">
      <w:pPr>
        <w:rPr>
          <w:lang w:val="lv-LV"/>
        </w:rPr>
      </w:pPr>
    </w:p>
    <w:p w14:paraId="34261574" w14:textId="77777777" w:rsidR="00741EF1" w:rsidRDefault="00741EF1" w:rsidP="00B70687">
      <w:pPr>
        <w:rPr>
          <w:lang w:val="lv-LV"/>
        </w:rPr>
      </w:pPr>
    </w:p>
    <w:p w14:paraId="3411D124" w14:textId="77777777" w:rsidR="00741EF1" w:rsidRDefault="00741EF1" w:rsidP="00B70687">
      <w:pPr>
        <w:rPr>
          <w:lang w:val="lv-LV"/>
        </w:rPr>
      </w:pPr>
    </w:p>
    <w:p w14:paraId="2A912F4A" w14:textId="77777777" w:rsidR="00741EF1" w:rsidRDefault="00741EF1" w:rsidP="00B70687">
      <w:pPr>
        <w:rPr>
          <w:lang w:val="lv-LV"/>
        </w:rPr>
      </w:pPr>
    </w:p>
    <w:p w14:paraId="1ED0023A" w14:textId="77777777" w:rsidR="00741EF1" w:rsidRDefault="00741EF1" w:rsidP="00B70687">
      <w:pPr>
        <w:rPr>
          <w:lang w:val="lv-LV"/>
        </w:rPr>
      </w:pPr>
    </w:p>
    <w:p w14:paraId="2CF22478" w14:textId="77777777" w:rsidR="00741EF1" w:rsidRDefault="00741EF1" w:rsidP="00B70687">
      <w:pPr>
        <w:rPr>
          <w:lang w:val="lv-LV"/>
        </w:rPr>
      </w:pPr>
    </w:p>
    <w:p w14:paraId="606DC850" w14:textId="77777777" w:rsidR="00741EF1" w:rsidRDefault="00741EF1" w:rsidP="00B70687">
      <w:pPr>
        <w:rPr>
          <w:lang w:val="lv-LV"/>
        </w:rPr>
      </w:pPr>
    </w:p>
    <w:p w14:paraId="6EAA9228" w14:textId="77777777" w:rsidR="00D7655B" w:rsidRDefault="00D7655B" w:rsidP="00B70687">
      <w:pPr>
        <w:rPr>
          <w:lang w:val="lv-LV"/>
        </w:rPr>
      </w:pPr>
    </w:p>
    <w:p w14:paraId="20B5F45B" w14:textId="77777777" w:rsidR="00D7655B" w:rsidRDefault="00D7655B" w:rsidP="00B70687">
      <w:pPr>
        <w:rPr>
          <w:lang w:val="lv-LV"/>
        </w:rPr>
      </w:pPr>
    </w:p>
    <w:p w14:paraId="7F6C0937" w14:textId="77777777" w:rsidR="00741EF1" w:rsidRDefault="00741EF1" w:rsidP="00B70687">
      <w:pPr>
        <w:rPr>
          <w:lang w:val="lv-LV"/>
        </w:rPr>
      </w:pPr>
    </w:p>
    <w:p w14:paraId="6EAA9217" w14:textId="77777777" w:rsidR="00741EF1" w:rsidRDefault="00741EF1" w:rsidP="00B70687">
      <w:pPr>
        <w:rPr>
          <w:lang w:val="lv-LV"/>
        </w:rPr>
      </w:pPr>
    </w:p>
    <w:p w14:paraId="20B37A2A" w14:textId="77777777" w:rsidR="00741EF1" w:rsidRDefault="00741EF1" w:rsidP="00B70687">
      <w:pPr>
        <w:rPr>
          <w:lang w:val="lv-LV"/>
        </w:rPr>
      </w:pPr>
    </w:p>
    <w:p w14:paraId="20624FD6" w14:textId="77777777" w:rsidR="00741EF1" w:rsidRPr="001841CE" w:rsidRDefault="002F60EE" w:rsidP="001841CE">
      <w:pPr>
        <w:jc w:val="center"/>
        <w:rPr>
          <w:b/>
          <w:lang w:val="lv-LV"/>
        </w:rPr>
      </w:pPr>
      <w:r w:rsidRPr="001841CE">
        <w:rPr>
          <w:b/>
          <w:lang w:val="lv-LV"/>
        </w:rPr>
        <w:lastRenderedPageBreak/>
        <w:t>Saturs</w:t>
      </w:r>
    </w:p>
    <w:p w14:paraId="769D8F85" w14:textId="77777777" w:rsidR="00D063A6" w:rsidRDefault="00D063A6" w:rsidP="00B70687">
      <w:pPr>
        <w:rPr>
          <w:lang w:val="lv-LV"/>
        </w:rPr>
      </w:pPr>
    </w:p>
    <w:p w14:paraId="1597C5CC" w14:textId="77777777" w:rsidR="00153C45" w:rsidRPr="008565C6" w:rsidRDefault="00D037EB">
      <w:pPr>
        <w:pStyle w:val="TOC1"/>
        <w:rPr>
          <w:rFonts w:ascii="Calibri" w:hAnsi="Calibri"/>
          <w:noProof/>
          <w:snapToGrid/>
          <w:sz w:val="22"/>
          <w:szCs w:val="22"/>
          <w:lang w:val="lv-LV" w:eastAsia="lv-LV"/>
        </w:rPr>
      </w:pPr>
      <w:r>
        <w:fldChar w:fldCharType="begin"/>
      </w:r>
      <w:r>
        <w:instrText xml:space="preserve"> TOC \o "1-3" \h \z \u </w:instrText>
      </w:r>
      <w:r>
        <w:fldChar w:fldCharType="separate"/>
      </w:r>
      <w:hyperlink w:anchor="_Toc373229238" w:history="1">
        <w:r w:rsidR="00153C45" w:rsidRPr="007A195C">
          <w:rPr>
            <w:rStyle w:val="Hyperlink"/>
            <w:noProof/>
            <w:lang w:val="lv-LV" w:eastAsia="lv-LV"/>
          </w:rPr>
          <w:t>Lietotie saīsinājumi</w:t>
        </w:r>
        <w:r w:rsidR="00153C45">
          <w:rPr>
            <w:noProof/>
            <w:webHidden/>
          </w:rPr>
          <w:tab/>
        </w:r>
        <w:r w:rsidR="00153C45">
          <w:rPr>
            <w:noProof/>
            <w:webHidden/>
          </w:rPr>
          <w:fldChar w:fldCharType="begin"/>
        </w:r>
        <w:r w:rsidR="00153C45">
          <w:rPr>
            <w:noProof/>
            <w:webHidden/>
          </w:rPr>
          <w:instrText xml:space="preserve"> PAGEREF _Toc373229238 \h </w:instrText>
        </w:r>
        <w:r w:rsidR="00153C45">
          <w:rPr>
            <w:noProof/>
            <w:webHidden/>
          </w:rPr>
        </w:r>
        <w:r w:rsidR="00153C45">
          <w:rPr>
            <w:noProof/>
            <w:webHidden/>
          </w:rPr>
          <w:fldChar w:fldCharType="separate"/>
        </w:r>
        <w:r w:rsidR="00F93379">
          <w:rPr>
            <w:noProof/>
            <w:webHidden/>
          </w:rPr>
          <w:t>3</w:t>
        </w:r>
        <w:r w:rsidR="00153C45">
          <w:rPr>
            <w:noProof/>
            <w:webHidden/>
          </w:rPr>
          <w:fldChar w:fldCharType="end"/>
        </w:r>
      </w:hyperlink>
    </w:p>
    <w:p w14:paraId="7A8BECE9" w14:textId="77777777" w:rsidR="00153C45" w:rsidRPr="008565C6" w:rsidRDefault="006F42E0">
      <w:pPr>
        <w:pStyle w:val="TOC1"/>
        <w:rPr>
          <w:rFonts w:ascii="Calibri" w:hAnsi="Calibri"/>
          <w:noProof/>
          <w:snapToGrid/>
          <w:sz w:val="22"/>
          <w:szCs w:val="22"/>
          <w:lang w:val="lv-LV" w:eastAsia="lv-LV"/>
        </w:rPr>
      </w:pPr>
      <w:hyperlink w:anchor="_Toc373229239" w:history="1">
        <w:r w:rsidR="00153C45" w:rsidRPr="007A195C">
          <w:rPr>
            <w:rStyle w:val="Hyperlink"/>
            <w:noProof/>
            <w:lang w:val="lv-LV"/>
          </w:rPr>
          <w:t>Ievads</w:t>
        </w:r>
        <w:r w:rsidR="00153C45">
          <w:rPr>
            <w:noProof/>
            <w:webHidden/>
          </w:rPr>
          <w:tab/>
        </w:r>
        <w:r w:rsidR="00153C45">
          <w:rPr>
            <w:noProof/>
            <w:webHidden/>
          </w:rPr>
          <w:fldChar w:fldCharType="begin"/>
        </w:r>
        <w:r w:rsidR="00153C45">
          <w:rPr>
            <w:noProof/>
            <w:webHidden/>
          </w:rPr>
          <w:instrText xml:space="preserve"> PAGEREF _Toc373229239 \h </w:instrText>
        </w:r>
        <w:r w:rsidR="00153C45">
          <w:rPr>
            <w:noProof/>
            <w:webHidden/>
          </w:rPr>
        </w:r>
        <w:r w:rsidR="00153C45">
          <w:rPr>
            <w:noProof/>
            <w:webHidden/>
          </w:rPr>
          <w:fldChar w:fldCharType="separate"/>
        </w:r>
        <w:r w:rsidR="00F93379">
          <w:rPr>
            <w:noProof/>
            <w:webHidden/>
          </w:rPr>
          <w:t>4</w:t>
        </w:r>
        <w:r w:rsidR="00153C45">
          <w:rPr>
            <w:noProof/>
            <w:webHidden/>
          </w:rPr>
          <w:fldChar w:fldCharType="end"/>
        </w:r>
      </w:hyperlink>
    </w:p>
    <w:p w14:paraId="650CA39F" w14:textId="77777777" w:rsidR="00153C45" w:rsidRPr="008565C6" w:rsidRDefault="006F42E0">
      <w:pPr>
        <w:pStyle w:val="TOC1"/>
        <w:rPr>
          <w:rFonts w:ascii="Calibri" w:hAnsi="Calibri"/>
          <w:noProof/>
          <w:snapToGrid/>
          <w:sz w:val="22"/>
          <w:szCs w:val="22"/>
          <w:lang w:val="lv-LV" w:eastAsia="lv-LV"/>
        </w:rPr>
      </w:pPr>
      <w:hyperlink w:anchor="_Toc373229240" w:history="1">
        <w:r w:rsidR="00153C45" w:rsidRPr="007A195C">
          <w:rPr>
            <w:rStyle w:val="Hyperlink"/>
            <w:noProof/>
            <w:lang w:val="lv-LV"/>
          </w:rPr>
          <w:t>1.</w:t>
        </w:r>
        <w:r w:rsidR="00153C45" w:rsidRPr="008565C6">
          <w:rPr>
            <w:rFonts w:ascii="Calibri" w:hAnsi="Calibri"/>
            <w:noProof/>
            <w:snapToGrid/>
            <w:sz w:val="22"/>
            <w:szCs w:val="22"/>
            <w:lang w:val="lv-LV" w:eastAsia="lv-LV"/>
          </w:rPr>
          <w:tab/>
        </w:r>
        <w:r w:rsidR="00153C45" w:rsidRPr="007A195C">
          <w:rPr>
            <w:rStyle w:val="Hyperlink"/>
            <w:noProof/>
            <w:lang w:val="lv-LV"/>
          </w:rPr>
          <w:t>No atjaunojamiem resursiem ražotas enerģijas īpatsvars kopumā un atsevišķās nozarēs un tās faktiskais patēriņš</w:t>
        </w:r>
        <w:r w:rsidR="00153C45">
          <w:rPr>
            <w:noProof/>
            <w:webHidden/>
          </w:rPr>
          <w:tab/>
        </w:r>
        <w:r w:rsidR="00153C45">
          <w:rPr>
            <w:noProof/>
            <w:webHidden/>
          </w:rPr>
          <w:fldChar w:fldCharType="begin"/>
        </w:r>
        <w:r w:rsidR="00153C45">
          <w:rPr>
            <w:noProof/>
            <w:webHidden/>
          </w:rPr>
          <w:instrText xml:space="preserve"> PAGEREF _Toc373229240 \h </w:instrText>
        </w:r>
        <w:r w:rsidR="00153C45">
          <w:rPr>
            <w:noProof/>
            <w:webHidden/>
          </w:rPr>
        </w:r>
        <w:r w:rsidR="00153C45">
          <w:rPr>
            <w:noProof/>
            <w:webHidden/>
          </w:rPr>
          <w:fldChar w:fldCharType="separate"/>
        </w:r>
        <w:r w:rsidR="00F93379">
          <w:rPr>
            <w:noProof/>
            <w:webHidden/>
          </w:rPr>
          <w:t>5</w:t>
        </w:r>
        <w:r w:rsidR="00153C45">
          <w:rPr>
            <w:noProof/>
            <w:webHidden/>
          </w:rPr>
          <w:fldChar w:fldCharType="end"/>
        </w:r>
      </w:hyperlink>
    </w:p>
    <w:p w14:paraId="30EE0A11" w14:textId="77777777" w:rsidR="00153C45" w:rsidRPr="008565C6" w:rsidRDefault="006F42E0">
      <w:pPr>
        <w:pStyle w:val="TOC1"/>
        <w:rPr>
          <w:rFonts w:ascii="Calibri" w:hAnsi="Calibri"/>
          <w:noProof/>
          <w:snapToGrid/>
          <w:sz w:val="22"/>
          <w:szCs w:val="22"/>
          <w:lang w:val="lv-LV" w:eastAsia="lv-LV"/>
        </w:rPr>
      </w:pPr>
      <w:hyperlink w:anchor="_Toc373229241" w:history="1">
        <w:r w:rsidR="00153C45" w:rsidRPr="007A195C">
          <w:rPr>
            <w:rStyle w:val="Hyperlink"/>
            <w:noProof/>
            <w:lang w:val="lv-LV"/>
          </w:rPr>
          <w:t>2.</w:t>
        </w:r>
        <w:r w:rsidR="00153C45" w:rsidRPr="008565C6">
          <w:rPr>
            <w:rFonts w:ascii="Calibri" w:hAnsi="Calibri"/>
            <w:noProof/>
            <w:snapToGrid/>
            <w:sz w:val="22"/>
            <w:szCs w:val="22"/>
            <w:lang w:val="lv-LV" w:eastAsia="lv-LV"/>
          </w:rPr>
          <w:tab/>
        </w:r>
        <w:r w:rsidR="00153C45" w:rsidRPr="007A195C">
          <w:rPr>
            <w:rStyle w:val="Hyperlink"/>
            <w:noProof/>
            <w:lang w:val="lv-LV"/>
          </w:rPr>
          <w:t>Pasākumi, kas sekmē no atjaunojamiem resursiem ražotas enerģijas pieaugumu, ņemot vērā indikatīvo līkni valsts atjaunojamo energoresursu mērķu sasniegšanai</w:t>
        </w:r>
        <w:r w:rsidR="00153C45">
          <w:rPr>
            <w:noProof/>
            <w:webHidden/>
          </w:rPr>
          <w:tab/>
        </w:r>
        <w:r w:rsidR="00153C45">
          <w:rPr>
            <w:noProof/>
            <w:webHidden/>
          </w:rPr>
          <w:fldChar w:fldCharType="begin"/>
        </w:r>
        <w:r w:rsidR="00153C45">
          <w:rPr>
            <w:noProof/>
            <w:webHidden/>
          </w:rPr>
          <w:instrText xml:space="preserve"> PAGEREF _Toc373229241 \h </w:instrText>
        </w:r>
        <w:r w:rsidR="00153C45">
          <w:rPr>
            <w:noProof/>
            <w:webHidden/>
          </w:rPr>
        </w:r>
        <w:r w:rsidR="00153C45">
          <w:rPr>
            <w:noProof/>
            <w:webHidden/>
          </w:rPr>
          <w:fldChar w:fldCharType="separate"/>
        </w:r>
        <w:r w:rsidR="00F93379">
          <w:rPr>
            <w:noProof/>
            <w:webHidden/>
          </w:rPr>
          <w:t>10</w:t>
        </w:r>
        <w:r w:rsidR="00153C45">
          <w:rPr>
            <w:noProof/>
            <w:webHidden/>
          </w:rPr>
          <w:fldChar w:fldCharType="end"/>
        </w:r>
      </w:hyperlink>
    </w:p>
    <w:p w14:paraId="3704F8F5" w14:textId="77777777" w:rsidR="00153C45" w:rsidRPr="008565C6" w:rsidRDefault="006F42E0">
      <w:pPr>
        <w:pStyle w:val="TOC2"/>
        <w:tabs>
          <w:tab w:val="right" w:leader="dot" w:pos="9060"/>
        </w:tabs>
        <w:rPr>
          <w:rFonts w:ascii="Calibri" w:hAnsi="Calibri"/>
          <w:noProof/>
          <w:snapToGrid/>
          <w:sz w:val="22"/>
          <w:szCs w:val="22"/>
          <w:lang w:val="lv-LV" w:eastAsia="lv-LV"/>
        </w:rPr>
      </w:pPr>
      <w:hyperlink w:anchor="_Toc373229242" w:history="1">
        <w:r w:rsidR="00153C45" w:rsidRPr="007A195C">
          <w:rPr>
            <w:rStyle w:val="Hyperlink"/>
            <w:noProof/>
            <w:lang w:val="lv-LV"/>
          </w:rPr>
          <w:t>2.a Administratīvo procedūru progresa izklāsts</w:t>
        </w:r>
        <w:r w:rsidR="00153C45">
          <w:rPr>
            <w:noProof/>
            <w:webHidden/>
          </w:rPr>
          <w:tab/>
        </w:r>
        <w:r w:rsidR="00153C45">
          <w:rPr>
            <w:noProof/>
            <w:webHidden/>
          </w:rPr>
          <w:fldChar w:fldCharType="begin"/>
        </w:r>
        <w:r w:rsidR="00153C45">
          <w:rPr>
            <w:noProof/>
            <w:webHidden/>
          </w:rPr>
          <w:instrText xml:space="preserve"> PAGEREF _Toc373229242 \h </w:instrText>
        </w:r>
        <w:r w:rsidR="00153C45">
          <w:rPr>
            <w:noProof/>
            <w:webHidden/>
          </w:rPr>
        </w:r>
        <w:r w:rsidR="00153C45">
          <w:rPr>
            <w:noProof/>
            <w:webHidden/>
          </w:rPr>
          <w:fldChar w:fldCharType="separate"/>
        </w:r>
        <w:r w:rsidR="00F93379">
          <w:rPr>
            <w:noProof/>
            <w:webHidden/>
          </w:rPr>
          <w:t>16</w:t>
        </w:r>
        <w:r w:rsidR="00153C45">
          <w:rPr>
            <w:noProof/>
            <w:webHidden/>
          </w:rPr>
          <w:fldChar w:fldCharType="end"/>
        </w:r>
      </w:hyperlink>
    </w:p>
    <w:p w14:paraId="54CF8D1E" w14:textId="77777777" w:rsidR="00153C45" w:rsidRPr="008565C6" w:rsidRDefault="006F42E0">
      <w:pPr>
        <w:pStyle w:val="TOC2"/>
        <w:tabs>
          <w:tab w:val="right" w:leader="dot" w:pos="9060"/>
        </w:tabs>
        <w:rPr>
          <w:rFonts w:ascii="Calibri" w:hAnsi="Calibri"/>
          <w:noProof/>
          <w:snapToGrid/>
          <w:sz w:val="22"/>
          <w:szCs w:val="22"/>
          <w:lang w:val="lv-LV" w:eastAsia="lv-LV"/>
        </w:rPr>
      </w:pPr>
      <w:hyperlink w:anchor="_Toc373229243" w:history="1">
        <w:r w:rsidR="00153C45" w:rsidRPr="007A195C">
          <w:rPr>
            <w:rStyle w:val="Hyperlink"/>
            <w:noProof/>
          </w:rPr>
          <w:t>2.b Pasākumi, kas veikti, lai nodrošinātu no atjaunojamajiem energoresursiem saražotas elektroenerģijas pārvadi un sadali un lai uzlabotu sistēmu vai noteikumus, kā tiek segtas un sadalītas izmaksas, kas saistītas ar pieslēgšanos tīklam un tīkla jaudas palielinājumu</w:t>
        </w:r>
        <w:r w:rsidR="00153C45">
          <w:rPr>
            <w:noProof/>
            <w:webHidden/>
          </w:rPr>
          <w:tab/>
        </w:r>
        <w:r w:rsidR="00153C45">
          <w:rPr>
            <w:noProof/>
            <w:webHidden/>
          </w:rPr>
          <w:fldChar w:fldCharType="begin"/>
        </w:r>
        <w:r w:rsidR="00153C45">
          <w:rPr>
            <w:noProof/>
            <w:webHidden/>
          </w:rPr>
          <w:instrText xml:space="preserve"> PAGEREF _Toc373229243 \h </w:instrText>
        </w:r>
        <w:r w:rsidR="00153C45">
          <w:rPr>
            <w:noProof/>
            <w:webHidden/>
          </w:rPr>
        </w:r>
        <w:r w:rsidR="00153C45">
          <w:rPr>
            <w:noProof/>
            <w:webHidden/>
          </w:rPr>
          <w:fldChar w:fldCharType="separate"/>
        </w:r>
        <w:r w:rsidR="00F93379">
          <w:rPr>
            <w:noProof/>
            <w:webHidden/>
          </w:rPr>
          <w:t>18</w:t>
        </w:r>
        <w:r w:rsidR="00153C45">
          <w:rPr>
            <w:noProof/>
            <w:webHidden/>
          </w:rPr>
          <w:fldChar w:fldCharType="end"/>
        </w:r>
      </w:hyperlink>
    </w:p>
    <w:p w14:paraId="3965A7FE" w14:textId="77777777" w:rsidR="00153C45" w:rsidRPr="008565C6" w:rsidRDefault="006F42E0">
      <w:pPr>
        <w:pStyle w:val="TOC1"/>
        <w:rPr>
          <w:rFonts w:ascii="Calibri" w:hAnsi="Calibri"/>
          <w:noProof/>
          <w:snapToGrid/>
          <w:sz w:val="22"/>
          <w:szCs w:val="22"/>
          <w:lang w:val="lv-LV" w:eastAsia="lv-LV"/>
        </w:rPr>
      </w:pPr>
      <w:hyperlink w:anchor="_Toc373229244" w:history="1">
        <w:r w:rsidR="00153C45" w:rsidRPr="007A195C">
          <w:rPr>
            <w:rStyle w:val="Hyperlink"/>
            <w:noProof/>
            <w:lang w:val="lv-LV"/>
          </w:rPr>
          <w:t>3.</w:t>
        </w:r>
        <w:r w:rsidR="00153C45" w:rsidRPr="008565C6">
          <w:rPr>
            <w:rFonts w:ascii="Calibri" w:hAnsi="Calibri"/>
            <w:noProof/>
            <w:snapToGrid/>
            <w:sz w:val="22"/>
            <w:szCs w:val="22"/>
            <w:lang w:val="lv-LV" w:eastAsia="lv-LV"/>
          </w:rPr>
          <w:tab/>
        </w:r>
        <w:r w:rsidR="00153C45" w:rsidRPr="007A195C">
          <w:rPr>
            <w:rStyle w:val="Hyperlink"/>
            <w:noProof/>
            <w:lang w:val="lv-LV"/>
          </w:rPr>
          <w:t>Atbalsta mehānismi, to izmaiņas atjaunojamās enerģijas izmantošanas veicināšanai</w:t>
        </w:r>
        <w:r w:rsidR="00153C45">
          <w:rPr>
            <w:noProof/>
            <w:webHidden/>
          </w:rPr>
          <w:tab/>
        </w:r>
        <w:r w:rsidR="00153C45">
          <w:rPr>
            <w:noProof/>
            <w:webHidden/>
          </w:rPr>
          <w:fldChar w:fldCharType="begin"/>
        </w:r>
        <w:r w:rsidR="00153C45">
          <w:rPr>
            <w:noProof/>
            <w:webHidden/>
          </w:rPr>
          <w:instrText xml:space="preserve"> PAGEREF _Toc373229244 \h </w:instrText>
        </w:r>
        <w:r w:rsidR="00153C45">
          <w:rPr>
            <w:noProof/>
            <w:webHidden/>
          </w:rPr>
        </w:r>
        <w:r w:rsidR="00153C45">
          <w:rPr>
            <w:noProof/>
            <w:webHidden/>
          </w:rPr>
          <w:fldChar w:fldCharType="separate"/>
        </w:r>
        <w:r w:rsidR="00F93379">
          <w:rPr>
            <w:noProof/>
            <w:webHidden/>
          </w:rPr>
          <w:t>20</w:t>
        </w:r>
        <w:r w:rsidR="00153C45">
          <w:rPr>
            <w:noProof/>
            <w:webHidden/>
          </w:rPr>
          <w:fldChar w:fldCharType="end"/>
        </w:r>
      </w:hyperlink>
    </w:p>
    <w:p w14:paraId="0BEA8AED" w14:textId="77777777" w:rsidR="00153C45" w:rsidRPr="008565C6" w:rsidRDefault="006F42E0">
      <w:pPr>
        <w:pStyle w:val="TOC2"/>
        <w:tabs>
          <w:tab w:val="right" w:leader="dot" w:pos="9060"/>
        </w:tabs>
        <w:rPr>
          <w:rFonts w:ascii="Calibri" w:hAnsi="Calibri"/>
          <w:noProof/>
          <w:snapToGrid/>
          <w:sz w:val="22"/>
          <w:szCs w:val="22"/>
          <w:lang w:val="lv-LV" w:eastAsia="lv-LV"/>
        </w:rPr>
      </w:pPr>
      <w:hyperlink w:anchor="_Toc373229245" w:history="1">
        <w:r w:rsidR="00153C45" w:rsidRPr="007A195C">
          <w:rPr>
            <w:rStyle w:val="Hyperlink"/>
            <w:noProof/>
          </w:rPr>
          <w:t>3.1. Informācija par atbalstāmās elektroenerģijas piegādi galalietotājiem</w:t>
        </w:r>
        <w:r w:rsidR="00153C45">
          <w:rPr>
            <w:noProof/>
            <w:webHidden/>
          </w:rPr>
          <w:tab/>
        </w:r>
        <w:r w:rsidR="00153C45">
          <w:rPr>
            <w:noProof/>
            <w:webHidden/>
          </w:rPr>
          <w:fldChar w:fldCharType="begin"/>
        </w:r>
        <w:r w:rsidR="00153C45">
          <w:rPr>
            <w:noProof/>
            <w:webHidden/>
          </w:rPr>
          <w:instrText xml:space="preserve"> PAGEREF _Toc373229245 \h </w:instrText>
        </w:r>
        <w:r w:rsidR="00153C45">
          <w:rPr>
            <w:noProof/>
            <w:webHidden/>
          </w:rPr>
        </w:r>
        <w:r w:rsidR="00153C45">
          <w:rPr>
            <w:noProof/>
            <w:webHidden/>
          </w:rPr>
          <w:fldChar w:fldCharType="separate"/>
        </w:r>
        <w:r w:rsidR="00F93379">
          <w:rPr>
            <w:noProof/>
            <w:webHidden/>
          </w:rPr>
          <w:t>23</w:t>
        </w:r>
        <w:r w:rsidR="00153C45">
          <w:rPr>
            <w:noProof/>
            <w:webHidden/>
          </w:rPr>
          <w:fldChar w:fldCharType="end"/>
        </w:r>
      </w:hyperlink>
    </w:p>
    <w:p w14:paraId="3FE05CCC" w14:textId="77777777" w:rsidR="00153C45" w:rsidRPr="008565C6" w:rsidRDefault="006F42E0">
      <w:pPr>
        <w:pStyle w:val="TOC1"/>
        <w:rPr>
          <w:rFonts w:ascii="Calibri" w:hAnsi="Calibri"/>
          <w:noProof/>
          <w:snapToGrid/>
          <w:sz w:val="22"/>
          <w:szCs w:val="22"/>
          <w:lang w:val="lv-LV" w:eastAsia="lv-LV"/>
        </w:rPr>
      </w:pPr>
      <w:hyperlink w:anchor="_Toc373229246" w:history="1">
        <w:r w:rsidR="00153C45" w:rsidRPr="007A195C">
          <w:rPr>
            <w:rStyle w:val="Hyperlink"/>
            <w:noProof/>
            <w:lang w:val="lv-LV"/>
          </w:rPr>
          <w:t>4. Atjaunojamo energoresursu, kuri sniedz papildu ieguvumus, atbalsta shēmas</w:t>
        </w:r>
        <w:r w:rsidR="00153C45">
          <w:rPr>
            <w:noProof/>
            <w:webHidden/>
          </w:rPr>
          <w:tab/>
        </w:r>
        <w:r w:rsidR="00153C45">
          <w:rPr>
            <w:noProof/>
            <w:webHidden/>
          </w:rPr>
          <w:fldChar w:fldCharType="begin"/>
        </w:r>
        <w:r w:rsidR="00153C45">
          <w:rPr>
            <w:noProof/>
            <w:webHidden/>
          </w:rPr>
          <w:instrText xml:space="preserve"> PAGEREF _Toc373229246 \h </w:instrText>
        </w:r>
        <w:r w:rsidR="00153C45">
          <w:rPr>
            <w:noProof/>
            <w:webHidden/>
          </w:rPr>
        </w:r>
        <w:r w:rsidR="00153C45">
          <w:rPr>
            <w:noProof/>
            <w:webHidden/>
          </w:rPr>
          <w:fldChar w:fldCharType="separate"/>
        </w:r>
        <w:r w:rsidR="00F93379">
          <w:rPr>
            <w:noProof/>
            <w:webHidden/>
          </w:rPr>
          <w:t>25</w:t>
        </w:r>
        <w:r w:rsidR="00153C45">
          <w:rPr>
            <w:noProof/>
            <w:webHidden/>
          </w:rPr>
          <w:fldChar w:fldCharType="end"/>
        </w:r>
      </w:hyperlink>
    </w:p>
    <w:p w14:paraId="1D54C884" w14:textId="77777777" w:rsidR="00153C45" w:rsidRPr="008565C6" w:rsidRDefault="006F42E0">
      <w:pPr>
        <w:pStyle w:val="TOC1"/>
        <w:rPr>
          <w:rFonts w:ascii="Calibri" w:hAnsi="Calibri"/>
          <w:noProof/>
          <w:snapToGrid/>
          <w:sz w:val="22"/>
          <w:szCs w:val="22"/>
          <w:lang w:val="lv-LV" w:eastAsia="lv-LV"/>
        </w:rPr>
      </w:pPr>
      <w:hyperlink w:anchor="_Toc373229247" w:history="1">
        <w:r w:rsidR="00153C45" w:rsidRPr="007A195C">
          <w:rPr>
            <w:rStyle w:val="Hyperlink"/>
            <w:noProof/>
            <w:lang w:val="lv-LV"/>
          </w:rPr>
          <w:t>5. Izcelsmes apliecinājumu sistēma</w:t>
        </w:r>
        <w:r w:rsidR="00153C45">
          <w:rPr>
            <w:noProof/>
            <w:webHidden/>
          </w:rPr>
          <w:tab/>
        </w:r>
        <w:r w:rsidR="00153C45">
          <w:rPr>
            <w:noProof/>
            <w:webHidden/>
          </w:rPr>
          <w:fldChar w:fldCharType="begin"/>
        </w:r>
        <w:r w:rsidR="00153C45">
          <w:rPr>
            <w:noProof/>
            <w:webHidden/>
          </w:rPr>
          <w:instrText xml:space="preserve"> PAGEREF _Toc373229247 \h </w:instrText>
        </w:r>
        <w:r w:rsidR="00153C45">
          <w:rPr>
            <w:noProof/>
            <w:webHidden/>
          </w:rPr>
        </w:r>
        <w:r w:rsidR="00153C45">
          <w:rPr>
            <w:noProof/>
            <w:webHidden/>
          </w:rPr>
          <w:fldChar w:fldCharType="separate"/>
        </w:r>
        <w:r w:rsidR="00F93379">
          <w:rPr>
            <w:noProof/>
            <w:webHidden/>
          </w:rPr>
          <w:t>25</w:t>
        </w:r>
        <w:r w:rsidR="00153C45">
          <w:rPr>
            <w:noProof/>
            <w:webHidden/>
          </w:rPr>
          <w:fldChar w:fldCharType="end"/>
        </w:r>
      </w:hyperlink>
    </w:p>
    <w:p w14:paraId="589D3197" w14:textId="77777777" w:rsidR="00153C45" w:rsidRPr="008565C6" w:rsidRDefault="006F42E0">
      <w:pPr>
        <w:pStyle w:val="TOC1"/>
        <w:rPr>
          <w:rFonts w:ascii="Calibri" w:hAnsi="Calibri"/>
          <w:noProof/>
          <w:snapToGrid/>
          <w:sz w:val="22"/>
          <w:szCs w:val="22"/>
          <w:lang w:val="lv-LV" w:eastAsia="lv-LV"/>
        </w:rPr>
      </w:pPr>
      <w:hyperlink w:anchor="_Toc373229248" w:history="1">
        <w:r w:rsidR="00153C45" w:rsidRPr="007A195C">
          <w:rPr>
            <w:rStyle w:val="Hyperlink"/>
            <w:noProof/>
            <w:lang w:val="lv-LV"/>
          </w:rPr>
          <w:t>6. Tendences biomasas resursu pieejamībā un izmantošanā enerģijas nolūkos</w:t>
        </w:r>
        <w:r w:rsidR="00153C45">
          <w:rPr>
            <w:noProof/>
            <w:webHidden/>
          </w:rPr>
          <w:tab/>
        </w:r>
        <w:r w:rsidR="00153C45">
          <w:rPr>
            <w:noProof/>
            <w:webHidden/>
          </w:rPr>
          <w:fldChar w:fldCharType="begin"/>
        </w:r>
        <w:r w:rsidR="00153C45">
          <w:rPr>
            <w:noProof/>
            <w:webHidden/>
          </w:rPr>
          <w:instrText xml:space="preserve"> PAGEREF _Toc373229248 \h </w:instrText>
        </w:r>
        <w:r w:rsidR="00153C45">
          <w:rPr>
            <w:noProof/>
            <w:webHidden/>
          </w:rPr>
        </w:r>
        <w:r w:rsidR="00153C45">
          <w:rPr>
            <w:noProof/>
            <w:webHidden/>
          </w:rPr>
          <w:fldChar w:fldCharType="separate"/>
        </w:r>
        <w:r w:rsidR="00F93379">
          <w:rPr>
            <w:noProof/>
            <w:webHidden/>
          </w:rPr>
          <w:t>27</w:t>
        </w:r>
        <w:r w:rsidR="00153C45">
          <w:rPr>
            <w:noProof/>
            <w:webHidden/>
          </w:rPr>
          <w:fldChar w:fldCharType="end"/>
        </w:r>
      </w:hyperlink>
    </w:p>
    <w:p w14:paraId="21844C31" w14:textId="77777777" w:rsidR="00153C45" w:rsidRPr="008565C6" w:rsidRDefault="006F42E0">
      <w:pPr>
        <w:pStyle w:val="TOC1"/>
        <w:rPr>
          <w:rFonts w:ascii="Calibri" w:hAnsi="Calibri"/>
          <w:noProof/>
          <w:snapToGrid/>
          <w:sz w:val="22"/>
          <w:szCs w:val="22"/>
          <w:lang w:val="lv-LV" w:eastAsia="lv-LV"/>
        </w:rPr>
      </w:pPr>
      <w:hyperlink w:anchor="_Toc373229249" w:history="1">
        <w:r w:rsidR="00153C45" w:rsidRPr="007A195C">
          <w:rPr>
            <w:rStyle w:val="Hyperlink"/>
            <w:noProof/>
            <w:lang w:val="lv-LV"/>
          </w:rPr>
          <w:t>7. Izejvielu cenu un zemes izmantošanas izmaiņas, kuras saistītas ar palielinātu biomasas un citu no atjaunojamajiem energoresursiem saražoto enerģijas veidu izmantošanu</w:t>
        </w:r>
        <w:r w:rsidR="00153C45">
          <w:rPr>
            <w:noProof/>
            <w:webHidden/>
          </w:rPr>
          <w:tab/>
        </w:r>
        <w:r w:rsidR="00153C45">
          <w:rPr>
            <w:noProof/>
            <w:webHidden/>
          </w:rPr>
          <w:fldChar w:fldCharType="begin"/>
        </w:r>
        <w:r w:rsidR="00153C45">
          <w:rPr>
            <w:noProof/>
            <w:webHidden/>
          </w:rPr>
          <w:instrText xml:space="preserve"> PAGEREF _Toc373229249 \h </w:instrText>
        </w:r>
        <w:r w:rsidR="00153C45">
          <w:rPr>
            <w:noProof/>
            <w:webHidden/>
          </w:rPr>
        </w:r>
        <w:r w:rsidR="00153C45">
          <w:rPr>
            <w:noProof/>
            <w:webHidden/>
          </w:rPr>
          <w:fldChar w:fldCharType="separate"/>
        </w:r>
        <w:r w:rsidR="00F93379">
          <w:rPr>
            <w:noProof/>
            <w:webHidden/>
          </w:rPr>
          <w:t>28</w:t>
        </w:r>
        <w:r w:rsidR="00153C45">
          <w:rPr>
            <w:noProof/>
            <w:webHidden/>
          </w:rPr>
          <w:fldChar w:fldCharType="end"/>
        </w:r>
      </w:hyperlink>
    </w:p>
    <w:p w14:paraId="6B6BC193" w14:textId="77777777" w:rsidR="00153C45" w:rsidRPr="008565C6" w:rsidRDefault="006F42E0">
      <w:pPr>
        <w:pStyle w:val="TOC1"/>
        <w:rPr>
          <w:rFonts w:ascii="Calibri" w:hAnsi="Calibri"/>
          <w:noProof/>
          <w:snapToGrid/>
          <w:sz w:val="22"/>
          <w:szCs w:val="22"/>
          <w:lang w:val="lv-LV" w:eastAsia="lv-LV"/>
        </w:rPr>
      </w:pPr>
      <w:hyperlink w:anchor="_Toc373229250" w:history="1">
        <w:r w:rsidR="00153C45" w:rsidRPr="007A195C">
          <w:rPr>
            <w:rStyle w:val="Hyperlink"/>
            <w:noProof/>
            <w:lang w:val="lv-LV"/>
          </w:rPr>
          <w:t>8. Otrās paaudzes biodegvielu attīstība un īpatsvars</w:t>
        </w:r>
        <w:r w:rsidR="00153C45">
          <w:rPr>
            <w:noProof/>
            <w:webHidden/>
          </w:rPr>
          <w:tab/>
        </w:r>
        <w:r w:rsidR="00153C45">
          <w:rPr>
            <w:noProof/>
            <w:webHidden/>
          </w:rPr>
          <w:fldChar w:fldCharType="begin"/>
        </w:r>
        <w:r w:rsidR="00153C45">
          <w:rPr>
            <w:noProof/>
            <w:webHidden/>
          </w:rPr>
          <w:instrText xml:space="preserve"> PAGEREF _Toc373229250 \h </w:instrText>
        </w:r>
        <w:r w:rsidR="00153C45">
          <w:rPr>
            <w:noProof/>
            <w:webHidden/>
          </w:rPr>
        </w:r>
        <w:r w:rsidR="00153C45">
          <w:rPr>
            <w:noProof/>
            <w:webHidden/>
          </w:rPr>
          <w:fldChar w:fldCharType="separate"/>
        </w:r>
        <w:r w:rsidR="00F93379">
          <w:rPr>
            <w:noProof/>
            <w:webHidden/>
          </w:rPr>
          <w:t>29</w:t>
        </w:r>
        <w:r w:rsidR="00153C45">
          <w:rPr>
            <w:noProof/>
            <w:webHidden/>
          </w:rPr>
          <w:fldChar w:fldCharType="end"/>
        </w:r>
      </w:hyperlink>
    </w:p>
    <w:p w14:paraId="1FEE1313" w14:textId="77777777" w:rsidR="00153C45" w:rsidRPr="008565C6" w:rsidRDefault="006F42E0">
      <w:pPr>
        <w:pStyle w:val="TOC1"/>
        <w:rPr>
          <w:rFonts w:ascii="Calibri" w:hAnsi="Calibri"/>
          <w:noProof/>
          <w:snapToGrid/>
          <w:sz w:val="22"/>
          <w:szCs w:val="22"/>
          <w:lang w:val="lv-LV" w:eastAsia="lv-LV"/>
        </w:rPr>
      </w:pPr>
      <w:hyperlink w:anchor="_Toc373229251" w:history="1">
        <w:r w:rsidR="00153C45" w:rsidRPr="007A195C">
          <w:rPr>
            <w:rStyle w:val="Hyperlink"/>
            <w:noProof/>
            <w:lang w:val="lv-LV"/>
          </w:rPr>
          <w:t>9. Biodegvielu un bioloģisko šķidro kurināmo ražošanas ietekme uz bioloģisko daudzveidību, ūdens resursiem, ūdens kvalitāti un augsnes kvalitāti</w:t>
        </w:r>
        <w:r w:rsidR="00153C45">
          <w:rPr>
            <w:noProof/>
            <w:webHidden/>
          </w:rPr>
          <w:tab/>
        </w:r>
        <w:r w:rsidR="00153C45">
          <w:rPr>
            <w:noProof/>
            <w:webHidden/>
          </w:rPr>
          <w:fldChar w:fldCharType="begin"/>
        </w:r>
        <w:r w:rsidR="00153C45">
          <w:rPr>
            <w:noProof/>
            <w:webHidden/>
          </w:rPr>
          <w:instrText xml:space="preserve"> PAGEREF _Toc373229251 \h </w:instrText>
        </w:r>
        <w:r w:rsidR="00153C45">
          <w:rPr>
            <w:noProof/>
            <w:webHidden/>
          </w:rPr>
        </w:r>
        <w:r w:rsidR="00153C45">
          <w:rPr>
            <w:noProof/>
            <w:webHidden/>
          </w:rPr>
          <w:fldChar w:fldCharType="separate"/>
        </w:r>
        <w:r w:rsidR="00F93379">
          <w:rPr>
            <w:noProof/>
            <w:webHidden/>
          </w:rPr>
          <w:t>29</w:t>
        </w:r>
        <w:r w:rsidR="00153C45">
          <w:rPr>
            <w:noProof/>
            <w:webHidden/>
          </w:rPr>
          <w:fldChar w:fldCharType="end"/>
        </w:r>
      </w:hyperlink>
    </w:p>
    <w:p w14:paraId="0B5E7E52" w14:textId="77777777" w:rsidR="00153C45" w:rsidRPr="008565C6" w:rsidRDefault="006F42E0">
      <w:pPr>
        <w:pStyle w:val="TOC1"/>
        <w:rPr>
          <w:rFonts w:ascii="Calibri" w:hAnsi="Calibri"/>
          <w:noProof/>
          <w:snapToGrid/>
          <w:sz w:val="22"/>
          <w:szCs w:val="22"/>
          <w:lang w:val="lv-LV" w:eastAsia="lv-LV"/>
        </w:rPr>
      </w:pPr>
      <w:hyperlink w:anchor="_Toc373229252" w:history="1">
        <w:r w:rsidR="00153C45" w:rsidRPr="007A195C">
          <w:rPr>
            <w:rStyle w:val="Hyperlink"/>
            <w:noProof/>
            <w:lang w:val="lv-LV"/>
          </w:rPr>
          <w:t>10. SEG emisijas neto ietaupījums, kas panākts, izmantojot atjaunojamo enerģiju</w:t>
        </w:r>
        <w:r w:rsidR="00153C45">
          <w:rPr>
            <w:noProof/>
            <w:webHidden/>
          </w:rPr>
          <w:tab/>
        </w:r>
        <w:r w:rsidR="00153C45">
          <w:rPr>
            <w:noProof/>
            <w:webHidden/>
          </w:rPr>
          <w:fldChar w:fldCharType="begin"/>
        </w:r>
        <w:r w:rsidR="00153C45">
          <w:rPr>
            <w:noProof/>
            <w:webHidden/>
          </w:rPr>
          <w:instrText xml:space="preserve"> PAGEREF _Toc373229252 \h </w:instrText>
        </w:r>
        <w:r w:rsidR="00153C45">
          <w:rPr>
            <w:noProof/>
            <w:webHidden/>
          </w:rPr>
        </w:r>
        <w:r w:rsidR="00153C45">
          <w:rPr>
            <w:noProof/>
            <w:webHidden/>
          </w:rPr>
          <w:fldChar w:fldCharType="separate"/>
        </w:r>
        <w:r w:rsidR="00F93379">
          <w:rPr>
            <w:noProof/>
            <w:webHidden/>
          </w:rPr>
          <w:t>31</w:t>
        </w:r>
        <w:r w:rsidR="00153C45">
          <w:rPr>
            <w:noProof/>
            <w:webHidden/>
          </w:rPr>
          <w:fldChar w:fldCharType="end"/>
        </w:r>
      </w:hyperlink>
    </w:p>
    <w:p w14:paraId="4320CF07" w14:textId="77777777" w:rsidR="00153C45" w:rsidRPr="008565C6" w:rsidRDefault="006F42E0">
      <w:pPr>
        <w:pStyle w:val="TOC1"/>
        <w:rPr>
          <w:rFonts w:ascii="Calibri" w:hAnsi="Calibri"/>
          <w:noProof/>
          <w:snapToGrid/>
          <w:sz w:val="22"/>
          <w:szCs w:val="22"/>
          <w:lang w:val="lv-LV" w:eastAsia="lv-LV"/>
        </w:rPr>
      </w:pPr>
      <w:hyperlink w:anchor="_Toc373229253" w:history="1">
        <w:r w:rsidR="00153C45" w:rsidRPr="007A195C">
          <w:rPr>
            <w:rStyle w:val="Hyperlink"/>
            <w:noProof/>
            <w:lang w:val="lv-LV"/>
          </w:rPr>
          <w:t>11. Dati un aplēses par no atjaunojamajiem energoresursiem saražotās enerģijas pārprodukciju/deficītu, salīdzinot ar indikatīvo līkni</w:t>
        </w:r>
        <w:r w:rsidR="00153C45">
          <w:rPr>
            <w:noProof/>
            <w:webHidden/>
          </w:rPr>
          <w:tab/>
        </w:r>
        <w:r w:rsidR="00153C45">
          <w:rPr>
            <w:noProof/>
            <w:webHidden/>
          </w:rPr>
          <w:fldChar w:fldCharType="begin"/>
        </w:r>
        <w:r w:rsidR="00153C45">
          <w:rPr>
            <w:noProof/>
            <w:webHidden/>
          </w:rPr>
          <w:instrText xml:space="preserve"> PAGEREF _Toc373229253 \h </w:instrText>
        </w:r>
        <w:r w:rsidR="00153C45">
          <w:rPr>
            <w:noProof/>
            <w:webHidden/>
          </w:rPr>
        </w:r>
        <w:r w:rsidR="00153C45">
          <w:rPr>
            <w:noProof/>
            <w:webHidden/>
          </w:rPr>
          <w:fldChar w:fldCharType="separate"/>
        </w:r>
        <w:r w:rsidR="00F93379">
          <w:rPr>
            <w:noProof/>
            <w:webHidden/>
          </w:rPr>
          <w:t>32</w:t>
        </w:r>
        <w:r w:rsidR="00153C45">
          <w:rPr>
            <w:noProof/>
            <w:webHidden/>
          </w:rPr>
          <w:fldChar w:fldCharType="end"/>
        </w:r>
      </w:hyperlink>
    </w:p>
    <w:p w14:paraId="5CB32512" w14:textId="77777777" w:rsidR="00153C45" w:rsidRPr="008565C6" w:rsidRDefault="006F42E0">
      <w:pPr>
        <w:pStyle w:val="TOC2"/>
        <w:tabs>
          <w:tab w:val="right" w:leader="dot" w:pos="9060"/>
        </w:tabs>
        <w:rPr>
          <w:rFonts w:ascii="Calibri" w:hAnsi="Calibri"/>
          <w:noProof/>
          <w:snapToGrid/>
          <w:sz w:val="22"/>
          <w:szCs w:val="22"/>
          <w:lang w:val="lv-LV" w:eastAsia="lv-LV"/>
        </w:rPr>
      </w:pPr>
      <w:hyperlink w:anchor="_Toc373229254" w:history="1">
        <w:r w:rsidR="00153C45" w:rsidRPr="007A195C">
          <w:rPr>
            <w:rStyle w:val="Hyperlink"/>
            <w:noProof/>
          </w:rPr>
          <w:t>11.1. Statistiskie pārvedumi, kopīgi īstenotie projekti un kopīgu atbalsta shēmu lēmumu noteikumi</w:t>
        </w:r>
        <w:r w:rsidR="00153C45">
          <w:rPr>
            <w:noProof/>
            <w:webHidden/>
          </w:rPr>
          <w:tab/>
        </w:r>
        <w:r w:rsidR="00153C45">
          <w:rPr>
            <w:noProof/>
            <w:webHidden/>
          </w:rPr>
          <w:fldChar w:fldCharType="begin"/>
        </w:r>
        <w:r w:rsidR="00153C45">
          <w:rPr>
            <w:noProof/>
            <w:webHidden/>
          </w:rPr>
          <w:instrText xml:space="preserve"> PAGEREF _Toc373229254 \h </w:instrText>
        </w:r>
        <w:r w:rsidR="00153C45">
          <w:rPr>
            <w:noProof/>
            <w:webHidden/>
          </w:rPr>
        </w:r>
        <w:r w:rsidR="00153C45">
          <w:rPr>
            <w:noProof/>
            <w:webHidden/>
          </w:rPr>
          <w:fldChar w:fldCharType="separate"/>
        </w:r>
        <w:r w:rsidR="00F93379">
          <w:rPr>
            <w:noProof/>
            <w:webHidden/>
          </w:rPr>
          <w:t>33</w:t>
        </w:r>
        <w:r w:rsidR="00153C45">
          <w:rPr>
            <w:noProof/>
            <w:webHidden/>
          </w:rPr>
          <w:fldChar w:fldCharType="end"/>
        </w:r>
      </w:hyperlink>
    </w:p>
    <w:p w14:paraId="5FA20219" w14:textId="77777777" w:rsidR="00153C45" w:rsidRPr="008565C6" w:rsidRDefault="006F42E0">
      <w:pPr>
        <w:pStyle w:val="TOC1"/>
        <w:rPr>
          <w:rFonts w:ascii="Calibri" w:hAnsi="Calibri"/>
          <w:noProof/>
          <w:snapToGrid/>
          <w:sz w:val="22"/>
          <w:szCs w:val="22"/>
          <w:lang w:val="lv-LV" w:eastAsia="lv-LV"/>
        </w:rPr>
      </w:pPr>
      <w:hyperlink w:anchor="_Toc373229255" w:history="1">
        <w:r w:rsidR="00153C45" w:rsidRPr="007A195C">
          <w:rPr>
            <w:rStyle w:val="Hyperlink"/>
            <w:noProof/>
            <w:lang w:val="lv-LV"/>
          </w:rPr>
          <w:t>12. Informācija par to, kā veiktas aplēses par bioloģiski noārdāmo atkritumu īpatsvaru enerģijas ražošanai izmantojamos atkritumos</w:t>
        </w:r>
        <w:r w:rsidR="00153C45">
          <w:rPr>
            <w:noProof/>
            <w:webHidden/>
          </w:rPr>
          <w:tab/>
        </w:r>
        <w:r w:rsidR="00153C45">
          <w:rPr>
            <w:noProof/>
            <w:webHidden/>
          </w:rPr>
          <w:fldChar w:fldCharType="begin"/>
        </w:r>
        <w:r w:rsidR="00153C45">
          <w:rPr>
            <w:noProof/>
            <w:webHidden/>
          </w:rPr>
          <w:instrText xml:space="preserve"> PAGEREF _Toc373229255 \h </w:instrText>
        </w:r>
        <w:r w:rsidR="00153C45">
          <w:rPr>
            <w:noProof/>
            <w:webHidden/>
          </w:rPr>
        </w:r>
        <w:r w:rsidR="00153C45">
          <w:rPr>
            <w:noProof/>
            <w:webHidden/>
          </w:rPr>
          <w:fldChar w:fldCharType="separate"/>
        </w:r>
        <w:r w:rsidR="00F93379">
          <w:rPr>
            <w:noProof/>
            <w:webHidden/>
          </w:rPr>
          <w:t>33</w:t>
        </w:r>
        <w:r w:rsidR="00153C45">
          <w:rPr>
            <w:noProof/>
            <w:webHidden/>
          </w:rPr>
          <w:fldChar w:fldCharType="end"/>
        </w:r>
      </w:hyperlink>
    </w:p>
    <w:p w14:paraId="65375BC3" w14:textId="77777777" w:rsidR="00D037EB" w:rsidRDefault="00D037EB" w:rsidP="00B70687">
      <w:r>
        <w:rPr>
          <w:b/>
          <w:bCs/>
          <w:noProof/>
        </w:rPr>
        <w:fldChar w:fldCharType="end"/>
      </w:r>
    </w:p>
    <w:p w14:paraId="17C82A26" w14:textId="77777777" w:rsidR="001841CE" w:rsidRDefault="001841CE" w:rsidP="00B70687"/>
    <w:p w14:paraId="7505B344" w14:textId="77777777" w:rsidR="00D063A6" w:rsidRDefault="00D063A6" w:rsidP="00B70687">
      <w:pPr>
        <w:rPr>
          <w:b/>
          <w:lang w:val="lv-LV"/>
        </w:rPr>
      </w:pPr>
    </w:p>
    <w:p w14:paraId="76BB3222" w14:textId="77777777" w:rsidR="006B3FCB" w:rsidRPr="00FC2E76" w:rsidRDefault="001841CE" w:rsidP="001841CE">
      <w:pPr>
        <w:pStyle w:val="Heading1"/>
        <w:numPr>
          <w:ilvl w:val="0"/>
          <w:numId w:val="0"/>
        </w:numPr>
        <w:ind w:left="850"/>
        <w:jc w:val="center"/>
        <w:rPr>
          <w:smallCaps w:val="0"/>
          <w:snapToGrid/>
          <w:szCs w:val="24"/>
          <w:lang w:val="lv-LV" w:eastAsia="lv-LV"/>
        </w:rPr>
      </w:pPr>
      <w:r>
        <w:rPr>
          <w:snapToGrid/>
          <w:color w:val="000000"/>
          <w:lang w:val="lv-LV" w:eastAsia="lv-LV"/>
        </w:rPr>
        <w:br w:type="page"/>
      </w:r>
      <w:bookmarkStart w:id="0" w:name="_Toc367196051"/>
      <w:bookmarkStart w:id="1" w:name="_Toc373229238"/>
      <w:r w:rsidR="006B3FCB" w:rsidRPr="00FC2E76">
        <w:rPr>
          <w:smallCaps w:val="0"/>
          <w:snapToGrid/>
          <w:color w:val="000000"/>
          <w:szCs w:val="24"/>
          <w:lang w:val="lv-LV" w:eastAsia="lv-LV"/>
        </w:rPr>
        <w:lastRenderedPageBreak/>
        <w:t>L</w:t>
      </w:r>
      <w:r w:rsidR="006B3FCB" w:rsidRPr="00FC2E76">
        <w:rPr>
          <w:smallCaps w:val="0"/>
          <w:snapToGrid/>
          <w:szCs w:val="24"/>
          <w:lang w:val="lv-LV" w:eastAsia="lv-LV"/>
        </w:rPr>
        <w:t>ietotie saīsinājumi</w:t>
      </w:r>
      <w:bookmarkEnd w:id="0"/>
      <w:bookmarkEnd w:id="1"/>
    </w:p>
    <w:p w14:paraId="067F3B11" w14:textId="77777777" w:rsidR="006B3FCB" w:rsidRPr="006B3FCB" w:rsidRDefault="006B3FCB" w:rsidP="006B3FCB">
      <w:pPr>
        <w:spacing w:before="120"/>
        <w:ind w:left="360"/>
        <w:jc w:val="center"/>
        <w:rPr>
          <w:b/>
          <w:snapToGrid/>
          <w:sz w:val="28"/>
          <w:szCs w:val="28"/>
          <w:lang w:val="lv-LV" w:eastAsia="lv-LV"/>
        </w:rPr>
      </w:pPr>
    </w:p>
    <w:p w14:paraId="5A09A044" w14:textId="77777777" w:rsidR="006B3FCB" w:rsidRPr="006B3FCB" w:rsidRDefault="006B3FCB" w:rsidP="006B3FCB">
      <w:pPr>
        <w:tabs>
          <w:tab w:val="left" w:pos="1485"/>
        </w:tabs>
        <w:spacing w:before="120"/>
        <w:rPr>
          <w:snapToGrid/>
          <w:sz w:val="28"/>
          <w:szCs w:val="28"/>
          <w:lang w:val="lv-LV" w:eastAsia="lv-LV"/>
        </w:rPr>
      </w:pPr>
      <w:r w:rsidRPr="006B3FCB">
        <w:rPr>
          <w:snapToGrid/>
          <w:sz w:val="28"/>
          <w:szCs w:val="28"/>
          <w:lang w:val="lv-LV" w:eastAsia="lv-LV"/>
        </w:rPr>
        <w:t>AE</w:t>
      </w:r>
      <w:r w:rsidRPr="006B3FCB">
        <w:rPr>
          <w:snapToGrid/>
          <w:sz w:val="28"/>
          <w:szCs w:val="28"/>
          <w:lang w:val="lv-LV" w:eastAsia="lv-LV"/>
        </w:rPr>
        <w:tab/>
        <w:t>atjaunojamā enerģija</w:t>
      </w:r>
    </w:p>
    <w:p w14:paraId="3E56272C" w14:textId="77777777" w:rsidR="006B3FCB" w:rsidRPr="006B3FCB" w:rsidRDefault="006B3FCB" w:rsidP="006B3FCB">
      <w:pPr>
        <w:tabs>
          <w:tab w:val="left" w:pos="1485"/>
        </w:tabs>
        <w:spacing w:before="120"/>
        <w:rPr>
          <w:snapToGrid/>
          <w:sz w:val="28"/>
          <w:szCs w:val="28"/>
          <w:lang w:val="lv-LV" w:eastAsia="lv-LV"/>
        </w:rPr>
      </w:pPr>
      <w:r w:rsidRPr="006B3FCB">
        <w:rPr>
          <w:snapToGrid/>
          <w:sz w:val="28"/>
          <w:szCs w:val="28"/>
          <w:lang w:val="lv-LV" w:eastAsia="lv-LV"/>
        </w:rPr>
        <w:t>AER</w:t>
      </w:r>
      <w:r w:rsidRPr="006B3FCB">
        <w:rPr>
          <w:snapToGrid/>
          <w:sz w:val="28"/>
          <w:szCs w:val="28"/>
          <w:lang w:val="lv-LV" w:eastAsia="lv-LV"/>
        </w:rPr>
        <w:tab/>
        <w:t>atjaunojamie energoresursi</w:t>
      </w:r>
    </w:p>
    <w:p w14:paraId="0A298DFE" w14:textId="77777777" w:rsidR="006B3FCB" w:rsidRPr="006B3FCB" w:rsidRDefault="006B3FCB" w:rsidP="006B3FCB">
      <w:pPr>
        <w:tabs>
          <w:tab w:val="left" w:pos="1485"/>
        </w:tabs>
        <w:spacing w:before="120"/>
        <w:rPr>
          <w:snapToGrid/>
          <w:sz w:val="28"/>
          <w:szCs w:val="28"/>
          <w:lang w:val="lv-LV" w:eastAsia="lv-LV"/>
        </w:rPr>
      </w:pPr>
      <w:r w:rsidRPr="006B3FCB">
        <w:rPr>
          <w:snapToGrid/>
          <w:sz w:val="28"/>
          <w:szCs w:val="28"/>
          <w:lang w:val="lv-LV" w:eastAsia="lv-LV"/>
        </w:rPr>
        <w:t>CSP</w:t>
      </w:r>
      <w:r w:rsidRPr="006B3FCB">
        <w:rPr>
          <w:snapToGrid/>
          <w:sz w:val="28"/>
          <w:szCs w:val="28"/>
          <w:lang w:val="lv-LV" w:eastAsia="lv-LV"/>
        </w:rPr>
        <w:tab/>
        <w:t>Centrālā statistikas pārvalde</w:t>
      </w:r>
    </w:p>
    <w:p w14:paraId="7738F5ED" w14:textId="77777777" w:rsidR="006B3FCB" w:rsidRPr="006B3FCB" w:rsidRDefault="006B3FCB" w:rsidP="006B3FCB">
      <w:pPr>
        <w:tabs>
          <w:tab w:val="left" w:pos="1485"/>
        </w:tabs>
        <w:spacing w:before="120"/>
        <w:rPr>
          <w:snapToGrid/>
          <w:sz w:val="28"/>
          <w:szCs w:val="28"/>
          <w:lang w:val="lv-LV" w:eastAsia="lv-LV"/>
        </w:rPr>
      </w:pPr>
      <w:r w:rsidRPr="006B3FCB">
        <w:rPr>
          <w:snapToGrid/>
          <w:sz w:val="28"/>
          <w:szCs w:val="28"/>
          <w:lang w:val="lv-LV" w:eastAsia="lv-LV"/>
        </w:rPr>
        <w:t>EK</w:t>
      </w:r>
      <w:r w:rsidRPr="006B3FCB">
        <w:rPr>
          <w:snapToGrid/>
          <w:sz w:val="28"/>
          <w:szCs w:val="28"/>
          <w:lang w:val="lv-LV" w:eastAsia="lv-LV"/>
        </w:rPr>
        <w:tab/>
        <w:t>Eiropas Komisija</w:t>
      </w:r>
    </w:p>
    <w:p w14:paraId="5F3F8F30" w14:textId="77777777" w:rsidR="006B3FCB" w:rsidRPr="006B3FCB" w:rsidRDefault="006B3FCB" w:rsidP="006B3FCB">
      <w:pPr>
        <w:tabs>
          <w:tab w:val="left" w:pos="1485"/>
        </w:tabs>
        <w:spacing w:before="120"/>
        <w:rPr>
          <w:snapToGrid/>
          <w:sz w:val="28"/>
          <w:szCs w:val="28"/>
          <w:lang w:val="lv-LV" w:eastAsia="lv-LV"/>
        </w:rPr>
      </w:pPr>
      <w:r w:rsidRPr="006B3FCB">
        <w:rPr>
          <w:snapToGrid/>
          <w:sz w:val="28"/>
          <w:szCs w:val="28"/>
          <w:lang w:val="lv-LV" w:eastAsia="lv-LV"/>
        </w:rPr>
        <w:t>EM</w:t>
      </w:r>
      <w:r w:rsidRPr="006B3FCB">
        <w:rPr>
          <w:snapToGrid/>
          <w:sz w:val="28"/>
          <w:szCs w:val="28"/>
          <w:lang w:val="lv-LV" w:eastAsia="lv-LV"/>
        </w:rPr>
        <w:tab/>
        <w:t>Ekonomikas ministrija</w:t>
      </w:r>
    </w:p>
    <w:p w14:paraId="24651BA7" w14:textId="77777777" w:rsidR="006B3FCB" w:rsidRPr="006B3FCB" w:rsidRDefault="006B3FCB" w:rsidP="006B3FCB">
      <w:pPr>
        <w:tabs>
          <w:tab w:val="left" w:pos="1485"/>
        </w:tabs>
        <w:spacing w:before="120"/>
        <w:rPr>
          <w:snapToGrid/>
          <w:sz w:val="28"/>
          <w:szCs w:val="28"/>
          <w:lang w:val="lv-LV" w:eastAsia="lv-LV"/>
        </w:rPr>
      </w:pPr>
      <w:r w:rsidRPr="006B3FCB">
        <w:rPr>
          <w:snapToGrid/>
          <w:sz w:val="28"/>
          <w:szCs w:val="28"/>
          <w:lang w:val="lv-LV" w:eastAsia="lv-LV"/>
        </w:rPr>
        <w:t>ES</w:t>
      </w:r>
      <w:r w:rsidRPr="006B3FCB">
        <w:rPr>
          <w:snapToGrid/>
          <w:sz w:val="28"/>
          <w:szCs w:val="28"/>
          <w:lang w:val="lv-LV" w:eastAsia="lv-LV"/>
        </w:rPr>
        <w:tab/>
        <w:t>Eiropas Savienība</w:t>
      </w:r>
    </w:p>
    <w:p w14:paraId="55E288C5" w14:textId="77777777" w:rsidR="006B3FCB" w:rsidRDefault="006B3FCB" w:rsidP="006B3FCB">
      <w:pPr>
        <w:tabs>
          <w:tab w:val="left" w:pos="1485"/>
        </w:tabs>
        <w:spacing w:before="120"/>
        <w:rPr>
          <w:snapToGrid/>
          <w:sz w:val="28"/>
          <w:szCs w:val="28"/>
          <w:lang w:val="lv-LV" w:eastAsia="lv-LV"/>
        </w:rPr>
      </w:pPr>
      <w:r w:rsidRPr="006B3FCB">
        <w:rPr>
          <w:snapToGrid/>
          <w:sz w:val="28"/>
          <w:szCs w:val="28"/>
          <w:lang w:val="lv-LV" w:eastAsia="lv-LV"/>
        </w:rPr>
        <w:t>HES</w:t>
      </w:r>
      <w:r w:rsidRPr="006B3FCB">
        <w:rPr>
          <w:snapToGrid/>
          <w:sz w:val="28"/>
          <w:szCs w:val="28"/>
          <w:lang w:val="lv-LV" w:eastAsia="lv-LV"/>
        </w:rPr>
        <w:tab/>
        <w:t>hidroelektrostacija</w:t>
      </w:r>
    </w:p>
    <w:p w14:paraId="6EA5C2C2" w14:textId="77777777" w:rsidR="00646815" w:rsidRPr="006B3FCB" w:rsidRDefault="00646815" w:rsidP="006B3FCB">
      <w:pPr>
        <w:tabs>
          <w:tab w:val="left" w:pos="1485"/>
        </w:tabs>
        <w:spacing w:before="120"/>
        <w:rPr>
          <w:snapToGrid/>
          <w:sz w:val="28"/>
          <w:szCs w:val="28"/>
          <w:lang w:val="lv-LV" w:eastAsia="lv-LV"/>
        </w:rPr>
      </w:pPr>
      <w:r>
        <w:rPr>
          <w:snapToGrid/>
          <w:sz w:val="28"/>
          <w:szCs w:val="28"/>
          <w:lang w:val="lv-LV" w:eastAsia="lv-LV"/>
        </w:rPr>
        <w:t xml:space="preserve">LVL </w:t>
      </w:r>
      <w:r>
        <w:rPr>
          <w:snapToGrid/>
          <w:sz w:val="28"/>
          <w:szCs w:val="28"/>
          <w:lang w:val="lv-LV" w:eastAsia="lv-LV"/>
        </w:rPr>
        <w:tab/>
        <w:t>Latvijas lats</w:t>
      </w:r>
    </w:p>
    <w:p w14:paraId="682D7A78" w14:textId="77777777" w:rsidR="006B3FCB" w:rsidRPr="006B3FCB" w:rsidRDefault="006B3FCB" w:rsidP="006B3FCB">
      <w:pPr>
        <w:tabs>
          <w:tab w:val="left" w:pos="1485"/>
        </w:tabs>
        <w:spacing w:before="120"/>
        <w:rPr>
          <w:snapToGrid/>
          <w:sz w:val="28"/>
          <w:szCs w:val="28"/>
          <w:lang w:val="lv-LV" w:eastAsia="lv-LV"/>
        </w:rPr>
      </w:pPr>
      <w:r w:rsidRPr="006B3FCB">
        <w:rPr>
          <w:snapToGrid/>
          <w:sz w:val="28"/>
          <w:szCs w:val="28"/>
          <w:lang w:val="lv-LV" w:eastAsia="lv-LV"/>
        </w:rPr>
        <w:t>MK</w:t>
      </w:r>
      <w:r w:rsidRPr="006B3FCB">
        <w:rPr>
          <w:snapToGrid/>
          <w:sz w:val="28"/>
          <w:szCs w:val="28"/>
          <w:lang w:val="lv-LV" w:eastAsia="lv-LV"/>
        </w:rPr>
        <w:tab/>
        <w:t>Ministru kabinets</w:t>
      </w:r>
    </w:p>
    <w:p w14:paraId="33C0404F" w14:textId="77777777" w:rsidR="006B3FCB" w:rsidRPr="006B3FCB" w:rsidRDefault="006B3FCB" w:rsidP="006B3FCB">
      <w:pPr>
        <w:tabs>
          <w:tab w:val="left" w:pos="1485"/>
        </w:tabs>
        <w:spacing w:before="120"/>
        <w:rPr>
          <w:snapToGrid/>
          <w:sz w:val="28"/>
          <w:szCs w:val="28"/>
          <w:highlight w:val="yellow"/>
          <w:lang w:val="lv-LV" w:eastAsia="lv-LV"/>
        </w:rPr>
      </w:pPr>
      <w:r w:rsidRPr="006B3FCB">
        <w:rPr>
          <w:snapToGrid/>
          <w:sz w:val="28"/>
          <w:szCs w:val="28"/>
          <w:lang w:val="lv-LV" w:eastAsia="lv-LV"/>
        </w:rPr>
        <w:t>SEG</w:t>
      </w:r>
      <w:r w:rsidRPr="006B3FCB">
        <w:rPr>
          <w:snapToGrid/>
          <w:sz w:val="28"/>
          <w:szCs w:val="28"/>
          <w:lang w:val="lv-LV" w:eastAsia="lv-LV"/>
        </w:rPr>
        <w:tab/>
        <w:t xml:space="preserve">siltumnīcas efekta gāzes </w:t>
      </w:r>
    </w:p>
    <w:p w14:paraId="716FF40F" w14:textId="77777777" w:rsidR="006B3FCB" w:rsidRPr="006B3FCB" w:rsidRDefault="006B3FCB" w:rsidP="006B3FCB">
      <w:pPr>
        <w:tabs>
          <w:tab w:val="left" w:pos="1485"/>
        </w:tabs>
        <w:spacing w:before="120"/>
        <w:rPr>
          <w:snapToGrid/>
          <w:sz w:val="28"/>
          <w:szCs w:val="28"/>
          <w:lang w:val="lv-LV" w:eastAsia="lv-LV"/>
        </w:rPr>
      </w:pPr>
      <w:r w:rsidRPr="006B3FCB">
        <w:rPr>
          <w:snapToGrid/>
          <w:sz w:val="28"/>
          <w:szCs w:val="28"/>
          <w:lang w:val="lv-LV" w:eastAsia="lv-LV"/>
        </w:rPr>
        <w:t>VAS</w:t>
      </w:r>
      <w:r w:rsidRPr="006B3FCB">
        <w:rPr>
          <w:snapToGrid/>
          <w:sz w:val="28"/>
          <w:szCs w:val="28"/>
          <w:lang w:val="lv-LV" w:eastAsia="lv-LV"/>
        </w:rPr>
        <w:tab/>
        <w:t>Valsts akciju sabiedrība</w:t>
      </w:r>
    </w:p>
    <w:p w14:paraId="6EF2C9B9" w14:textId="77777777" w:rsidR="006B3FCB" w:rsidRPr="006B3FCB" w:rsidRDefault="006B3FCB" w:rsidP="006B3FCB">
      <w:pPr>
        <w:tabs>
          <w:tab w:val="left" w:pos="1485"/>
        </w:tabs>
        <w:spacing w:before="120"/>
        <w:rPr>
          <w:snapToGrid/>
          <w:sz w:val="28"/>
          <w:szCs w:val="28"/>
          <w:lang w:val="lv-LV" w:eastAsia="lv-LV"/>
        </w:rPr>
      </w:pPr>
      <w:r w:rsidRPr="006B3FCB">
        <w:rPr>
          <w:snapToGrid/>
          <w:sz w:val="28"/>
          <w:szCs w:val="28"/>
          <w:lang w:val="lv-LV" w:eastAsia="lv-LV"/>
        </w:rPr>
        <w:t>VES</w:t>
      </w:r>
      <w:r w:rsidRPr="006B3FCB">
        <w:rPr>
          <w:snapToGrid/>
          <w:sz w:val="28"/>
          <w:szCs w:val="28"/>
          <w:lang w:val="lv-LV" w:eastAsia="lv-LV"/>
        </w:rPr>
        <w:tab/>
        <w:t>vēja elektrostacija</w:t>
      </w:r>
    </w:p>
    <w:p w14:paraId="7331BC29" w14:textId="77777777" w:rsidR="006B3FCB" w:rsidRDefault="006B3FCB" w:rsidP="00B70687">
      <w:pPr>
        <w:rPr>
          <w:snapToGrid/>
          <w:lang w:val="lv-LV" w:eastAsia="lv-LV"/>
        </w:rPr>
      </w:pPr>
    </w:p>
    <w:p w14:paraId="560C57C5" w14:textId="77777777" w:rsidR="006B3FCB" w:rsidRDefault="006B3FCB" w:rsidP="00B70687">
      <w:pPr>
        <w:rPr>
          <w:snapToGrid/>
          <w:lang w:val="lv-LV" w:eastAsia="lv-LV"/>
        </w:rPr>
      </w:pPr>
    </w:p>
    <w:p w14:paraId="3290098B" w14:textId="77777777" w:rsidR="006B3FCB" w:rsidRDefault="006B3FCB" w:rsidP="00B70687">
      <w:pPr>
        <w:rPr>
          <w:snapToGrid/>
          <w:lang w:val="lv-LV" w:eastAsia="lv-LV"/>
        </w:rPr>
      </w:pPr>
    </w:p>
    <w:p w14:paraId="5ACADF54" w14:textId="77777777" w:rsidR="006B3FCB" w:rsidRDefault="006B3FCB" w:rsidP="00B70687">
      <w:pPr>
        <w:rPr>
          <w:snapToGrid/>
          <w:lang w:val="lv-LV" w:eastAsia="lv-LV"/>
        </w:rPr>
      </w:pPr>
    </w:p>
    <w:p w14:paraId="33E67E72" w14:textId="77777777" w:rsidR="006B3FCB" w:rsidRDefault="006B3FCB" w:rsidP="00B70687">
      <w:pPr>
        <w:rPr>
          <w:snapToGrid/>
          <w:lang w:val="lv-LV" w:eastAsia="lv-LV"/>
        </w:rPr>
      </w:pPr>
    </w:p>
    <w:p w14:paraId="2C8DA897" w14:textId="77777777" w:rsidR="00741EF1" w:rsidRPr="00AB36EF" w:rsidRDefault="006B3FCB" w:rsidP="001841CE">
      <w:pPr>
        <w:pStyle w:val="Heading1"/>
        <w:numPr>
          <w:ilvl w:val="0"/>
          <w:numId w:val="0"/>
        </w:numPr>
        <w:ind w:left="850" w:hanging="850"/>
        <w:jc w:val="center"/>
        <w:rPr>
          <w:smallCaps w:val="0"/>
          <w:sz w:val="28"/>
          <w:lang w:val="lv-LV"/>
        </w:rPr>
      </w:pPr>
      <w:r>
        <w:rPr>
          <w:snapToGrid/>
          <w:kern w:val="32"/>
          <w:sz w:val="28"/>
          <w:lang w:val="lv-LV" w:eastAsia="lv-LV"/>
        </w:rPr>
        <w:br w:type="page"/>
      </w:r>
      <w:bookmarkStart w:id="2" w:name="_Toc367196052"/>
      <w:bookmarkStart w:id="3" w:name="_Toc373229239"/>
      <w:r w:rsidR="002F60EE" w:rsidRPr="00AB36EF">
        <w:rPr>
          <w:smallCaps w:val="0"/>
          <w:sz w:val="28"/>
          <w:lang w:val="lv-LV"/>
        </w:rPr>
        <w:lastRenderedPageBreak/>
        <w:t>Ievads</w:t>
      </w:r>
      <w:bookmarkEnd w:id="2"/>
      <w:bookmarkEnd w:id="3"/>
    </w:p>
    <w:p w14:paraId="51898624" w14:textId="77777777" w:rsidR="00741EF1" w:rsidRDefault="00741EF1" w:rsidP="00B70687">
      <w:pPr>
        <w:rPr>
          <w:lang w:val="lv-LV"/>
        </w:rPr>
      </w:pPr>
    </w:p>
    <w:p w14:paraId="23EBF264" w14:textId="77777777" w:rsidR="002F60EE" w:rsidRDefault="002F60EE" w:rsidP="002F60EE">
      <w:pPr>
        <w:ind w:firstLine="720"/>
        <w:jc w:val="both"/>
        <w:rPr>
          <w:snapToGrid/>
          <w:sz w:val="28"/>
          <w:szCs w:val="28"/>
          <w:lang w:val="lv-LV" w:eastAsia="lv-LV"/>
        </w:rPr>
      </w:pPr>
      <w:r w:rsidRPr="002F60EE">
        <w:rPr>
          <w:snapToGrid/>
          <w:sz w:val="28"/>
          <w:szCs w:val="28"/>
          <w:lang w:val="lv-LV" w:eastAsia="lv-LV"/>
        </w:rPr>
        <w:t xml:space="preserve">Saskaņā ar Eiropas Parlamenta un Padomes 2009. gada 23. aprīļa Direktīvas 2009/28/EK </w:t>
      </w:r>
      <w:r w:rsidR="00646815">
        <w:rPr>
          <w:snapToGrid/>
          <w:sz w:val="28"/>
          <w:szCs w:val="28"/>
          <w:lang w:val="lv-LV" w:eastAsia="lv-LV"/>
        </w:rPr>
        <w:t xml:space="preserve">par </w:t>
      </w:r>
      <w:r w:rsidRPr="002F60EE">
        <w:rPr>
          <w:snapToGrid/>
          <w:sz w:val="28"/>
          <w:szCs w:val="28"/>
          <w:lang w:val="lv-LV" w:eastAsia="lv-LV"/>
        </w:rPr>
        <w:t xml:space="preserve">atjaunojamo energoresursu izmantošanas veicināšanu un ar ko groza un sekojoši atceļ Direktīvas 2001/77/EK un 2003/30/EK (turpmāk – Direktīva 2009/28/EK) 22. panta pirmo daļu katra dalībvalsts reizi divos gados iesniedz EK ziņojumu par tādas enerģijas, ko iegūst no </w:t>
      </w:r>
      <w:r w:rsidR="00646815">
        <w:rPr>
          <w:snapToGrid/>
          <w:sz w:val="28"/>
          <w:szCs w:val="28"/>
          <w:lang w:val="lv-LV" w:eastAsia="lv-LV"/>
        </w:rPr>
        <w:t>AER</w:t>
      </w:r>
      <w:r w:rsidRPr="002F60EE">
        <w:rPr>
          <w:snapToGrid/>
          <w:sz w:val="28"/>
          <w:szCs w:val="28"/>
          <w:lang w:val="lv-LV" w:eastAsia="lv-LV"/>
        </w:rPr>
        <w:t>, veicināšanas un izmantošanas progresu. Periodā līdz 2021. gada 31. decembrim Latvijai ir noteikts pienākums iesniegt sešus regulāros ziņojumus.</w:t>
      </w:r>
    </w:p>
    <w:p w14:paraId="2DBE9B9B" w14:textId="77777777" w:rsidR="00AB445D" w:rsidRDefault="00AB445D" w:rsidP="00AB445D">
      <w:pPr>
        <w:pStyle w:val="naisf"/>
        <w:spacing w:before="0" w:after="0"/>
        <w:ind w:firstLine="709"/>
        <w:rPr>
          <w:sz w:val="28"/>
          <w:szCs w:val="28"/>
        </w:rPr>
      </w:pPr>
      <w:r>
        <w:rPr>
          <w:sz w:val="28"/>
          <w:szCs w:val="28"/>
        </w:rPr>
        <w:t>L</w:t>
      </w:r>
      <w:r w:rsidRPr="006704A9">
        <w:rPr>
          <w:sz w:val="28"/>
          <w:szCs w:val="28"/>
        </w:rPr>
        <w:t>ai sekmētu kopējā mērķa izpildi</w:t>
      </w:r>
      <w:r>
        <w:rPr>
          <w:sz w:val="28"/>
          <w:szCs w:val="28"/>
        </w:rPr>
        <w:t xml:space="preserve"> saskaņā ar Direktīvu 2009/28/EK</w:t>
      </w:r>
      <w:r>
        <w:rPr>
          <w:color w:val="000000"/>
          <w:sz w:val="28"/>
          <w:szCs w:val="28"/>
        </w:rPr>
        <w:t xml:space="preserve">, tika izstrādāts rīcības plāns </w:t>
      </w:r>
      <w:r w:rsidRPr="00E45F5D">
        <w:rPr>
          <w:sz w:val="28"/>
          <w:szCs w:val="28"/>
        </w:rPr>
        <w:t>„Latvijas Republikas Rīcība atjaunojamās enerģijas jomā Eiropas Parlamenta un Padomes 2009. gada 23. aprīļa direktīvas 2009/28/EK par atjaunojamo energoresursu izmantošanas veicināšanu un ar ko groza un sekojoši atceļ Direktīvas 2001/77/EK un 2003/30/EK ieviešanai līdz 2020. gadam”</w:t>
      </w:r>
      <w:r w:rsidR="000B7251">
        <w:rPr>
          <w:rStyle w:val="FootnoteReference"/>
          <w:sz w:val="28"/>
          <w:szCs w:val="28"/>
        </w:rPr>
        <w:footnoteReference w:id="2"/>
      </w:r>
      <w:r>
        <w:rPr>
          <w:color w:val="000000"/>
          <w:sz w:val="28"/>
          <w:szCs w:val="28"/>
        </w:rPr>
        <w:t xml:space="preserve"> (turpmāk – rīcības plāns), kurā tika</w:t>
      </w:r>
      <w:r w:rsidRPr="006704A9">
        <w:rPr>
          <w:color w:val="000000"/>
          <w:sz w:val="28"/>
          <w:szCs w:val="28"/>
        </w:rPr>
        <w:t xml:space="preserve"> no</w:t>
      </w:r>
      <w:r>
        <w:rPr>
          <w:color w:val="000000"/>
          <w:sz w:val="28"/>
          <w:szCs w:val="28"/>
        </w:rPr>
        <w:t>teikti</w:t>
      </w:r>
      <w:r w:rsidRPr="006704A9">
        <w:rPr>
          <w:color w:val="000000"/>
          <w:sz w:val="28"/>
          <w:szCs w:val="28"/>
        </w:rPr>
        <w:t xml:space="preserve"> indikatīv</w:t>
      </w:r>
      <w:r>
        <w:rPr>
          <w:color w:val="000000"/>
          <w:sz w:val="28"/>
          <w:szCs w:val="28"/>
        </w:rPr>
        <w:t>ie</w:t>
      </w:r>
      <w:r w:rsidRPr="006704A9">
        <w:rPr>
          <w:color w:val="000000"/>
          <w:sz w:val="28"/>
          <w:szCs w:val="28"/>
        </w:rPr>
        <w:t xml:space="preserve"> uzdevum</w:t>
      </w:r>
      <w:r>
        <w:rPr>
          <w:color w:val="000000"/>
          <w:sz w:val="28"/>
          <w:szCs w:val="28"/>
        </w:rPr>
        <w:t>i</w:t>
      </w:r>
      <w:r w:rsidRPr="006704A9">
        <w:rPr>
          <w:color w:val="000000"/>
          <w:sz w:val="28"/>
          <w:szCs w:val="28"/>
        </w:rPr>
        <w:t xml:space="preserve"> </w:t>
      </w:r>
      <w:r>
        <w:rPr>
          <w:color w:val="000000"/>
          <w:sz w:val="28"/>
          <w:szCs w:val="28"/>
        </w:rPr>
        <w:t>AE</w:t>
      </w:r>
      <w:r w:rsidRPr="006704A9">
        <w:rPr>
          <w:color w:val="000000"/>
          <w:sz w:val="28"/>
          <w:szCs w:val="28"/>
        </w:rPr>
        <w:t xml:space="preserve"> daļai katram no </w:t>
      </w:r>
      <w:r>
        <w:rPr>
          <w:sz w:val="28"/>
          <w:szCs w:val="28"/>
        </w:rPr>
        <w:t>enerģijas gala</w:t>
      </w:r>
      <w:r w:rsidRPr="006704A9">
        <w:rPr>
          <w:sz w:val="28"/>
          <w:szCs w:val="28"/>
        </w:rPr>
        <w:t xml:space="preserve">patēriņa veidiem (enerģijas patēriņš </w:t>
      </w:r>
      <w:r>
        <w:rPr>
          <w:sz w:val="28"/>
          <w:szCs w:val="28"/>
        </w:rPr>
        <w:t>apsilde</w:t>
      </w:r>
      <w:r w:rsidRPr="006704A9">
        <w:rPr>
          <w:sz w:val="28"/>
          <w:szCs w:val="28"/>
        </w:rPr>
        <w:t>i un dzesēšanai, elektroenerģija</w:t>
      </w:r>
      <w:r>
        <w:rPr>
          <w:sz w:val="28"/>
          <w:szCs w:val="28"/>
        </w:rPr>
        <w:t>s ražošanai</w:t>
      </w:r>
      <w:r w:rsidRPr="006704A9">
        <w:rPr>
          <w:sz w:val="28"/>
          <w:szCs w:val="28"/>
        </w:rPr>
        <w:t xml:space="preserve"> un transport</w:t>
      </w:r>
      <w:r>
        <w:rPr>
          <w:sz w:val="28"/>
          <w:szCs w:val="28"/>
        </w:rPr>
        <w:t>ā</w:t>
      </w:r>
      <w:r w:rsidRPr="006704A9">
        <w:rPr>
          <w:sz w:val="28"/>
          <w:szCs w:val="28"/>
        </w:rPr>
        <w:t>), ņemot vērā pieejamo un izma</w:t>
      </w:r>
      <w:r>
        <w:rPr>
          <w:sz w:val="28"/>
          <w:szCs w:val="28"/>
        </w:rPr>
        <w:t>ntojamo AER potenciālu Latvijā.</w:t>
      </w:r>
    </w:p>
    <w:p w14:paraId="04644268" w14:textId="77777777" w:rsidR="00E657AA" w:rsidRPr="00E657AA" w:rsidRDefault="00E657AA" w:rsidP="00E657AA">
      <w:pPr>
        <w:ind w:firstLine="720"/>
        <w:jc w:val="both"/>
        <w:rPr>
          <w:snapToGrid/>
          <w:sz w:val="28"/>
          <w:szCs w:val="28"/>
          <w:lang w:val="lv-LV" w:eastAsia="lv-LV"/>
        </w:rPr>
      </w:pPr>
      <w:r w:rsidRPr="00E657AA">
        <w:rPr>
          <w:snapToGrid/>
          <w:sz w:val="28"/>
          <w:szCs w:val="28"/>
          <w:lang w:val="lv-LV" w:eastAsia="lv-LV"/>
        </w:rPr>
        <w:t>Šis ziņojums izstrādāts, ņemot vērā EK sagatavoto veidlapu</w:t>
      </w:r>
      <w:r w:rsidRPr="00E657AA">
        <w:rPr>
          <w:snapToGrid/>
          <w:sz w:val="28"/>
          <w:szCs w:val="28"/>
          <w:vertAlign w:val="superscript"/>
          <w:lang w:val="en-US" w:eastAsia="en-US"/>
        </w:rPr>
        <w:footnoteReference w:id="3"/>
      </w:r>
      <w:r w:rsidRPr="00E657AA">
        <w:rPr>
          <w:snapToGrid/>
          <w:sz w:val="28"/>
          <w:szCs w:val="28"/>
          <w:lang w:val="lv-LV" w:eastAsia="lv-LV"/>
        </w:rPr>
        <w:t xml:space="preserve">, lai nodrošinātu Latvijas Direktīvas 2009/28/EK 22. panta pirmajā daļā minētā pienākuma izpildi un Latvijai būtu iespējams noteiktā termiņā iesniegt EK </w:t>
      </w:r>
      <w:r w:rsidR="00470485">
        <w:rPr>
          <w:snapToGrid/>
          <w:sz w:val="28"/>
          <w:szCs w:val="28"/>
          <w:lang w:val="lv-LV" w:eastAsia="lv-LV"/>
        </w:rPr>
        <w:t>otro</w:t>
      </w:r>
      <w:r w:rsidR="00470485" w:rsidRPr="00E657AA">
        <w:rPr>
          <w:snapToGrid/>
          <w:sz w:val="28"/>
          <w:szCs w:val="28"/>
          <w:lang w:val="lv-LV" w:eastAsia="lv-LV"/>
        </w:rPr>
        <w:t xml:space="preserve"> </w:t>
      </w:r>
      <w:r w:rsidRPr="00E657AA">
        <w:rPr>
          <w:snapToGrid/>
          <w:sz w:val="28"/>
          <w:szCs w:val="28"/>
          <w:lang w:val="lv-LV" w:eastAsia="lv-LV"/>
        </w:rPr>
        <w:t xml:space="preserve">regulāro ziņojumu par enerģijas, kas ražota no AER, </w:t>
      </w:r>
      <w:r w:rsidR="00F71FB2" w:rsidRPr="00E657AA">
        <w:rPr>
          <w:snapToGrid/>
          <w:sz w:val="28"/>
          <w:szCs w:val="28"/>
          <w:lang w:val="lv-LV" w:eastAsia="lv-LV"/>
        </w:rPr>
        <w:t>veicināšanas un izmantošanas progresu</w:t>
      </w:r>
      <w:r w:rsidR="00F71FB2">
        <w:rPr>
          <w:snapToGrid/>
          <w:sz w:val="28"/>
          <w:szCs w:val="28"/>
          <w:lang w:val="lv-LV" w:eastAsia="lv-LV"/>
        </w:rPr>
        <w:t xml:space="preserve"> 2011. un 2012.</w:t>
      </w:r>
      <w:r w:rsidR="00E13604">
        <w:rPr>
          <w:snapToGrid/>
          <w:sz w:val="28"/>
          <w:szCs w:val="28"/>
          <w:lang w:val="lv-LV" w:eastAsia="lv-LV"/>
        </w:rPr>
        <w:t> </w:t>
      </w:r>
      <w:r w:rsidR="00F71FB2">
        <w:rPr>
          <w:snapToGrid/>
          <w:sz w:val="28"/>
          <w:szCs w:val="28"/>
          <w:lang w:val="lv-LV" w:eastAsia="lv-LV"/>
        </w:rPr>
        <w:t>gadā</w:t>
      </w:r>
      <w:r w:rsidR="00F71FB2" w:rsidRPr="00E657AA">
        <w:rPr>
          <w:snapToGrid/>
          <w:sz w:val="28"/>
          <w:szCs w:val="28"/>
          <w:lang w:val="lv-LV" w:eastAsia="lv-LV"/>
        </w:rPr>
        <w:t>.</w:t>
      </w:r>
    </w:p>
    <w:p w14:paraId="155452FF" w14:textId="77777777" w:rsidR="00AB445D" w:rsidRPr="002F60EE" w:rsidRDefault="00AB445D" w:rsidP="002F60EE">
      <w:pPr>
        <w:ind w:firstLine="720"/>
        <w:jc w:val="both"/>
        <w:rPr>
          <w:snapToGrid/>
          <w:sz w:val="28"/>
          <w:szCs w:val="28"/>
          <w:lang w:val="lv-LV" w:eastAsia="lv-LV"/>
        </w:rPr>
      </w:pPr>
    </w:p>
    <w:p w14:paraId="5F00B17D" w14:textId="77777777" w:rsidR="00EE1D65" w:rsidRPr="00AB36EF" w:rsidRDefault="00B70687" w:rsidP="00AB36EF">
      <w:pPr>
        <w:pStyle w:val="Heading1"/>
        <w:numPr>
          <w:ilvl w:val="0"/>
          <w:numId w:val="18"/>
        </w:numPr>
        <w:jc w:val="center"/>
        <w:rPr>
          <w:smallCaps w:val="0"/>
          <w:sz w:val="28"/>
          <w:lang w:val="lv-LV"/>
        </w:rPr>
      </w:pPr>
      <w:r>
        <w:rPr>
          <w:b w:val="0"/>
          <w:lang w:val="lv-LV"/>
        </w:rPr>
        <w:br w:type="page"/>
      </w:r>
      <w:bookmarkStart w:id="4" w:name="_Toc367196053"/>
      <w:bookmarkStart w:id="5" w:name="_Toc373229240"/>
      <w:r w:rsidR="00C508B9" w:rsidRPr="00AB36EF">
        <w:rPr>
          <w:smallCaps w:val="0"/>
          <w:sz w:val="28"/>
          <w:lang w:val="lv-LV"/>
        </w:rPr>
        <w:lastRenderedPageBreak/>
        <w:t>No atjaunojamiem resursiem ražotas enerģijas īpatsvars kopumā un atsevišķās nozarēs un tās faktiskais patēriņš</w:t>
      </w:r>
      <w:bookmarkEnd w:id="4"/>
      <w:bookmarkEnd w:id="5"/>
    </w:p>
    <w:p w14:paraId="38A5F2BC" w14:textId="77777777" w:rsidR="00C508B9" w:rsidRPr="00EE1D65" w:rsidRDefault="00C508B9" w:rsidP="00C508B9">
      <w:pPr>
        <w:ind w:left="720"/>
        <w:rPr>
          <w:lang w:val="lv-LV"/>
        </w:rPr>
      </w:pPr>
    </w:p>
    <w:p w14:paraId="515DE678" w14:textId="17E5096B" w:rsidR="00922BE8" w:rsidRDefault="00405B48" w:rsidP="00405B48">
      <w:pPr>
        <w:ind w:firstLine="714"/>
        <w:jc w:val="both"/>
        <w:rPr>
          <w:sz w:val="28"/>
          <w:szCs w:val="28"/>
          <w:lang w:val="lv-LV"/>
        </w:rPr>
      </w:pPr>
      <w:r w:rsidRPr="00430882">
        <w:rPr>
          <w:sz w:val="28"/>
          <w:szCs w:val="28"/>
          <w:lang w:val="lv-LV"/>
        </w:rPr>
        <w:t xml:space="preserve">Saskaņā ar Direktīvas 2009/28/EK I pielikuma A daļu Latvijai vispārējais mērķis no </w:t>
      </w:r>
      <w:r w:rsidR="00646815" w:rsidRPr="00430882">
        <w:rPr>
          <w:sz w:val="28"/>
          <w:szCs w:val="28"/>
          <w:lang w:val="lv-LV"/>
        </w:rPr>
        <w:t>AER</w:t>
      </w:r>
      <w:r w:rsidRPr="00430882">
        <w:rPr>
          <w:sz w:val="28"/>
          <w:szCs w:val="28"/>
          <w:lang w:val="lv-LV"/>
        </w:rPr>
        <w:t xml:space="preserve"> saražotas enerģijas īpatsvaram enerģijas bruto galapatēriņā 2020.</w:t>
      </w:r>
      <w:r w:rsidR="00470485" w:rsidRPr="00430882">
        <w:rPr>
          <w:sz w:val="28"/>
          <w:szCs w:val="28"/>
          <w:lang w:val="lv-LV"/>
        </w:rPr>
        <w:t> </w:t>
      </w:r>
      <w:r w:rsidRPr="00430882">
        <w:rPr>
          <w:sz w:val="28"/>
          <w:szCs w:val="28"/>
          <w:lang w:val="lv-LV"/>
        </w:rPr>
        <w:t xml:space="preserve">gadā noteikts </w:t>
      </w:r>
      <w:r w:rsidRPr="00430882">
        <w:rPr>
          <w:bCs/>
          <w:sz w:val="28"/>
          <w:szCs w:val="28"/>
          <w:lang w:val="lv-LV"/>
        </w:rPr>
        <w:t>40%</w:t>
      </w:r>
      <w:r w:rsidRPr="00430882">
        <w:rPr>
          <w:sz w:val="28"/>
          <w:szCs w:val="28"/>
          <w:lang w:val="lv-LV"/>
        </w:rPr>
        <w:t xml:space="preserve"> apmērā</w:t>
      </w:r>
      <w:r w:rsidR="00922BE8">
        <w:rPr>
          <w:sz w:val="28"/>
          <w:szCs w:val="28"/>
          <w:lang w:val="lv-LV"/>
        </w:rPr>
        <w:t>. Šis ziņojums atspoguļo situāciju un progresu atjaunojamās enerģijas jomā 2011.</w:t>
      </w:r>
      <w:r w:rsidR="00E13604">
        <w:rPr>
          <w:sz w:val="28"/>
          <w:szCs w:val="28"/>
          <w:lang w:val="lv-LV"/>
        </w:rPr>
        <w:t xml:space="preserve"> </w:t>
      </w:r>
      <w:r w:rsidR="00922BE8">
        <w:rPr>
          <w:sz w:val="28"/>
          <w:szCs w:val="28"/>
          <w:lang w:val="lv-LV"/>
        </w:rPr>
        <w:t>un 2012.</w:t>
      </w:r>
      <w:r w:rsidR="00E13604">
        <w:rPr>
          <w:sz w:val="28"/>
          <w:szCs w:val="28"/>
          <w:lang w:val="lv-LV"/>
        </w:rPr>
        <w:t> </w:t>
      </w:r>
      <w:r w:rsidR="00922BE8">
        <w:rPr>
          <w:sz w:val="28"/>
          <w:szCs w:val="28"/>
          <w:lang w:val="lv-LV"/>
        </w:rPr>
        <w:t>gadā, ņemot vērā, ka s</w:t>
      </w:r>
      <w:r w:rsidR="00922BE8" w:rsidRPr="00430882">
        <w:rPr>
          <w:sz w:val="28"/>
          <w:szCs w:val="28"/>
          <w:lang w:val="lv-LV"/>
        </w:rPr>
        <w:t xml:space="preserve">askaņā ar Direktīvas 2009/28/EK I pielikuma B daļā norādīto </w:t>
      </w:r>
      <w:r w:rsidR="00107F66">
        <w:rPr>
          <w:sz w:val="28"/>
          <w:szCs w:val="28"/>
          <w:lang w:val="lv-LV"/>
        </w:rPr>
        <w:t xml:space="preserve">indikatīvo līkni </w:t>
      </w:r>
      <w:r w:rsidR="00922BE8" w:rsidRPr="00430882">
        <w:rPr>
          <w:sz w:val="28"/>
          <w:szCs w:val="28"/>
          <w:lang w:val="lv-LV"/>
        </w:rPr>
        <w:t>Latvijas AE īpatsvara mērķis 2011-2012</w:t>
      </w:r>
      <w:r w:rsidR="00922BE8">
        <w:rPr>
          <w:sz w:val="28"/>
          <w:szCs w:val="28"/>
          <w:lang w:val="lv-LV"/>
        </w:rPr>
        <w:t>. gadam noteikts</w:t>
      </w:r>
      <w:r w:rsidR="00922BE8" w:rsidRPr="00430882">
        <w:rPr>
          <w:sz w:val="28"/>
          <w:szCs w:val="28"/>
          <w:lang w:val="lv-LV"/>
        </w:rPr>
        <w:t xml:space="preserve"> </w:t>
      </w:r>
      <w:r w:rsidR="00107F66">
        <w:rPr>
          <w:sz w:val="28"/>
          <w:szCs w:val="28"/>
          <w:lang w:val="lv-LV"/>
        </w:rPr>
        <w:t xml:space="preserve">vidēji </w:t>
      </w:r>
      <w:r w:rsidR="00922BE8" w:rsidRPr="00430882">
        <w:rPr>
          <w:sz w:val="28"/>
          <w:szCs w:val="28"/>
          <w:lang w:val="lv-LV"/>
        </w:rPr>
        <w:t xml:space="preserve">34,1%. </w:t>
      </w:r>
      <w:r w:rsidR="00107F66" w:rsidRPr="00107F66">
        <w:rPr>
          <w:sz w:val="28"/>
          <w:szCs w:val="28"/>
          <w:lang w:val="lv-LV"/>
        </w:rPr>
        <w:t>Sasniegtais AE īpatsvars 2011-</w:t>
      </w:r>
      <w:r w:rsidR="008A01F1" w:rsidRPr="00430882">
        <w:rPr>
          <w:sz w:val="28"/>
          <w:szCs w:val="28"/>
          <w:lang w:val="lv-LV"/>
        </w:rPr>
        <w:t xml:space="preserve">2012. </w:t>
      </w:r>
      <w:r w:rsidRPr="00430882">
        <w:rPr>
          <w:sz w:val="28"/>
          <w:szCs w:val="28"/>
          <w:lang w:val="lv-LV"/>
        </w:rPr>
        <w:t xml:space="preserve">gadā </w:t>
      </w:r>
      <w:r w:rsidR="00107F66" w:rsidRPr="00107F66">
        <w:rPr>
          <w:sz w:val="28"/>
          <w:szCs w:val="28"/>
          <w:lang w:val="lv-LV"/>
        </w:rPr>
        <w:t>ir 34,7%</w:t>
      </w:r>
      <w:r w:rsidR="003345EE">
        <w:rPr>
          <w:sz w:val="28"/>
          <w:szCs w:val="28"/>
          <w:lang w:val="lv-LV"/>
        </w:rPr>
        <w:t>,</w:t>
      </w:r>
      <w:r w:rsidR="008A01F1" w:rsidRPr="00430882">
        <w:rPr>
          <w:sz w:val="28"/>
          <w:szCs w:val="28"/>
          <w:lang w:val="lv-LV"/>
        </w:rPr>
        <w:t xml:space="preserve"> </w:t>
      </w:r>
      <w:r w:rsidR="003345EE" w:rsidRPr="00430882">
        <w:rPr>
          <w:sz w:val="28"/>
          <w:szCs w:val="28"/>
          <w:lang w:val="lv-LV"/>
        </w:rPr>
        <w:t>201</w:t>
      </w:r>
      <w:r w:rsidR="003345EE">
        <w:rPr>
          <w:sz w:val="28"/>
          <w:szCs w:val="28"/>
          <w:lang w:val="lv-LV"/>
        </w:rPr>
        <w:t>1</w:t>
      </w:r>
      <w:r w:rsidR="003345EE" w:rsidRPr="00430882">
        <w:rPr>
          <w:sz w:val="28"/>
          <w:szCs w:val="28"/>
          <w:lang w:val="lv-LV"/>
        </w:rPr>
        <w:t>. gadā sasnie</w:t>
      </w:r>
      <w:r w:rsidR="003345EE">
        <w:rPr>
          <w:sz w:val="28"/>
          <w:szCs w:val="28"/>
          <w:lang w:val="lv-LV"/>
        </w:rPr>
        <w:t>dzot</w:t>
      </w:r>
      <w:r w:rsidR="003345EE" w:rsidRPr="00430882">
        <w:rPr>
          <w:sz w:val="28"/>
          <w:szCs w:val="28"/>
          <w:lang w:val="lv-LV"/>
        </w:rPr>
        <w:t xml:space="preserve"> </w:t>
      </w:r>
      <w:r w:rsidR="003345EE">
        <w:rPr>
          <w:sz w:val="28"/>
          <w:szCs w:val="28"/>
          <w:lang w:val="lv-LV"/>
        </w:rPr>
        <w:t xml:space="preserve">33,55% un </w:t>
      </w:r>
      <w:r w:rsidR="008A01F1" w:rsidRPr="00430882">
        <w:rPr>
          <w:sz w:val="28"/>
          <w:szCs w:val="28"/>
          <w:lang w:val="lv-LV"/>
        </w:rPr>
        <w:t xml:space="preserve">2012. </w:t>
      </w:r>
      <w:r w:rsidRPr="00430882">
        <w:rPr>
          <w:sz w:val="28"/>
          <w:szCs w:val="28"/>
          <w:lang w:val="lv-LV"/>
        </w:rPr>
        <w:t xml:space="preserve">gadā </w:t>
      </w:r>
      <w:r w:rsidR="003345EE" w:rsidRPr="00430882">
        <w:rPr>
          <w:sz w:val="28"/>
          <w:szCs w:val="28"/>
          <w:lang w:val="lv-LV"/>
        </w:rPr>
        <w:t>sasnie</w:t>
      </w:r>
      <w:r w:rsidR="003345EE">
        <w:rPr>
          <w:sz w:val="28"/>
          <w:szCs w:val="28"/>
          <w:lang w:val="lv-LV"/>
        </w:rPr>
        <w:t>dzot</w:t>
      </w:r>
      <w:r w:rsidRPr="00430882">
        <w:rPr>
          <w:sz w:val="28"/>
          <w:szCs w:val="28"/>
          <w:lang w:val="lv-LV"/>
        </w:rPr>
        <w:t xml:space="preserve"> </w:t>
      </w:r>
      <w:r w:rsidR="004E330A">
        <w:rPr>
          <w:sz w:val="28"/>
          <w:szCs w:val="28"/>
          <w:lang w:val="lv-LV"/>
        </w:rPr>
        <w:t>35</w:t>
      </w:r>
      <w:r w:rsidR="00E35A32">
        <w:rPr>
          <w:sz w:val="28"/>
          <w:szCs w:val="28"/>
          <w:lang w:val="lv-LV"/>
        </w:rPr>
        <w:t>,7</w:t>
      </w:r>
      <w:r w:rsidR="004E330A">
        <w:rPr>
          <w:sz w:val="28"/>
          <w:szCs w:val="28"/>
          <w:lang w:val="lv-LV"/>
        </w:rPr>
        <w:t>8</w:t>
      </w:r>
      <w:r w:rsidR="00B653F2">
        <w:rPr>
          <w:sz w:val="28"/>
          <w:szCs w:val="28"/>
          <w:lang w:val="lv-LV"/>
        </w:rPr>
        <w:t>%</w:t>
      </w:r>
      <w:r w:rsidR="00922BE8">
        <w:rPr>
          <w:sz w:val="28"/>
          <w:szCs w:val="28"/>
          <w:lang w:val="lv-LV"/>
        </w:rPr>
        <w:t xml:space="preserve"> </w:t>
      </w:r>
    </w:p>
    <w:p w14:paraId="1A5F7113" w14:textId="77777777" w:rsidR="00405B48" w:rsidRPr="00430882" w:rsidRDefault="00890AAB" w:rsidP="00405B48">
      <w:pPr>
        <w:ind w:firstLine="714"/>
        <w:jc w:val="both"/>
        <w:rPr>
          <w:sz w:val="28"/>
          <w:szCs w:val="28"/>
          <w:lang w:val="lv-LV"/>
        </w:rPr>
      </w:pPr>
      <w:r w:rsidRPr="00430882">
        <w:rPr>
          <w:sz w:val="28"/>
          <w:szCs w:val="28"/>
          <w:lang w:val="lv-LV"/>
        </w:rPr>
        <w:t>Turklāt, k</w:t>
      </w:r>
      <w:r w:rsidR="00405B48" w:rsidRPr="00430882">
        <w:rPr>
          <w:sz w:val="28"/>
          <w:szCs w:val="28"/>
          <w:lang w:val="lv-LV"/>
        </w:rPr>
        <w:t xml:space="preserve">atrai dalībvalstij jānodrošina, ka no </w:t>
      </w:r>
      <w:r w:rsidR="00646815" w:rsidRPr="00430882">
        <w:rPr>
          <w:sz w:val="28"/>
          <w:szCs w:val="28"/>
          <w:lang w:val="lv-LV"/>
        </w:rPr>
        <w:t>AER</w:t>
      </w:r>
      <w:r w:rsidR="00405B48" w:rsidRPr="00430882">
        <w:rPr>
          <w:sz w:val="28"/>
          <w:szCs w:val="28"/>
          <w:lang w:val="lv-LV"/>
        </w:rPr>
        <w:t xml:space="preserve"> saražotās enerģijas īpatsvars visā transportā 2020.</w:t>
      </w:r>
      <w:r w:rsidR="00470485" w:rsidRPr="00430882">
        <w:rPr>
          <w:sz w:val="28"/>
          <w:szCs w:val="28"/>
          <w:lang w:val="lv-LV"/>
        </w:rPr>
        <w:t> </w:t>
      </w:r>
      <w:r w:rsidR="00405B48" w:rsidRPr="00430882">
        <w:rPr>
          <w:sz w:val="28"/>
          <w:szCs w:val="28"/>
          <w:lang w:val="lv-LV"/>
        </w:rPr>
        <w:t xml:space="preserve">gadā ir vismaz </w:t>
      </w:r>
      <w:r w:rsidR="00405B48" w:rsidRPr="00430882">
        <w:rPr>
          <w:bCs/>
          <w:sz w:val="28"/>
          <w:szCs w:val="28"/>
          <w:lang w:val="lv-LV"/>
        </w:rPr>
        <w:t>10%</w:t>
      </w:r>
      <w:r w:rsidR="00405B48" w:rsidRPr="00430882">
        <w:rPr>
          <w:sz w:val="28"/>
          <w:szCs w:val="28"/>
          <w:lang w:val="lv-LV"/>
        </w:rPr>
        <w:t xml:space="preserve"> (20</w:t>
      </w:r>
      <w:r w:rsidR="00732D2A" w:rsidRPr="00430882">
        <w:rPr>
          <w:sz w:val="28"/>
          <w:szCs w:val="28"/>
          <w:lang w:val="lv-LV"/>
        </w:rPr>
        <w:t>11</w:t>
      </w:r>
      <w:r w:rsidR="00405B48" w:rsidRPr="00430882">
        <w:rPr>
          <w:sz w:val="28"/>
          <w:szCs w:val="28"/>
          <w:lang w:val="lv-LV"/>
        </w:rPr>
        <w:t>. gadā sasniegti</w:t>
      </w:r>
      <w:r w:rsidR="00E35A32">
        <w:rPr>
          <w:sz w:val="28"/>
          <w:szCs w:val="28"/>
          <w:lang w:val="lv-LV"/>
        </w:rPr>
        <w:t xml:space="preserve"> </w:t>
      </w:r>
      <w:r w:rsidR="00732D2A" w:rsidRPr="00430882">
        <w:rPr>
          <w:sz w:val="28"/>
          <w:szCs w:val="28"/>
          <w:lang w:val="lv-LV"/>
        </w:rPr>
        <w:t>3</w:t>
      </w:r>
      <w:r w:rsidR="00405B48" w:rsidRPr="00430882">
        <w:rPr>
          <w:sz w:val="28"/>
          <w:szCs w:val="28"/>
          <w:lang w:val="lv-LV"/>
        </w:rPr>
        <w:t>,</w:t>
      </w:r>
      <w:r w:rsidR="008A01F1" w:rsidRPr="00430882">
        <w:rPr>
          <w:sz w:val="28"/>
          <w:szCs w:val="28"/>
          <w:lang w:val="lv-LV"/>
        </w:rPr>
        <w:t>2</w:t>
      </w:r>
      <w:r w:rsidR="00E35A32">
        <w:rPr>
          <w:sz w:val="28"/>
          <w:szCs w:val="28"/>
          <w:lang w:val="lv-LV"/>
        </w:rPr>
        <w:t>4</w:t>
      </w:r>
      <w:r w:rsidR="00405B48" w:rsidRPr="00430882">
        <w:rPr>
          <w:sz w:val="28"/>
          <w:szCs w:val="28"/>
          <w:lang w:val="lv-LV"/>
        </w:rPr>
        <w:t>%, 201</w:t>
      </w:r>
      <w:r w:rsidR="00732D2A" w:rsidRPr="00430882">
        <w:rPr>
          <w:sz w:val="28"/>
          <w:szCs w:val="28"/>
          <w:lang w:val="lv-LV"/>
        </w:rPr>
        <w:t>2</w:t>
      </w:r>
      <w:r w:rsidR="00405B48" w:rsidRPr="00430882">
        <w:rPr>
          <w:sz w:val="28"/>
          <w:szCs w:val="28"/>
          <w:lang w:val="lv-LV"/>
        </w:rPr>
        <w:t>. gadā – 3,</w:t>
      </w:r>
      <w:r w:rsidR="008A01F1" w:rsidRPr="00430882">
        <w:rPr>
          <w:sz w:val="28"/>
          <w:szCs w:val="28"/>
          <w:lang w:val="lv-LV"/>
        </w:rPr>
        <w:t>1</w:t>
      </w:r>
      <w:r w:rsidR="00E35A32">
        <w:rPr>
          <w:sz w:val="28"/>
          <w:szCs w:val="28"/>
          <w:lang w:val="lv-LV"/>
        </w:rPr>
        <w:t>0</w:t>
      </w:r>
      <w:r w:rsidR="00405B48" w:rsidRPr="00430882">
        <w:rPr>
          <w:sz w:val="28"/>
          <w:szCs w:val="28"/>
          <w:lang w:val="lv-LV"/>
        </w:rPr>
        <w:t>%,) no enerģijas galapatēriņa transportā.</w:t>
      </w:r>
    </w:p>
    <w:p w14:paraId="5A819375" w14:textId="77777777" w:rsidR="00F7732E" w:rsidRPr="00B041A3" w:rsidRDefault="00F7732E" w:rsidP="00F7732E">
      <w:pPr>
        <w:pStyle w:val="BodyText"/>
        <w:spacing w:before="0"/>
        <w:ind w:firstLine="714"/>
        <w:rPr>
          <w:sz w:val="18"/>
          <w:szCs w:val="24"/>
          <w:lang w:val="lv-LV"/>
        </w:rPr>
      </w:pPr>
    </w:p>
    <w:p w14:paraId="3802DA21" w14:textId="77777777" w:rsidR="00F7732E" w:rsidRDefault="00F7732E" w:rsidP="00F7732E">
      <w:pPr>
        <w:pStyle w:val="BodyText"/>
        <w:spacing w:before="0"/>
        <w:ind w:firstLine="714"/>
        <w:jc w:val="right"/>
        <w:rPr>
          <w:b/>
          <w:sz w:val="20"/>
          <w:lang w:val="lv-LV"/>
        </w:rPr>
      </w:pPr>
      <w:r>
        <w:rPr>
          <w:b/>
          <w:i/>
          <w:sz w:val="20"/>
          <w:lang w:val="lv-LV"/>
        </w:rPr>
        <w:t>1. tabula</w:t>
      </w:r>
    </w:p>
    <w:p w14:paraId="6076E9AC" w14:textId="77777777" w:rsidR="00F7732E" w:rsidRPr="00410FBD" w:rsidRDefault="00F7732E" w:rsidP="00F7732E">
      <w:pPr>
        <w:jc w:val="center"/>
        <w:rPr>
          <w:lang w:val="lv-LV"/>
        </w:rPr>
      </w:pPr>
      <w:r>
        <w:rPr>
          <w:b/>
          <w:sz w:val="20"/>
          <w:lang w:val="lv-LV"/>
        </w:rPr>
        <w:t>No atjaunojamiem energoresursiem ražotas enerģijas īpatsvars nozarēs (elektroenerģija, apsilde un dzesēšana, transports) un kopumā</w:t>
      </w:r>
    </w:p>
    <w:p w14:paraId="4CEF427A" w14:textId="77777777" w:rsidR="00F7732E" w:rsidRPr="00443DCB" w:rsidRDefault="00F7732E" w:rsidP="00F7732E">
      <w:pPr>
        <w:jc w:val="center"/>
        <w:rPr>
          <w:b/>
          <w:sz w:val="20"/>
          <w:lang w:val="lv-LV"/>
        </w:rPr>
      </w:pPr>
    </w:p>
    <w:tbl>
      <w:tblPr>
        <w:tblW w:w="0" w:type="auto"/>
        <w:jc w:val="center"/>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1"/>
        <w:gridCol w:w="1560"/>
        <w:gridCol w:w="1558"/>
      </w:tblGrid>
      <w:tr w:rsidR="00F7732E" w14:paraId="54905470" w14:textId="77777777" w:rsidTr="00B31D1F">
        <w:trPr>
          <w:jc w:val="center"/>
        </w:trPr>
        <w:tc>
          <w:tcPr>
            <w:tcW w:w="3121" w:type="dxa"/>
            <w:shd w:val="clear" w:color="auto" w:fill="E6E6E6"/>
          </w:tcPr>
          <w:p w14:paraId="11D617BE" w14:textId="77777777" w:rsidR="00F7732E" w:rsidRPr="00797AA1" w:rsidRDefault="00F7732E" w:rsidP="00B31D1F">
            <w:pPr>
              <w:suppressAutoHyphens/>
              <w:rPr>
                <w:b/>
                <w:sz w:val="16"/>
                <w:lang w:val="lv-LV"/>
              </w:rPr>
            </w:pPr>
          </w:p>
        </w:tc>
        <w:tc>
          <w:tcPr>
            <w:tcW w:w="1560" w:type="dxa"/>
            <w:shd w:val="clear" w:color="auto" w:fill="E6E6E6"/>
          </w:tcPr>
          <w:p w14:paraId="5D598A32" w14:textId="77777777" w:rsidR="00F7732E" w:rsidRDefault="00F7732E" w:rsidP="00B31D1F">
            <w:pPr>
              <w:suppressAutoHyphens/>
              <w:jc w:val="center"/>
            </w:pPr>
            <w:r>
              <w:rPr>
                <w:b/>
                <w:sz w:val="16"/>
                <w:lang w:val="lv-LV"/>
              </w:rPr>
              <w:t>2011</w:t>
            </w:r>
          </w:p>
        </w:tc>
        <w:tc>
          <w:tcPr>
            <w:tcW w:w="1558" w:type="dxa"/>
            <w:shd w:val="clear" w:color="auto" w:fill="E6E6E6"/>
          </w:tcPr>
          <w:p w14:paraId="4F178684" w14:textId="77777777" w:rsidR="00F7732E" w:rsidRDefault="00F7732E" w:rsidP="00B31D1F">
            <w:pPr>
              <w:suppressAutoHyphens/>
              <w:jc w:val="center"/>
            </w:pPr>
            <w:r>
              <w:rPr>
                <w:b/>
                <w:sz w:val="16"/>
                <w:lang w:val="lv-LV"/>
              </w:rPr>
              <w:t>2012</w:t>
            </w:r>
          </w:p>
        </w:tc>
      </w:tr>
      <w:tr w:rsidR="00F7732E" w:rsidRPr="00797AA1" w14:paraId="3C144975" w14:textId="77777777" w:rsidTr="00B31D1F">
        <w:trPr>
          <w:trHeight w:val="20"/>
          <w:jc w:val="center"/>
        </w:trPr>
        <w:tc>
          <w:tcPr>
            <w:tcW w:w="3121" w:type="dxa"/>
            <w:shd w:val="clear" w:color="auto" w:fill="auto"/>
          </w:tcPr>
          <w:p w14:paraId="40042866" w14:textId="77777777" w:rsidR="00F7732E" w:rsidRPr="00797AA1" w:rsidRDefault="00F7732E" w:rsidP="00B31D1F">
            <w:pPr>
              <w:suppressAutoHyphens/>
              <w:rPr>
                <w:b/>
                <w:sz w:val="16"/>
              </w:rPr>
            </w:pPr>
            <w:r w:rsidRPr="00797AA1">
              <w:rPr>
                <w:sz w:val="16"/>
                <w:lang w:val="lv-LV"/>
              </w:rPr>
              <w:t>AE-apsilde un dzesēšana</w:t>
            </w:r>
            <w:r w:rsidRPr="00797AA1">
              <w:rPr>
                <w:rStyle w:val="FootnoteReference"/>
                <w:sz w:val="16"/>
                <w:lang w:val="lv-LV"/>
              </w:rPr>
              <w:footnoteReference w:id="4"/>
            </w:r>
            <w:r w:rsidRPr="00797AA1">
              <w:rPr>
                <w:sz w:val="16"/>
                <w:lang w:val="lv-LV"/>
              </w:rPr>
              <w:t xml:space="preserve"> (%)</w:t>
            </w:r>
          </w:p>
        </w:tc>
        <w:tc>
          <w:tcPr>
            <w:tcW w:w="1560" w:type="dxa"/>
            <w:shd w:val="clear" w:color="auto" w:fill="auto"/>
          </w:tcPr>
          <w:p w14:paraId="7A8EB77A" w14:textId="77777777" w:rsidR="00F7732E" w:rsidRPr="009A7E52" w:rsidRDefault="00F7732E" w:rsidP="00B31D1F">
            <w:pPr>
              <w:suppressAutoHyphens/>
              <w:snapToGrid w:val="0"/>
              <w:jc w:val="center"/>
              <w:rPr>
                <w:sz w:val="16"/>
              </w:rPr>
            </w:pPr>
            <w:r w:rsidRPr="009A7E52">
              <w:rPr>
                <w:sz w:val="16"/>
              </w:rPr>
              <w:t>44</w:t>
            </w:r>
            <w:r>
              <w:rPr>
                <w:sz w:val="16"/>
              </w:rPr>
              <w:t>,8</w:t>
            </w:r>
            <w:r w:rsidR="00E35A32">
              <w:rPr>
                <w:sz w:val="16"/>
              </w:rPr>
              <w:t>3</w:t>
            </w:r>
            <w:r w:rsidRPr="009A7E52">
              <w:rPr>
                <w:sz w:val="16"/>
              </w:rPr>
              <w:t xml:space="preserve"> %</w:t>
            </w:r>
          </w:p>
        </w:tc>
        <w:tc>
          <w:tcPr>
            <w:tcW w:w="1558" w:type="dxa"/>
            <w:shd w:val="clear" w:color="auto" w:fill="auto"/>
          </w:tcPr>
          <w:p w14:paraId="5021CF23" w14:textId="77777777" w:rsidR="00F7732E" w:rsidRPr="009A7E52" w:rsidRDefault="004E330A" w:rsidP="00E35A32">
            <w:pPr>
              <w:suppressAutoHyphens/>
              <w:snapToGrid w:val="0"/>
              <w:jc w:val="center"/>
              <w:rPr>
                <w:sz w:val="16"/>
              </w:rPr>
            </w:pPr>
            <w:r>
              <w:rPr>
                <w:sz w:val="16"/>
              </w:rPr>
              <w:t>47,</w:t>
            </w:r>
            <w:r w:rsidR="00E35A32">
              <w:rPr>
                <w:sz w:val="16"/>
              </w:rPr>
              <w:t>39</w:t>
            </w:r>
            <w:r>
              <w:rPr>
                <w:sz w:val="16"/>
              </w:rPr>
              <w:t>%</w:t>
            </w:r>
          </w:p>
        </w:tc>
      </w:tr>
      <w:tr w:rsidR="00F7732E" w:rsidRPr="00797AA1" w14:paraId="2677712B" w14:textId="77777777" w:rsidTr="00B31D1F">
        <w:trPr>
          <w:trHeight w:val="20"/>
          <w:jc w:val="center"/>
        </w:trPr>
        <w:tc>
          <w:tcPr>
            <w:tcW w:w="3121" w:type="dxa"/>
            <w:shd w:val="clear" w:color="auto" w:fill="auto"/>
          </w:tcPr>
          <w:p w14:paraId="7152DBE0" w14:textId="77777777" w:rsidR="00F7732E" w:rsidRPr="00797AA1" w:rsidRDefault="00F7732E" w:rsidP="00B31D1F">
            <w:pPr>
              <w:suppressAutoHyphens/>
              <w:rPr>
                <w:b/>
                <w:sz w:val="16"/>
              </w:rPr>
            </w:pPr>
            <w:r w:rsidRPr="00797AA1">
              <w:rPr>
                <w:sz w:val="16"/>
                <w:lang w:val="lv-LV"/>
              </w:rPr>
              <w:t>AE-elektroenerģija</w:t>
            </w:r>
            <w:r w:rsidRPr="00797AA1">
              <w:rPr>
                <w:rStyle w:val="FootnoteReference"/>
                <w:sz w:val="16"/>
                <w:lang w:val="lv-LV"/>
              </w:rPr>
              <w:footnoteReference w:id="5"/>
            </w:r>
            <w:r w:rsidRPr="00797AA1">
              <w:rPr>
                <w:sz w:val="16"/>
                <w:lang w:val="lv-LV"/>
              </w:rPr>
              <w:t xml:space="preserve"> (%)</w:t>
            </w:r>
          </w:p>
        </w:tc>
        <w:tc>
          <w:tcPr>
            <w:tcW w:w="1560" w:type="dxa"/>
            <w:shd w:val="clear" w:color="auto" w:fill="auto"/>
          </w:tcPr>
          <w:p w14:paraId="12CA206E" w14:textId="77777777" w:rsidR="00F7732E" w:rsidRPr="009A7E52" w:rsidRDefault="00F7732E" w:rsidP="00B31D1F">
            <w:pPr>
              <w:suppressAutoHyphens/>
              <w:snapToGrid w:val="0"/>
              <w:jc w:val="center"/>
              <w:rPr>
                <w:sz w:val="16"/>
              </w:rPr>
            </w:pPr>
            <w:r w:rsidRPr="009A7E52">
              <w:rPr>
                <w:sz w:val="16"/>
              </w:rPr>
              <w:t>44</w:t>
            </w:r>
            <w:r>
              <w:rPr>
                <w:sz w:val="16"/>
              </w:rPr>
              <w:t>,</w:t>
            </w:r>
            <w:r w:rsidRPr="009A7E52">
              <w:rPr>
                <w:sz w:val="16"/>
              </w:rPr>
              <w:t>7</w:t>
            </w:r>
            <w:r w:rsidR="00E35A32">
              <w:rPr>
                <w:sz w:val="16"/>
              </w:rPr>
              <w:t>0</w:t>
            </w:r>
            <w:r w:rsidRPr="009A7E52">
              <w:rPr>
                <w:sz w:val="16"/>
              </w:rPr>
              <w:t xml:space="preserve"> %</w:t>
            </w:r>
          </w:p>
        </w:tc>
        <w:tc>
          <w:tcPr>
            <w:tcW w:w="1558" w:type="dxa"/>
            <w:shd w:val="clear" w:color="auto" w:fill="auto"/>
          </w:tcPr>
          <w:p w14:paraId="6F4ADFC5" w14:textId="77777777" w:rsidR="00F7732E" w:rsidRPr="009A7E52" w:rsidRDefault="00F7732E" w:rsidP="00E35A32">
            <w:pPr>
              <w:suppressAutoHyphens/>
              <w:snapToGrid w:val="0"/>
              <w:jc w:val="center"/>
              <w:rPr>
                <w:sz w:val="16"/>
              </w:rPr>
            </w:pPr>
            <w:r w:rsidRPr="009A7E52">
              <w:rPr>
                <w:sz w:val="16"/>
              </w:rPr>
              <w:t>4</w:t>
            </w:r>
            <w:r>
              <w:rPr>
                <w:sz w:val="16"/>
              </w:rPr>
              <w:t>4,</w:t>
            </w:r>
            <w:r w:rsidR="00E35A32">
              <w:rPr>
                <w:sz w:val="16"/>
              </w:rPr>
              <w:t>88</w:t>
            </w:r>
            <w:r w:rsidRPr="009A7E52">
              <w:rPr>
                <w:sz w:val="16"/>
              </w:rPr>
              <w:t xml:space="preserve"> %</w:t>
            </w:r>
          </w:p>
        </w:tc>
      </w:tr>
      <w:tr w:rsidR="00F7732E" w:rsidRPr="00797AA1" w14:paraId="6B29395E" w14:textId="77777777" w:rsidTr="00B31D1F">
        <w:trPr>
          <w:trHeight w:val="20"/>
          <w:jc w:val="center"/>
        </w:trPr>
        <w:tc>
          <w:tcPr>
            <w:tcW w:w="3121" w:type="dxa"/>
            <w:shd w:val="clear" w:color="auto" w:fill="auto"/>
          </w:tcPr>
          <w:p w14:paraId="4F3D47FA" w14:textId="77777777" w:rsidR="00F7732E" w:rsidRPr="00797AA1" w:rsidRDefault="00F7732E" w:rsidP="00B31D1F">
            <w:pPr>
              <w:suppressAutoHyphens/>
              <w:rPr>
                <w:b/>
                <w:sz w:val="16"/>
              </w:rPr>
            </w:pPr>
            <w:r w:rsidRPr="00797AA1">
              <w:rPr>
                <w:sz w:val="16"/>
                <w:lang w:val="lv-LV"/>
              </w:rPr>
              <w:t>AE-transports</w:t>
            </w:r>
            <w:r w:rsidRPr="00797AA1">
              <w:rPr>
                <w:rStyle w:val="FootnoteReference"/>
                <w:sz w:val="16"/>
                <w:lang w:val="lv-LV"/>
              </w:rPr>
              <w:footnoteReference w:id="6"/>
            </w:r>
            <w:r w:rsidRPr="00797AA1">
              <w:rPr>
                <w:sz w:val="16"/>
                <w:lang w:val="lv-LV"/>
              </w:rPr>
              <w:t xml:space="preserve"> (%)</w:t>
            </w:r>
          </w:p>
        </w:tc>
        <w:tc>
          <w:tcPr>
            <w:tcW w:w="1560" w:type="dxa"/>
            <w:shd w:val="clear" w:color="auto" w:fill="auto"/>
          </w:tcPr>
          <w:p w14:paraId="7CFF14FD" w14:textId="77777777" w:rsidR="00F7732E" w:rsidRPr="009A7E52" w:rsidRDefault="00F7732E" w:rsidP="00B31D1F">
            <w:pPr>
              <w:suppressAutoHyphens/>
              <w:snapToGrid w:val="0"/>
              <w:jc w:val="center"/>
              <w:rPr>
                <w:sz w:val="16"/>
              </w:rPr>
            </w:pPr>
            <w:r w:rsidRPr="009A7E52">
              <w:rPr>
                <w:sz w:val="16"/>
              </w:rPr>
              <w:t>3</w:t>
            </w:r>
            <w:r>
              <w:rPr>
                <w:sz w:val="16"/>
              </w:rPr>
              <w:t>,2</w:t>
            </w:r>
            <w:r w:rsidR="00E35A32">
              <w:rPr>
                <w:sz w:val="16"/>
              </w:rPr>
              <w:t>4</w:t>
            </w:r>
            <w:r w:rsidRPr="009A7E52">
              <w:rPr>
                <w:sz w:val="16"/>
              </w:rPr>
              <w:t xml:space="preserve"> %</w:t>
            </w:r>
          </w:p>
        </w:tc>
        <w:tc>
          <w:tcPr>
            <w:tcW w:w="1558" w:type="dxa"/>
            <w:shd w:val="clear" w:color="auto" w:fill="auto"/>
          </w:tcPr>
          <w:p w14:paraId="60D51F93" w14:textId="77777777" w:rsidR="00F7732E" w:rsidRPr="009A7E52" w:rsidRDefault="00F7732E" w:rsidP="00B31D1F">
            <w:pPr>
              <w:suppressAutoHyphens/>
              <w:snapToGrid w:val="0"/>
              <w:jc w:val="center"/>
              <w:rPr>
                <w:sz w:val="16"/>
              </w:rPr>
            </w:pPr>
            <w:r w:rsidRPr="009A7E52">
              <w:rPr>
                <w:sz w:val="16"/>
              </w:rPr>
              <w:t>3</w:t>
            </w:r>
            <w:r>
              <w:rPr>
                <w:sz w:val="16"/>
              </w:rPr>
              <w:t>,1</w:t>
            </w:r>
            <w:r w:rsidR="00E35A32">
              <w:rPr>
                <w:sz w:val="16"/>
              </w:rPr>
              <w:t>0</w:t>
            </w:r>
            <w:r>
              <w:rPr>
                <w:sz w:val="16"/>
              </w:rPr>
              <w:t xml:space="preserve"> </w:t>
            </w:r>
            <w:r w:rsidRPr="009A7E52">
              <w:rPr>
                <w:sz w:val="16"/>
              </w:rPr>
              <w:t>%</w:t>
            </w:r>
          </w:p>
        </w:tc>
      </w:tr>
      <w:tr w:rsidR="00F7732E" w:rsidRPr="00797AA1" w14:paraId="6E6D155F" w14:textId="77777777" w:rsidTr="00B31D1F">
        <w:trPr>
          <w:trHeight w:val="20"/>
          <w:jc w:val="center"/>
        </w:trPr>
        <w:tc>
          <w:tcPr>
            <w:tcW w:w="3121" w:type="dxa"/>
            <w:shd w:val="clear" w:color="auto" w:fill="auto"/>
          </w:tcPr>
          <w:p w14:paraId="278ACBBA" w14:textId="77777777" w:rsidR="00F7732E" w:rsidRPr="00797AA1" w:rsidRDefault="00F7732E" w:rsidP="00B31D1F">
            <w:pPr>
              <w:suppressAutoHyphens/>
              <w:rPr>
                <w:sz w:val="16"/>
              </w:rPr>
            </w:pPr>
            <w:r w:rsidRPr="00797AA1">
              <w:rPr>
                <w:sz w:val="16"/>
                <w:lang w:val="lv-LV"/>
              </w:rPr>
              <w:t>Kopējais AE īpatsvars</w:t>
            </w:r>
            <w:r w:rsidRPr="00797AA1">
              <w:rPr>
                <w:rStyle w:val="FootnoteReference"/>
                <w:sz w:val="16"/>
                <w:lang w:val="lv-LV"/>
              </w:rPr>
              <w:footnoteReference w:id="7"/>
            </w:r>
            <w:r w:rsidRPr="00797AA1">
              <w:rPr>
                <w:sz w:val="16"/>
                <w:lang w:val="lv-LV"/>
              </w:rPr>
              <w:t xml:space="preserve"> (%)</w:t>
            </w:r>
          </w:p>
        </w:tc>
        <w:tc>
          <w:tcPr>
            <w:tcW w:w="1560" w:type="dxa"/>
            <w:shd w:val="clear" w:color="auto" w:fill="auto"/>
          </w:tcPr>
          <w:p w14:paraId="12B66CB9" w14:textId="77777777" w:rsidR="00F7732E" w:rsidRPr="009A7E52" w:rsidRDefault="00F7732E" w:rsidP="00B31D1F">
            <w:pPr>
              <w:suppressAutoHyphens/>
              <w:snapToGrid w:val="0"/>
              <w:jc w:val="center"/>
              <w:rPr>
                <w:sz w:val="16"/>
              </w:rPr>
            </w:pPr>
            <w:r w:rsidRPr="009A7E52">
              <w:rPr>
                <w:sz w:val="16"/>
              </w:rPr>
              <w:t>33</w:t>
            </w:r>
            <w:r>
              <w:rPr>
                <w:sz w:val="16"/>
              </w:rPr>
              <w:t>,5</w:t>
            </w:r>
            <w:r w:rsidR="006346A4">
              <w:rPr>
                <w:sz w:val="16"/>
              </w:rPr>
              <w:t>5</w:t>
            </w:r>
            <w:r w:rsidRPr="009A7E52">
              <w:rPr>
                <w:sz w:val="16"/>
              </w:rPr>
              <w:t xml:space="preserve"> %</w:t>
            </w:r>
          </w:p>
        </w:tc>
        <w:tc>
          <w:tcPr>
            <w:tcW w:w="1558" w:type="dxa"/>
            <w:shd w:val="clear" w:color="auto" w:fill="auto"/>
          </w:tcPr>
          <w:p w14:paraId="7B75B9FD" w14:textId="77777777" w:rsidR="00F7732E" w:rsidRPr="009A7E52" w:rsidRDefault="004E330A" w:rsidP="00B31D1F">
            <w:pPr>
              <w:suppressAutoHyphens/>
              <w:snapToGrid w:val="0"/>
              <w:jc w:val="center"/>
              <w:rPr>
                <w:sz w:val="16"/>
              </w:rPr>
            </w:pPr>
            <w:r>
              <w:rPr>
                <w:sz w:val="16"/>
              </w:rPr>
              <w:t>35,</w:t>
            </w:r>
            <w:r w:rsidR="00E35A32">
              <w:rPr>
                <w:sz w:val="16"/>
              </w:rPr>
              <w:t>7</w:t>
            </w:r>
            <w:r>
              <w:rPr>
                <w:sz w:val="16"/>
              </w:rPr>
              <w:t>8%</w:t>
            </w:r>
          </w:p>
        </w:tc>
      </w:tr>
      <w:tr w:rsidR="00F7732E" w:rsidRPr="00797AA1" w14:paraId="6CF4BC7F" w14:textId="77777777" w:rsidTr="00B31D1F">
        <w:trPr>
          <w:jc w:val="center"/>
        </w:trPr>
        <w:tc>
          <w:tcPr>
            <w:tcW w:w="3121" w:type="dxa"/>
            <w:shd w:val="clear" w:color="auto" w:fill="auto"/>
          </w:tcPr>
          <w:p w14:paraId="69D9BE18" w14:textId="77777777" w:rsidR="00F7732E" w:rsidRPr="00797AA1" w:rsidRDefault="00F7732E" w:rsidP="00B31D1F">
            <w:pPr>
              <w:suppressAutoHyphens/>
              <w:jc w:val="right"/>
              <w:rPr>
                <w:sz w:val="16"/>
              </w:rPr>
            </w:pPr>
            <w:r w:rsidRPr="00797AA1">
              <w:rPr>
                <w:i/>
                <w:sz w:val="16"/>
                <w:lang w:val="lv-LV"/>
              </w:rPr>
              <w:t>Tostarp no sadarbības mehānisma (%)</w:t>
            </w:r>
          </w:p>
        </w:tc>
        <w:tc>
          <w:tcPr>
            <w:tcW w:w="1560" w:type="dxa"/>
            <w:shd w:val="clear" w:color="auto" w:fill="auto"/>
          </w:tcPr>
          <w:p w14:paraId="615E7DCD" w14:textId="77777777" w:rsidR="00F7732E" w:rsidRPr="009A7E52" w:rsidRDefault="00F7732E" w:rsidP="00B31D1F">
            <w:pPr>
              <w:suppressAutoHyphens/>
              <w:jc w:val="center"/>
              <w:rPr>
                <w:sz w:val="16"/>
              </w:rPr>
            </w:pPr>
            <w:r>
              <w:rPr>
                <w:sz w:val="16"/>
              </w:rPr>
              <w:t>-</w:t>
            </w:r>
          </w:p>
        </w:tc>
        <w:tc>
          <w:tcPr>
            <w:tcW w:w="1558" w:type="dxa"/>
            <w:shd w:val="clear" w:color="auto" w:fill="auto"/>
          </w:tcPr>
          <w:p w14:paraId="010D0E93" w14:textId="77777777" w:rsidR="00F7732E" w:rsidRPr="009A7E52" w:rsidRDefault="00F7732E" w:rsidP="00B31D1F">
            <w:pPr>
              <w:suppressAutoHyphens/>
              <w:jc w:val="center"/>
              <w:rPr>
                <w:sz w:val="16"/>
              </w:rPr>
            </w:pPr>
            <w:r>
              <w:rPr>
                <w:sz w:val="16"/>
              </w:rPr>
              <w:t>-</w:t>
            </w:r>
          </w:p>
        </w:tc>
      </w:tr>
      <w:tr w:rsidR="00F7732E" w:rsidRPr="00797AA1" w14:paraId="04543C30" w14:textId="77777777" w:rsidTr="00B31D1F">
        <w:trPr>
          <w:jc w:val="center"/>
        </w:trPr>
        <w:tc>
          <w:tcPr>
            <w:tcW w:w="3121" w:type="dxa"/>
            <w:shd w:val="clear" w:color="auto" w:fill="auto"/>
          </w:tcPr>
          <w:p w14:paraId="03F03C98" w14:textId="77777777" w:rsidR="00F7732E" w:rsidRPr="00797AA1" w:rsidRDefault="00F7732E" w:rsidP="00B31D1F">
            <w:pPr>
              <w:suppressAutoHyphens/>
              <w:jc w:val="right"/>
              <w:rPr>
                <w:i/>
                <w:sz w:val="16"/>
              </w:rPr>
            </w:pPr>
            <w:r w:rsidRPr="00797AA1">
              <w:rPr>
                <w:i/>
                <w:sz w:val="16"/>
                <w:lang w:val="lv-LV"/>
              </w:rPr>
              <w:t>Pārpalikums sadarbības mehānismam (%)</w:t>
            </w:r>
          </w:p>
        </w:tc>
        <w:tc>
          <w:tcPr>
            <w:tcW w:w="1560" w:type="dxa"/>
            <w:shd w:val="clear" w:color="auto" w:fill="auto"/>
          </w:tcPr>
          <w:p w14:paraId="325133D0" w14:textId="77777777" w:rsidR="00F7732E" w:rsidRPr="00797AA1" w:rsidRDefault="00F7732E" w:rsidP="00B31D1F">
            <w:pPr>
              <w:suppressAutoHyphens/>
              <w:jc w:val="center"/>
              <w:rPr>
                <w:b/>
                <w:sz w:val="16"/>
              </w:rPr>
            </w:pPr>
            <w:r>
              <w:rPr>
                <w:b/>
                <w:sz w:val="16"/>
              </w:rPr>
              <w:t>-</w:t>
            </w:r>
          </w:p>
        </w:tc>
        <w:tc>
          <w:tcPr>
            <w:tcW w:w="1558" w:type="dxa"/>
            <w:shd w:val="clear" w:color="auto" w:fill="auto"/>
          </w:tcPr>
          <w:p w14:paraId="703D8CEC" w14:textId="77777777" w:rsidR="00F7732E" w:rsidRPr="00797AA1" w:rsidRDefault="00F7732E" w:rsidP="00B31D1F">
            <w:pPr>
              <w:suppressAutoHyphens/>
              <w:jc w:val="center"/>
              <w:rPr>
                <w:b/>
                <w:sz w:val="16"/>
              </w:rPr>
            </w:pPr>
            <w:r>
              <w:rPr>
                <w:b/>
                <w:sz w:val="16"/>
              </w:rPr>
              <w:t>-</w:t>
            </w:r>
          </w:p>
        </w:tc>
      </w:tr>
    </w:tbl>
    <w:p w14:paraId="2E95BA0E" w14:textId="77777777" w:rsidR="00F7732E" w:rsidRDefault="00F7732E" w:rsidP="00F7732E">
      <w:pPr>
        <w:ind w:left="1440"/>
        <w:rPr>
          <w:i/>
          <w:sz w:val="20"/>
          <w:szCs w:val="20"/>
          <w:lang w:val="lv-LV"/>
        </w:rPr>
      </w:pPr>
      <w:r w:rsidRPr="0041633C">
        <w:rPr>
          <w:i/>
          <w:sz w:val="20"/>
          <w:szCs w:val="20"/>
          <w:lang w:val="lv-LV"/>
        </w:rPr>
        <w:t xml:space="preserve">Avots: </w:t>
      </w:r>
      <w:r>
        <w:rPr>
          <w:i/>
          <w:sz w:val="20"/>
          <w:szCs w:val="20"/>
          <w:lang w:val="lv-LV"/>
        </w:rPr>
        <w:t>CSP</w:t>
      </w:r>
    </w:p>
    <w:p w14:paraId="410F82E7" w14:textId="77777777" w:rsidR="00F7732E" w:rsidRPr="00B041A3" w:rsidRDefault="00F7732E" w:rsidP="00F7732E">
      <w:pPr>
        <w:ind w:left="1440"/>
        <w:rPr>
          <w:i/>
          <w:sz w:val="14"/>
          <w:szCs w:val="20"/>
          <w:lang w:val="lv-LV"/>
        </w:rPr>
      </w:pPr>
    </w:p>
    <w:p w14:paraId="0B1DAD44" w14:textId="10AEBDDF" w:rsidR="00C43D9E" w:rsidRDefault="00173B52" w:rsidP="005C7C1A">
      <w:pPr>
        <w:pStyle w:val="BodyText"/>
        <w:spacing w:before="0"/>
        <w:ind w:firstLine="714"/>
        <w:rPr>
          <w:sz w:val="28"/>
          <w:szCs w:val="28"/>
          <w:lang w:val="lv-LV"/>
        </w:rPr>
      </w:pPr>
      <w:r w:rsidRPr="00430882">
        <w:rPr>
          <w:sz w:val="28"/>
          <w:szCs w:val="28"/>
          <w:lang w:val="lv-LV"/>
        </w:rPr>
        <w:t>2011.</w:t>
      </w:r>
      <w:r w:rsidR="00470485" w:rsidRPr="00430882">
        <w:rPr>
          <w:sz w:val="28"/>
          <w:szCs w:val="28"/>
          <w:lang w:val="lv-LV"/>
        </w:rPr>
        <w:t> </w:t>
      </w:r>
      <w:r w:rsidRPr="00430882">
        <w:rPr>
          <w:sz w:val="28"/>
          <w:szCs w:val="28"/>
          <w:lang w:val="lv-LV"/>
        </w:rPr>
        <w:t>gadā, salīdzinot ar 2010.</w:t>
      </w:r>
      <w:r w:rsidR="00470485" w:rsidRPr="00430882">
        <w:rPr>
          <w:sz w:val="28"/>
          <w:szCs w:val="28"/>
          <w:lang w:val="lv-LV"/>
        </w:rPr>
        <w:t> </w:t>
      </w:r>
      <w:r w:rsidRPr="00430882">
        <w:rPr>
          <w:sz w:val="28"/>
          <w:szCs w:val="28"/>
          <w:lang w:val="lv-LV"/>
        </w:rPr>
        <w:t xml:space="preserve">gadu, </w:t>
      </w:r>
      <w:r w:rsidR="00922BE8">
        <w:rPr>
          <w:sz w:val="28"/>
          <w:szCs w:val="28"/>
          <w:lang w:val="lv-LV"/>
        </w:rPr>
        <w:t xml:space="preserve">attiecībā uz </w:t>
      </w:r>
      <w:r w:rsidR="00922BE8" w:rsidRPr="00430882">
        <w:rPr>
          <w:sz w:val="28"/>
          <w:szCs w:val="28"/>
          <w:lang w:val="lv-LV"/>
        </w:rPr>
        <w:t>Direktīvas 2009/28/EK</w:t>
      </w:r>
      <w:r w:rsidR="00922BE8">
        <w:rPr>
          <w:sz w:val="28"/>
          <w:szCs w:val="28"/>
          <w:lang w:val="lv-LV"/>
        </w:rPr>
        <w:t xml:space="preserve"> I </w:t>
      </w:r>
      <w:r w:rsidR="00922BE8" w:rsidRPr="00430882">
        <w:rPr>
          <w:sz w:val="28"/>
          <w:szCs w:val="28"/>
          <w:lang w:val="lv-LV"/>
        </w:rPr>
        <w:t xml:space="preserve">pielikuma </w:t>
      </w:r>
      <w:r w:rsidR="00C43D9E">
        <w:rPr>
          <w:sz w:val="28"/>
          <w:szCs w:val="28"/>
          <w:lang w:val="lv-LV"/>
        </w:rPr>
        <w:t>A </w:t>
      </w:r>
      <w:r w:rsidR="00922BE8">
        <w:rPr>
          <w:sz w:val="28"/>
          <w:szCs w:val="28"/>
          <w:lang w:val="lv-LV"/>
        </w:rPr>
        <w:t xml:space="preserve">daļā sasniedzamo AE īpatsvaru </w:t>
      </w:r>
      <w:r w:rsidR="00084AD9">
        <w:rPr>
          <w:sz w:val="28"/>
          <w:szCs w:val="28"/>
          <w:lang w:val="lv-LV"/>
        </w:rPr>
        <w:t>ir konstatējams progress</w:t>
      </w:r>
      <w:r w:rsidR="00F71FB2">
        <w:rPr>
          <w:sz w:val="28"/>
          <w:szCs w:val="28"/>
          <w:lang w:val="lv-LV"/>
        </w:rPr>
        <w:t>,</w:t>
      </w:r>
      <w:r w:rsidR="00084AD9">
        <w:rPr>
          <w:sz w:val="28"/>
          <w:szCs w:val="28"/>
          <w:lang w:val="lv-LV"/>
        </w:rPr>
        <w:t xml:space="preserve"> un </w:t>
      </w:r>
      <w:r w:rsidRPr="00430882">
        <w:rPr>
          <w:sz w:val="28"/>
          <w:szCs w:val="28"/>
          <w:lang w:val="lv-LV"/>
        </w:rPr>
        <w:t xml:space="preserve">kopējais AE īpatsvars </w:t>
      </w:r>
      <w:r w:rsidR="008A01F1" w:rsidRPr="00430882">
        <w:rPr>
          <w:sz w:val="28"/>
          <w:szCs w:val="28"/>
          <w:lang w:val="lv-LV"/>
        </w:rPr>
        <w:t>p</w:t>
      </w:r>
      <w:r w:rsidRPr="00430882">
        <w:rPr>
          <w:sz w:val="28"/>
          <w:szCs w:val="28"/>
          <w:lang w:val="lv-LV"/>
        </w:rPr>
        <w:t>alielinājies par 1 procentu punktu</w:t>
      </w:r>
      <w:r w:rsidR="008A01F1" w:rsidRPr="00430882">
        <w:rPr>
          <w:sz w:val="28"/>
          <w:szCs w:val="28"/>
          <w:lang w:val="lv-LV"/>
        </w:rPr>
        <w:t xml:space="preserve">, </w:t>
      </w:r>
      <w:r w:rsidR="00783216">
        <w:rPr>
          <w:sz w:val="28"/>
          <w:szCs w:val="28"/>
          <w:lang w:val="lv-LV"/>
        </w:rPr>
        <w:t>Savukārt 2012.gadā, salīdzinājumā ar 2011.gadu, AE īpatsvars ir palielinājies</w:t>
      </w:r>
      <w:r w:rsidR="00E35A32">
        <w:rPr>
          <w:sz w:val="28"/>
          <w:szCs w:val="28"/>
          <w:lang w:val="lv-LV"/>
        </w:rPr>
        <w:t xml:space="preserve"> straujāk – par 2,2 procentu punktiem</w:t>
      </w:r>
      <w:r w:rsidR="00783216">
        <w:rPr>
          <w:sz w:val="28"/>
          <w:szCs w:val="28"/>
          <w:lang w:val="lv-LV"/>
        </w:rPr>
        <w:t>.</w:t>
      </w:r>
      <w:r w:rsidR="00922BE8">
        <w:rPr>
          <w:sz w:val="28"/>
          <w:szCs w:val="28"/>
          <w:lang w:val="lv-LV"/>
        </w:rPr>
        <w:t xml:space="preserve"> </w:t>
      </w:r>
      <w:r w:rsidR="00922BE8" w:rsidRPr="00430882">
        <w:rPr>
          <w:sz w:val="28"/>
          <w:szCs w:val="28"/>
          <w:lang w:val="lv-LV"/>
        </w:rPr>
        <w:t xml:space="preserve">Sasniegtais AE īpatsvars </w:t>
      </w:r>
      <w:r w:rsidR="00E35A32" w:rsidRPr="00430882">
        <w:rPr>
          <w:sz w:val="28"/>
          <w:szCs w:val="28"/>
          <w:lang w:val="lv-LV"/>
        </w:rPr>
        <w:t>2011-2012</w:t>
      </w:r>
      <w:r w:rsidR="00E35A32">
        <w:rPr>
          <w:sz w:val="28"/>
          <w:szCs w:val="28"/>
          <w:lang w:val="lv-LV"/>
        </w:rPr>
        <w:t>. gadā pārsniedz</w:t>
      </w:r>
      <w:r w:rsidR="00922BE8" w:rsidRPr="00430882">
        <w:rPr>
          <w:sz w:val="28"/>
          <w:szCs w:val="28"/>
          <w:lang w:val="lv-LV"/>
        </w:rPr>
        <w:t xml:space="preserve"> Direktīvas 2009/28/EK I pielikuma B daļā</w:t>
      </w:r>
      <w:r w:rsidR="00922BE8">
        <w:rPr>
          <w:sz w:val="28"/>
          <w:szCs w:val="28"/>
          <w:lang w:val="lv-LV"/>
        </w:rPr>
        <w:t xml:space="preserve"> ietvert</w:t>
      </w:r>
      <w:r w:rsidR="00E35A32">
        <w:rPr>
          <w:sz w:val="28"/>
          <w:szCs w:val="28"/>
          <w:lang w:val="lv-LV"/>
        </w:rPr>
        <w:t>o</w:t>
      </w:r>
      <w:r w:rsidR="00922BE8" w:rsidRPr="00430882">
        <w:rPr>
          <w:sz w:val="28"/>
          <w:szCs w:val="28"/>
          <w:lang w:val="lv-LV"/>
        </w:rPr>
        <w:t xml:space="preserve"> indikatīv</w:t>
      </w:r>
      <w:r w:rsidR="00E35A32">
        <w:rPr>
          <w:sz w:val="28"/>
          <w:szCs w:val="28"/>
          <w:lang w:val="lv-LV"/>
        </w:rPr>
        <w:t>o</w:t>
      </w:r>
      <w:r w:rsidR="00922BE8" w:rsidRPr="00430882">
        <w:rPr>
          <w:sz w:val="28"/>
          <w:szCs w:val="28"/>
          <w:lang w:val="lv-LV"/>
        </w:rPr>
        <w:t xml:space="preserve"> </w:t>
      </w:r>
      <w:r w:rsidR="00922BE8">
        <w:rPr>
          <w:sz w:val="28"/>
          <w:szCs w:val="28"/>
          <w:lang w:val="lv-LV"/>
        </w:rPr>
        <w:t>mērķ</w:t>
      </w:r>
      <w:r w:rsidR="00E35A32">
        <w:rPr>
          <w:sz w:val="28"/>
          <w:szCs w:val="28"/>
          <w:lang w:val="lv-LV"/>
        </w:rPr>
        <w:t>i</w:t>
      </w:r>
      <w:r w:rsidR="00922BE8">
        <w:rPr>
          <w:sz w:val="28"/>
          <w:szCs w:val="28"/>
          <w:lang w:val="lv-LV"/>
        </w:rPr>
        <w:t xml:space="preserve"> par 0,6 procentu punktiem. Tas nozīm</w:t>
      </w:r>
      <w:r w:rsidR="00E35A32">
        <w:rPr>
          <w:sz w:val="28"/>
          <w:szCs w:val="28"/>
          <w:lang w:val="lv-LV"/>
        </w:rPr>
        <w:t>ē, ka Latvijā 2011.-2012. gadā ir</w:t>
      </w:r>
      <w:r w:rsidR="00922BE8">
        <w:rPr>
          <w:sz w:val="28"/>
          <w:szCs w:val="28"/>
          <w:lang w:val="lv-LV"/>
        </w:rPr>
        <w:t xml:space="preserve"> bijis </w:t>
      </w:r>
      <w:r w:rsidR="00E35A32">
        <w:rPr>
          <w:sz w:val="28"/>
          <w:szCs w:val="28"/>
          <w:lang w:val="lv-LV"/>
        </w:rPr>
        <w:t xml:space="preserve">vērojams </w:t>
      </w:r>
      <w:r w:rsidR="00922BE8">
        <w:rPr>
          <w:sz w:val="28"/>
          <w:szCs w:val="28"/>
          <w:lang w:val="lv-LV"/>
        </w:rPr>
        <w:t>progress AE plašākā izmantošanā</w:t>
      </w:r>
      <w:r w:rsidR="001548AE">
        <w:rPr>
          <w:sz w:val="28"/>
          <w:szCs w:val="28"/>
          <w:lang w:val="lv-LV"/>
        </w:rPr>
        <w:t>.</w:t>
      </w:r>
      <w:r w:rsidR="00B82EDC" w:rsidRPr="00430882">
        <w:rPr>
          <w:sz w:val="28"/>
          <w:szCs w:val="28"/>
          <w:lang w:val="lv-LV"/>
        </w:rPr>
        <w:t xml:space="preserve"> </w:t>
      </w:r>
    </w:p>
    <w:p w14:paraId="0C8CB8E9" w14:textId="77777777" w:rsidR="0059768D" w:rsidRDefault="00421F4E" w:rsidP="0059768D">
      <w:pPr>
        <w:pStyle w:val="BodyText"/>
        <w:spacing w:before="0"/>
        <w:ind w:firstLine="714"/>
        <w:rPr>
          <w:sz w:val="28"/>
          <w:szCs w:val="28"/>
          <w:lang w:val="lv-LV"/>
        </w:rPr>
      </w:pPr>
      <w:r w:rsidRPr="00F26DD1">
        <w:rPr>
          <w:sz w:val="28"/>
          <w:u w:val="single"/>
          <w:lang w:val="lv-LV"/>
        </w:rPr>
        <w:t>AE īpatsvara pieaugumu elektroenerģijas sektorā</w:t>
      </w:r>
      <w:r>
        <w:rPr>
          <w:sz w:val="28"/>
          <w:szCs w:val="28"/>
          <w:lang w:val="lv-LV"/>
        </w:rPr>
        <w:t xml:space="preserve"> </w:t>
      </w:r>
      <w:r w:rsidR="000B61F6">
        <w:rPr>
          <w:sz w:val="28"/>
          <w:szCs w:val="28"/>
          <w:lang w:val="lv-LV"/>
        </w:rPr>
        <w:t>sekmē elektroenerģijas obligātais iepirkums.</w:t>
      </w:r>
      <w:r>
        <w:rPr>
          <w:sz w:val="28"/>
          <w:szCs w:val="28"/>
          <w:lang w:val="lv-LV"/>
        </w:rPr>
        <w:t xml:space="preserve"> </w:t>
      </w:r>
      <w:r w:rsidR="001F7B0C">
        <w:rPr>
          <w:sz w:val="28"/>
          <w:szCs w:val="28"/>
          <w:lang w:val="lv-LV"/>
        </w:rPr>
        <w:t xml:space="preserve">Kopējais komersantiem, kas elektroenerģijas ražošanai izmanto AER, piešķirtajās tiesībās pārdot elektroenerģiju obligātā iepirkuma </w:t>
      </w:r>
      <w:r w:rsidR="001F7B0C">
        <w:rPr>
          <w:sz w:val="28"/>
          <w:szCs w:val="28"/>
          <w:lang w:val="lv-LV"/>
        </w:rPr>
        <w:lastRenderedPageBreak/>
        <w:t>ietvaros noteiktais elektroenerģijas apjoms ir 5645 </w:t>
      </w:r>
      <w:proofErr w:type="spellStart"/>
      <w:r w:rsidR="001F7B0C">
        <w:rPr>
          <w:sz w:val="28"/>
          <w:szCs w:val="28"/>
          <w:lang w:val="lv-LV"/>
        </w:rPr>
        <w:t>GWh</w:t>
      </w:r>
      <w:proofErr w:type="spellEnd"/>
      <w:r w:rsidR="001F7B0C">
        <w:rPr>
          <w:sz w:val="28"/>
          <w:szCs w:val="28"/>
          <w:lang w:val="lv-LV"/>
        </w:rPr>
        <w:t xml:space="preserve"> gadā</w:t>
      </w:r>
      <w:r w:rsidR="00382EEA">
        <w:rPr>
          <w:sz w:val="28"/>
          <w:szCs w:val="28"/>
          <w:lang w:val="lv-LV"/>
        </w:rPr>
        <w:t>. T</w:t>
      </w:r>
      <w:r w:rsidR="001F7B0C">
        <w:rPr>
          <w:sz w:val="28"/>
          <w:szCs w:val="28"/>
          <w:lang w:val="lv-LV"/>
        </w:rPr>
        <w:t xml:space="preserve">as veido </w:t>
      </w:r>
      <w:r w:rsidR="00382EEA">
        <w:rPr>
          <w:sz w:val="28"/>
          <w:szCs w:val="28"/>
          <w:lang w:val="lv-LV"/>
        </w:rPr>
        <w:t>65</w:t>
      </w:r>
      <w:r w:rsidR="001F7B0C">
        <w:rPr>
          <w:sz w:val="28"/>
          <w:szCs w:val="28"/>
          <w:lang w:val="lv-LV"/>
        </w:rPr>
        <w:t>% no</w:t>
      </w:r>
      <w:r w:rsidR="00382EEA">
        <w:rPr>
          <w:sz w:val="28"/>
          <w:szCs w:val="28"/>
          <w:lang w:val="lv-LV"/>
        </w:rPr>
        <w:t xml:space="preserve"> rīcības plānā</w:t>
      </w:r>
      <w:r w:rsidR="001F7B0C">
        <w:rPr>
          <w:sz w:val="28"/>
          <w:szCs w:val="28"/>
          <w:lang w:val="lv-LV"/>
        </w:rPr>
        <w:t xml:space="preserve"> prognozētā Latvijas kopējā elektroenerģijas bruto patēriņa</w:t>
      </w:r>
      <w:r w:rsidR="0059768D">
        <w:rPr>
          <w:sz w:val="28"/>
          <w:szCs w:val="28"/>
          <w:lang w:val="lv-LV"/>
        </w:rPr>
        <w:t xml:space="preserve"> 2020. gadā</w:t>
      </w:r>
      <w:r w:rsidR="001F7B0C">
        <w:rPr>
          <w:sz w:val="28"/>
          <w:szCs w:val="28"/>
          <w:lang w:val="lv-LV"/>
        </w:rPr>
        <w:t>.</w:t>
      </w:r>
      <w:r w:rsidR="003646A3">
        <w:rPr>
          <w:sz w:val="28"/>
          <w:szCs w:val="28"/>
          <w:lang w:val="lv-LV"/>
        </w:rPr>
        <w:t xml:space="preserve"> Taču šobrīd īstenot</w:t>
      </w:r>
      <w:r w:rsidR="00382EEA">
        <w:rPr>
          <w:sz w:val="28"/>
          <w:szCs w:val="28"/>
          <w:lang w:val="lv-LV"/>
        </w:rPr>
        <w:t>s ir vēl neliels apjoms n</w:t>
      </w:r>
      <w:r w:rsidR="003646A3">
        <w:rPr>
          <w:sz w:val="28"/>
          <w:szCs w:val="28"/>
          <w:lang w:val="lv-LV"/>
        </w:rPr>
        <w:t>o komersantiem piešķirto obligātā iepirkuma tiesību</w:t>
      </w:r>
      <w:r w:rsidR="0059768D">
        <w:rPr>
          <w:sz w:val="28"/>
          <w:szCs w:val="28"/>
          <w:lang w:val="lv-LV"/>
        </w:rPr>
        <w:t xml:space="preserve"> – </w:t>
      </w:r>
      <w:r w:rsidR="003646A3">
        <w:rPr>
          <w:sz w:val="28"/>
          <w:szCs w:val="28"/>
          <w:lang w:val="lv-LV"/>
        </w:rPr>
        <w:t xml:space="preserve">2012. gadā </w:t>
      </w:r>
      <w:r w:rsidR="00382EEA">
        <w:rPr>
          <w:sz w:val="28"/>
          <w:szCs w:val="28"/>
          <w:lang w:val="lv-LV"/>
        </w:rPr>
        <w:t xml:space="preserve">obligātā iepirkuma ietvaros no AER izmantojošiem komersantiem </w:t>
      </w:r>
      <w:r w:rsidR="003646A3">
        <w:rPr>
          <w:sz w:val="28"/>
          <w:szCs w:val="28"/>
          <w:lang w:val="lv-LV"/>
        </w:rPr>
        <w:t>tika iepirkts tikai 450,9 </w:t>
      </w:r>
      <w:proofErr w:type="spellStart"/>
      <w:r w:rsidR="003646A3">
        <w:rPr>
          <w:sz w:val="28"/>
          <w:szCs w:val="28"/>
          <w:lang w:val="lv-LV"/>
        </w:rPr>
        <w:t>GWh</w:t>
      </w:r>
      <w:proofErr w:type="spellEnd"/>
      <w:r w:rsidR="00382EEA">
        <w:rPr>
          <w:sz w:val="28"/>
          <w:szCs w:val="28"/>
          <w:lang w:val="lv-LV"/>
        </w:rPr>
        <w:t xml:space="preserve"> elektroenerģijas</w:t>
      </w:r>
      <w:r w:rsidR="0059768D">
        <w:rPr>
          <w:sz w:val="28"/>
          <w:szCs w:val="28"/>
          <w:lang w:val="lv-LV"/>
        </w:rPr>
        <w:t xml:space="preserve"> (6% no 2012. gada Latvijas bruto elektroenerģijas patēriņa</w:t>
      </w:r>
      <w:r w:rsidR="00382EEA">
        <w:rPr>
          <w:sz w:val="28"/>
          <w:szCs w:val="28"/>
          <w:lang w:val="lv-LV"/>
        </w:rPr>
        <w:t>)</w:t>
      </w:r>
      <w:r w:rsidR="0059768D">
        <w:rPr>
          <w:sz w:val="28"/>
          <w:szCs w:val="28"/>
          <w:lang w:val="lv-LV"/>
        </w:rPr>
        <w:t xml:space="preserve">. </w:t>
      </w:r>
    </w:p>
    <w:p w14:paraId="0D9E86C2" w14:textId="3E20D1D5" w:rsidR="0059768D" w:rsidRDefault="0059768D" w:rsidP="00DA2C96">
      <w:pPr>
        <w:pStyle w:val="BodyText"/>
        <w:spacing w:before="0"/>
        <w:ind w:firstLine="714"/>
        <w:rPr>
          <w:sz w:val="28"/>
          <w:szCs w:val="28"/>
          <w:lang w:val="lv-LV"/>
        </w:rPr>
      </w:pPr>
      <w:r>
        <w:rPr>
          <w:sz w:val="28"/>
          <w:szCs w:val="28"/>
          <w:lang w:val="lv-LV"/>
        </w:rPr>
        <w:t>Šobrīd komersanti pakāpeniski īsteno tiem piešķirtās tiesības</w:t>
      </w:r>
      <w:r w:rsidR="00DA2C96">
        <w:rPr>
          <w:sz w:val="28"/>
          <w:szCs w:val="28"/>
          <w:lang w:val="lv-LV"/>
        </w:rPr>
        <w:t xml:space="preserve">. AER izmantojošo elektrostaciju uzstādītās elektriskās jaudas ievērojamais pieaugums 2011. un 2012. gadā ir atspoguļots 1.b tabulā. </w:t>
      </w:r>
      <w:r w:rsidR="00BB755D">
        <w:rPr>
          <w:sz w:val="28"/>
          <w:szCs w:val="28"/>
          <w:lang w:val="lv-LV"/>
        </w:rPr>
        <w:t>Izsniegto obligātā iepirkuma tiesību īstenošana turpinājās arī 2013.</w:t>
      </w:r>
      <w:r w:rsidR="001C38D7">
        <w:rPr>
          <w:sz w:val="28"/>
          <w:szCs w:val="28"/>
          <w:lang w:val="lv-LV"/>
        </w:rPr>
        <w:t xml:space="preserve"> </w:t>
      </w:r>
      <w:r w:rsidR="00BB755D">
        <w:rPr>
          <w:sz w:val="28"/>
          <w:szCs w:val="28"/>
          <w:lang w:val="lv-LV"/>
        </w:rPr>
        <w:t>gadā. L</w:t>
      </w:r>
      <w:r w:rsidRPr="00F14798">
        <w:rPr>
          <w:sz w:val="28"/>
          <w:szCs w:val="28"/>
          <w:lang w:val="lv-LV"/>
        </w:rPr>
        <w:t>īdz ar jauno elektrostaciju darbības uzsākšanu 2013.</w:t>
      </w:r>
      <w:r>
        <w:rPr>
          <w:sz w:val="28"/>
          <w:szCs w:val="28"/>
          <w:lang w:val="lv-LV"/>
        </w:rPr>
        <w:t> </w:t>
      </w:r>
      <w:r w:rsidRPr="00F14798">
        <w:rPr>
          <w:sz w:val="28"/>
          <w:szCs w:val="28"/>
          <w:lang w:val="lv-LV"/>
        </w:rPr>
        <w:t xml:space="preserve">gada pirmajā pusē </w:t>
      </w:r>
      <w:r>
        <w:rPr>
          <w:sz w:val="28"/>
          <w:szCs w:val="28"/>
          <w:lang w:val="lv-LV"/>
        </w:rPr>
        <w:t xml:space="preserve">Latvijā biogāzes staciju kopējā </w:t>
      </w:r>
      <w:r w:rsidRPr="00F14798">
        <w:rPr>
          <w:sz w:val="28"/>
          <w:szCs w:val="28"/>
          <w:lang w:val="lv-LV"/>
        </w:rPr>
        <w:t>uzstādītā elektriskā jauda</w:t>
      </w:r>
      <w:r>
        <w:rPr>
          <w:sz w:val="28"/>
          <w:szCs w:val="28"/>
          <w:lang w:val="lv-LV"/>
        </w:rPr>
        <w:t>, salīdzinot ar 2012. gadu,</w:t>
      </w:r>
      <w:r w:rsidRPr="00F14798">
        <w:rPr>
          <w:sz w:val="28"/>
          <w:szCs w:val="28"/>
          <w:lang w:val="lv-LV"/>
        </w:rPr>
        <w:t xml:space="preserve"> </w:t>
      </w:r>
      <w:r w:rsidRPr="00AF4295">
        <w:rPr>
          <w:sz w:val="28"/>
          <w:szCs w:val="28"/>
          <w:lang w:val="lv-LV"/>
        </w:rPr>
        <w:t>ir pieaugusi</w:t>
      </w:r>
      <w:r w:rsidRPr="00F14798">
        <w:rPr>
          <w:sz w:val="28"/>
          <w:szCs w:val="28"/>
          <w:lang w:val="lv-LV"/>
        </w:rPr>
        <w:t xml:space="preserve"> </w:t>
      </w:r>
      <w:r w:rsidRPr="00FA6E85">
        <w:rPr>
          <w:sz w:val="28"/>
          <w:szCs w:val="28"/>
          <w:lang w:val="lv-LV"/>
        </w:rPr>
        <w:t>par 14% no 43</w:t>
      </w:r>
      <w:r>
        <w:rPr>
          <w:sz w:val="28"/>
          <w:szCs w:val="28"/>
          <w:lang w:val="lv-LV"/>
        </w:rPr>
        <w:t> </w:t>
      </w:r>
      <w:r w:rsidRPr="00FA6E85">
        <w:rPr>
          <w:sz w:val="28"/>
          <w:szCs w:val="28"/>
          <w:lang w:val="lv-LV"/>
        </w:rPr>
        <w:t>MW līdz 49</w:t>
      </w:r>
      <w:r>
        <w:rPr>
          <w:sz w:val="28"/>
          <w:szCs w:val="28"/>
          <w:lang w:val="lv-LV"/>
        </w:rPr>
        <w:t> </w:t>
      </w:r>
      <w:r w:rsidRPr="00F14798">
        <w:rPr>
          <w:sz w:val="28"/>
          <w:szCs w:val="28"/>
          <w:lang w:val="lv-LV"/>
        </w:rPr>
        <w:t>MW un biomasas stacij</w:t>
      </w:r>
      <w:r>
        <w:rPr>
          <w:sz w:val="28"/>
          <w:szCs w:val="28"/>
          <w:lang w:val="lv-LV"/>
        </w:rPr>
        <w:t xml:space="preserve">u </w:t>
      </w:r>
      <w:r w:rsidRPr="00AF4295">
        <w:rPr>
          <w:sz w:val="28"/>
          <w:szCs w:val="28"/>
          <w:lang w:val="lv-LV"/>
        </w:rPr>
        <w:t>elektriskā jauda ir pieaugusi</w:t>
      </w:r>
      <w:r w:rsidRPr="00F14798">
        <w:rPr>
          <w:sz w:val="28"/>
          <w:szCs w:val="28"/>
          <w:lang w:val="lv-LV"/>
        </w:rPr>
        <w:t xml:space="preserve"> par 37%</w:t>
      </w:r>
      <w:r>
        <w:rPr>
          <w:sz w:val="28"/>
          <w:szCs w:val="28"/>
          <w:lang w:val="lv-LV"/>
        </w:rPr>
        <w:t xml:space="preserve"> -</w:t>
      </w:r>
      <w:r w:rsidRPr="00F14798">
        <w:rPr>
          <w:sz w:val="28"/>
          <w:szCs w:val="28"/>
          <w:lang w:val="lv-LV"/>
        </w:rPr>
        <w:t xml:space="preserve"> no 23 MW līdz 32</w:t>
      </w:r>
      <w:r>
        <w:rPr>
          <w:sz w:val="28"/>
          <w:szCs w:val="28"/>
          <w:lang w:val="lv-LV"/>
        </w:rPr>
        <w:t> </w:t>
      </w:r>
      <w:r w:rsidRPr="00F14798">
        <w:rPr>
          <w:sz w:val="28"/>
          <w:szCs w:val="28"/>
          <w:lang w:val="lv-LV"/>
        </w:rPr>
        <w:t>MW</w:t>
      </w:r>
      <w:r w:rsidR="00DA2C96">
        <w:rPr>
          <w:sz w:val="28"/>
          <w:szCs w:val="28"/>
          <w:lang w:val="lv-LV"/>
        </w:rPr>
        <w:t xml:space="preserve">, un ir </w:t>
      </w:r>
      <w:r>
        <w:rPr>
          <w:sz w:val="28"/>
          <w:szCs w:val="28"/>
          <w:lang w:val="lv-LV"/>
        </w:rPr>
        <w:t>vē</w:t>
      </w:r>
      <w:r w:rsidR="00DA2C96">
        <w:rPr>
          <w:sz w:val="28"/>
          <w:szCs w:val="28"/>
          <w:lang w:val="lv-LV"/>
        </w:rPr>
        <w:t>rojam</w:t>
      </w:r>
      <w:r w:rsidR="00B70687">
        <w:rPr>
          <w:sz w:val="28"/>
          <w:szCs w:val="28"/>
          <w:lang w:val="lv-LV"/>
        </w:rPr>
        <w:t>a</w:t>
      </w:r>
      <w:r>
        <w:rPr>
          <w:sz w:val="28"/>
          <w:szCs w:val="28"/>
          <w:lang w:val="lv-LV"/>
        </w:rPr>
        <w:t xml:space="preserve"> AE izmantošanas </w:t>
      </w:r>
      <w:r w:rsidR="00DA2C96">
        <w:rPr>
          <w:sz w:val="28"/>
          <w:szCs w:val="28"/>
          <w:lang w:val="lv-LV"/>
        </w:rPr>
        <w:t>pieauguma tendence</w:t>
      </w:r>
      <w:r>
        <w:rPr>
          <w:sz w:val="28"/>
          <w:szCs w:val="28"/>
          <w:lang w:val="lv-LV"/>
        </w:rPr>
        <w:t xml:space="preserve"> elektroenerģijas sektorā. </w:t>
      </w:r>
    </w:p>
    <w:p w14:paraId="15A4783A" w14:textId="77777777" w:rsidR="005C7C1A" w:rsidRDefault="000E4497" w:rsidP="005C7C1A">
      <w:pPr>
        <w:pStyle w:val="BodyText"/>
        <w:spacing w:before="0"/>
        <w:ind w:firstLine="714"/>
        <w:rPr>
          <w:sz w:val="28"/>
          <w:szCs w:val="28"/>
          <w:lang w:val="lv-LV"/>
        </w:rPr>
      </w:pPr>
      <w:r>
        <w:rPr>
          <w:sz w:val="28"/>
          <w:szCs w:val="28"/>
          <w:lang w:val="lv-LV"/>
        </w:rPr>
        <w:t xml:space="preserve">Ņemot vērā lielo skaitu komersantu, kas vēl nav īstenojuši obligātā iepirkuma tiesības, </w:t>
      </w:r>
      <w:r w:rsidR="00382EEA">
        <w:rPr>
          <w:sz w:val="28"/>
          <w:szCs w:val="28"/>
          <w:lang w:val="lv-LV"/>
        </w:rPr>
        <w:t>un Daugavas hidroelektrostaciju kaskādes saražoto elektroenerģijas apjomu (39% no 2012. gada Latvijas bruto elektroenerģijas patēriņa)</w:t>
      </w:r>
      <w:r w:rsidR="0059768D">
        <w:rPr>
          <w:sz w:val="28"/>
          <w:szCs w:val="28"/>
          <w:lang w:val="lv-LV"/>
        </w:rPr>
        <w:t>,</w:t>
      </w:r>
      <w:r w:rsidR="00382EEA">
        <w:rPr>
          <w:sz w:val="28"/>
          <w:szCs w:val="28"/>
          <w:lang w:val="lv-LV"/>
        </w:rPr>
        <w:t xml:space="preserve"> </w:t>
      </w:r>
      <w:r>
        <w:rPr>
          <w:sz w:val="28"/>
          <w:szCs w:val="28"/>
          <w:lang w:val="lv-LV"/>
        </w:rPr>
        <w:t>paredzams, ka</w:t>
      </w:r>
      <w:r w:rsidR="0059768D">
        <w:rPr>
          <w:sz w:val="28"/>
          <w:szCs w:val="28"/>
          <w:lang w:val="lv-LV"/>
        </w:rPr>
        <w:t>,</w:t>
      </w:r>
      <w:r w:rsidR="00382EEA">
        <w:rPr>
          <w:sz w:val="28"/>
          <w:szCs w:val="28"/>
          <w:lang w:val="lv-LV"/>
        </w:rPr>
        <w:t xml:space="preserve"> pat </w:t>
      </w:r>
      <w:r w:rsidR="0059768D">
        <w:rPr>
          <w:sz w:val="28"/>
          <w:szCs w:val="28"/>
          <w:lang w:val="lv-LV"/>
        </w:rPr>
        <w:t>realizē</w:t>
      </w:r>
      <w:r w:rsidR="00382EEA">
        <w:rPr>
          <w:sz w:val="28"/>
          <w:szCs w:val="28"/>
          <w:lang w:val="lv-LV"/>
        </w:rPr>
        <w:t>jot</w:t>
      </w:r>
      <w:r>
        <w:rPr>
          <w:sz w:val="28"/>
          <w:szCs w:val="28"/>
          <w:lang w:val="lv-LV"/>
        </w:rPr>
        <w:t xml:space="preserve"> </w:t>
      </w:r>
      <w:r w:rsidR="00382EEA">
        <w:rPr>
          <w:sz w:val="28"/>
          <w:szCs w:val="28"/>
          <w:lang w:val="lv-LV"/>
        </w:rPr>
        <w:t xml:space="preserve">tikai nelielu daļu no </w:t>
      </w:r>
      <w:r w:rsidR="0059768D">
        <w:rPr>
          <w:sz w:val="28"/>
          <w:szCs w:val="28"/>
          <w:lang w:val="lv-LV"/>
        </w:rPr>
        <w:t xml:space="preserve">vēl neīstenotajām </w:t>
      </w:r>
      <w:r w:rsidR="00382EEA">
        <w:rPr>
          <w:sz w:val="28"/>
          <w:szCs w:val="28"/>
          <w:lang w:val="lv-LV"/>
        </w:rPr>
        <w:t>piešķirtajām obligātā iepirkuma tiesībām</w:t>
      </w:r>
      <w:r w:rsidR="0059768D">
        <w:rPr>
          <w:sz w:val="28"/>
          <w:szCs w:val="28"/>
          <w:lang w:val="lv-LV"/>
        </w:rPr>
        <w:t>,</w:t>
      </w:r>
      <w:r w:rsidR="00382EEA">
        <w:rPr>
          <w:sz w:val="28"/>
          <w:szCs w:val="28"/>
          <w:lang w:val="lv-LV"/>
        </w:rPr>
        <w:t xml:space="preserve"> </w:t>
      </w:r>
      <w:r w:rsidR="003646A3">
        <w:rPr>
          <w:sz w:val="28"/>
          <w:szCs w:val="28"/>
          <w:lang w:val="lv-LV"/>
        </w:rPr>
        <w:t xml:space="preserve">AE īpatsvars elektroenerģijas sektorā Latvijā </w:t>
      </w:r>
      <w:r>
        <w:rPr>
          <w:sz w:val="28"/>
          <w:szCs w:val="28"/>
          <w:lang w:val="lv-LV"/>
        </w:rPr>
        <w:t>sasniegs rīcības</w:t>
      </w:r>
      <w:r w:rsidR="00664C9C">
        <w:rPr>
          <w:sz w:val="28"/>
          <w:szCs w:val="28"/>
          <w:lang w:val="lv-LV"/>
        </w:rPr>
        <w:t xml:space="preserve"> plānā paredzēto</w:t>
      </w:r>
      <w:r w:rsidR="0059768D">
        <w:rPr>
          <w:sz w:val="28"/>
          <w:szCs w:val="28"/>
          <w:lang w:val="lv-LV"/>
        </w:rPr>
        <w:t xml:space="preserve"> (59,8%)</w:t>
      </w:r>
      <w:r w:rsidR="001F7B0C">
        <w:rPr>
          <w:sz w:val="28"/>
          <w:szCs w:val="28"/>
          <w:lang w:val="lv-LV"/>
        </w:rPr>
        <w:t>.</w:t>
      </w:r>
    </w:p>
    <w:p w14:paraId="61A501F0" w14:textId="77777777" w:rsidR="001B4187" w:rsidRDefault="00847114" w:rsidP="005C7C1A">
      <w:pPr>
        <w:pStyle w:val="BodyText"/>
        <w:spacing w:before="0"/>
        <w:ind w:firstLine="714"/>
        <w:rPr>
          <w:sz w:val="28"/>
          <w:szCs w:val="28"/>
          <w:lang w:val="lv-LV"/>
        </w:rPr>
      </w:pPr>
      <w:r w:rsidRPr="00F26DD1">
        <w:rPr>
          <w:sz w:val="28"/>
          <w:u w:val="single"/>
          <w:lang w:val="lv-LV"/>
        </w:rPr>
        <w:t>Arī siltumenerģijas sektorā</w:t>
      </w:r>
      <w:r>
        <w:rPr>
          <w:sz w:val="28"/>
          <w:szCs w:val="28"/>
          <w:lang w:val="lv-LV"/>
        </w:rPr>
        <w:t xml:space="preserve"> pieaug koģenerācijas staciju un katlumāju, kas izmanto AER, uzstādītā jauda.</w:t>
      </w:r>
      <w:r w:rsidR="00CD7764">
        <w:rPr>
          <w:sz w:val="28"/>
          <w:szCs w:val="28"/>
          <w:lang w:val="lv-LV"/>
        </w:rPr>
        <w:t xml:space="preserve"> 2010. gadā to kopējā uzstādītā </w:t>
      </w:r>
      <w:proofErr w:type="spellStart"/>
      <w:r w:rsidR="00CD7764">
        <w:rPr>
          <w:sz w:val="28"/>
          <w:szCs w:val="28"/>
          <w:lang w:val="lv-LV"/>
        </w:rPr>
        <w:t>siltumjauda</w:t>
      </w:r>
      <w:proofErr w:type="spellEnd"/>
      <w:r w:rsidR="00CD7764">
        <w:rPr>
          <w:sz w:val="28"/>
          <w:szCs w:val="28"/>
          <w:lang w:val="lv-LV"/>
        </w:rPr>
        <w:t xml:space="preserve"> bija 815,2 MW, kas veidoja 13,2% no visu katlumāju un koģenerācijas staciju jaudas. Savukārt 2012. gadā kopējā uzstādītā </w:t>
      </w:r>
      <w:proofErr w:type="spellStart"/>
      <w:r w:rsidR="00CD7764">
        <w:rPr>
          <w:sz w:val="28"/>
          <w:szCs w:val="28"/>
          <w:lang w:val="lv-LV"/>
        </w:rPr>
        <w:t>siltumjauda</w:t>
      </w:r>
      <w:proofErr w:type="spellEnd"/>
      <w:r w:rsidR="00CD7764">
        <w:rPr>
          <w:sz w:val="28"/>
          <w:szCs w:val="28"/>
          <w:lang w:val="lv-LV"/>
        </w:rPr>
        <w:t xml:space="preserve"> pieauga līdz</w:t>
      </w:r>
      <w:r w:rsidR="000D026B">
        <w:rPr>
          <w:sz w:val="28"/>
          <w:szCs w:val="28"/>
          <w:lang w:val="lv-LV"/>
        </w:rPr>
        <w:t xml:space="preserve"> </w:t>
      </w:r>
      <w:r w:rsidR="00CD7764">
        <w:rPr>
          <w:sz w:val="28"/>
          <w:szCs w:val="28"/>
          <w:lang w:val="lv-LV"/>
        </w:rPr>
        <w:t>1171,4 MW</w:t>
      </w:r>
      <w:r w:rsidR="000D026B">
        <w:rPr>
          <w:sz w:val="28"/>
          <w:szCs w:val="28"/>
          <w:lang w:val="lv-LV"/>
        </w:rPr>
        <w:t xml:space="preserve"> un veidoja 19% no kopējās </w:t>
      </w:r>
      <w:proofErr w:type="spellStart"/>
      <w:r w:rsidR="000D026B">
        <w:rPr>
          <w:sz w:val="28"/>
          <w:szCs w:val="28"/>
          <w:lang w:val="lv-LV"/>
        </w:rPr>
        <w:t>siltumjaudas</w:t>
      </w:r>
      <w:proofErr w:type="spellEnd"/>
      <w:r w:rsidR="000D026B">
        <w:rPr>
          <w:sz w:val="28"/>
          <w:szCs w:val="28"/>
          <w:lang w:val="lv-LV"/>
        </w:rPr>
        <w:t xml:space="preserve">. Paredzams, ka arī siltumenerģijas sektorā šī pieauguma tendence saglabāsies. </w:t>
      </w:r>
    </w:p>
    <w:p w14:paraId="12484F39" w14:textId="5E776553" w:rsidR="001B4187" w:rsidRDefault="00650132" w:rsidP="005C7C1A">
      <w:pPr>
        <w:pStyle w:val="BodyText"/>
        <w:spacing w:before="0"/>
        <w:ind w:firstLine="714"/>
        <w:rPr>
          <w:sz w:val="28"/>
          <w:szCs w:val="28"/>
          <w:lang w:val="lv-LV"/>
        </w:rPr>
      </w:pPr>
      <w:r>
        <w:rPr>
          <w:sz w:val="28"/>
          <w:szCs w:val="28"/>
          <w:lang w:val="lv-LV"/>
        </w:rPr>
        <w:t xml:space="preserve">AER izmantojošu </w:t>
      </w:r>
      <w:r w:rsidR="00847114">
        <w:rPr>
          <w:sz w:val="28"/>
          <w:szCs w:val="28"/>
          <w:lang w:val="lv-LV"/>
        </w:rPr>
        <w:t>katlumāju</w:t>
      </w:r>
      <w:r>
        <w:rPr>
          <w:sz w:val="28"/>
          <w:szCs w:val="28"/>
          <w:lang w:val="lv-LV"/>
        </w:rPr>
        <w:t xml:space="preserve"> jaudas pieaugum</w:t>
      </w:r>
      <w:r w:rsidR="000D026B">
        <w:rPr>
          <w:sz w:val="28"/>
          <w:szCs w:val="28"/>
          <w:lang w:val="lv-LV"/>
        </w:rPr>
        <w:t>s</w:t>
      </w:r>
      <w:r>
        <w:rPr>
          <w:sz w:val="28"/>
          <w:szCs w:val="28"/>
          <w:lang w:val="lv-LV"/>
        </w:rPr>
        <w:t xml:space="preserve"> </w:t>
      </w:r>
      <w:r w:rsidR="000D026B">
        <w:rPr>
          <w:sz w:val="28"/>
          <w:szCs w:val="28"/>
          <w:lang w:val="lv-LV"/>
        </w:rPr>
        <w:t xml:space="preserve">šobrīd </w:t>
      </w:r>
      <w:r>
        <w:rPr>
          <w:sz w:val="28"/>
          <w:szCs w:val="28"/>
          <w:lang w:val="lv-LV"/>
        </w:rPr>
        <w:t>tiek sekmēts</w:t>
      </w:r>
      <w:r w:rsidR="000D026B">
        <w:rPr>
          <w:sz w:val="28"/>
          <w:szCs w:val="28"/>
          <w:lang w:val="lv-LV"/>
        </w:rPr>
        <w:t>,</w:t>
      </w:r>
      <w:r>
        <w:rPr>
          <w:sz w:val="28"/>
          <w:szCs w:val="28"/>
          <w:lang w:val="lv-LV"/>
        </w:rPr>
        <w:t xml:space="preserve"> </w:t>
      </w:r>
      <w:r w:rsidR="000D026B">
        <w:rPr>
          <w:sz w:val="28"/>
          <w:szCs w:val="28"/>
          <w:lang w:val="lv-LV"/>
        </w:rPr>
        <w:t>novirzot</w:t>
      </w:r>
      <w:r>
        <w:rPr>
          <w:sz w:val="28"/>
          <w:szCs w:val="28"/>
          <w:lang w:val="lv-LV"/>
        </w:rPr>
        <w:t xml:space="preserve"> ES fondu līdzekļu</w:t>
      </w:r>
      <w:r w:rsidR="000D026B">
        <w:rPr>
          <w:sz w:val="28"/>
          <w:szCs w:val="28"/>
          <w:lang w:val="lv-LV"/>
        </w:rPr>
        <w:t>s</w:t>
      </w:r>
      <w:r>
        <w:rPr>
          <w:sz w:val="28"/>
          <w:szCs w:val="28"/>
          <w:lang w:val="lv-LV"/>
        </w:rPr>
        <w:t xml:space="preserve"> šādu projektu līdzfinansēšanai.</w:t>
      </w:r>
      <w:r w:rsidR="000D026B">
        <w:rPr>
          <w:sz w:val="28"/>
          <w:szCs w:val="28"/>
          <w:lang w:val="lv-LV"/>
        </w:rPr>
        <w:t xml:space="preserve"> Arī nākošajā plānošanas periodā paredzēts novirzīt struktūrfondu atbalstu fosilos energoresursus izmantojošo </w:t>
      </w:r>
      <w:proofErr w:type="spellStart"/>
      <w:r w:rsidR="000D026B">
        <w:rPr>
          <w:sz w:val="28"/>
          <w:szCs w:val="28"/>
          <w:lang w:val="lv-LV"/>
        </w:rPr>
        <w:t>siltumavotu</w:t>
      </w:r>
      <w:proofErr w:type="spellEnd"/>
      <w:r w:rsidR="000D026B">
        <w:rPr>
          <w:sz w:val="28"/>
          <w:szCs w:val="28"/>
          <w:lang w:val="lv-LV"/>
        </w:rPr>
        <w:t xml:space="preserve"> nomaiņai pret AER izmantojošiem </w:t>
      </w:r>
      <w:proofErr w:type="spellStart"/>
      <w:r w:rsidR="000D026B">
        <w:rPr>
          <w:sz w:val="28"/>
          <w:szCs w:val="28"/>
          <w:lang w:val="lv-LV"/>
        </w:rPr>
        <w:t>siltumavotiem</w:t>
      </w:r>
      <w:proofErr w:type="spellEnd"/>
      <w:r w:rsidR="000D026B">
        <w:rPr>
          <w:sz w:val="28"/>
          <w:szCs w:val="28"/>
          <w:lang w:val="lv-LV"/>
        </w:rPr>
        <w:t>.</w:t>
      </w:r>
      <w:r w:rsidR="001B4187">
        <w:rPr>
          <w:sz w:val="28"/>
          <w:szCs w:val="28"/>
          <w:lang w:val="lv-LV"/>
        </w:rPr>
        <w:t xml:space="preserve"> </w:t>
      </w:r>
    </w:p>
    <w:p w14:paraId="7B13FAEC" w14:textId="536157A8" w:rsidR="002A297C" w:rsidRDefault="001B4187" w:rsidP="002A297C">
      <w:pPr>
        <w:pStyle w:val="BodyText"/>
        <w:spacing w:before="0"/>
        <w:ind w:firstLine="714"/>
        <w:rPr>
          <w:sz w:val="28"/>
          <w:szCs w:val="28"/>
          <w:lang w:val="lv-LV"/>
        </w:rPr>
      </w:pPr>
      <w:r w:rsidRPr="001B4187">
        <w:rPr>
          <w:sz w:val="28"/>
          <w:szCs w:val="28"/>
          <w:lang w:val="lv-LV"/>
        </w:rPr>
        <w:t>Ņemot vērā, ka ēku energoapgādē lielu siltuma īpatsvaru nodrošina tieši centralizētas siltumapgādes sistēmas, kas izmanto fosilos kurināmā resursus, siltumenerģijas patēriņa samazinājums ēkās</w:t>
      </w:r>
      <w:r w:rsidR="001D2697">
        <w:rPr>
          <w:sz w:val="28"/>
          <w:szCs w:val="28"/>
          <w:lang w:val="lv-LV"/>
        </w:rPr>
        <w:t xml:space="preserve"> </w:t>
      </w:r>
      <w:r w:rsidR="007D67C3">
        <w:rPr>
          <w:sz w:val="28"/>
          <w:szCs w:val="28"/>
          <w:lang w:val="lv-LV"/>
        </w:rPr>
        <w:t>samazinās fosilās enerģijas patēriņu un</w:t>
      </w:r>
      <w:r w:rsidRPr="001B4187">
        <w:rPr>
          <w:sz w:val="28"/>
          <w:szCs w:val="28"/>
          <w:lang w:val="lv-LV"/>
        </w:rPr>
        <w:t xml:space="preserve"> ļaus palielināt atjaunojamās enerģijas īpatsvaru bruto enerģijas galapatēriņā, kā arī samazināt valsts kopējo SEG emisiju apjomu.</w:t>
      </w:r>
    </w:p>
    <w:p w14:paraId="488E18EF" w14:textId="0E7FF8D9" w:rsidR="002A297C" w:rsidRDefault="006F6657" w:rsidP="002A297C">
      <w:pPr>
        <w:pStyle w:val="BodyText"/>
        <w:spacing w:before="0"/>
        <w:ind w:firstLine="714"/>
        <w:rPr>
          <w:sz w:val="28"/>
          <w:szCs w:val="28"/>
          <w:lang w:val="lv-LV"/>
        </w:rPr>
      </w:pPr>
      <w:r w:rsidRPr="00430882">
        <w:rPr>
          <w:sz w:val="28"/>
          <w:szCs w:val="28"/>
          <w:lang w:val="lv-LV"/>
        </w:rPr>
        <w:t>Salīdzinot 2012.</w:t>
      </w:r>
      <w:r w:rsidR="00470485" w:rsidRPr="00430882">
        <w:rPr>
          <w:sz w:val="28"/>
          <w:szCs w:val="28"/>
          <w:lang w:val="lv-LV"/>
        </w:rPr>
        <w:t> </w:t>
      </w:r>
      <w:r w:rsidRPr="00430882">
        <w:rPr>
          <w:sz w:val="28"/>
          <w:szCs w:val="28"/>
          <w:lang w:val="lv-LV"/>
        </w:rPr>
        <w:t>gada faktisko katras nozares AE ieguldījumu enerģijas galapatēriņā (1.a tabula)</w:t>
      </w:r>
      <w:r w:rsidR="00422C94" w:rsidRPr="00430882">
        <w:rPr>
          <w:sz w:val="28"/>
          <w:szCs w:val="28"/>
          <w:lang w:val="lv-LV"/>
        </w:rPr>
        <w:t xml:space="preserve"> ar rīcības plāna 4.a tabulā paredzēto ieguldījumu, var secināt, ka no AER saražotas siltumenerģijas bruto galapatēriņš apsildē un </w:t>
      </w:r>
      <w:r w:rsidR="007E2A5F">
        <w:rPr>
          <w:sz w:val="28"/>
          <w:szCs w:val="28"/>
          <w:lang w:val="lv-LV"/>
        </w:rPr>
        <w:t>dzesēšanā pārsniedz plānoto (1104</w:t>
      </w:r>
      <w:r w:rsidR="00E35A32">
        <w:rPr>
          <w:sz w:val="28"/>
          <w:szCs w:val="28"/>
          <w:lang w:val="lv-LV"/>
        </w:rPr>
        <w:t> </w:t>
      </w:r>
      <w:proofErr w:type="spellStart"/>
      <w:r w:rsidR="007E2A5F">
        <w:rPr>
          <w:sz w:val="28"/>
          <w:szCs w:val="28"/>
          <w:lang w:val="lv-LV"/>
        </w:rPr>
        <w:t>ktoe</w:t>
      </w:r>
      <w:proofErr w:type="spellEnd"/>
      <w:r w:rsidR="007E2A5F">
        <w:rPr>
          <w:sz w:val="28"/>
          <w:szCs w:val="28"/>
          <w:lang w:val="lv-LV"/>
        </w:rPr>
        <w:t>) par 84</w:t>
      </w:r>
      <w:r w:rsidR="00E35A32">
        <w:rPr>
          <w:sz w:val="28"/>
          <w:szCs w:val="28"/>
          <w:lang w:val="lv-LV"/>
        </w:rPr>
        <w:t> </w:t>
      </w:r>
      <w:proofErr w:type="spellStart"/>
      <w:r w:rsidR="007E2A5F">
        <w:rPr>
          <w:sz w:val="28"/>
          <w:szCs w:val="28"/>
          <w:lang w:val="lv-LV"/>
        </w:rPr>
        <w:t>ktoe</w:t>
      </w:r>
      <w:proofErr w:type="spellEnd"/>
      <w:r w:rsidR="007E2A5F">
        <w:rPr>
          <w:sz w:val="28"/>
          <w:szCs w:val="28"/>
          <w:lang w:val="lv-LV"/>
        </w:rPr>
        <w:t>.</w:t>
      </w:r>
      <w:r w:rsidR="0032156B" w:rsidRPr="00430882">
        <w:rPr>
          <w:sz w:val="28"/>
          <w:szCs w:val="28"/>
          <w:lang w:val="lv-LV"/>
        </w:rPr>
        <w:t xml:space="preserve"> </w:t>
      </w:r>
      <w:r w:rsidR="0032156B" w:rsidRPr="00430882">
        <w:rPr>
          <w:rStyle w:val="italic1"/>
          <w:i w:val="0"/>
          <w:iCs w:val="0"/>
          <w:sz w:val="28"/>
          <w:szCs w:val="28"/>
          <w:lang w:val="lv-LV"/>
        </w:rPr>
        <w:t>No AE</w:t>
      </w:r>
      <w:r w:rsidR="00A65051">
        <w:rPr>
          <w:rStyle w:val="italic1"/>
          <w:i w:val="0"/>
          <w:iCs w:val="0"/>
          <w:sz w:val="28"/>
          <w:szCs w:val="28"/>
          <w:lang w:val="lv-LV"/>
        </w:rPr>
        <w:t>R</w:t>
      </w:r>
      <w:r w:rsidR="0032156B" w:rsidRPr="00430882">
        <w:rPr>
          <w:rStyle w:val="italic1"/>
          <w:i w:val="0"/>
          <w:iCs w:val="0"/>
          <w:sz w:val="28"/>
          <w:szCs w:val="28"/>
          <w:lang w:val="lv-LV"/>
        </w:rPr>
        <w:t xml:space="preserve"> ražotas elektroenerģijas bruto galapatēriņš 2012.</w:t>
      </w:r>
      <w:r w:rsidR="00470485" w:rsidRPr="00430882">
        <w:rPr>
          <w:rStyle w:val="italic1"/>
          <w:i w:val="0"/>
          <w:iCs w:val="0"/>
          <w:sz w:val="28"/>
          <w:szCs w:val="28"/>
          <w:lang w:val="lv-LV"/>
        </w:rPr>
        <w:t> </w:t>
      </w:r>
      <w:r w:rsidR="0032156B" w:rsidRPr="00430882">
        <w:rPr>
          <w:rStyle w:val="italic1"/>
          <w:i w:val="0"/>
          <w:iCs w:val="0"/>
          <w:sz w:val="28"/>
          <w:szCs w:val="28"/>
          <w:lang w:val="lv-LV"/>
        </w:rPr>
        <w:t>gadā pārsniedz plānoto (286</w:t>
      </w:r>
      <w:r w:rsidR="00470485" w:rsidRPr="00430882">
        <w:rPr>
          <w:rStyle w:val="italic1"/>
          <w:i w:val="0"/>
          <w:iCs w:val="0"/>
          <w:sz w:val="28"/>
          <w:szCs w:val="28"/>
          <w:lang w:val="lv-LV"/>
        </w:rPr>
        <w:t> </w:t>
      </w:r>
      <w:proofErr w:type="spellStart"/>
      <w:r w:rsidR="003D4229" w:rsidRPr="00430882">
        <w:rPr>
          <w:rStyle w:val="italic1"/>
          <w:i w:val="0"/>
          <w:iCs w:val="0"/>
          <w:sz w:val="28"/>
          <w:szCs w:val="28"/>
          <w:lang w:val="lv-LV"/>
        </w:rPr>
        <w:t>ktoe</w:t>
      </w:r>
      <w:proofErr w:type="spellEnd"/>
      <w:r w:rsidR="0032156B" w:rsidRPr="00430882">
        <w:rPr>
          <w:rStyle w:val="italic1"/>
          <w:i w:val="0"/>
          <w:iCs w:val="0"/>
          <w:sz w:val="28"/>
          <w:szCs w:val="28"/>
          <w:lang w:val="lv-LV"/>
        </w:rPr>
        <w:t xml:space="preserve">) par </w:t>
      </w:r>
      <w:r w:rsidR="004E330A">
        <w:rPr>
          <w:rStyle w:val="italic1"/>
          <w:i w:val="0"/>
          <w:iCs w:val="0"/>
          <w:sz w:val="28"/>
          <w:szCs w:val="28"/>
          <w:lang w:val="lv-LV"/>
        </w:rPr>
        <w:t>13</w:t>
      </w:r>
      <w:r w:rsidR="004E330A" w:rsidRPr="00430882">
        <w:rPr>
          <w:rStyle w:val="italic1"/>
          <w:i w:val="0"/>
          <w:iCs w:val="0"/>
          <w:sz w:val="28"/>
          <w:szCs w:val="28"/>
          <w:lang w:val="lv-LV"/>
        </w:rPr>
        <w:t> </w:t>
      </w:r>
      <w:proofErr w:type="spellStart"/>
      <w:r w:rsidR="007270BA" w:rsidRPr="00430882">
        <w:rPr>
          <w:rStyle w:val="italic1"/>
          <w:i w:val="0"/>
          <w:iCs w:val="0"/>
          <w:sz w:val="28"/>
          <w:szCs w:val="28"/>
          <w:lang w:val="lv-LV"/>
        </w:rPr>
        <w:t>ktoe</w:t>
      </w:r>
      <w:proofErr w:type="spellEnd"/>
      <w:r w:rsidR="00CD0EAB" w:rsidRPr="00430882">
        <w:rPr>
          <w:rStyle w:val="italic1"/>
          <w:i w:val="0"/>
          <w:iCs w:val="0"/>
          <w:sz w:val="28"/>
          <w:szCs w:val="28"/>
          <w:lang w:val="lv-LV"/>
        </w:rPr>
        <w:t>, savukārt no AE</w:t>
      </w:r>
      <w:r w:rsidR="00A65051">
        <w:rPr>
          <w:rStyle w:val="italic1"/>
          <w:i w:val="0"/>
          <w:iCs w:val="0"/>
          <w:sz w:val="28"/>
          <w:szCs w:val="28"/>
          <w:lang w:val="lv-LV"/>
        </w:rPr>
        <w:t>R</w:t>
      </w:r>
      <w:r w:rsidR="00CD0EAB" w:rsidRPr="00430882">
        <w:rPr>
          <w:rStyle w:val="italic1"/>
          <w:i w:val="0"/>
          <w:iCs w:val="0"/>
          <w:sz w:val="28"/>
          <w:szCs w:val="28"/>
          <w:lang w:val="lv-LV"/>
        </w:rPr>
        <w:t xml:space="preserve"> ražotas enerģijas galapatēriņš transportā</w:t>
      </w:r>
      <w:r w:rsidR="00122309" w:rsidRPr="00430882">
        <w:rPr>
          <w:rStyle w:val="italic1"/>
          <w:i w:val="0"/>
          <w:iCs w:val="0"/>
          <w:sz w:val="28"/>
          <w:szCs w:val="28"/>
          <w:lang w:val="lv-LV"/>
        </w:rPr>
        <w:t xml:space="preserve"> </w:t>
      </w:r>
      <w:r w:rsidR="006D4285" w:rsidRPr="00430882">
        <w:rPr>
          <w:rStyle w:val="italic1"/>
          <w:i w:val="0"/>
          <w:iCs w:val="0"/>
          <w:sz w:val="28"/>
          <w:szCs w:val="28"/>
          <w:lang w:val="lv-LV"/>
        </w:rPr>
        <w:t>2012.</w:t>
      </w:r>
      <w:r w:rsidR="001C38D7">
        <w:rPr>
          <w:rStyle w:val="italic1"/>
          <w:i w:val="0"/>
          <w:iCs w:val="0"/>
          <w:sz w:val="28"/>
          <w:szCs w:val="28"/>
          <w:lang w:val="lv-LV"/>
        </w:rPr>
        <w:t xml:space="preserve"> </w:t>
      </w:r>
      <w:r w:rsidR="006D4285" w:rsidRPr="00430882">
        <w:rPr>
          <w:rStyle w:val="italic1"/>
          <w:i w:val="0"/>
          <w:iCs w:val="0"/>
          <w:sz w:val="28"/>
          <w:szCs w:val="28"/>
          <w:lang w:val="lv-LV"/>
        </w:rPr>
        <w:t xml:space="preserve">gadā </w:t>
      </w:r>
      <w:r w:rsidR="006D4285" w:rsidRPr="00430882">
        <w:rPr>
          <w:rStyle w:val="italic1"/>
          <w:i w:val="0"/>
          <w:iCs w:val="0"/>
          <w:sz w:val="28"/>
          <w:szCs w:val="28"/>
          <w:lang w:val="lv-LV"/>
        </w:rPr>
        <w:lastRenderedPageBreak/>
        <w:t>atpaliek no plānotā (46</w:t>
      </w:r>
      <w:r w:rsidR="00E35A32">
        <w:rPr>
          <w:rStyle w:val="italic1"/>
          <w:i w:val="0"/>
          <w:iCs w:val="0"/>
          <w:sz w:val="28"/>
          <w:szCs w:val="28"/>
          <w:lang w:val="lv-LV"/>
        </w:rPr>
        <w:t> </w:t>
      </w:r>
      <w:proofErr w:type="spellStart"/>
      <w:r w:rsidR="0092508A" w:rsidRPr="00430882">
        <w:rPr>
          <w:rStyle w:val="italic1"/>
          <w:i w:val="0"/>
          <w:iCs w:val="0"/>
          <w:sz w:val="28"/>
          <w:szCs w:val="28"/>
          <w:lang w:val="lv-LV"/>
        </w:rPr>
        <w:t>ktoe</w:t>
      </w:r>
      <w:proofErr w:type="spellEnd"/>
      <w:r w:rsidR="006D4285" w:rsidRPr="00430882">
        <w:rPr>
          <w:rStyle w:val="italic1"/>
          <w:i w:val="0"/>
          <w:iCs w:val="0"/>
          <w:sz w:val="28"/>
          <w:szCs w:val="28"/>
          <w:lang w:val="lv-LV"/>
        </w:rPr>
        <w:t xml:space="preserve">) par </w:t>
      </w:r>
      <w:r w:rsidR="004E330A">
        <w:rPr>
          <w:rStyle w:val="italic1"/>
          <w:i w:val="0"/>
          <w:iCs w:val="0"/>
          <w:sz w:val="28"/>
          <w:szCs w:val="28"/>
          <w:lang w:val="lv-LV"/>
        </w:rPr>
        <w:t>22</w:t>
      </w:r>
      <w:r w:rsidR="004E330A" w:rsidRPr="00430882">
        <w:rPr>
          <w:rStyle w:val="italic1"/>
          <w:i w:val="0"/>
          <w:iCs w:val="0"/>
          <w:sz w:val="28"/>
          <w:szCs w:val="28"/>
          <w:lang w:val="lv-LV"/>
        </w:rPr>
        <w:t> </w:t>
      </w:r>
      <w:proofErr w:type="spellStart"/>
      <w:r w:rsidR="006D4285" w:rsidRPr="00430882">
        <w:rPr>
          <w:rStyle w:val="italic1"/>
          <w:i w:val="0"/>
          <w:iCs w:val="0"/>
          <w:sz w:val="28"/>
          <w:szCs w:val="28"/>
          <w:lang w:val="lv-LV"/>
        </w:rPr>
        <w:t>ktoe</w:t>
      </w:r>
      <w:proofErr w:type="spellEnd"/>
      <w:r w:rsidR="006D4285" w:rsidRPr="00430882">
        <w:rPr>
          <w:rStyle w:val="italic1"/>
          <w:i w:val="0"/>
          <w:iCs w:val="0"/>
          <w:sz w:val="28"/>
          <w:szCs w:val="28"/>
          <w:lang w:val="lv-LV"/>
        </w:rPr>
        <w:t>.</w:t>
      </w:r>
      <w:r w:rsidR="003D4229" w:rsidRPr="00430882">
        <w:rPr>
          <w:sz w:val="28"/>
          <w:szCs w:val="28"/>
          <w:lang w:val="lv-LV"/>
        </w:rPr>
        <w:t xml:space="preserve"> </w:t>
      </w:r>
      <w:r w:rsidR="000D7D55">
        <w:rPr>
          <w:sz w:val="28"/>
          <w:szCs w:val="28"/>
          <w:lang w:val="lv-LV"/>
        </w:rPr>
        <w:t>Kopējais AE bruto galapatēriņš 2012.</w:t>
      </w:r>
      <w:r w:rsidR="001C38D7">
        <w:rPr>
          <w:sz w:val="28"/>
          <w:szCs w:val="28"/>
          <w:lang w:val="lv-LV"/>
        </w:rPr>
        <w:t xml:space="preserve"> </w:t>
      </w:r>
      <w:r w:rsidR="000D7D55">
        <w:rPr>
          <w:sz w:val="28"/>
          <w:szCs w:val="28"/>
          <w:lang w:val="lv-LV"/>
        </w:rPr>
        <w:t>gadā pārsniedz plānoto (1432</w:t>
      </w:r>
      <w:r w:rsidR="00E35A32">
        <w:rPr>
          <w:sz w:val="28"/>
          <w:szCs w:val="28"/>
          <w:lang w:val="lv-LV"/>
        </w:rPr>
        <w:t> </w:t>
      </w:r>
      <w:proofErr w:type="spellStart"/>
      <w:r w:rsidR="000D7D55">
        <w:rPr>
          <w:sz w:val="28"/>
          <w:szCs w:val="28"/>
          <w:lang w:val="lv-LV"/>
        </w:rPr>
        <w:t>ktoe</w:t>
      </w:r>
      <w:proofErr w:type="spellEnd"/>
      <w:r w:rsidR="000D7D55">
        <w:rPr>
          <w:sz w:val="28"/>
          <w:szCs w:val="28"/>
          <w:lang w:val="lv-LV"/>
        </w:rPr>
        <w:t>) par 78</w:t>
      </w:r>
      <w:r w:rsidR="00E35A32">
        <w:rPr>
          <w:sz w:val="28"/>
          <w:szCs w:val="28"/>
          <w:lang w:val="lv-LV"/>
        </w:rPr>
        <w:t> </w:t>
      </w:r>
      <w:proofErr w:type="spellStart"/>
      <w:r w:rsidR="000D7D55">
        <w:rPr>
          <w:sz w:val="28"/>
          <w:szCs w:val="28"/>
          <w:lang w:val="lv-LV"/>
        </w:rPr>
        <w:t>ktoe</w:t>
      </w:r>
      <w:proofErr w:type="spellEnd"/>
      <w:r w:rsidR="000D7D55">
        <w:rPr>
          <w:sz w:val="28"/>
          <w:szCs w:val="28"/>
          <w:lang w:val="lv-LV"/>
        </w:rPr>
        <w:t>.</w:t>
      </w:r>
    </w:p>
    <w:p w14:paraId="0E5F6391" w14:textId="77777777" w:rsidR="002A297C" w:rsidRPr="00B041A3" w:rsidRDefault="002A297C" w:rsidP="002A297C">
      <w:pPr>
        <w:pStyle w:val="NormalCentered"/>
        <w:spacing w:before="0" w:after="0"/>
        <w:jc w:val="right"/>
        <w:rPr>
          <w:b/>
          <w:i/>
          <w:sz w:val="10"/>
          <w:lang w:val="lv-LV"/>
        </w:rPr>
      </w:pPr>
    </w:p>
    <w:p w14:paraId="7C7B63E0" w14:textId="77777777" w:rsidR="002A297C" w:rsidRDefault="002A297C" w:rsidP="002A297C">
      <w:pPr>
        <w:pStyle w:val="NormalCentered"/>
        <w:spacing w:before="0" w:after="0"/>
        <w:jc w:val="right"/>
        <w:rPr>
          <w:b/>
          <w:i/>
          <w:sz w:val="20"/>
          <w:lang w:val="lv-LV"/>
        </w:rPr>
      </w:pPr>
      <w:r>
        <w:rPr>
          <w:b/>
          <w:i/>
          <w:sz w:val="20"/>
          <w:lang w:val="lv-LV"/>
        </w:rPr>
        <w:t>1.a tabula</w:t>
      </w:r>
    </w:p>
    <w:p w14:paraId="24B37D0A" w14:textId="77777777" w:rsidR="002A297C" w:rsidRPr="009E538B" w:rsidRDefault="002A297C" w:rsidP="002A297C">
      <w:pPr>
        <w:pStyle w:val="NormalCentered"/>
        <w:spacing w:before="0" w:after="0"/>
        <w:rPr>
          <w:lang w:val="lv-LV"/>
        </w:rPr>
      </w:pPr>
      <w:r>
        <w:rPr>
          <w:b/>
          <w:sz w:val="20"/>
          <w:lang w:val="lv-LV"/>
        </w:rPr>
        <w:t>Aprēķinu tabula par katras nozares atjaunojamās enerģijas ieguldījumu enerģijas galapatēriņā (</w:t>
      </w:r>
      <w:proofErr w:type="spellStart"/>
      <w:r>
        <w:rPr>
          <w:b/>
          <w:sz w:val="20"/>
          <w:lang w:val="lv-LV"/>
        </w:rPr>
        <w:t>tūkst</w:t>
      </w:r>
      <w:proofErr w:type="spellEnd"/>
      <w:r>
        <w:rPr>
          <w:b/>
          <w:sz w:val="20"/>
          <w:lang w:val="lv-LV"/>
        </w:rPr>
        <w:t xml:space="preserve">. tonnu naftas </w:t>
      </w:r>
      <w:proofErr w:type="spellStart"/>
      <w:r>
        <w:rPr>
          <w:b/>
          <w:sz w:val="20"/>
          <w:lang w:val="lv-LV"/>
        </w:rPr>
        <w:t>ekv</w:t>
      </w:r>
      <w:proofErr w:type="spellEnd"/>
      <w:r>
        <w:rPr>
          <w:b/>
          <w:sz w:val="20"/>
          <w:lang w:val="lv-LV"/>
        </w:rPr>
        <w:t>.)</w:t>
      </w:r>
      <w:r>
        <w:rPr>
          <w:b/>
          <w:vanish/>
          <w:color w:val="800080"/>
          <w:vertAlign w:val="subscript"/>
          <w:lang w:val="lv-LV"/>
        </w:rPr>
        <w:t xml:space="preserve"> </w:t>
      </w:r>
    </w:p>
    <w:p w14:paraId="14D0BB6E" w14:textId="77777777" w:rsidR="002A297C" w:rsidRPr="009E538B" w:rsidRDefault="002A297C" w:rsidP="002A297C">
      <w:pPr>
        <w:pStyle w:val="NormalCentered"/>
        <w:spacing w:before="0" w:after="0"/>
        <w:rPr>
          <w:b/>
          <w:sz w:val="20"/>
          <w:lang w:val="lv-LV"/>
        </w:rPr>
      </w:pPr>
    </w:p>
    <w:tbl>
      <w:tblPr>
        <w:tblW w:w="7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1"/>
        <w:gridCol w:w="1553"/>
        <w:gridCol w:w="1554"/>
      </w:tblGrid>
      <w:tr w:rsidR="002A297C" w14:paraId="1192ADCD" w14:textId="77777777" w:rsidTr="00E37C03">
        <w:trPr>
          <w:jc w:val="center"/>
        </w:trPr>
        <w:tc>
          <w:tcPr>
            <w:tcW w:w="4421" w:type="dxa"/>
            <w:shd w:val="clear" w:color="auto" w:fill="E6E6E6"/>
          </w:tcPr>
          <w:p w14:paraId="26B339CA" w14:textId="77777777" w:rsidR="002A297C" w:rsidRPr="009E538B" w:rsidRDefault="002A297C" w:rsidP="00E37C03">
            <w:pPr>
              <w:rPr>
                <w:i/>
                <w:sz w:val="16"/>
                <w:lang w:val="lv-LV"/>
              </w:rPr>
            </w:pPr>
          </w:p>
        </w:tc>
        <w:tc>
          <w:tcPr>
            <w:tcW w:w="1553" w:type="dxa"/>
            <w:shd w:val="clear" w:color="auto" w:fill="E6E6E6"/>
          </w:tcPr>
          <w:p w14:paraId="44BCB128" w14:textId="77777777" w:rsidR="002A297C" w:rsidRDefault="002A297C" w:rsidP="00E37C03">
            <w:pPr>
              <w:jc w:val="center"/>
              <w:rPr>
                <w:rStyle w:val="italic1"/>
                <w:i w:val="0"/>
                <w:iCs w:val="0"/>
              </w:rPr>
            </w:pPr>
            <w:r>
              <w:rPr>
                <w:rStyle w:val="italic1"/>
                <w:b/>
                <w:i w:val="0"/>
                <w:iCs w:val="0"/>
                <w:sz w:val="16"/>
                <w:lang w:val="lv-LV"/>
              </w:rPr>
              <w:t>2011</w:t>
            </w:r>
            <w:r>
              <w:rPr>
                <w:rStyle w:val="italic1"/>
                <w:b/>
                <w:i w:val="0"/>
                <w:iCs w:val="0"/>
                <w:sz w:val="16"/>
              </w:rPr>
              <w:t xml:space="preserve"> </w:t>
            </w:r>
          </w:p>
        </w:tc>
        <w:tc>
          <w:tcPr>
            <w:tcW w:w="1554" w:type="dxa"/>
            <w:shd w:val="clear" w:color="auto" w:fill="E6E6E6"/>
          </w:tcPr>
          <w:p w14:paraId="15E51CE8" w14:textId="77777777" w:rsidR="002A297C" w:rsidRDefault="002A297C" w:rsidP="00E37C03">
            <w:pPr>
              <w:jc w:val="center"/>
              <w:rPr>
                <w:rStyle w:val="italic1"/>
                <w:i w:val="0"/>
                <w:iCs w:val="0"/>
              </w:rPr>
            </w:pPr>
            <w:r>
              <w:rPr>
                <w:rStyle w:val="italic1"/>
                <w:b/>
                <w:i w:val="0"/>
                <w:iCs w:val="0"/>
                <w:sz w:val="16"/>
                <w:lang w:val="lv-LV"/>
              </w:rPr>
              <w:t>2012</w:t>
            </w:r>
            <w:r>
              <w:rPr>
                <w:rStyle w:val="italic1"/>
                <w:b/>
                <w:i w:val="0"/>
                <w:iCs w:val="0"/>
                <w:sz w:val="16"/>
              </w:rPr>
              <w:t xml:space="preserve"> </w:t>
            </w:r>
          </w:p>
        </w:tc>
      </w:tr>
      <w:tr w:rsidR="002A297C" w14:paraId="7A5FC986" w14:textId="77777777" w:rsidTr="00E37C03">
        <w:trPr>
          <w:jc w:val="center"/>
        </w:trPr>
        <w:tc>
          <w:tcPr>
            <w:tcW w:w="4421" w:type="dxa"/>
          </w:tcPr>
          <w:p w14:paraId="432249D2" w14:textId="77777777" w:rsidR="002A297C" w:rsidRDefault="002A297C" w:rsidP="00E37C03">
            <w:r>
              <w:rPr>
                <w:rStyle w:val="italic1"/>
                <w:i w:val="0"/>
                <w:iCs w:val="0"/>
                <w:sz w:val="16"/>
                <w:lang w:val="lv-LV"/>
              </w:rPr>
              <w:t>(A) AE bruto galapatēriņš apsildē un dzesēšanā</w:t>
            </w:r>
          </w:p>
        </w:tc>
        <w:tc>
          <w:tcPr>
            <w:tcW w:w="1553" w:type="dxa"/>
          </w:tcPr>
          <w:p w14:paraId="1576C78C" w14:textId="77777777" w:rsidR="002A297C" w:rsidRDefault="002A297C" w:rsidP="00E37C03">
            <w:pPr>
              <w:snapToGrid w:val="0"/>
              <w:jc w:val="center"/>
              <w:rPr>
                <w:sz w:val="16"/>
              </w:rPr>
            </w:pPr>
            <w:r>
              <w:rPr>
                <w:sz w:val="16"/>
              </w:rPr>
              <w:t>1059</w:t>
            </w:r>
          </w:p>
        </w:tc>
        <w:tc>
          <w:tcPr>
            <w:tcW w:w="1554" w:type="dxa"/>
          </w:tcPr>
          <w:p w14:paraId="08D1F990" w14:textId="77777777" w:rsidR="002A297C" w:rsidRDefault="002A297C" w:rsidP="00E37C03">
            <w:pPr>
              <w:jc w:val="center"/>
              <w:rPr>
                <w:sz w:val="16"/>
              </w:rPr>
            </w:pPr>
            <w:r>
              <w:rPr>
                <w:sz w:val="16"/>
              </w:rPr>
              <w:t>1188</w:t>
            </w:r>
          </w:p>
        </w:tc>
      </w:tr>
      <w:tr w:rsidR="002A297C" w14:paraId="6281BA57" w14:textId="77777777" w:rsidTr="00E37C03">
        <w:trPr>
          <w:jc w:val="center"/>
        </w:trPr>
        <w:tc>
          <w:tcPr>
            <w:tcW w:w="4421" w:type="dxa"/>
          </w:tcPr>
          <w:p w14:paraId="47C30D12" w14:textId="77777777" w:rsidR="002A297C" w:rsidRDefault="002A297C" w:rsidP="00E37C03">
            <w:pPr>
              <w:rPr>
                <w:rStyle w:val="italic1"/>
                <w:i w:val="0"/>
                <w:iCs w:val="0"/>
              </w:rPr>
            </w:pPr>
            <w:r>
              <w:rPr>
                <w:rStyle w:val="italic1"/>
                <w:i w:val="0"/>
                <w:iCs w:val="0"/>
                <w:sz w:val="16"/>
                <w:lang w:val="lv-LV"/>
              </w:rPr>
              <w:t>(B) No AE ražotas elektroenerģijas bruto galapatēriņš</w:t>
            </w:r>
          </w:p>
        </w:tc>
        <w:tc>
          <w:tcPr>
            <w:tcW w:w="1553" w:type="dxa"/>
          </w:tcPr>
          <w:p w14:paraId="20D93AE4" w14:textId="77777777" w:rsidR="002A297C" w:rsidRDefault="002A297C" w:rsidP="00E37C03">
            <w:pPr>
              <w:snapToGrid w:val="0"/>
              <w:jc w:val="center"/>
              <w:rPr>
                <w:sz w:val="16"/>
              </w:rPr>
            </w:pPr>
            <w:r>
              <w:rPr>
                <w:sz w:val="16"/>
              </w:rPr>
              <w:t>278</w:t>
            </w:r>
          </w:p>
        </w:tc>
        <w:tc>
          <w:tcPr>
            <w:tcW w:w="1554" w:type="dxa"/>
          </w:tcPr>
          <w:p w14:paraId="48B4FE04" w14:textId="77777777" w:rsidR="002A297C" w:rsidRDefault="002A297C" w:rsidP="00E37C03">
            <w:pPr>
              <w:jc w:val="center"/>
              <w:rPr>
                <w:sz w:val="16"/>
              </w:rPr>
            </w:pPr>
            <w:r>
              <w:rPr>
                <w:sz w:val="16"/>
              </w:rPr>
              <w:t>299</w:t>
            </w:r>
          </w:p>
        </w:tc>
      </w:tr>
      <w:tr w:rsidR="002A297C" w14:paraId="71758917" w14:textId="77777777" w:rsidTr="00E37C03">
        <w:trPr>
          <w:jc w:val="center"/>
        </w:trPr>
        <w:tc>
          <w:tcPr>
            <w:tcW w:w="4421" w:type="dxa"/>
          </w:tcPr>
          <w:p w14:paraId="25D6821C" w14:textId="77777777" w:rsidR="002A297C" w:rsidRDefault="002A297C" w:rsidP="00E37C03">
            <w:pPr>
              <w:rPr>
                <w:rStyle w:val="italic1"/>
                <w:i w:val="0"/>
                <w:iCs w:val="0"/>
              </w:rPr>
            </w:pPr>
            <w:r>
              <w:rPr>
                <w:rStyle w:val="italic1"/>
                <w:i w:val="0"/>
                <w:iCs w:val="0"/>
                <w:sz w:val="16"/>
                <w:lang w:val="lv-LV"/>
              </w:rPr>
              <w:t>(C) No AE ražotas enerģijas galapatēriņš transportā</w:t>
            </w:r>
          </w:p>
        </w:tc>
        <w:tc>
          <w:tcPr>
            <w:tcW w:w="1553" w:type="dxa"/>
          </w:tcPr>
          <w:p w14:paraId="314A323B" w14:textId="77777777" w:rsidR="002A297C" w:rsidRDefault="002A297C" w:rsidP="00E37C03">
            <w:pPr>
              <w:snapToGrid w:val="0"/>
              <w:jc w:val="center"/>
              <w:rPr>
                <w:sz w:val="16"/>
              </w:rPr>
            </w:pPr>
            <w:r>
              <w:rPr>
                <w:sz w:val="16"/>
              </w:rPr>
              <w:t>27</w:t>
            </w:r>
          </w:p>
        </w:tc>
        <w:tc>
          <w:tcPr>
            <w:tcW w:w="1554" w:type="dxa"/>
          </w:tcPr>
          <w:p w14:paraId="0675D4E8" w14:textId="77777777" w:rsidR="002A297C" w:rsidRDefault="002A297C" w:rsidP="00E37C03">
            <w:pPr>
              <w:jc w:val="center"/>
              <w:rPr>
                <w:sz w:val="16"/>
              </w:rPr>
            </w:pPr>
            <w:r>
              <w:rPr>
                <w:sz w:val="16"/>
              </w:rPr>
              <w:t>24</w:t>
            </w:r>
          </w:p>
        </w:tc>
      </w:tr>
      <w:tr w:rsidR="002A297C" w14:paraId="2B1F25EA" w14:textId="77777777" w:rsidTr="00E37C03">
        <w:trPr>
          <w:jc w:val="center"/>
        </w:trPr>
        <w:tc>
          <w:tcPr>
            <w:tcW w:w="4421" w:type="dxa"/>
          </w:tcPr>
          <w:p w14:paraId="45193C21" w14:textId="77777777" w:rsidR="002A297C" w:rsidRDefault="002A297C" w:rsidP="00E37C03">
            <w:pPr>
              <w:rPr>
                <w:rStyle w:val="italic1"/>
                <w:b/>
                <w:iCs w:val="0"/>
                <w:sz w:val="16"/>
              </w:rPr>
            </w:pPr>
            <w:r>
              <w:rPr>
                <w:sz w:val="16"/>
                <w:lang w:val="lv-LV"/>
              </w:rPr>
              <w:t>(D) Kopējais AE bruto galapatēriņš</w:t>
            </w:r>
          </w:p>
        </w:tc>
        <w:tc>
          <w:tcPr>
            <w:tcW w:w="1553" w:type="dxa"/>
          </w:tcPr>
          <w:p w14:paraId="742492BB" w14:textId="77777777" w:rsidR="002A297C" w:rsidRDefault="002A297C" w:rsidP="00E37C03">
            <w:pPr>
              <w:snapToGrid w:val="0"/>
              <w:jc w:val="center"/>
              <w:rPr>
                <w:sz w:val="16"/>
              </w:rPr>
            </w:pPr>
            <w:r>
              <w:rPr>
                <w:sz w:val="16"/>
              </w:rPr>
              <w:t>1364</w:t>
            </w:r>
          </w:p>
        </w:tc>
        <w:tc>
          <w:tcPr>
            <w:tcW w:w="1554" w:type="dxa"/>
          </w:tcPr>
          <w:p w14:paraId="3A1DFA7B" w14:textId="77777777" w:rsidR="002A297C" w:rsidRDefault="002A297C" w:rsidP="00E37C03">
            <w:pPr>
              <w:jc w:val="center"/>
              <w:rPr>
                <w:sz w:val="16"/>
              </w:rPr>
            </w:pPr>
            <w:r>
              <w:rPr>
                <w:sz w:val="16"/>
              </w:rPr>
              <w:t>1510</w:t>
            </w:r>
          </w:p>
        </w:tc>
      </w:tr>
      <w:tr w:rsidR="002A297C" w14:paraId="6BA4C02E" w14:textId="77777777" w:rsidTr="00E37C03">
        <w:trPr>
          <w:trHeight w:val="185"/>
          <w:jc w:val="center"/>
        </w:trPr>
        <w:tc>
          <w:tcPr>
            <w:tcW w:w="4421" w:type="dxa"/>
          </w:tcPr>
          <w:p w14:paraId="64FE44B1" w14:textId="77777777" w:rsidR="002A297C" w:rsidRDefault="002A297C" w:rsidP="00E37C03">
            <w:pPr>
              <w:rPr>
                <w:rStyle w:val="italic1"/>
                <w:i w:val="0"/>
                <w:iCs w:val="0"/>
              </w:rPr>
            </w:pPr>
            <w:r>
              <w:rPr>
                <w:rStyle w:val="italic1"/>
                <w:i w:val="0"/>
                <w:iCs w:val="0"/>
                <w:sz w:val="16"/>
                <w:lang w:val="lv-LV"/>
              </w:rPr>
              <w:t xml:space="preserve">(E) AE pārvedums </w:t>
            </w:r>
            <w:r>
              <w:rPr>
                <w:rStyle w:val="italic1"/>
                <w:i w:val="0"/>
                <w:iCs w:val="0"/>
                <w:sz w:val="16"/>
                <w:u w:val="single"/>
                <w:lang w:val="lv-LV"/>
              </w:rPr>
              <w:t>uz</w:t>
            </w:r>
            <w:r>
              <w:rPr>
                <w:rStyle w:val="italic1"/>
                <w:i w:val="0"/>
                <w:iCs w:val="0"/>
                <w:sz w:val="16"/>
                <w:lang w:val="lv-LV"/>
              </w:rPr>
              <w:t xml:space="preserve"> citām dalībvalstīm</w:t>
            </w:r>
          </w:p>
        </w:tc>
        <w:tc>
          <w:tcPr>
            <w:tcW w:w="1553" w:type="dxa"/>
          </w:tcPr>
          <w:p w14:paraId="099E2D78" w14:textId="77777777" w:rsidR="002A297C" w:rsidRDefault="002A297C" w:rsidP="00E37C03">
            <w:pPr>
              <w:jc w:val="center"/>
              <w:rPr>
                <w:sz w:val="16"/>
              </w:rPr>
            </w:pPr>
            <w:r>
              <w:rPr>
                <w:sz w:val="16"/>
              </w:rPr>
              <w:t>-</w:t>
            </w:r>
          </w:p>
        </w:tc>
        <w:tc>
          <w:tcPr>
            <w:tcW w:w="1554" w:type="dxa"/>
          </w:tcPr>
          <w:p w14:paraId="14430F0A" w14:textId="77777777" w:rsidR="002A297C" w:rsidRDefault="002A297C" w:rsidP="00E37C03">
            <w:pPr>
              <w:jc w:val="center"/>
              <w:rPr>
                <w:sz w:val="16"/>
              </w:rPr>
            </w:pPr>
            <w:r>
              <w:rPr>
                <w:sz w:val="16"/>
              </w:rPr>
              <w:t>-</w:t>
            </w:r>
          </w:p>
        </w:tc>
      </w:tr>
      <w:tr w:rsidR="002A297C" w14:paraId="1146C7C1" w14:textId="77777777" w:rsidTr="00E37C03">
        <w:trPr>
          <w:jc w:val="center"/>
        </w:trPr>
        <w:tc>
          <w:tcPr>
            <w:tcW w:w="4421" w:type="dxa"/>
          </w:tcPr>
          <w:p w14:paraId="2A6DA4D7" w14:textId="77777777" w:rsidR="002A297C" w:rsidRDefault="002A297C" w:rsidP="00E37C03">
            <w:pPr>
              <w:rPr>
                <w:rStyle w:val="WW8Num4z1"/>
                <w:rFonts w:ascii="Times New Roman" w:hAnsi="Times New Roman"/>
              </w:rPr>
            </w:pPr>
            <w:r>
              <w:rPr>
                <w:rStyle w:val="italic1"/>
                <w:i w:val="0"/>
                <w:iCs w:val="0"/>
                <w:sz w:val="16"/>
                <w:lang w:val="lv-LV"/>
              </w:rPr>
              <w:t xml:space="preserve">(F) AE pārvedums </w:t>
            </w:r>
            <w:r>
              <w:rPr>
                <w:rStyle w:val="italic1"/>
                <w:i w:val="0"/>
                <w:iCs w:val="0"/>
                <w:sz w:val="16"/>
                <w:u w:val="single"/>
                <w:lang w:val="lv-LV"/>
              </w:rPr>
              <w:t>no</w:t>
            </w:r>
            <w:r>
              <w:rPr>
                <w:rStyle w:val="italic1"/>
                <w:i w:val="0"/>
                <w:iCs w:val="0"/>
                <w:sz w:val="16"/>
                <w:lang w:val="lv-LV"/>
              </w:rPr>
              <w:t xml:space="preserve"> citām dalībvalstīm un trešajām valstīm</w:t>
            </w:r>
          </w:p>
        </w:tc>
        <w:tc>
          <w:tcPr>
            <w:tcW w:w="1553" w:type="dxa"/>
          </w:tcPr>
          <w:p w14:paraId="4B5996F5" w14:textId="77777777" w:rsidR="002A297C" w:rsidRDefault="002A297C" w:rsidP="00E37C03">
            <w:pPr>
              <w:jc w:val="center"/>
              <w:rPr>
                <w:sz w:val="16"/>
              </w:rPr>
            </w:pPr>
            <w:r>
              <w:rPr>
                <w:sz w:val="16"/>
              </w:rPr>
              <w:t>-</w:t>
            </w:r>
          </w:p>
        </w:tc>
        <w:tc>
          <w:tcPr>
            <w:tcW w:w="1554" w:type="dxa"/>
          </w:tcPr>
          <w:p w14:paraId="47012073" w14:textId="77777777" w:rsidR="002A297C" w:rsidRDefault="002A297C" w:rsidP="00E37C03">
            <w:pPr>
              <w:jc w:val="center"/>
              <w:rPr>
                <w:sz w:val="16"/>
              </w:rPr>
            </w:pPr>
            <w:r>
              <w:rPr>
                <w:sz w:val="16"/>
              </w:rPr>
              <w:t>-</w:t>
            </w:r>
          </w:p>
        </w:tc>
      </w:tr>
      <w:tr w:rsidR="002A297C" w14:paraId="44ECBE23" w14:textId="77777777" w:rsidTr="00E37C03">
        <w:trPr>
          <w:trHeight w:val="91"/>
          <w:jc w:val="center"/>
        </w:trPr>
        <w:tc>
          <w:tcPr>
            <w:tcW w:w="4421" w:type="dxa"/>
          </w:tcPr>
          <w:p w14:paraId="6369E0C6" w14:textId="77777777" w:rsidR="002A297C" w:rsidRDefault="002A297C" w:rsidP="00E37C03">
            <w:pPr>
              <w:suppressAutoHyphens/>
              <w:rPr>
                <w:rStyle w:val="italic1"/>
                <w:i w:val="0"/>
                <w:iCs w:val="0"/>
              </w:rPr>
            </w:pPr>
            <w:r>
              <w:rPr>
                <w:rStyle w:val="italic1"/>
                <w:i w:val="0"/>
                <w:iCs w:val="0"/>
                <w:sz w:val="16"/>
                <w:lang w:val="lv-LV"/>
              </w:rPr>
              <w:t>(G) AE patēriņš attiecībā pret mērķi (D)-(E)+(F)</w:t>
            </w:r>
          </w:p>
        </w:tc>
        <w:tc>
          <w:tcPr>
            <w:tcW w:w="1553" w:type="dxa"/>
          </w:tcPr>
          <w:p w14:paraId="6FE0E577" w14:textId="77777777" w:rsidR="002A297C" w:rsidRDefault="002A297C" w:rsidP="00E37C03">
            <w:pPr>
              <w:snapToGrid w:val="0"/>
              <w:jc w:val="center"/>
              <w:rPr>
                <w:sz w:val="16"/>
              </w:rPr>
            </w:pPr>
            <w:r>
              <w:rPr>
                <w:sz w:val="16"/>
              </w:rPr>
              <w:t>1364</w:t>
            </w:r>
          </w:p>
        </w:tc>
        <w:tc>
          <w:tcPr>
            <w:tcW w:w="1554" w:type="dxa"/>
          </w:tcPr>
          <w:p w14:paraId="21D008C2" w14:textId="77777777" w:rsidR="002A297C" w:rsidRDefault="002A297C" w:rsidP="00E37C03">
            <w:pPr>
              <w:jc w:val="center"/>
              <w:rPr>
                <w:sz w:val="16"/>
              </w:rPr>
            </w:pPr>
            <w:r>
              <w:rPr>
                <w:sz w:val="16"/>
              </w:rPr>
              <w:t>1510</w:t>
            </w:r>
          </w:p>
        </w:tc>
      </w:tr>
    </w:tbl>
    <w:p w14:paraId="49471F61" w14:textId="77777777" w:rsidR="002A297C" w:rsidRPr="0041633C" w:rsidRDefault="002A297C" w:rsidP="002A297C">
      <w:pPr>
        <w:ind w:left="851"/>
        <w:rPr>
          <w:i/>
          <w:sz w:val="20"/>
          <w:szCs w:val="20"/>
          <w:lang w:val="lv-LV"/>
        </w:rPr>
      </w:pPr>
      <w:r w:rsidRPr="0041633C">
        <w:rPr>
          <w:i/>
          <w:sz w:val="20"/>
          <w:szCs w:val="20"/>
          <w:lang w:val="lv-LV"/>
        </w:rPr>
        <w:t xml:space="preserve">Avots: </w:t>
      </w:r>
      <w:r>
        <w:rPr>
          <w:i/>
          <w:sz w:val="20"/>
          <w:szCs w:val="20"/>
          <w:lang w:val="lv-LV"/>
        </w:rPr>
        <w:t>CSP</w:t>
      </w:r>
    </w:p>
    <w:p w14:paraId="488B9DD6" w14:textId="77777777" w:rsidR="002A297C" w:rsidRPr="00B041A3" w:rsidRDefault="002A297C" w:rsidP="002A297C">
      <w:pPr>
        <w:tabs>
          <w:tab w:val="left" w:pos="2340"/>
        </w:tabs>
        <w:jc w:val="center"/>
        <w:rPr>
          <w:sz w:val="12"/>
        </w:rPr>
      </w:pPr>
    </w:p>
    <w:p w14:paraId="2F32ED2A" w14:textId="2A626862" w:rsidR="006F6657" w:rsidRPr="00430882" w:rsidRDefault="008F23A1" w:rsidP="002A297C">
      <w:pPr>
        <w:pStyle w:val="BodyText"/>
        <w:spacing w:before="0"/>
        <w:ind w:firstLine="714"/>
        <w:rPr>
          <w:sz w:val="28"/>
          <w:szCs w:val="28"/>
          <w:lang w:val="lv-LV"/>
        </w:rPr>
      </w:pPr>
      <w:r>
        <w:rPr>
          <w:sz w:val="28"/>
          <w:szCs w:val="28"/>
          <w:lang w:val="lv-LV"/>
        </w:rPr>
        <w:t>F</w:t>
      </w:r>
      <w:r w:rsidR="001B4187">
        <w:rPr>
          <w:sz w:val="28"/>
          <w:szCs w:val="28"/>
          <w:lang w:val="lv-LV"/>
        </w:rPr>
        <w:t>aktiskais Latvijas enerģijas bruto galapatēriņš 2012. gadā (</w:t>
      </w:r>
      <w:r w:rsidR="00372B72">
        <w:rPr>
          <w:sz w:val="28"/>
          <w:szCs w:val="28"/>
          <w:lang w:val="lv-LV"/>
        </w:rPr>
        <w:t>4220</w:t>
      </w:r>
      <w:r w:rsidR="001B4187">
        <w:rPr>
          <w:sz w:val="28"/>
          <w:szCs w:val="28"/>
          <w:lang w:val="lv-LV"/>
        </w:rPr>
        <w:t> </w:t>
      </w:r>
      <w:proofErr w:type="spellStart"/>
      <w:r w:rsidR="001B4187">
        <w:rPr>
          <w:sz w:val="28"/>
          <w:szCs w:val="28"/>
          <w:lang w:val="lv-LV"/>
        </w:rPr>
        <w:t>ktoe</w:t>
      </w:r>
      <w:proofErr w:type="spellEnd"/>
      <w:r w:rsidR="001B4187">
        <w:rPr>
          <w:sz w:val="28"/>
          <w:szCs w:val="28"/>
          <w:lang w:val="lv-LV"/>
        </w:rPr>
        <w:t xml:space="preserve">) </w:t>
      </w:r>
      <w:r w:rsidR="006908AC">
        <w:rPr>
          <w:sz w:val="28"/>
          <w:szCs w:val="28"/>
          <w:lang w:val="lv-LV"/>
        </w:rPr>
        <w:t xml:space="preserve">ir </w:t>
      </w:r>
      <w:r w:rsidR="00E35A32">
        <w:rPr>
          <w:sz w:val="28"/>
          <w:szCs w:val="28"/>
          <w:lang w:val="lv-LV"/>
        </w:rPr>
        <w:t xml:space="preserve">par </w:t>
      </w:r>
      <w:r w:rsidR="00522361">
        <w:rPr>
          <w:sz w:val="28"/>
          <w:szCs w:val="28"/>
          <w:lang w:val="lv-LV"/>
        </w:rPr>
        <w:t>50</w:t>
      </w:r>
      <w:r w:rsidR="00E35A32">
        <w:rPr>
          <w:sz w:val="28"/>
          <w:szCs w:val="28"/>
          <w:lang w:val="lv-LV"/>
        </w:rPr>
        <w:t> </w:t>
      </w:r>
      <w:proofErr w:type="spellStart"/>
      <w:r w:rsidR="00522361">
        <w:rPr>
          <w:sz w:val="28"/>
          <w:szCs w:val="28"/>
          <w:lang w:val="lv-LV"/>
        </w:rPr>
        <w:t>ktoe</w:t>
      </w:r>
      <w:proofErr w:type="spellEnd"/>
      <w:r w:rsidR="00522361">
        <w:rPr>
          <w:sz w:val="28"/>
          <w:szCs w:val="28"/>
          <w:lang w:val="lv-LV"/>
        </w:rPr>
        <w:t xml:space="preserve"> lielāks </w:t>
      </w:r>
      <w:r w:rsidR="006908AC">
        <w:rPr>
          <w:sz w:val="28"/>
          <w:szCs w:val="28"/>
          <w:lang w:val="lv-LV"/>
        </w:rPr>
        <w:t>nekā</w:t>
      </w:r>
      <w:r w:rsidR="001B4187">
        <w:rPr>
          <w:sz w:val="28"/>
          <w:szCs w:val="28"/>
          <w:lang w:val="lv-LV"/>
        </w:rPr>
        <w:t xml:space="preserve"> </w:t>
      </w:r>
      <w:r w:rsidR="006908AC">
        <w:rPr>
          <w:sz w:val="28"/>
          <w:szCs w:val="28"/>
          <w:lang w:val="lv-LV"/>
        </w:rPr>
        <w:t xml:space="preserve">paredzēts </w:t>
      </w:r>
      <w:r w:rsidR="001B4187">
        <w:rPr>
          <w:sz w:val="28"/>
          <w:szCs w:val="28"/>
          <w:lang w:val="lv-LV"/>
        </w:rPr>
        <w:t>rīcības plānā (4170 </w:t>
      </w:r>
      <w:proofErr w:type="spellStart"/>
      <w:r w:rsidR="001B4187">
        <w:rPr>
          <w:sz w:val="28"/>
          <w:szCs w:val="28"/>
          <w:lang w:val="lv-LV"/>
        </w:rPr>
        <w:t>ktoe</w:t>
      </w:r>
      <w:proofErr w:type="spellEnd"/>
      <w:r>
        <w:rPr>
          <w:sz w:val="28"/>
          <w:szCs w:val="28"/>
          <w:lang w:val="lv-LV"/>
        </w:rPr>
        <w:t>)</w:t>
      </w:r>
      <w:r w:rsidR="006908AC">
        <w:rPr>
          <w:sz w:val="28"/>
          <w:szCs w:val="28"/>
          <w:lang w:val="lv-LV"/>
        </w:rPr>
        <w:t>.</w:t>
      </w:r>
      <w:r>
        <w:rPr>
          <w:sz w:val="28"/>
          <w:szCs w:val="28"/>
          <w:lang w:val="lv-LV"/>
        </w:rPr>
        <w:t xml:space="preserve"> </w:t>
      </w:r>
      <w:r w:rsidR="00E35A32">
        <w:rPr>
          <w:sz w:val="28"/>
          <w:szCs w:val="28"/>
          <w:lang w:val="lv-LV"/>
        </w:rPr>
        <w:t>F</w:t>
      </w:r>
      <w:r w:rsidR="006908AC">
        <w:rPr>
          <w:sz w:val="28"/>
          <w:szCs w:val="28"/>
          <w:lang w:val="lv-LV"/>
        </w:rPr>
        <w:t xml:space="preserve">aktiskais </w:t>
      </w:r>
      <w:r w:rsidR="001F0921">
        <w:rPr>
          <w:sz w:val="28"/>
          <w:szCs w:val="28"/>
          <w:lang w:val="lv-LV"/>
        </w:rPr>
        <w:t>enerģijas bruto galapatēriņš transportā (886 </w:t>
      </w:r>
      <w:proofErr w:type="spellStart"/>
      <w:r w:rsidR="001F0921">
        <w:rPr>
          <w:sz w:val="28"/>
          <w:szCs w:val="28"/>
          <w:lang w:val="lv-LV"/>
        </w:rPr>
        <w:t>ktoe</w:t>
      </w:r>
      <w:proofErr w:type="spellEnd"/>
      <w:r w:rsidR="001F0921">
        <w:rPr>
          <w:sz w:val="28"/>
          <w:szCs w:val="28"/>
          <w:lang w:val="lv-LV"/>
        </w:rPr>
        <w:t>) ir par 250 </w:t>
      </w:r>
      <w:proofErr w:type="spellStart"/>
      <w:r w:rsidR="001F0921">
        <w:rPr>
          <w:sz w:val="28"/>
          <w:szCs w:val="28"/>
          <w:lang w:val="lv-LV"/>
        </w:rPr>
        <w:t>ktoe</w:t>
      </w:r>
      <w:proofErr w:type="spellEnd"/>
      <w:r w:rsidR="001F0921">
        <w:rPr>
          <w:sz w:val="28"/>
          <w:szCs w:val="28"/>
          <w:lang w:val="lv-LV"/>
        </w:rPr>
        <w:t xml:space="preserve"> mazāks nekā prognozēts rīcības plānā (1136 </w:t>
      </w:r>
      <w:proofErr w:type="spellStart"/>
      <w:r w:rsidR="001F0921">
        <w:rPr>
          <w:sz w:val="28"/>
          <w:szCs w:val="28"/>
          <w:lang w:val="lv-LV"/>
        </w:rPr>
        <w:t>ktoe</w:t>
      </w:r>
      <w:proofErr w:type="spellEnd"/>
      <w:r w:rsidR="001F0921">
        <w:rPr>
          <w:sz w:val="28"/>
          <w:szCs w:val="28"/>
          <w:lang w:val="lv-LV"/>
        </w:rPr>
        <w:t>), taču</w:t>
      </w:r>
      <w:r w:rsidR="006908AC">
        <w:rPr>
          <w:sz w:val="28"/>
          <w:szCs w:val="28"/>
          <w:lang w:val="lv-LV"/>
        </w:rPr>
        <w:t xml:space="preserve"> elektroenerģijas bruto galapatēriņš 2012. </w:t>
      </w:r>
      <w:r>
        <w:rPr>
          <w:sz w:val="28"/>
          <w:szCs w:val="28"/>
          <w:lang w:val="lv-LV"/>
        </w:rPr>
        <w:t>gadā</w:t>
      </w:r>
      <w:r w:rsidR="006908AC">
        <w:rPr>
          <w:sz w:val="28"/>
          <w:szCs w:val="28"/>
          <w:lang w:val="lv-LV"/>
        </w:rPr>
        <w:t xml:space="preserve"> (676</w:t>
      </w:r>
      <w:r w:rsidR="00E35A32">
        <w:rPr>
          <w:sz w:val="28"/>
          <w:szCs w:val="28"/>
          <w:lang w:val="lv-LV"/>
        </w:rPr>
        <w:t> </w:t>
      </w:r>
      <w:proofErr w:type="spellStart"/>
      <w:r w:rsidR="006908AC">
        <w:rPr>
          <w:sz w:val="28"/>
          <w:szCs w:val="28"/>
          <w:lang w:val="lv-LV"/>
        </w:rPr>
        <w:t>ktoe</w:t>
      </w:r>
      <w:proofErr w:type="spellEnd"/>
      <w:r w:rsidR="006908AC">
        <w:rPr>
          <w:sz w:val="28"/>
          <w:szCs w:val="28"/>
          <w:lang w:val="lv-LV"/>
        </w:rPr>
        <w:t>) ir par 68</w:t>
      </w:r>
      <w:r>
        <w:rPr>
          <w:sz w:val="28"/>
          <w:szCs w:val="28"/>
          <w:lang w:val="lv-LV"/>
        </w:rPr>
        <w:t> </w:t>
      </w:r>
      <w:proofErr w:type="spellStart"/>
      <w:r w:rsidR="006908AC">
        <w:rPr>
          <w:sz w:val="28"/>
          <w:szCs w:val="28"/>
          <w:lang w:val="lv-LV"/>
        </w:rPr>
        <w:t>ktoe</w:t>
      </w:r>
      <w:proofErr w:type="spellEnd"/>
      <w:r w:rsidR="006908AC">
        <w:rPr>
          <w:sz w:val="28"/>
          <w:szCs w:val="28"/>
          <w:lang w:val="lv-LV"/>
        </w:rPr>
        <w:t xml:space="preserve"> lielāks nekā rīcības plānā paredzētais (608</w:t>
      </w:r>
      <w:r>
        <w:rPr>
          <w:sz w:val="28"/>
          <w:szCs w:val="28"/>
          <w:lang w:val="lv-LV"/>
        </w:rPr>
        <w:t> </w:t>
      </w:r>
      <w:proofErr w:type="spellStart"/>
      <w:r w:rsidR="006908AC">
        <w:rPr>
          <w:sz w:val="28"/>
          <w:szCs w:val="28"/>
          <w:lang w:val="lv-LV"/>
        </w:rPr>
        <w:t>ktoe</w:t>
      </w:r>
      <w:proofErr w:type="spellEnd"/>
      <w:r w:rsidR="006908AC">
        <w:rPr>
          <w:sz w:val="28"/>
          <w:szCs w:val="28"/>
          <w:lang w:val="lv-LV"/>
        </w:rPr>
        <w:t>) un enerģijas bruto gala</w:t>
      </w:r>
      <w:r w:rsidR="001B4187">
        <w:rPr>
          <w:sz w:val="28"/>
          <w:szCs w:val="28"/>
          <w:lang w:val="lv-LV"/>
        </w:rPr>
        <w:t>patēriņš apsildei un dzesēšanai (</w:t>
      </w:r>
      <w:r w:rsidR="00372B72">
        <w:rPr>
          <w:sz w:val="28"/>
          <w:szCs w:val="28"/>
          <w:lang w:val="lv-LV"/>
        </w:rPr>
        <w:t>2506</w:t>
      </w:r>
      <w:r>
        <w:rPr>
          <w:sz w:val="28"/>
          <w:szCs w:val="28"/>
          <w:lang w:val="lv-LV"/>
        </w:rPr>
        <w:t> </w:t>
      </w:r>
      <w:proofErr w:type="spellStart"/>
      <w:r w:rsidR="001B4187">
        <w:rPr>
          <w:sz w:val="28"/>
          <w:szCs w:val="28"/>
          <w:lang w:val="lv-LV"/>
        </w:rPr>
        <w:t>ktoe</w:t>
      </w:r>
      <w:proofErr w:type="spellEnd"/>
      <w:r w:rsidR="001B4187">
        <w:rPr>
          <w:sz w:val="28"/>
          <w:szCs w:val="28"/>
          <w:lang w:val="lv-LV"/>
        </w:rPr>
        <w:t xml:space="preserve">) </w:t>
      </w:r>
      <w:r w:rsidR="006908AC">
        <w:rPr>
          <w:sz w:val="28"/>
          <w:szCs w:val="28"/>
          <w:lang w:val="lv-LV"/>
        </w:rPr>
        <w:t xml:space="preserve">ir par </w:t>
      </w:r>
      <w:r w:rsidR="00372B72">
        <w:rPr>
          <w:sz w:val="28"/>
          <w:szCs w:val="28"/>
          <w:lang w:val="lv-LV"/>
        </w:rPr>
        <w:t>187 </w:t>
      </w:r>
      <w:proofErr w:type="spellStart"/>
      <w:r w:rsidR="006908AC">
        <w:rPr>
          <w:sz w:val="28"/>
          <w:szCs w:val="28"/>
          <w:lang w:val="lv-LV"/>
        </w:rPr>
        <w:t>ktoe</w:t>
      </w:r>
      <w:proofErr w:type="spellEnd"/>
      <w:r w:rsidR="006908AC">
        <w:rPr>
          <w:sz w:val="28"/>
          <w:szCs w:val="28"/>
          <w:lang w:val="lv-LV"/>
        </w:rPr>
        <w:t xml:space="preserve"> lielāks nekā </w:t>
      </w:r>
      <w:r>
        <w:rPr>
          <w:sz w:val="28"/>
          <w:szCs w:val="28"/>
          <w:lang w:val="lv-LV"/>
        </w:rPr>
        <w:t xml:space="preserve">paredzēts </w:t>
      </w:r>
      <w:r w:rsidR="006908AC">
        <w:rPr>
          <w:sz w:val="28"/>
          <w:szCs w:val="28"/>
          <w:lang w:val="lv-LV"/>
        </w:rPr>
        <w:t>rīcības plānā (2319</w:t>
      </w:r>
      <w:r>
        <w:rPr>
          <w:sz w:val="28"/>
          <w:szCs w:val="28"/>
          <w:lang w:val="lv-LV"/>
        </w:rPr>
        <w:t> </w:t>
      </w:r>
      <w:proofErr w:type="spellStart"/>
      <w:r w:rsidR="006908AC">
        <w:rPr>
          <w:sz w:val="28"/>
          <w:szCs w:val="28"/>
          <w:lang w:val="lv-LV"/>
        </w:rPr>
        <w:t>ktoe</w:t>
      </w:r>
      <w:proofErr w:type="spellEnd"/>
      <w:r w:rsidR="006908AC">
        <w:rPr>
          <w:sz w:val="28"/>
          <w:szCs w:val="28"/>
          <w:lang w:val="lv-LV"/>
        </w:rPr>
        <w:t>)</w:t>
      </w:r>
      <w:r>
        <w:rPr>
          <w:sz w:val="28"/>
          <w:szCs w:val="28"/>
          <w:lang w:val="lv-LV"/>
        </w:rPr>
        <w:t>.</w:t>
      </w:r>
      <w:r w:rsidR="00101B4D">
        <w:rPr>
          <w:sz w:val="28"/>
          <w:szCs w:val="28"/>
          <w:lang w:val="lv-LV"/>
        </w:rPr>
        <w:t xml:space="preserve"> Tādējādi AE bruto gala patēriņš audzis straujāk nekā kopējais valsts enerģijas bruto galapatēriņš.</w:t>
      </w:r>
    </w:p>
    <w:p w14:paraId="4FC1369A" w14:textId="77777777" w:rsidR="001B4187" w:rsidRPr="00B041A3" w:rsidRDefault="001B4187" w:rsidP="00C6119E">
      <w:pPr>
        <w:tabs>
          <w:tab w:val="left" w:pos="2340"/>
        </w:tabs>
        <w:jc w:val="right"/>
        <w:rPr>
          <w:b/>
          <w:i/>
          <w:sz w:val="14"/>
          <w:lang w:val="lv-LV"/>
        </w:rPr>
      </w:pPr>
    </w:p>
    <w:p w14:paraId="4258A3B0" w14:textId="77777777" w:rsidR="00C6119E" w:rsidRPr="009E538B" w:rsidRDefault="00820C75" w:rsidP="00C6119E">
      <w:pPr>
        <w:tabs>
          <w:tab w:val="left" w:pos="2340"/>
        </w:tabs>
        <w:jc w:val="right"/>
        <w:rPr>
          <w:b/>
          <w:sz w:val="20"/>
          <w:lang w:val="lv-LV"/>
        </w:rPr>
      </w:pPr>
      <w:r>
        <w:rPr>
          <w:b/>
          <w:i/>
          <w:sz w:val="20"/>
          <w:lang w:val="lv-LV"/>
        </w:rPr>
        <w:t>1.b tabula</w:t>
      </w:r>
      <w:r>
        <w:rPr>
          <w:b/>
          <w:sz w:val="20"/>
          <w:lang w:val="lv-LV"/>
        </w:rPr>
        <w:t>.</w:t>
      </w:r>
      <w:r w:rsidRPr="009E538B">
        <w:rPr>
          <w:b/>
          <w:sz w:val="20"/>
          <w:lang w:val="lv-LV"/>
        </w:rPr>
        <w:t xml:space="preserve"> </w:t>
      </w:r>
    </w:p>
    <w:p w14:paraId="5D8C666F" w14:textId="77777777" w:rsidR="00820C75" w:rsidRDefault="00820C75">
      <w:pPr>
        <w:tabs>
          <w:tab w:val="left" w:pos="2340"/>
        </w:tabs>
        <w:jc w:val="center"/>
        <w:rPr>
          <w:b/>
          <w:sz w:val="20"/>
          <w:u w:val="single"/>
          <w:lang w:val="lv-LV"/>
        </w:rPr>
      </w:pPr>
      <w:r>
        <w:rPr>
          <w:b/>
          <w:sz w:val="20"/>
          <w:lang w:val="lv-LV"/>
        </w:rPr>
        <w:t>Kopējais faktiskais ieguldījums (uzstādītā jauda, bruto saražotā elektroenerģija) no katras atjaunojamās enerģijas tehnoloģijas, lai sasniegtu obligātos 2020.</w:t>
      </w:r>
      <w:r w:rsidR="00470485">
        <w:rPr>
          <w:b/>
          <w:sz w:val="20"/>
          <w:lang w:val="lv-LV"/>
        </w:rPr>
        <w:t> </w:t>
      </w:r>
      <w:r>
        <w:rPr>
          <w:b/>
          <w:sz w:val="20"/>
          <w:lang w:val="lv-LV"/>
        </w:rPr>
        <w:t xml:space="preserve">gada mērķus un indikatīvās starpposma līknes rādītājus attiecībā uz atjaunojamo energoresursu enerģijas īpatsvaru </w:t>
      </w:r>
      <w:r>
        <w:rPr>
          <w:b/>
          <w:sz w:val="20"/>
          <w:u w:val="single"/>
          <w:lang w:val="lv-LV"/>
        </w:rPr>
        <w:t>elektroenerģijas jomā</w:t>
      </w:r>
    </w:p>
    <w:p w14:paraId="6E42A5CF" w14:textId="77777777" w:rsidR="00C165DE" w:rsidRPr="009E538B" w:rsidRDefault="00C165DE">
      <w:pPr>
        <w:tabs>
          <w:tab w:val="left" w:pos="2340"/>
        </w:tabs>
        <w:jc w:val="center"/>
        <w:rPr>
          <w:sz w:val="20"/>
          <w:u w:val="single"/>
          <w:lang w:val="lv-LV"/>
        </w:rPr>
      </w:pPr>
    </w:p>
    <w:tbl>
      <w:tblPr>
        <w:tblW w:w="6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1"/>
        <w:gridCol w:w="910"/>
        <w:gridCol w:w="10"/>
        <w:gridCol w:w="884"/>
        <w:gridCol w:w="807"/>
        <w:gridCol w:w="10"/>
        <w:gridCol w:w="841"/>
        <w:gridCol w:w="10"/>
      </w:tblGrid>
      <w:tr w:rsidR="00C165DE" w14:paraId="309ADA0A" w14:textId="77777777" w:rsidTr="00443DCB">
        <w:trPr>
          <w:jc w:val="center"/>
        </w:trPr>
        <w:tc>
          <w:tcPr>
            <w:tcW w:w="2901"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14:paraId="0DDFEF36" w14:textId="77777777" w:rsidR="00C165DE" w:rsidRPr="009E538B" w:rsidRDefault="00C165DE">
            <w:pPr>
              <w:snapToGrid w:val="0"/>
              <w:jc w:val="center"/>
              <w:rPr>
                <w:sz w:val="16"/>
                <w:lang w:val="lv-LV"/>
              </w:rPr>
            </w:pPr>
          </w:p>
        </w:tc>
        <w:tc>
          <w:tcPr>
            <w:tcW w:w="180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2E8AB94" w14:textId="77777777" w:rsidR="00C165DE" w:rsidRDefault="00C165DE">
            <w:pPr>
              <w:snapToGrid w:val="0"/>
              <w:jc w:val="center"/>
              <w:rPr>
                <w:rStyle w:val="italic1"/>
                <w:i w:val="0"/>
                <w:iCs w:val="0"/>
              </w:rPr>
            </w:pPr>
            <w:r>
              <w:rPr>
                <w:rStyle w:val="italic1"/>
                <w:b/>
                <w:i w:val="0"/>
                <w:iCs w:val="0"/>
                <w:sz w:val="16"/>
                <w:lang w:val="lv-LV"/>
              </w:rPr>
              <w:t>2011</w:t>
            </w:r>
          </w:p>
        </w:tc>
        <w:tc>
          <w:tcPr>
            <w:tcW w:w="1668"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130B391D" w14:textId="77777777" w:rsidR="00C165DE" w:rsidRDefault="00C165DE">
            <w:pPr>
              <w:snapToGrid w:val="0"/>
              <w:jc w:val="center"/>
              <w:rPr>
                <w:rStyle w:val="italic1"/>
                <w:i w:val="0"/>
                <w:iCs w:val="0"/>
              </w:rPr>
            </w:pPr>
            <w:r>
              <w:rPr>
                <w:rStyle w:val="italic1"/>
                <w:b/>
                <w:i w:val="0"/>
                <w:iCs w:val="0"/>
                <w:sz w:val="16"/>
                <w:lang w:val="lv-LV"/>
              </w:rPr>
              <w:t>2012</w:t>
            </w:r>
            <w:r>
              <w:rPr>
                <w:rStyle w:val="italic1"/>
                <w:b/>
                <w:i w:val="0"/>
                <w:iCs w:val="0"/>
                <w:sz w:val="16"/>
              </w:rPr>
              <w:t xml:space="preserve"> </w:t>
            </w:r>
          </w:p>
        </w:tc>
      </w:tr>
      <w:tr w:rsidR="00C165DE" w14:paraId="67640520" w14:textId="77777777" w:rsidTr="00443DCB">
        <w:trPr>
          <w:trHeight w:val="160"/>
          <w:jc w:val="center"/>
        </w:trPr>
        <w:tc>
          <w:tcPr>
            <w:tcW w:w="2901" w:type="dxa"/>
            <w:vMerge/>
            <w:tcBorders>
              <w:top w:val="single" w:sz="4" w:space="0" w:color="auto"/>
              <w:left w:val="single" w:sz="4" w:space="0" w:color="auto"/>
              <w:bottom w:val="single" w:sz="4" w:space="0" w:color="auto"/>
              <w:right w:val="single" w:sz="4" w:space="0" w:color="auto"/>
            </w:tcBorders>
            <w:vAlign w:val="center"/>
            <w:hideMark/>
          </w:tcPr>
          <w:p w14:paraId="3FAB7691" w14:textId="77777777" w:rsidR="00C165DE" w:rsidRDefault="00C165DE">
            <w:pPr>
              <w:rPr>
                <w:sz w:val="16"/>
              </w:rPr>
            </w:pPr>
          </w:p>
        </w:tc>
        <w:tc>
          <w:tcPr>
            <w:tcW w:w="92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FF076B6" w14:textId="77777777" w:rsidR="00C165DE" w:rsidRDefault="00C165DE">
            <w:pPr>
              <w:snapToGrid w:val="0"/>
              <w:jc w:val="center"/>
              <w:rPr>
                <w:rStyle w:val="italic1"/>
                <w:i w:val="0"/>
                <w:iCs w:val="0"/>
              </w:rPr>
            </w:pPr>
            <w:r>
              <w:rPr>
                <w:rStyle w:val="italic1"/>
                <w:b/>
                <w:i w:val="0"/>
                <w:iCs w:val="0"/>
                <w:noProof/>
                <w:sz w:val="16"/>
              </w:rPr>
              <w:t>MW</w:t>
            </w:r>
          </w:p>
        </w:tc>
        <w:tc>
          <w:tcPr>
            <w:tcW w:w="884" w:type="dxa"/>
            <w:tcBorders>
              <w:top w:val="single" w:sz="4" w:space="0" w:color="auto"/>
              <w:left w:val="single" w:sz="4" w:space="0" w:color="auto"/>
              <w:bottom w:val="single" w:sz="4" w:space="0" w:color="auto"/>
              <w:right w:val="single" w:sz="4" w:space="0" w:color="auto"/>
            </w:tcBorders>
            <w:shd w:val="clear" w:color="auto" w:fill="E6E6E6"/>
            <w:hideMark/>
          </w:tcPr>
          <w:p w14:paraId="3706FC62" w14:textId="77777777" w:rsidR="00C165DE" w:rsidRDefault="00C165DE">
            <w:pPr>
              <w:snapToGrid w:val="0"/>
              <w:jc w:val="center"/>
              <w:rPr>
                <w:rStyle w:val="italic1"/>
                <w:b/>
                <w:iCs w:val="0"/>
                <w:sz w:val="16"/>
              </w:rPr>
            </w:pPr>
            <w:r>
              <w:rPr>
                <w:rStyle w:val="italic1"/>
                <w:b/>
                <w:iCs w:val="0"/>
                <w:noProof/>
                <w:sz w:val="16"/>
              </w:rPr>
              <w:t>GWh</w:t>
            </w:r>
          </w:p>
        </w:tc>
        <w:tc>
          <w:tcPr>
            <w:tcW w:w="81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20D1465" w14:textId="77777777" w:rsidR="00C165DE" w:rsidRDefault="00C165DE">
            <w:pPr>
              <w:snapToGrid w:val="0"/>
              <w:jc w:val="center"/>
              <w:rPr>
                <w:rStyle w:val="italic1"/>
                <w:b/>
                <w:iCs w:val="0"/>
                <w:sz w:val="16"/>
              </w:rPr>
            </w:pPr>
            <w:r>
              <w:rPr>
                <w:rStyle w:val="italic1"/>
                <w:b/>
                <w:iCs w:val="0"/>
                <w:noProof/>
                <w:sz w:val="16"/>
              </w:rPr>
              <w:t>MW</w:t>
            </w: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D42388" w14:textId="77777777" w:rsidR="00C165DE" w:rsidRDefault="00C165DE">
            <w:pPr>
              <w:snapToGrid w:val="0"/>
              <w:jc w:val="center"/>
              <w:rPr>
                <w:rStyle w:val="italic1"/>
                <w:b/>
                <w:iCs w:val="0"/>
                <w:sz w:val="16"/>
              </w:rPr>
            </w:pPr>
            <w:r>
              <w:rPr>
                <w:rStyle w:val="italic1"/>
                <w:b/>
                <w:iCs w:val="0"/>
                <w:noProof/>
                <w:sz w:val="16"/>
              </w:rPr>
              <w:t>GWh</w:t>
            </w:r>
          </w:p>
        </w:tc>
      </w:tr>
      <w:tr w:rsidR="0023106B" w14:paraId="376846A9" w14:textId="77777777" w:rsidTr="00443DCB">
        <w:trPr>
          <w:gridAfter w:val="1"/>
          <w:wAfter w:w="10" w:type="dxa"/>
          <w:jc w:val="center"/>
        </w:trPr>
        <w:tc>
          <w:tcPr>
            <w:tcW w:w="2901" w:type="dxa"/>
            <w:tcBorders>
              <w:top w:val="single" w:sz="4" w:space="0" w:color="auto"/>
              <w:left w:val="single" w:sz="4" w:space="0" w:color="auto"/>
              <w:bottom w:val="single" w:sz="4" w:space="0" w:color="auto"/>
              <w:right w:val="single" w:sz="4" w:space="0" w:color="auto"/>
            </w:tcBorders>
          </w:tcPr>
          <w:p w14:paraId="03258C0C" w14:textId="77777777" w:rsidR="0023106B" w:rsidRDefault="0023106B" w:rsidP="0023106B">
            <w:pPr>
              <w:rPr>
                <w:rStyle w:val="italic1"/>
                <w:b/>
                <w:iCs w:val="0"/>
                <w:sz w:val="16"/>
              </w:rPr>
            </w:pPr>
            <w:r>
              <w:rPr>
                <w:sz w:val="16"/>
                <w:lang w:val="lv-LV"/>
              </w:rPr>
              <w:t>Hidroenerģija</w:t>
            </w:r>
            <w:r>
              <w:rPr>
                <w:rStyle w:val="FootnoteReference"/>
                <w:sz w:val="16"/>
                <w:lang w:val="lv-LV"/>
              </w:rPr>
              <w:footnoteReference w:id="8"/>
            </w:r>
            <w:r>
              <w:rPr>
                <w:sz w:val="16"/>
                <w:lang w:val="lv-LV"/>
              </w:rPr>
              <w:t>:</w:t>
            </w:r>
          </w:p>
        </w:tc>
        <w:tc>
          <w:tcPr>
            <w:tcW w:w="910" w:type="dxa"/>
            <w:tcBorders>
              <w:top w:val="single" w:sz="4" w:space="0" w:color="auto"/>
              <w:left w:val="single" w:sz="4" w:space="0" w:color="auto"/>
              <w:bottom w:val="single" w:sz="4" w:space="0" w:color="auto"/>
              <w:right w:val="single" w:sz="4" w:space="0" w:color="auto"/>
            </w:tcBorders>
            <w:vAlign w:val="center"/>
            <w:hideMark/>
          </w:tcPr>
          <w:p w14:paraId="527A5FA8" w14:textId="77777777" w:rsidR="0023106B" w:rsidRPr="0023106B" w:rsidRDefault="0023106B" w:rsidP="0023106B">
            <w:pPr>
              <w:jc w:val="center"/>
              <w:rPr>
                <w:color w:val="000000"/>
                <w:sz w:val="16"/>
                <w:szCs w:val="16"/>
              </w:rPr>
            </w:pPr>
            <w:r w:rsidRPr="0023106B">
              <w:rPr>
                <w:color w:val="000000"/>
                <w:sz w:val="16"/>
                <w:szCs w:val="16"/>
              </w:rPr>
              <w:t>1576</w:t>
            </w:r>
          </w:p>
        </w:tc>
        <w:tc>
          <w:tcPr>
            <w:tcW w:w="894" w:type="dxa"/>
            <w:gridSpan w:val="2"/>
            <w:tcBorders>
              <w:top w:val="single" w:sz="4" w:space="0" w:color="auto"/>
              <w:left w:val="single" w:sz="4" w:space="0" w:color="auto"/>
              <w:bottom w:val="single" w:sz="4" w:space="0" w:color="auto"/>
              <w:right w:val="single" w:sz="4" w:space="0" w:color="auto"/>
            </w:tcBorders>
            <w:vAlign w:val="center"/>
            <w:hideMark/>
          </w:tcPr>
          <w:p w14:paraId="3BB48BD2" w14:textId="77777777" w:rsidR="0023106B" w:rsidRPr="0023106B" w:rsidRDefault="0023106B" w:rsidP="0023106B">
            <w:pPr>
              <w:jc w:val="center"/>
              <w:rPr>
                <w:color w:val="000000"/>
                <w:sz w:val="16"/>
                <w:szCs w:val="16"/>
              </w:rPr>
            </w:pPr>
            <w:r w:rsidRPr="0023106B">
              <w:rPr>
                <w:color w:val="000000"/>
                <w:sz w:val="16"/>
                <w:szCs w:val="16"/>
              </w:rPr>
              <w:t>3097,2</w:t>
            </w:r>
          </w:p>
        </w:tc>
        <w:tc>
          <w:tcPr>
            <w:tcW w:w="807" w:type="dxa"/>
            <w:tcBorders>
              <w:top w:val="single" w:sz="4" w:space="0" w:color="auto"/>
              <w:left w:val="single" w:sz="4" w:space="0" w:color="auto"/>
              <w:bottom w:val="single" w:sz="4" w:space="0" w:color="auto"/>
              <w:right w:val="single" w:sz="4" w:space="0" w:color="auto"/>
            </w:tcBorders>
            <w:vAlign w:val="center"/>
            <w:hideMark/>
          </w:tcPr>
          <w:p w14:paraId="1864D554" w14:textId="77777777" w:rsidR="0023106B" w:rsidRPr="0023106B" w:rsidRDefault="0023106B" w:rsidP="0023106B">
            <w:pPr>
              <w:jc w:val="center"/>
              <w:rPr>
                <w:color w:val="000000"/>
                <w:sz w:val="16"/>
                <w:szCs w:val="16"/>
              </w:rPr>
            </w:pPr>
            <w:r w:rsidRPr="0023106B">
              <w:rPr>
                <w:color w:val="000000"/>
                <w:sz w:val="16"/>
                <w:szCs w:val="16"/>
              </w:rPr>
              <w:t>1576</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F58A96A" w14:textId="77777777" w:rsidR="0023106B" w:rsidRPr="0023106B" w:rsidRDefault="0023106B" w:rsidP="0023106B">
            <w:pPr>
              <w:jc w:val="center"/>
              <w:rPr>
                <w:color w:val="000000"/>
                <w:sz w:val="16"/>
                <w:szCs w:val="16"/>
              </w:rPr>
            </w:pPr>
            <w:r w:rsidRPr="0023106B">
              <w:rPr>
                <w:color w:val="000000"/>
                <w:sz w:val="16"/>
                <w:szCs w:val="16"/>
              </w:rPr>
              <w:t>3140,2</w:t>
            </w:r>
          </w:p>
        </w:tc>
      </w:tr>
      <w:tr w:rsidR="0023106B" w14:paraId="2617A9C4" w14:textId="77777777" w:rsidTr="00443DCB">
        <w:trPr>
          <w:gridAfter w:val="1"/>
          <w:wAfter w:w="10" w:type="dxa"/>
          <w:jc w:val="center"/>
        </w:trPr>
        <w:tc>
          <w:tcPr>
            <w:tcW w:w="2901" w:type="dxa"/>
            <w:tcBorders>
              <w:top w:val="single" w:sz="4" w:space="0" w:color="auto"/>
              <w:left w:val="single" w:sz="4" w:space="0" w:color="auto"/>
              <w:bottom w:val="single" w:sz="4" w:space="0" w:color="auto"/>
              <w:right w:val="single" w:sz="4" w:space="0" w:color="auto"/>
            </w:tcBorders>
            <w:hideMark/>
          </w:tcPr>
          <w:p w14:paraId="366BA4AD" w14:textId="77777777" w:rsidR="0023106B" w:rsidRPr="002B7079" w:rsidRDefault="002B7079">
            <w:pPr>
              <w:snapToGrid w:val="0"/>
              <w:rPr>
                <w:rStyle w:val="italic1"/>
                <w:i w:val="0"/>
                <w:iCs w:val="0"/>
              </w:rPr>
            </w:pPr>
            <w:r>
              <w:rPr>
                <w:sz w:val="16"/>
                <w:lang w:val="lv-LV"/>
              </w:rPr>
              <w:t xml:space="preserve">    </w:t>
            </w:r>
            <w:r w:rsidRPr="002B7079">
              <w:rPr>
                <w:i/>
                <w:sz w:val="16"/>
                <w:lang w:val="lv-LV"/>
              </w:rPr>
              <w:t xml:space="preserve"> </w:t>
            </w:r>
            <w:r w:rsidR="0023106B" w:rsidRPr="002B7079">
              <w:rPr>
                <w:i/>
                <w:sz w:val="16"/>
                <w:lang w:val="lv-LV"/>
              </w:rPr>
              <w:t>neakumulējoša</w:t>
            </w:r>
          </w:p>
        </w:tc>
        <w:tc>
          <w:tcPr>
            <w:tcW w:w="910" w:type="dxa"/>
            <w:tcBorders>
              <w:top w:val="single" w:sz="4" w:space="0" w:color="auto"/>
              <w:left w:val="single" w:sz="4" w:space="0" w:color="auto"/>
              <w:bottom w:val="single" w:sz="4" w:space="0" w:color="auto"/>
              <w:right w:val="single" w:sz="4" w:space="0" w:color="auto"/>
            </w:tcBorders>
            <w:vAlign w:val="center"/>
          </w:tcPr>
          <w:p w14:paraId="5A994E2C" w14:textId="77777777" w:rsidR="0023106B" w:rsidRPr="002B7079" w:rsidRDefault="0023106B" w:rsidP="0023106B">
            <w:pPr>
              <w:jc w:val="center"/>
              <w:rPr>
                <w:i/>
                <w:color w:val="000000"/>
                <w:sz w:val="16"/>
                <w:szCs w:val="16"/>
              </w:rPr>
            </w:pPr>
            <w:r w:rsidRPr="002B7079">
              <w:rPr>
                <w:i/>
                <w:color w:val="000000"/>
                <w:sz w:val="16"/>
                <w:szCs w:val="16"/>
              </w:rPr>
              <w:t>1576</w:t>
            </w:r>
          </w:p>
        </w:tc>
        <w:tc>
          <w:tcPr>
            <w:tcW w:w="894" w:type="dxa"/>
            <w:gridSpan w:val="2"/>
            <w:tcBorders>
              <w:top w:val="single" w:sz="4" w:space="0" w:color="auto"/>
              <w:left w:val="single" w:sz="4" w:space="0" w:color="auto"/>
              <w:bottom w:val="single" w:sz="4" w:space="0" w:color="auto"/>
              <w:right w:val="single" w:sz="4" w:space="0" w:color="auto"/>
            </w:tcBorders>
            <w:vAlign w:val="center"/>
          </w:tcPr>
          <w:p w14:paraId="4658D935" w14:textId="77777777" w:rsidR="0023106B" w:rsidRPr="002B7079" w:rsidRDefault="0023106B" w:rsidP="0023106B">
            <w:pPr>
              <w:jc w:val="center"/>
              <w:rPr>
                <w:i/>
                <w:color w:val="000000"/>
                <w:sz w:val="16"/>
                <w:szCs w:val="16"/>
              </w:rPr>
            </w:pPr>
            <w:r w:rsidRPr="002B7079">
              <w:rPr>
                <w:i/>
                <w:color w:val="000000"/>
                <w:sz w:val="16"/>
                <w:szCs w:val="16"/>
              </w:rPr>
              <w:t>3100,8</w:t>
            </w:r>
          </w:p>
        </w:tc>
        <w:tc>
          <w:tcPr>
            <w:tcW w:w="807" w:type="dxa"/>
            <w:tcBorders>
              <w:top w:val="single" w:sz="4" w:space="0" w:color="auto"/>
              <w:left w:val="single" w:sz="4" w:space="0" w:color="auto"/>
              <w:bottom w:val="single" w:sz="4" w:space="0" w:color="auto"/>
              <w:right w:val="single" w:sz="4" w:space="0" w:color="auto"/>
            </w:tcBorders>
            <w:vAlign w:val="center"/>
          </w:tcPr>
          <w:p w14:paraId="59919D52" w14:textId="77777777" w:rsidR="0023106B" w:rsidRPr="002B7079" w:rsidRDefault="0023106B" w:rsidP="0023106B">
            <w:pPr>
              <w:jc w:val="center"/>
              <w:rPr>
                <w:i/>
                <w:color w:val="000000"/>
                <w:sz w:val="16"/>
                <w:szCs w:val="16"/>
              </w:rPr>
            </w:pPr>
            <w:r w:rsidRPr="002B7079">
              <w:rPr>
                <w:i/>
                <w:color w:val="000000"/>
                <w:sz w:val="16"/>
                <w:szCs w:val="16"/>
              </w:rPr>
              <w:t>1576</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24D2F2D" w14:textId="77777777" w:rsidR="0023106B" w:rsidRPr="002B7079" w:rsidRDefault="0023106B" w:rsidP="0023106B">
            <w:pPr>
              <w:jc w:val="center"/>
              <w:rPr>
                <w:i/>
                <w:color w:val="000000"/>
                <w:sz w:val="16"/>
                <w:szCs w:val="16"/>
              </w:rPr>
            </w:pPr>
            <w:r w:rsidRPr="002B7079">
              <w:rPr>
                <w:i/>
                <w:color w:val="000000"/>
                <w:sz w:val="16"/>
                <w:szCs w:val="16"/>
              </w:rPr>
              <w:t>3144,1</w:t>
            </w:r>
          </w:p>
        </w:tc>
      </w:tr>
      <w:tr w:rsidR="0023106B" w14:paraId="33381D68" w14:textId="77777777" w:rsidTr="00443DCB">
        <w:trPr>
          <w:gridAfter w:val="1"/>
          <w:wAfter w:w="10" w:type="dxa"/>
          <w:jc w:val="center"/>
        </w:trPr>
        <w:tc>
          <w:tcPr>
            <w:tcW w:w="2901" w:type="dxa"/>
            <w:tcBorders>
              <w:top w:val="single" w:sz="4" w:space="0" w:color="auto"/>
              <w:left w:val="single" w:sz="4" w:space="0" w:color="auto"/>
              <w:bottom w:val="single" w:sz="4" w:space="0" w:color="auto"/>
              <w:right w:val="single" w:sz="4" w:space="0" w:color="auto"/>
            </w:tcBorders>
            <w:hideMark/>
          </w:tcPr>
          <w:p w14:paraId="74D88490" w14:textId="77777777" w:rsidR="0023106B" w:rsidRDefault="0023106B">
            <w:pPr>
              <w:snapToGrid w:val="0"/>
              <w:jc w:val="right"/>
              <w:rPr>
                <w:rStyle w:val="italic1"/>
                <w:iCs w:val="0"/>
                <w:sz w:val="16"/>
              </w:rPr>
            </w:pPr>
            <w:r>
              <w:rPr>
                <w:rStyle w:val="italic1"/>
                <w:iCs w:val="0"/>
                <w:noProof/>
                <w:sz w:val="16"/>
              </w:rPr>
              <w:t>&lt;1MW</w:t>
            </w:r>
          </w:p>
        </w:tc>
        <w:tc>
          <w:tcPr>
            <w:tcW w:w="910" w:type="dxa"/>
            <w:tcBorders>
              <w:top w:val="single" w:sz="4" w:space="0" w:color="auto"/>
              <w:left w:val="single" w:sz="4" w:space="0" w:color="auto"/>
              <w:bottom w:val="single" w:sz="4" w:space="0" w:color="auto"/>
              <w:right w:val="single" w:sz="4" w:space="0" w:color="auto"/>
            </w:tcBorders>
            <w:vAlign w:val="center"/>
            <w:hideMark/>
          </w:tcPr>
          <w:p w14:paraId="316289A4" w14:textId="77777777" w:rsidR="0023106B" w:rsidRPr="002B7079" w:rsidRDefault="0023106B" w:rsidP="0023106B">
            <w:pPr>
              <w:jc w:val="center"/>
              <w:rPr>
                <w:i/>
                <w:color w:val="000000"/>
                <w:sz w:val="16"/>
                <w:szCs w:val="16"/>
              </w:rPr>
            </w:pPr>
            <w:r w:rsidRPr="002B7079">
              <w:rPr>
                <w:i/>
                <w:color w:val="000000"/>
                <w:sz w:val="16"/>
                <w:szCs w:val="16"/>
              </w:rPr>
              <w:t>25</w:t>
            </w:r>
          </w:p>
        </w:tc>
        <w:tc>
          <w:tcPr>
            <w:tcW w:w="894" w:type="dxa"/>
            <w:gridSpan w:val="2"/>
            <w:tcBorders>
              <w:top w:val="single" w:sz="4" w:space="0" w:color="auto"/>
              <w:left w:val="single" w:sz="4" w:space="0" w:color="auto"/>
              <w:bottom w:val="single" w:sz="4" w:space="0" w:color="auto"/>
              <w:right w:val="single" w:sz="4" w:space="0" w:color="auto"/>
            </w:tcBorders>
            <w:vAlign w:val="center"/>
            <w:hideMark/>
          </w:tcPr>
          <w:p w14:paraId="2C471FD6" w14:textId="77777777" w:rsidR="0023106B" w:rsidRPr="002B7079" w:rsidRDefault="0023106B" w:rsidP="0023106B">
            <w:pPr>
              <w:jc w:val="center"/>
              <w:rPr>
                <w:i/>
                <w:color w:val="000000"/>
                <w:sz w:val="16"/>
                <w:szCs w:val="16"/>
              </w:rPr>
            </w:pPr>
            <w:r w:rsidRPr="002B7079">
              <w:rPr>
                <w:i/>
                <w:color w:val="000000"/>
                <w:sz w:val="16"/>
                <w:szCs w:val="16"/>
              </w:rPr>
              <w:t>62,6</w:t>
            </w:r>
          </w:p>
        </w:tc>
        <w:tc>
          <w:tcPr>
            <w:tcW w:w="807" w:type="dxa"/>
            <w:tcBorders>
              <w:top w:val="single" w:sz="4" w:space="0" w:color="auto"/>
              <w:left w:val="single" w:sz="4" w:space="0" w:color="auto"/>
              <w:bottom w:val="single" w:sz="4" w:space="0" w:color="auto"/>
              <w:right w:val="single" w:sz="4" w:space="0" w:color="auto"/>
            </w:tcBorders>
            <w:vAlign w:val="center"/>
            <w:hideMark/>
          </w:tcPr>
          <w:p w14:paraId="3F9D249E" w14:textId="77777777" w:rsidR="0023106B" w:rsidRPr="002B7079" w:rsidRDefault="0023106B" w:rsidP="0023106B">
            <w:pPr>
              <w:jc w:val="center"/>
              <w:rPr>
                <w:i/>
                <w:color w:val="000000"/>
                <w:sz w:val="16"/>
                <w:szCs w:val="16"/>
              </w:rPr>
            </w:pPr>
            <w:r w:rsidRPr="002B7079">
              <w:rPr>
                <w:i/>
                <w:color w:val="000000"/>
                <w:sz w:val="16"/>
                <w:szCs w:val="16"/>
              </w:rPr>
              <w:t>25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A928D01" w14:textId="77777777" w:rsidR="0023106B" w:rsidRPr="002B7079" w:rsidRDefault="0023106B" w:rsidP="0023106B">
            <w:pPr>
              <w:jc w:val="center"/>
              <w:rPr>
                <w:i/>
                <w:color w:val="000000"/>
                <w:sz w:val="16"/>
                <w:szCs w:val="16"/>
              </w:rPr>
            </w:pPr>
            <w:r w:rsidRPr="002B7079">
              <w:rPr>
                <w:i/>
                <w:color w:val="000000"/>
                <w:sz w:val="16"/>
                <w:szCs w:val="16"/>
              </w:rPr>
              <w:t>64,5</w:t>
            </w:r>
          </w:p>
        </w:tc>
      </w:tr>
      <w:tr w:rsidR="0023106B" w14:paraId="1202CEEA" w14:textId="77777777" w:rsidTr="00443DCB">
        <w:trPr>
          <w:gridAfter w:val="1"/>
          <w:wAfter w:w="10" w:type="dxa"/>
          <w:jc w:val="center"/>
        </w:trPr>
        <w:tc>
          <w:tcPr>
            <w:tcW w:w="2901" w:type="dxa"/>
            <w:tcBorders>
              <w:top w:val="single" w:sz="4" w:space="0" w:color="auto"/>
              <w:left w:val="single" w:sz="4" w:space="0" w:color="auto"/>
              <w:bottom w:val="single" w:sz="4" w:space="0" w:color="auto"/>
              <w:right w:val="single" w:sz="4" w:space="0" w:color="auto"/>
            </w:tcBorders>
            <w:hideMark/>
          </w:tcPr>
          <w:p w14:paraId="0ACCE18C" w14:textId="77777777" w:rsidR="0023106B" w:rsidRDefault="0023106B">
            <w:pPr>
              <w:snapToGrid w:val="0"/>
              <w:jc w:val="right"/>
              <w:rPr>
                <w:rStyle w:val="italic1"/>
                <w:iCs w:val="0"/>
                <w:sz w:val="16"/>
              </w:rPr>
            </w:pPr>
            <w:r>
              <w:rPr>
                <w:rStyle w:val="italic1"/>
                <w:iCs w:val="0"/>
                <w:noProof/>
                <w:sz w:val="16"/>
              </w:rPr>
              <w:t>1MW–10 MW</w:t>
            </w:r>
          </w:p>
        </w:tc>
        <w:tc>
          <w:tcPr>
            <w:tcW w:w="910" w:type="dxa"/>
            <w:tcBorders>
              <w:top w:val="single" w:sz="4" w:space="0" w:color="auto"/>
              <w:left w:val="single" w:sz="4" w:space="0" w:color="auto"/>
              <w:bottom w:val="single" w:sz="4" w:space="0" w:color="auto"/>
              <w:right w:val="single" w:sz="4" w:space="0" w:color="auto"/>
            </w:tcBorders>
            <w:vAlign w:val="center"/>
            <w:hideMark/>
          </w:tcPr>
          <w:p w14:paraId="70F56543" w14:textId="77777777" w:rsidR="0023106B" w:rsidRPr="002B7079" w:rsidRDefault="0023106B" w:rsidP="0023106B">
            <w:pPr>
              <w:jc w:val="center"/>
              <w:rPr>
                <w:i/>
                <w:color w:val="000000"/>
                <w:sz w:val="16"/>
                <w:szCs w:val="16"/>
              </w:rPr>
            </w:pPr>
            <w:r w:rsidRPr="002B7079">
              <w:rPr>
                <w:i/>
                <w:color w:val="000000"/>
                <w:sz w:val="16"/>
                <w:szCs w:val="16"/>
              </w:rPr>
              <w:t>1</w:t>
            </w:r>
          </w:p>
        </w:tc>
        <w:tc>
          <w:tcPr>
            <w:tcW w:w="894" w:type="dxa"/>
            <w:gridSpan w:val="2"/>
            <w:tcBorders>
              <w:top w:val="single" w:sz="4" w:space="0" w:color="auto"/>
              <w:left w:val="single" w:sz="4" w:space="0" w:color="auto"/>
              <w:bottom w:val="single" w:sz="4" w:space="0" w:color="auto"/>
              <w:right w:val="single" w:sz="4" w:space="0" w:color="auto"/>
            </w:tcBorders>
            <w:vAlign w:val="center"/>
            <w:hideMark/>
          </w:tcPr>
          <w:p w14:paraId="113ABE65" w14:textId="77777777" w:rsidR="0023106B" w:rsidRPr="002B7079" w:rsidRDefault="0023106B" w:rsidP="0023106B">
            <w:pPr>
              <w:jc w:val="center"/>
              <w:rPr>
                <w:i/>
                <w:color w:val="000000"/>
                <w:sz w:val="16"/>
                <w:szCs w:val="16"/>
              </w:rPr>
            </w:pPr>
            <w:r w:rsidRPr="002B7079">
              <w:rPr>
                <w:i/>
                <w:color w:val="000000"/>
                <w:sz w:val="16"/>
                <w:szCs w:val="16"/>
              </w:rPr>
              <w:t>3,2</w:t>
            </w:r>
          </w:p>
        </w:tc>
        <w:tc>
          <w:tcPr>
            <w:tcW w:w="807" w:type="dxa"/>
            <w:tcBorders>
              <w:top w:val="single" w:sz="4" w:space="0" w:color="auto"/>
              <w:left w:val="single" w:sz="4" w:space="0" w:color="auto"/>
              <w:bottom w:val="single" w:sz="4" w:space="0" w:color="auto"/>
              <w:right w:val="single" w:sz="4" w:space="0" w:color="auto"/>
            </w:tcBorders>
            <w:vAlign w:val="center"/>
            <w:hideMark/>
          </w:tcPr>
          <w:p w14:paraId="15A6D055" w14:textId="77777777" w:rsidR="0023106B" w:rsidRPr="002B7079" w:rsidRDefault="0023106B" w:rsidP="0023106B">
            <w:pPr>
              <w:jc w:val="center"/>
              <w:rPr>
                <w:i/>
                <w:color w:val="000000"/>
                <w:sz w:val="16"/>
                <w:szCs w:val="16"/>
              </w:rPr>
            </w:pPr>
            <w:r w:rsidRPr="002B7079">
              <w:rPr>
                <w:i/>
                <w:color w:val="000000"/>
                <w:sz w:val="16"/>
                <w:szCs w:val="16"/>
              </w:rPr>
              <w:t>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3B9303BA" w14:textId="77777777" w:rsidR="0023106B" w:rsidRPr="002B7079" w:rsidRDefault="0023106B" w:rsidP="0023106B">
            <w:pPr>
              <w:jc w:val="center"/>
              <w:rPr>
                <w:i/>
                <w:color w:val="000000"/>
                <w:sz w:val="16"/>
                <w:szCs w:val="16"/>
              </w:rPr>
            </w:pPr>
            <w:r w:rsidRPr="002B7079">
              <w:rPr>
                <w:i/>
                <w:color w:val="000000"/>
                <w:sz w:val="16"/>
                <w:szCs w:val="16"/>
              </w:rPr>
              <w:t>3,6</w:t>
            </w:r>
          </w:p>
        </w:tc>
      </w:tr>
      <w:tr w:rsidR="0023106B" w14:paraId="0C5CAF6A" w14:textId="77777777" w:rsidTr="00443DCB">
        <w:trPr>
          <w:gridAfter w:val="1"/>
          <w:wAfter w:w="10" w:type="dxa"/>
          <w:jc w:val="center"/>
        </w:trPr>
        <w:tc>
          <w:tcPr>
            <w:tcW w:w="2901" w:type="dxa"/>
            <w:tcBorders>
              <w:top w:val="single" w:sz="4" w:space="0" w:color="auto"/>
              <w:left w:val="single" w:sz="4" w:space="0" w:color="auto"/>
              <w:bottom w:val="single" w:sz="4" w:space="0" w:color="auto"/>
              <w:right w:val="single" w:sz="4" w:space="0" w:color="auto"/>
            </w:tcBorders>
            <w:hideMark/>
          </w:tcPr>
          <w:p w14:paraId="10C8A068" w14:textId="77777777" w:rsidR="0023106B" w:rsidRDefault="0023106B">
            <w:pPr>
              <w:snapToGrid w:val="0"/>
              <w:jc w:val="right"/>
              <w:rPr>
                <w:rStyle w:val="italic1"/>
                <w:iCs w:val="0"/>
                <w:sz w:val="16"/>
              </w:rPr>
            </w:pPr>
            <w:r>
              <w:rPr>
                <w:rStyle w:val="italic1"/>
                <w:iCs w:val="0"/>
                <w:noProof/>
                <w:sz w:val="16"/>
              </w:rPr>
              <w:t>&gt;10MW</w:t>
            </w:r>
          </w:p>
        </w:tc>
        <w:tc>
          <w:tcPr>
            <w:tcW w:w="910" w:type="dxa"/>
            <w:tcBorders>
              <w:top w:val="single" w:sz="4" w:space="0" w:color="auto"/>
              <w:left w:val="single" w:sz="4" w:space="0" w:color="auto"/>
              <w:bottom w:val="single" w:sz="4" w:space="0" w:color="auto"/>
              <w:right w:val="single" w:sz="4" w:space="0" w:color="auto"/>
            </w:tcBorders>
            <w:vAlign w:val="center"/>
            <w:hideMark/>
          </w:tcPr>
          <w:p w14:paraId="7BBE6E80" w14:textId="77777777" w:rsidR="0023106B" w:rsidRPr="002B7079" w:rsidRDefault="0023106B" w:rsidP="0023106B">
            <w:pPr>
              <w:jc w:val="center"/>
              <w:rPr>
                <w:i/>
                <w:color w:val="000000"/>
                <w:sz w:val="16"/>
                <w:szCs w:val="16"/>
              </w:rPr>
            </w:pPr>
            <w:r w:rsidRPr="002B7079">
              <w:rPr>
                <w:i/>
                <w:color w:val="000000"/>
                <w:sz w:val="16"/>
                <w:szCs w:val="16"/>
              </w:rPr>
              <w:t>1550</w:t>
            </w:r>
          </w:p>
        </w:tc>
        <w:tc>
          <w:tcPr>
            <w:tcW w:w="894" w:type="dxa"/>
            <w:gridSpan w:val="2"/>
            <w:tcBorders>
              <w:top w:val="single" w:sz="4" w:space="0" w:color="auto"/>
              <w:left w:val="single" w:sz="4" w:space="0" w:color="auto"/>
              <w:bottom w:val="single" w:sz="4" w:space="0" w:color="auto"/>
              <w:right w:val="single" w:sz="4" w:space="0" w:color="auto"/>
            </w:tcBorders>
            <w:vAlign w:val="center"/>
            <w:hideMark/>
          </w:tcPr>
          <w:p w14:paraId="53A21198" w14:textId="77777777" w:rsidR="0023106B" w:rsidRPr="002B7079" w:rsidRDefault="0023106B" w:rsidP="0023106B">
            <w:pPr>
              <w:jc w:val="center"/>
              <w:rPr>
                <w:i/>
                <w:color w:val="000000"/>
                <w:sz w:val="16"/>
                <w:szCs w:val="16"/>
              </w:rPr>
            </w:pPr>
            <w:r w:rsidRPr="002B7079">
              <w:rPr>
                <w:i/>
                <w:color w:val="000000"/>
                <w:sz w:val="16"/>
                <w:szCs w:val="16"/>
              </w:rPr>
              <w:t>3035,0</w:t>
            </w:r>
          </w:p>
        </w:tc>
        <w:tc>
          <w:tcPr>
            <w:tcW w:w="807" w:type="dxa"/>
            <w:tcBorders>
              <w:top w:val="single" w:sz="4" w:space="0" w:color="auto"/>
              <w:left w:val="single" w:sz="4" w:space="0" w:color="auto"/>
              <w:bottom w:val="single" w:sz="4" w:space="0" w:color="auto"/>
              <w:right w:val="single" w:sz="4" w:space="0" w:color="auto"/>
            </w:tcBorders>
            <w:vAlign w:val="center"/>
            <w:hideMark/>
          </w:tcPr>
          <w:p w14:paraId="0B89E00B" w14:textId="77777777" w:rsidR="0023106B" w:rsidRPr="002B7079" w:rsidRDefault="0023106B" w:rsidP="0023106B">
            <w:pPr>
              <w:jc w:val="center"/>
              <w:rPr>
                <w:i/>
                <w:color w:val="000000"/>
                <w:sz w:val="16"/>
                <w:szCs w:val="16"/>
              </w:rPr>
            </w:pPr>
            <w:r w:rsidRPr="002B7079">
              <w:rPr>
                <w:i/>
                <w:color w:val="000000"/>
                <w:sz w:val="16"/>
                <w:szCs w:val="16"/>
              </w:rPr>
              <w:t>1550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364C815" w14:textId="77777777" w:rsidR="0023106B" w:rsidRPr="002B7079" w:rsidRDefault="0023106B" w:rsidP="0023106B">
            <w:pPr>
              <w:jc w:val="center"/>
              <w:rPr>
                <w:i/>
                <w:color w:val="000000"/>
                <w:sz w:val="16"/>
                <w:szCs w:val="16"/>
              </w:rPr>
            </w:pPr>
            <w:r w:rsidRPr="002B7079">
              <w:rPr>
                <w:i/>
                <w:color w:val="000000"/>
                <w:sz w:val="16"/>
                <w:szCs w:val="16"/>
              </w:rPr>
              <w:t>3076,0</w:t>
            </w:r>
          </w:p>
        </w:tc>
      </w:tr>
      <w:tr w:rsidR="0023106B" w14:paraId="40E35335" w14:textId="77777777" w:rsidTr="00443DCB">
        <w:trPr>
          <w:gridAfter w:val="1"/>
          <w:wAfter w:w="10" w:type="dxa"/>
          <w:jc w:val="center"/>
        </w:trPr>
        <w:tc>
          <w:tcPr>
            <w:tcW w:w="2901" w:type="dxa"/>
            <w:tcBorders>
              <w:top w:val="single" w:sz="4" w:space="0" w:color="auto"/>
              <w:left w:val="single" w:sz="4" w:space="0" w:color="auto"/>
              <w:bottom w:val="single" w:sz="4" w:space="0" w:color="auto"/>
              <w:right w:val="single" w:sz="4" w:space="0" w:color="auto"/>
            </w:tcBorders>
            <w:hideMark/>
          </w:tcPr>
          <w:p w14:paraId="5AC22A8E" w14:textId="77777777" w:rsidR="0023106B" w:rsidRDefault="002B7079">
            <w:pPr>
              <w:snapToGrid w:val="0"/>
            </w:pPr>
            <w:r>
              <w:rPr>
                <w:i/>
                <w:sz w:val="16"/>
                <w:lang w:val="lv-LV"/>
              </w:rPr>
              <w:t xml:space="preserve">     </w:t>
            </w:r>
            <w:r w:rsidR="0023106B">
              <w:rPr>
                <w:i/>
                <w:sz w:val="16"/>
                <w:lang w:val="lv-LV"/>
              </w:rPr>
              <w:t>akumulējoša</w:t>
            </w:r>
            <w:r w:rsidR="0023106B">
              <w:rPr>
                <w:rStyle w:val="italic1"/>
                <w:iCs w:val="0"/>
                <w:sz w:val="16"/>
              </w:rPr>
              <w:t xml:space="preserve"> </w:t>
            </w:r>
          </w:p>
        </w:tc>
        <w:tc>
          <w:tcPr>
            <w:tcW w:w="910" w:type="dxa"/>
            <w:tcBorders>
              <w:top w:val="single" w:sz="4" w:space="0" w:color="auto"/>
              <w:left w:val="single" w:sz="4" w:space="0" w:color="auto"/>
              <w:bottom w:val="single" w:sz="4" w:space="0" w:color="auto"/>
              <w:right w:val="single" w:sz="4" w:space="0" w:color="auto"/>
            </w:tcBorders>
            <w:vAlign w:val="center"/>
          </w:tcPr>
          <w:p w14:paraId="65E77A80" w14:textId="77777777" w:rsidR="0023106B" w:rsidRPr="0023106B" w:rsidRDefault="0023106B" w:rsidP="0023106B">
            <w:pPr>
              <w:jc w:val="center"/>
              <w:rPr>
                <w:i/>
                <w:color w:val="000000"/>
                <w:sz w:val="16"/>
                <w:szCs w:val="16"/>
              </w:rPr>
            </w:pPr>
            <w:r w:rsidRPr="0023106B">
              <w:rPr>
                <w:i/>
                <w:color w:val="000000"/>
                <w:sz w:val="16"/>
                <w:szCs w:val="16"/>
              </w:rPr>
              <w:t>0</w:t>
            </w:r>
          </w:p>
        </w:tc>
        <w:tc>
          <w:tcPr>
            <w:tcW w:w="894" w:type="dxa"/>
            <w:gridSpan w:val="2"/>
            <w:tcBorders>
              <w:top w:val="single" w:sz="4" w:space="0" w:color="auto"/>
              <w:left w:val="single" w:sz="4" w:space="0" w:color="auto"/>
              <w:bottom w:val="single" w:sz="4" w:space="0" w:color="auto"/>
              <w:right w:val="single" w:sz="4" w:space="0" w:color="auto"/>
            </w:tcBorders>
            <w:vAlign w:val="center"/>
          </w:tcPr>
          <w:p w14:paraId="7C53766F" w14:textId="77777777" w:rsidR="0023106B" w:rsidRPr="0023106B" w:rsidRDefault="0023106B" w:rsidP="0023106B">
            <w:pPr>
              <w:jc w:val="center"/>
              <w:rPr>
                <w:i/>
                <w:color w:val="000000"/>
                <w:sz w:val="16"/>
                <w:szCs w:val="16"/>
              </w:rPr>
            </w:pPr>
            <w:r w:rsidRPr="0023106B">
              <w:rPr>
                <w:i/>
                <w:color w:val="000000"/>
                <w:sz w:val="16"/>
                <w:szCs w:val="16"/>
              </w:rPr>
              <w:t>0</w:t>
            </w:r>
          </w:p>
        </w:tc>
        <w:tc>
          <w:tcPr>
            <w:tcW w:w="807" w:type="dxa"/>
            <w:tcBorders>
              <w:top w:val="single" w:sz="4" w:space="0" w:color="auto"/>
              <w:left w:val="single" w:sz="4" w:space="0" w:color="auto"/>
              <w:bottom w:val="single" w:sz="4" w:space="0" w:color="auto"/>
              <w:right w:val="single" w:sz="4" w:space="0" w:color="auto"/>
            </w:tcBorders>
            <w:vAlign w:val="center"/>
          </w:tcPr>
          <w:p w14:paraId="28F37CC8" w14:textId="77777777" w:rsidR="0023106B" w:rsidRPr="0023106B" w:rsidRDefault="0023106B" w:rsidP="0023106B">
            <w:pPr>
              <w:jc w:val="center"/>
              <w:rPr>
                <w:i/>
                <w:color w:val="000000"/>
                <w:sz w:val="16"/>
                <w:szCs w:val="16"/>
              </w:rPr>
            </w:pPr>
            <w:r w:rsidRPr="0023106B">
              <w:rPr>
                <w:i/>
                <w:color w:val="000000"/>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2006D342" w14:textId="77777777" w:rsidR="0023106B" w:rsidRPr="0023106B" w:rsidRDefault="0023106B" w:rsidP="0023106B">
            <w:pPr>
              <w:jc w:val="center"/>
              <w:rPr>
                <w:i/>
                <w:color w:val="000000"/>
                <w:sz w:val="16"/>
                <w:szCs w:val="16"/>
              </w:rPr>
            </w:pPr>
            <w:r w:rsidRPr="0023106B">
              <w:rPr>
                <w:i/>
                <w:color w:val="000000"/>
                <w:sz w:val="16"/>
                <w:szCs w:val="16"/>
              </w:rPr>
              <w:t>0</w:t>
            </w:r>
          </w:p>
        </w:tc>
      </w:tr>
      <w:tr w:rsidR="0023106B" w14:paraId="3B12ECC4" w14:textId="77777777" w:rsidTr="00443DCB">
        <w:trPr>
          <w:gridAfter w:val="1"/>
          <w:wAfter w:w="10" w:type="dxa"/>
          <w:jc w:val="center"/>
        </w:trPr>
        <w:tc>
          <w:tcPr>
            <w:tcW w:w="2901" w:type="dxa"/>
            <w:tcBorders>
              <w:top w:val="single" w:sz="4" w:space="0" w:color="auto"/>
              <w:left w:val="single" w:sz="4" w:space="0" w:color="auto"/>
              <w:bottom w:val="single" w:sz="4" w:space="0" w:color="auto"/>
              <w:right w:val="single" w:sz="4" w:space="0" w:color="auto"/>
            </w:tcBorders>
            <w:hideMark/>
          </w:tcPr>
          <w:p w14:paraId="6BFBF5FD" w14:textId="77777777" w:rsidR="0023106B" w:rsidRDefault="002B7079" w:rsidP="003D70EA">
            <w:pPr>
              <w:snapToGrid w:val="0"/>
              <w:rPr>
                <w:rStyle w:val="italic1"/>
                <w:b/>
                <w:iCs w:val="0"/>
                <w:sz w:val="16"/>
              </w:rPr>
            </w:pPr>
            <w:r>
              <w:rPr>
                <w:i/>
                <w:sz w:val="16"/>
                <w:lang w:val="lv-LV"/>
              </w:rPr>
              <w:t xml:space="preserve">     </w:t>
            </w:r>
            <w:r w:rsidR="0023106B">
              <w:rPr>
                <w:i/>
                <w:sz w:val="16"/>
                <w:lang w:val="lv-LV"/>
              </w:rPr>
              <w:t>jaukta</w:t>
            </w:r>
          </w:p>
        </w:tc>
        <w:tc>
          <w:tcPr>
            <w:tcW w:w="910" w:type="dxa"/>
            <w:tcBorders>
              <w:top w:val="single" w:sz="4" w:space="0" w:color="auto"/>
              <w:left w:val="single" w:sz="4" w:space="0" w:color="auto"/>
              <w:bottom w:val="single" w:sz="4" w:space="0" w:color="auto"/>
              <w:right w:val="single" w:sz="4" w:space="0" w:color="auto"/>
            </w:tcBorders>
            <w:vAlign w:val="center"/>
          </w:tcPr>
          <w:p w14:paraId="3C18CDAB" w14:textId="77777777" w:rsidR="0023106B" w:rsidRPr="0023106B" w:rsidRDefault="0023106B" w:rsidP="0023106B">
            <w:pPr>
              <w:jc w:val="center"/>
              <w:rPr>
                <w:i/>
                <w:color w:val="000000"/>
                <w:sz w:val="16"/>
                <w:szCs w:val="16"/>
              </w:rPr>
            </w:pPr>
            <w:r w:rsidRPr="0023106B">
              <w:rPr>
                <w:i/>
                <w:color w:val="000000"/>
                <w:sz w:val="16"/>
                <w:szCs w:val="16"/>
              </w:rPr>
              <w:t>0</w:t>
            </w:r>
          </w:p>
        </w:tc>
        <w:tc>
          <w:tcPr>
            <w:tcW w:w="894" w:type="dxa"/>
            <w:gridSpan w:val="2"/>
            <w:tcBorders>
              <w:top w:val="single" w:sz="4" w:space="0" w:color="auto"/>
              <w:left w:val="single" w:sz="4" w:space="0" w:color="auto"/>
              <w:bottom w:val="single" w:sz="4" w:space="0" w:color="auto"/>
              <w:right w:val="single" w:sz="4" w:space="0" w:color="auto"/>
            </w:tcBorders>
            <w:vAlign w:val="center"/>
          </w:tcPr>
          <w:p w14:paraId="1E96DC2F" w14:textId="77777777" w:rsidR="0023106B" w:rsidRPr="0023106B" w:rsidRDefault="0023106B" w:rsidP="0023106B">
            <w:pPr>
              <w:jc w:val="center"/>
              <w:rPr>
                <w:i/>
                <w:color w:val="000000"/>
                <w:sz w:val="16"/>
                <w:szCs w:val="16"/>
              </w:rPr>
            </w:pPr>
            <w:r w:rsidRPr="0023106B">
              <w:rPr>
                <w:i/>
                <w:color w:val="000000"/>
                <w:sz w:val="16"/>
                <w:szCs w:val="16"/>
              </w:rPr>
              <w:t>0</w:t>
            </w:r>
          </w:p>
        </w:tc>
        <w:tc>
          <w:tcPr>
            <w:tcW w:w="807" w:type="dxa"/>
            <w:tcBorders>
              <w:top w:val="single" w:sz="4" w:space="0" w:color="auto"/>
              <w:left w:val="single" w:sz="4" w:space="0" w:color="auto"/>
              <w:bottom w:val="single" w:sz="4" w:space="0" w:color="auto"/>
              <w:right w:val="single" w:sz="4" w:space="0" w:color="auto"/>
            </w:tcBorders>
            <w:vAlign w:val="center"/>
          </w:tcPr>
          <w:p w14:paraId="1C89C05B" w14:textId="77777777" w:rsidR="0023106B" w:rsidRPr="0023106B" w:rsidRDefault="0023106B" w:rsidP="0023106B">
            <w:pPr>
              <w:jc w:val="center"/>
              <w:rPr>
                <w:i/>
                <w:color w:val="000000"/>
                <w:sz w:val="16"/>
                <w:szCs w:val="16"/>
              </w:rPr>
            </w:pPr>
            <w:r w:rsidRPr="0023106B">
              <w:rPr>
                <w:i/>
                <w:color w:val="000000"/>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6BA52F42" w14:textId="77777777" w:rsidR="0023106B" w:rsidRPr="0023106B" w:rsidRDefault="0023106B" w:rsidP="0023106B">
            <w:pPr>
              <w:jc w:val="center"/>
              <w:rPr>
                <w:i/>
                <w:color w:val="000000"/>
                <w:sz w:val="16"/>
                <w:szCs w:val="16"/>
              </w:rPr>
            </w:pPr>
            <w:r w:rsidRPr="0023106B">
              <w:rPr>
                <w:i/>
                <w:color w:val="000000"/>
                <w:sz w:val="16"/>
                <w:szCs w:val="16"/>
              </w:rPr>
              <w:t>0</w:t>
            </w:r>
          </w:p>
        </w:tc>
      </w:tr>
      <w:tr w:rsidR="0023106B" w14:paraId="18243645" w14:textId="77777777" w:rsidTr="00443DCB">
        <w:trPr>
          <w:gridAfter w:val="1"/>
          <w:wAfter w:w="10" w:type="dxa"/>
          <w:trHeight w:val="244"/>
          <w:jc w:val="center"/>
        </w:trPr>
        <w:tc>
          <w:tcPr>
            <w:tcW w:w="2901" w:type="dxa"/>
            <w:tcBorders>
              <w:top w:val="single" w:sz="4" w:space="0" w:color="auto"/>
              <w:left w:val="single" w:sz="4" w:space="0" w:color="auto"/>
              <w:bottom w:val="single" w:sz="4" w:space="0" w:color="auto"/>
              <w:right w:val="single" w:sz="4" w:space="0" w:color="auto"/>
            </w:tcBorders>
            <w:hideMark/>
          </w:tcPr>
          <w:p w14:paraId="6011E35C" w14:textId="77777777" w:rsidR="0023106B" w:rsidRDefault="0023106B">
            <w:pPr>
              <w:snapToGrid w:val="0"/>
              <w:rPr>
                <w:rStyle w:val="italic1"/>
                <w:i w:val="0"/>
                <w:iCs w:val="0"/>
              </w:rPr>
            </w:pPr>
            <w:r>
              <w:rPr>
                <w:rStyle w:val="italic1"/>
                <w:i w:val="0"/>
                <w:iCs w:val="0"/>
                <w:sz w:val="16"/>
                <w:lang w:val="lv-LV"/>
              </w:rPr>
              <w:t>Ģeotermālā enerģija</w:t>
            </w:r>
          </w:p>
        </w:tc>
        <w:tc>
          <w:tcPr>
            <w:tcW w:w="910" w:type="dxa"/>
            <w:tcBorders>
              <w:top w:val="single" w:sz="4" w:space="0" w:color="auto"/>
              <w:left w:val="single" w:sz="4" w:space="0" w:color="auto"/>
              <w:bottom w:val="single" w:sz="4" w:space="0" w:color="auto"/>
              <w:right w:val="single" w:sz="4" w:space="0" w:color="auto"/>
            </w:tcBorders>
            <w:vAlign w:val="center"/>
            <w:hideMark/>
          </w:tcPr>
          <w:p w14:paraId="294C1731" w14:textId="77777777" w:rsidR="0023106B" w:rsidRPr="0023106B" w:rsidRDefault="0023106B" w:rsidP="0023106B">
            <w:pPr>
              <w:jc w:val="center"/>
              <w:rPr>
                <w:iCs/>
                <w:color w:val="000000"/>
                <w:sz w:val="16"/>
                <w:szCs w:val="16"/>
              </w:rPr>
            </w:pPr>
            <w:r w:rsidRPr="0023106B">
              <w:rPr>
                <w:iCs/>
                <w:color w:val="000000"/>
                <w:sz w:val="16"/>
                <w:szCs w:val="16"/>
              </w:rPr>
              <w:t>0</w:t>
            </w:r>
          </w:p>
        </w:tc>
        <w:tc>
          <w:tcPr>
            <w:tcW w:w="894" w:type="dxa"/>
            <w:gridSpan w:val="2"/>
            <w:tcBorders>
              <w:top w:val="single" w:sz="4" w:space="0" w:color="auto"/>
              <w:left w:val="single" w:sz="4" w:space="0" w:color="auto"/>
              <w:bottom w:val="single" w:sz="4" w:space="0" w:color="auto"/>
              <w:right w:val="single" w:sz="4" w:space="0" w:color="auto"/>
            </w:tcBorders>
            <w:vAlign w:val="center"/>
            <w:hideMark/>
          </w:tcPr>
          <w:p w14:paraId="67227350" w14:textId="77777777" w:rsidR="0023106B" w:rsidRPr="0023106B" w:rsidRDefault="0023106B" w:rsidP="0023106B">
            <w:pPr>
              <w:jc w:val="center"/>
              <w:rPr>
                <w:iCs/>
                <w:color w:val="000000"/>
                <w:sz w:val="16"/>
                <w:szCs w:val="16"/>
              </w:rPr>
            </w:pPr>
            <w:r w:rsidRPr="0023106B">
              <w:rPr>
                <w:iCs/>
                <w:color w:val="000000"/>
                <w:sz w:val="16"/>
                <w:szCs w:val="16"/>
              </w:rPr>
              <w:t>0</w:t>
            </w:r>
          </w:p>
        </w:tc>
        <w:tc>
          <w:tcPr>
            <w:tcW w:w="807" w:type="dxa"/>
            <w:tcBorders>
              <w:top w:val="single" w:sz="4" w:space="0" w:color="auto"/>
              <w:left w:val="single" w:sz="4" w:space="0" w:color="auto"/>
              <w:bottom w:val="single" w:sz="4" w:space="0" w:color="auto"/>
              <w:right w:val="single" w:sz="4" w:space="0" w:color="auto"/>
            </w:tcBorders>
            <w:vAlign w:val="center"/>
            <w:hideMark/>
          </w:tcPr>
          <w:p w14:paraId="2FAEACF7" w14:textId="77777777" w:rsidR="0023106B" w:rsidRPr="0023106B" w:rsidRDefault="0023106B" w:rsidP="0023106B">
            <w:pPr>
              <w:jc w:val="center"/>
              <w:rPr>
                <w:iCs/>
                <w:color w:val="000000"/>
                <w:sz w:val="16"/>
                <w:szCs w:val="16"/>
              </w:rPr>
            </w:pPr>
            <w:r w:rsidRPr="0023106B">
              <w:rPr>
                <w:iCs/>
                <w:color w:val="000000"/>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B2E3E98" w14:textId="77777777" w:rsidR="0023106B" w:rsidRPr="0023106B" w:rsidRDefault="0023106B" w:rsidP="0023106B">
            <w:pPr>
              <w:jc w:val="center"/>
              <w:rPr>
                <w:iCs/>
                <w:color w:val="000000"/>
                <w:sz w:val="16"/>
                <w:szCs w:val="16"/>
              </w:rPr>
            </w:pPr>
            <w:r w:rsidRPr="0023106B">
              <w:rPr>
                <w:iCs/>
                <w:color w:val="000000"/>
                <w:sz w:val="16"/>
                <w:szCs w:val="16"/>
              </w:rPr>
              <w:t>0</w:t>
            </w:r>
          </w:p>
        </w:tc>
      </w:tr>
      <w:tr w:rsidR="0023106B" w14:paraId="3F566824" w14:textId="77777777" w:rsidTr="00443DCB">
        <w:trPr>
          <w:gridAfter w:val="1"/>
          <w:wAfter w:w="10" w:type="dxa"/>
          <w:jc w:val="center"/>
        </w:trPr>
        <w:tc>
          <w:tcPr>
            <w:tcW w:w="2901" w:type="dxa"/>
            <w:tcBorders>
              <w:top w:val="single" w:sz="4" w:space="0" w:color="auto"/>
              <w:left w:val="single" w:sz="4" w:space="0" w:color="auto"/>
              <w:bottom w:val="single" w:sz="4" w:space="0" w:color="auto"/>
              <w:right w:val="single" w:sz="4" w:space="0" w:color="auto"/>
            </w:tcBorders>
            <w:hideMark/>
          </w:tcPr>
          <w:p w14:paraId="4042C1DE" w14:textId="77777777" w:rsidR="0023106B" w:rsidRDefault="0023106B">
            <w:pPr>
              <w:snapToGrid w:val="0"/>
              <w:rPr>
                <w:rStyle w:val="italic1"/>
                <w:i w:val="0"/>
                <w:iCs w:val="0"/>
              </w:rPr>
            </w:pPr>
            <w:r>
              <w:rPr>
                <w:rStyle w:val="italic1"/>
                <w:i w:val="0"/>
                <w:iCs w:val="0"/>
                <w:sz w:val="16"/>
                <w:lang w:val="lv-LV"/>
              </w:rPr>
              <w:t>Saules enerģija:</w:t>
            </w:r>
          </w:p>
        </w:tc>
        <w:tc>
          <w:tcPr>
            <w:tcW w:w="910" w:type="dxa"/>
            <w:tcBorders>
              <w:top w:val="single" w:sz="4" w:space="0" w:color="auto"/>
              <w:left w:val="single" w:sz="4" w:space="0" w:color="auto"/>
              <w:bottom w:val="single" w:sz="4" w:space="0" w:color="auto"/>
              <w:right w:val="single" w:sz="4" w:space="0" w:color="auto"/>
            </w:tcBorders>
            <w:vAlign w:val="center"/>
            <w:hideMark/>
          </w:tcPr>
          <w:p w14:paraId="5C144274" w14:textId="77777777" w:rsidR="0023106B" w:rsidRPr="0023106B" w:rsidRDefault="0023106B" w:rsidP="0023106B">
            <w:pPr>
              <w:jc w:val="center"/>
              <w:rPr>
                <w:iCs/>
                <w:color w:val="000000"/>
                <w:sz w:val="16"/>
                <w:szCs w:val="16"/>
              </w:rPr>
            </w:pPr>
            <w:r w:rsidRPr="0023106B">
              <w:rPr>
                <w:iCs/>
                <w:color w:val="000000"/>
                <w:sz w:val="16"/>
                <w:szCs w:val="16"/>
              </w:rPr>
              <w:t>0</w:t>
            </w:r>
          </w:p>
        </w:tc>
        <w:tc>
          <w:tcPr>
            <w:tcW w:w="894" w:type="dxa"/>
            <w:gridSpan w:val="2"/>
            <w:tcBorders>
              <w:top w:val="single" w:sz="4" w:space="0" w:color="auto"/>
              <w:left w:val="single" w:sz="4" w:space="0" w:color="auto"/>
              <w:bottom w:val="single" w:sz="4" w:space="0" w:color="auto"/>
              <w:right w:val="single" w:sz="4" w:space="0" w:color="auto"/>
            </w:tcBorders>
            <w:vAlign w:val="center"/>
            <w:hideMark/>
          </w:tcPr>
          <w:p w14:paraId="1046500F" w14:textId="77777777" w:rsidR="0023106B" w:rsidRPr="0023106B" w:rsidRDefault="0023106B" w:rsidP="0023106B">
            <w:pPr>
              <w:jc w:val="center"/>
              <w:rPr>
                <w:iCs/>
                <w:color w:val="000000"/>
                <w:sz w:val="16"/>
                <w:szCs w:val="16"/>
              </w:rPr>
            </w:pPr>
            <w:r w:rsidRPr="0023106B">
              <w:rPr>
                <w:iCs/>
                <w:color w:val="000000"/>
                <w:sz w:val="16"/>
                <w:szCs w:val="16"/>
              </w:rPr>
              <w:t>0</w:t>
            </w:r>
          </w:p>
        </w:tc>
        <w:tc>
          <w:tcPr>
            <w:tcW w:w="807" w:type="dxa"/>
            <w:tcBorders>
              <w:top w:val="single" w:sz="4" w:space="0" w:color="auto"/>
              <w:left w:val="single" w:sz="4" w:space="0" w:color="auto"/>
              <w:bottom w:val="single" w:sz="4" w:space="0" w:color="auto"/>
              <w:right w:val="single" w:sz="4" w:space="0" w:color="auto"/>
            </w:tcBorders>
            <w:vAlign w:val="center"/>
            <w:hideMark/>
          </w:tcPr>
          <w:p w14:paraId="747A02D9" w14:textId="77777777" w:rsidR="0023106B" w:rsidRPr="0023106B" w:rsidRDefault="0023106B" w:rsidP="0023106B">
            <w:pPr>
              <w:jc w:val="center"/>
              <w:rPr>
                <w:iCs/>
                <w:color w:val="000000"/>
                <w:sz w:val="16"/>
                <w:szCs w:val="16"/>
              </w:rPr>
            </w:pPr>
            <w:r w:rsidRPr="0023106B">
              <w:rPr>
                <w:iCs/>
                <w:color w:val="000000"/>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07CC2FE7" w14:textId="77777777" w:rsidR="0023106B" w:rsidRPr="0023106B" w:rsidRDefault="0023106B" w:rsidP="0023106B">
            <w:pPr>
              <w:jc w:val="center"/>
              <w:rPr>
                <w:iCs/>
                <w:color w:val="000000"/>
                <w:sz w:val="16"/>
                <w:szCs w:val="16"/>
              </w:rPr>
            </w:pPr>
            <w:r w:rsidRPr="0023106B">
              <w:rPr>
                <w:iCs/>
                <w:color w:val="000000"/>
                <w:sz w:val="16"/>
                <w:szCs w:val="16"/>
              </w:rPr>
              <w:t>0</w:t>
            </w:r>
          </w:p>
        </w:tc>
      </w:tr>
      <w:tr w:rsidR="0023106B" w14:paraId="3EA7BE09" w14:textId="77777777" w:rsidTr="00443DCB">
        <w:trPr>
          <w:gridAfter w:val="1"/>
          <w:wAfter w:w="10" w:type="dxa"/>
          <w:jc w:val="center"/>
        </w:trPr>
        <w:tc>
          <w:tcPr>
            <w:tcW w:w="2901" w:type="dxa"/>
            <w:tcBorders>
              <w:top w:val="single" w:sz="4" w:space="0" w:color="auto"/>
              <w:left w:val="single" w:sz="4" w:space="0" w:color="auto"/>
              <w:bottom w:val="single" w:sz="4" w:space="0" w:color="auto"/>
              <w:right w:val="single" w:sz="4" w:space="0" w:color="auto"/>
            </w:tcBorders>
            <w:hideMark/>
          </w:tcPr>
          <w:p w14:paraId="70E601E5" w14:textId="77777777" w:rsidR="0023106B" w:rsidRDefault="0023106B">
            <w:pPr>
              <w:snapToGrid w:val="0"/>
              <w:jc w:val="right"/>
              <w:rPr>
                <w:rStyle w:val="italic1"/>
                <w:i w:val="0"/>
                <w:iCs w:val="0"/>
              </w:rPr>
            </w:pPr>
            <w:r>
              <w:rPr>
                <w:rStyle w:val="italic1"/>
                <w:iCs w:val="0"/>
                <w:sz w:val="16"/>
                <w:lang w:val="lv-LV"/>
              </w:rPr>
              <w:t>fotoelementi</w:t>
            </w:r>
          </w:p>
        </w:tc>
        <w:tc>
          <w:tcPr>
            <w:tcW w:w="910" w:type="dxa"/>
            <w:tcBorders>
              <w:top w:val="single" w:sz="4" w:space="0" w:color="auto"/>
              <w:left w:val="single" w:sz="4" w:space="0" w:color="auto"/>
              <w:bottom w:val="single" w:sz="4" w:space="0" w:color="auto"/>
              <w:right w:val="single" w:sz="4" w:space="0" w:color="auto"/>
            </w:tcBorders>
            <w:vAlign w:val="center"/>
            <w:hideMark/>
          </w:tcPr>
          <w:p w14:paraId="42E39FB5" w14:textId="77777777" w:rsidR="0023106B" w:rsidRPr="0023106B" w:rsidRDefault="0023106B" w:rsidP="0023106B">
            <w:pPr>
              <w:jc w:val="center"/>
              <w:rPr>
                <w:i/>
                <w:color w:val="000000"/>
                <w:sz w:val="16"/>
                <w:szCs w:val="16"/>
              </w:rPr>
            </w:pPr>
            <w:r w:rsidRPr="0023106B">
              <w:rPr>
                <w:i/>
                <w:color w:val="000000"/>
                <w:sz w:val="16"/>
                <w:szCs w:val="16"/>
              </w:rPr>
              <w:t>0</w:t>
            </w:r>
          </w:p>
        </w:tc>
        <w:tc>
          <w:tcPr>
            <w:tcW w:w="894" w:type="dxa"/>
            <w:gridSpan w:val="2"/>
            <w:tcBorders>
              <w:top w:val="single" w:sz="4" w:space="0" w:color="auto"/>
              <w:left w:val="single" w:sz="4" w:space="0" w:color="auto"/>
              <w:bottom w:val="single" w:sz="4" w:space="0" w:color="auto"/>
              <w:right w:val="single" w:sz="4" w:space="0" w:color="auto"/>
            </w:tcBorders>
            <w:vAlign w:val="center"/>
            <w:hideMark/>
          </w:tcPr>
          <w:p w14:paraId="3172C3CA" w14:textId="77777777" w:rsidR="0023106B" w:rsidRPr="0023106B" w:rsidRDefault="0023106B" w:rsidP="0023106B">
            <w:pPr>
              <w:jc w:val="center"/>
              <w:rPr>
                <w:i/>
                <w:color w:val="000000"/>
                <w:sz w:val="16"/>
                <w:szCs w:val="16"/>
              </w:rPr>
            </w:pPr>
            <w:r w:rsidRPr="0023106B">
              <w:rPr>
                <w:i/>
                <w:color w:val="000000"/>
                <w:sz w:val="16"/>
                <w:szCs w:val="16"/>
              </w:rPr>
              <w:t>0</w:t>
            </w:r>
          </w:p>
        </w:tc>
        <w:tc>
          <w:tcPr>
            <w:tcW w:w="807" w:type="dxa"/>
            <w:tcBorders>
              <w:top w:val="single" w:sz="4" w:space="0" w:color="auto"/>
              <w:left w:val="single" w:sz="4" w:space="0" w:color="auto"/>
              <w:bottom w:val="single" w:sz="4" w:space="0" w:color="auto"/>
              <w:right w:val="single" w:sz="4" w:space="0" w:color="auto"/>
            </w:tcBorders>
            <w:vAlign w:val="center"/>
            <w:hideMark/>
          </w:tcPr>
          <w:p w14:paraId="1ACDD87A" w14:textId="77777777" w:rsidR="0023106B" w:rsidRPr="0023106B" w:rsidRDefault="0023106B" w:rsidP="0023106B">
            <w:pPr>
              <w:jc w:val="center"/>
              <w:rPr>
                <w:i/>
                <w:color w:val="000000"/>
                <w:sz w:val="16"/>
                <w:szCs w:val="16"/>
              </w:rPr>
            </w:pPr>
            <w:r w:rsidRPr="0023106B">
              <w:rPr>
                <w:i/>
                <w:color w:val="000000"/>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5F68DB8" w14:textId="77777777" w:rsidR="0023106B" w:rsidRPr="0023106B" w:rsidRDefault="0023106B" w:rsidP="0023106B">
            <w:pPr>
              <w:jc w:val="center"/>
              <w:rPr>
                <w:i/>
                <w:color w:val="000000"/>
                <w:sz w:val="16"/>
                <w:szCs w:val="16"/>
              </w:rPr>
            </w:pPr>
            <w:r w:rsidRPr="0023106B">
              <w:rPr>
                <w:i/>
                <w:color w:val="000000"/>
                <w:sz w:val="16"/>
                <w:szCs w:val="16"/>
              </w:rPr>
              <w:t>0</w:t>
            </w:r>
          </w:p>
        </w:tc>
      </w:tr>
      <w:tr w:rsidR="0023106B" w14:paraId="4A135889" w14:textId="77777777" w:rsidTr="00443DCB">
        <w:trPr>
          <w:gridAfter w:val="1"/>
          <w:wAfter w:w="10" w:type="dxa"/>
          <w:jc w:val="center"/>
        </w:trPr>
        <w:tc>
          <w:tcPr>
            <w:tcW w:w="2901" w:type="dxa"/>
            <w:tcBorders>
              <w:top w:val="single" w:sz="4" w:space="0" w:color="auto"/>
              <w:left w:val="single" w:sz="4" w:space="0" w:color="auto"/>
              <w:bottom w:val="single" w:sz="4" w:space="0" w:color="auto"/>
              <w:right w:val="single" w:sz="4" w:space="0" w:color="auto"/>
            </w:tcBorders>
            <w:hideMark/>
          </w:tcPr>
          <w:p w14:paraId="44323237" w14:textId="77777777" w:rsidR="0023106B" w:rsidRDefault="0023106B">
            <w:pPr>
              <w:snapToGrid w:val="0"/>
              <w:jc w:val="right"/>
              <w:rPr>
                <w:rStyle w:val="italic1"/>
                <w:i w:val="0"/>
                <w:iCs w:val="0"/>
              </w:rPr>
            </w:pPr>
            <w:r>
              <w:rPr>
                <w:rStyle w:val="italic1"/>
                <w:iCs w:val="0"/>
                <w:sz w:val="16"/>
                <w:lang w:val="lv-LV"/>
              </w:rPr>
              <w:t>koncentrēta saules enerģija</w:t>
            </w:r>
          </w:p>
        </w:tc>
        <w:tc>
          <w:tcPr>
            <w:tcW w:w="910" w:type="dxa"/>
            <w:tcBorders>
              <w:top w:val="single" w:sz="4" w:space="0" w:color="auto"/>
              <w:left w:val="single" w:sz="4" w:space="0" w:color="auto"/>
              <w:bottom w:val="single" w:sz="4" w:space="0" w:color="auto"/>
              <w:right w:val="single" w:sz="4" w:space="0" w:color="auto"/>
            </w:tcBorders>
            <w:vAlign w:val="center"/>
            <w:hideMark/>
          </w:tcPr>
          <w:p w14:paraId="54BD44BE" w14:textId="77777777" w:rsidR="0023106B" w:rsidRPr="0023106B" w:rsidRDefault="0023106B" w:rsidP="0023106B">
            <w:pPr>
              <w:jc w:val="center"/>
              <w:rPr>
                <w:i/>
                <w:color w:val="000000"/>
                <w:sz w:val="16"/>
                <w:szCs w:val="16"/>
              </w:rPr>
            </w:pPr>
            <w:r w:rsidRPr="0023106B">
              <w:rPr>
                <w:i/>
                <w:color w:val="000000"/>
                <w:sz w:val="16"/>
                <w:szCs w:val="16"/>
              </w:rPr>
              <w:t>0</w:t>
            </w:r>
          </w:p>
        </w:tc>
        <w:tc>
          <w:tcPr>
            <w:tcW w:w="894" w:type="dxa"/>
            <w:gridSpan w:val="2"/>
            <w:tcBorders>
              <w:top w:val="single" w:sz="4" w:space="0" w:color="auto"/>
              <w:left w:val="single" w:sz="4" w:space="0" w:color="auto"/>
              <w:bottom w:val="single" w:sz="4" w:space="0" w:color="auto"/>
              <w:right w:val="single" w:sz="4" w:space="0" w:color="auto"/>
            </w:tcBorders>
            <w:vAlign w:val="center"/>
            <w:hideMark/>
          </w:tcPr>
          <w:p w14:paraId="7C0301EA" w14:textId="77777777" w:rsidR="0023106B" w:rsidRPr="0023106B" w:rsidRDefault="0023106B" w:rsidP="0023106B">
            <w:pPr>
              <w:jc w:val="center"/>
              <w:rPr>
                <w:i/>
                <w:color w:val="000000"/>
                <w:sz w:val="16"/>
                <w:szCs w:val="16"/>
              </w:rPr>
            </w:pPr>
            <w:r w:rsidRPr="0023106B">
              <w:rPr>
                <w:i/>
                <w:color w:val="000000"/>
                <w:sz w:val="16"/>
                <w:szCs w:val="16"/>
              </w:rPr>
              <w:t>0</w:t>
            </w:r>
          </w:p>
        </w:tc>
        <w:tc>
          <w:tcPr>
            <w:tcW w:w="807" w:type="dxa"/>
            <w:tcBorders>
              <w:top w:val="single" w:sz="4" w:space="0" w:color="auto"/>
              <w:left w:val="single" w:sz="4" w:space="0" w:color="auto"/>
              <w:bottom w:val="single" w:sz="4" w:space="0" w:color="auto"/>
              <w:right w:val="single" w:sz="4" w:space="0" w:color="auto"/>
            </w:tcBorders>
            <w:vAlign w:val="center"/>
            <w:hideMark/>
          </w:tcPr>
          <w:p w14:paraId="1A6D667F" w14:textId="77777777" w:rsidR="0023106B" w:rsidRPr="0023106B" w:rsidRDefault="0023106B" w:rsidP="0023106B">
            <w:pPr>
              <w:jc w:val="center"/>
              <w:rPr>
                <w:i/>
                <w:color w:val="000000"/>
                <w:sz w:val="16"/>
                <w:szCs w:val="16"/>
              </w:rPr>
            </w:pPr>
            <w:r w:rsidRPr="0023106B">
              <w:rPr>
                <w:i/>
                <w:color w:val="000000"/>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201CC9B" w14:textId="77777777" w:rsidR="0023106B" w:rsidRPr="0023106B" w:rsidRDefault="0023106B" w:rsidP="0023106B">
            <w:pPr>
              <w:jc w:val="center"/>
              <w:rPr>
                <w:i/>
                <w:color w:val="000000"/>
                <w:sz w:val="16"/>
                <w:szCs w:val="16"/>
              </w:rPr>
            </w:pPr>
            <w:r w:rsidRPr="0023106B">
              <w:rPr>
                <w:i/>
                <w:color w:val="000000"/>
                <w:sz w:val="16"/>
                <w:szCs w:val="16"/>
              </w:rPr>
              <w:t>0</w:t>
            </w:r>
          </w:p>
        </w:tc>
      </w:tr>
      <w:tr w:rsidR="0023106B" w14:paraId="037ED176" w14:textId="77777777" w:rsidTr="00443DCB">
        <w:trPr>
          <w:gridAfter w:val="1"/>
          <w:wAfter w:w="10" w:type="dxa"/>
          <w:jc w:val="center"/>
        </w:trPr>
        <w:tc>
          <w:tcPr>
            <w:tcW w:w="2901" w:type="dxa"/>
            <w:tcBorders>
              <w:top w:val="single" w:sz="4" w:space="0" w:color="auto"/>
              <w:left w:val="single" w:sz="4" w:space="0" w:color="auto"/>
              <w:bottom w:val="single" w:sz="4" w:space="0" w:color="auto"/>
              <w:right w:val="single" w:sz="4" w:space="0" w:color="auto"/>
            </w:tcBorders>
            <w:hideMark/>
          </w:tcPr>
          <w:p w14:paraId="63384DEB" w14:textId="77777777" w:rsidR="0023106B" w:rsidRDefault="0023106B">
            <w:pPr>
              <w:snapToGrid w:val="0"/>
              <w:rPr>
                <w:rStyle w:val="italic1"/>
                <w:i w:val="0"/>
                <w:iCs w:val="0"/>
              </w:rPr>
            </w:pPr>
            <w:proofErr w:type="spellStart"/>
            <w:r>
              <w:rPr>
                <w:rStyle w:val="italic1"/>
                <w:i w:val="0"/>
                <w:iCs w:val="0"/>
                <w:sz w:val="16"/>
                <w:lang w:val="lv-LV"/>
              </w:rPr>
              <w:t>Viļnu</w:t>
            </w:r>
            <w:proofErr w:type="spellEnd"/>
            <w:r>
              <w:rPr>
                <w:rStyle w:val="italic1"/>
                <w:i w:val="0"/>
                <w:iCs w:val="0"/>
                <w:sz w:val="16"/>
                <w:lang w:val="lv-LV"/>
              </w:rPr>
              <w:t>, plūdmaiņas, okeāna enerģija</w:t>
            </w:r>
          </w:p>
        </w:tc>
        <w:tc>
          <w:tcPr>
            <w:tcW w:w="910" w:type="dxa"/>
            <w:tcBorders>
              <w:top w:val="single" w:sz="4" w:space="0" w:color="auto"/>
              <w:left w:val="single" w:sz="4" w:space="0" w:color="auto"/>
              <w:bottom w:val="single" w:sz="4" w:space="0" w:color="auto"/>
              <w:right w:val="single" w:sz="4" w:space="0" w:color="auto"/>
            </w:tcBorders>
            <w:vAlign w:val="center"/>
            <w:hideMark/>
          </w:tcPr>
          <w:p w14:paraId="02121B86" w14:textId="77777777" w:rsidR="0023106B" w:rsidRPr="0023106B" w:rsidRDefault="0023106B" w:rsidP="0023106B">
            <w:pPr>
              <w:jc w:val="center"/>
              <w:rPr>
                <w:iCs/>
                <w:color w:val="000000"/>
                <w:sz w:val="16"/>
                <w:szCs w:val="16"/>
              </w:rPr>
            </w:pPr>
            <w:r w:rsidRPr="0023106B">
              <w:rPr>
                <w:iCs/>
                <w:color w:val="000000"/>
                <w:sz w:val="16"/>
                <w:szCs w:val="16"/>
              </w:rPr>
              <w:t>0</w:t>
            </w:r>
          </w:p>
        </w:tc>
        <w:tc>
          <w:tcPr>
            <w:tcW w:w="894" w:type="dxa"/>
            <w:gridSpan w:val="2"/>
            <w:tcBorders>
              <w:top w:val="single" w:sz="4" w:space="0" w:color="auto"/>
              <w:left w:val="single" w:sz="4" w:space="0" w:color="auto"/>
              <w:bottom w:val="single" w:sz="4" w:space="0" w:color="auto"/>
              <w:right w:val="single" w:sz="4" w:space="0" w:color="auto"/>
            </w:tcBorders>
            <w:vAlign w:val="center"/>
            <w:hideMark/>
          </w:tcPr>
          <w:p w14:paraId="0BB68D6B" w14:textId="77777777" w:rsidR="0023106B" w:rsidRPr="0023106B" w:rsidRDefault="0023106B" w:rsidP="0023106B">
            <w:pPr>
              <w:jc w:val="center"/>
              <w:rPr>
                <w:iCs/>
                <w:color w:val="000000"/>
                <w:sz w:val="16"/>
                <w:szCs w:val="16"/>
              </w:rPr>
            </w:pPr>
            <w:r w:rsidRPr="0023106B">
              <w:rPr>
                <w:iCs/>
                <w:color w:val="000000"/>
                <w:sz w:val="16"/>
                <w:szCs w:val="16"/>
              </w:rPr>
              <w:t>0</w:t>
            </w:r>
          </w:p>
        </w:tc>
        <w:tc>
          <w:tcPr>
            <w:tcW w:w="807" w:type="dxa"/>
            <w:tcBorders>
              <w:top w:val="single" w:sz="4" w:space="0" w:color="auto"/>
              <w:left w:val="single" w:sz="4" w:space="0" w:color="auto"/>
              <w:bottom w:val="single" w:sz="4" w:space="0" w:color="auto"/>
              <w:right w:val="single" w:sz="4" w:space="0" w:color="auto"/>
            </w:tcBorders>
            <w:vAlign w:val="center"/>
            <w:hideMark/>
          </w:tcPr>
          <w:p w14:paraId="755BFC04" w14:textId="77777777" w:rsidR="0023106B" w:rsidRPr="0023106B" w:rsidRDefault="0023106B" w:rsidP="0023106B">
            <w:pPr>
              <w:jc w:val="center"/>
              <w:rPr>
                <w:iCs/>
                <w:color w:val="000000"/>
                <w:sz w:val="16"/>
                <w:szCs w:val="16"/>
              </w:rPr>
            </w:pPr>
            <w:r w:rsidRPr="0023106B">
              <w:rPr>
                <w:iCs/>
                <w:color w:val="000000"/>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4E0147C" w14:textId="77777777" w:rsidR="0023106B" w:rsidRPr="0023106B" w:rsidRDefault="0023106B" w:rsidP="0023106B">
            <w:pPr>
              <w:jc w:val="center"/>
              <w:rPr>
                <w:iCs/>
                <w:color w:val="000000"/>
                <w:sz w:val="16"/>
                <w:szCs w:val="16"/>
              </w:rPr>
            </w:pPr>
            <w:r w:rsidRPr="0023106B">
              <w:rPr>
                <w:iCs/>
                <w:color w:val="000000"/>
                <w:sz w:val="16"/>
                <w:szCs w:val="16"/>
              </w:rPr>
              <w:t>0</w:t>
            </w:r>
          </w:p>
        </w:tc>
      </w:tr>
      <w:tr w:rsidR="0023106B" w14:paraId="718C2F6E" w14:textId="77777777" w:rsidTr="00443DCB">
        <w:trPr>
          <w:gridAfter w:val="1"/>
          <w:wAfter w:w="10" w:type="dxa"/>
          <w:jc w:val="center"/>
        </w:trPr>
        <w:tc>
          <w:tcPr>
            <w:tcW w:w="2901" w:type="dxa"/>
            <w:tcBorders>
              <w:top w:val="single" w:sz="4" w:space="0" w:color="auto"/>
              <w:left w:val="single" w:sz="4" w:space="0" w:color="auto"/>
              <w:bottom w:val="single" w:sz="4" w:space="0" w:color="auto"/>
              <w:right w:val="single" w:sz="4" w:space="0" w:color="auto"/>
            </w:tcBorders>
            <w:hideMark/>
          </w:tcPr>
          <w:p w14:paraId="33364B5F" w14:textId="77777777" w:rsidR="0023106B" w:rsidRDefault="0023106B">
            <w:pPr>
              <w:snapToGrid w:val="0"/>
              <w:rPr>
                <w:rStyle w:val="italic1"/>
                <w:i w:val="0"/>
                <w:iCs w:val="0"/>
              </w:rPr>
            </w:pPr>
            <w:r>
              <w:rPr>
                <w:rStyle w:val="italic1"/>
                <w:i w:val="0"/>
                <w:iCs w:val="0"/>
                <w:sz w:val="16"/>
                <w:lang w:val="lv-LV"/>
              </w:rPr>
              <w:t>Vēja enerģija</w:t>
            </w:r>
            <w:r>
              <w:rPr>
                <w:rStyle w:val="FootnoteReference"/>
                <w:sz w:val="16"/>
                <w:lang w:val="lv-LV"/>
              </w:rPr>
              <w:footnoteReference w:id="9"/>
            </w:r>
            <w:r>
              <w:rPr>
                <w:rStyle w:val="italic1"/>
                <w:i w:val="0"/>
                <w:iCs w:val="0"/>
                <w:sz w:val="16"/>
                <w:lang w:val="lv-LV"/>
              </w:rPr>
              <w:t>:</w:t>
            </w:r>
          </w:p>
        </w:tc>
        <w:tc>
          <w:tcPr>
            <w:tcW w:w="910" w:type="dxa"/>
            <w:tcBorders>
              <w:top w:val="single" w:sz="4" w:space="0" w:color="auto"/>
              <w:left w:val="single" w:sz="4" w:space="0" w:color="auto"/>
              <w:bottom w:val="single" w:sz="4" w:space="0" w:color="auto"/>
              <w:right w:val="single" w:sz="4" w:space="0" w:color="auto"/>
            </w:tcBorders>
            <w:vAlign w:val="center"/>
            <w:hideMark/>
          </w:tcPr>
          <w:p w14:paraId="44F65B7F" w14:textId="77777777" w:rsidR="0023106B" w:rsidRPr="0023106B" w:rsidRDefault="0023106B" w:rsidP="0023106B">
            <w:pPr>
              <w:jc w:val="center"/>
              <w:rPr>
                <w:iCs/>
                <w:color w:val="000000"/>
                <w:sz w:val="16"/>
                <w:szCs w:val="16"/>
              </w:rPr>
            </w:pPr>
            <w:r w:rsidRPr="0023106B">
              <w:rPr>
                <w:iCs/>
                <w:color w:val="000000"/>
                <w:sz w:val="16"/>
                <w:szCs w:val="16"/>
              </w:rPr>
              <w:t>36</w:t>
            </w:r>
          </w:p>
        </w:tc>
        <w:tc>
          <w:tcPr>
            <w:tcW w:w="894" w:type="dxa"/>
            <w:gridSpan w:val="2"/>
            <w:tcBorders>
              <w:top w:val="single" w:sz="4" w:space="0" w:color="auto"/>
              <w:left w:val="single" w:sz="4" w:space="0" w:color="auto"/>
              <w:bottom w:val="single" w:sz="4" w:space="0" w:color="auto"/>
              <w:right w:val="single" w:sz="4" w:space="0" w:color="auto"/>
            </w:tcBorders>
            <w:vAlign w:val="center"/>
            <w:hideMark/>
          </w:tcPr>
          <w:p w14:paraId="3A20E4C3" w14:textId="77777777" w:rsidR="0023106B" w:rsidRPr="0023106B" w:rsidRDefault="0023106B" w:rsidP="0023106B">
            <w:pPr>
              <w:jc w:val="center"/>
              <w:rPr>
                <w:color w:val="000000"/>
                <w:sz w:val="16"/>
                <w:szCs w:val="16"/>
              </w:rPr>
            </w:pPr>
            <w:r w:rsidRPr="0023106B">
              <w:rPr>
                <w:color w:val="000000"/>
                <w:sz w:val="16"/>
                <w:szCs w:val="16"/>
              </w:rPr>
              <w:t>64,6</w:t>
            </w:r>
          </w:p>
        </w:tc>
        <w:tc>
          <w:tcPr>
            <w:tcW w:w="807" w:type="dxa"/>
            <w:tcBorders>
              <w:top w:val="single" w:sz="4" w:space="0" w:color="auto"/>
              <w:left w:val="single" w:sz="4" w:space="0" w:color="auto"/>
              <w:bottom w:val="single" w:sz="4" w:space="0" w:color="auto"/>
              <w:right w:val="single" w:sz="4" w:space="0" w:color="auto"/>
            </w:tcBorders>
            <w:vAlign w:val="center"/>
            <w:hideMark/>
          </w:tcPr>
          <w:p w14:paraId="1AF4ED93" w14:textId="77777777" w:rsidR="0023106B" w:rsidRPr="0023106B" w:rsidRDefault="0023106B" w:rsidP="0023106B">
            <w:pPr>
              <w:jc w:val="center"/>
              <w:rPr>
                <w:iCs/>
                <w:color w:val="000000"/>
                <w:sz w:val="16"/>
                <w:szCs w:val="16"/>
              </w:rPr>
            </w:pPr>
            <w:r w:rsidRPr="0023106B">
              <w:rPr>
                <w:iCs/>
                <w:color w:val="000000"/>
                <w:sz w:val="16"/>
                <w:szCs w:val="16"/>
              </w:rPr>
              <w:t>59</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414AE6FC" w14:textId="77777777" w:rsidR="0023106B" w:rsidRPr="0023106B" w:rsidRDefault="0023106B" w:rsidP="0023106B">
            <w:pPr>
              <w:jc w:val="center"/>
              <w:rPr>
                <w:color w:val="000000"/>
                <w:sz w:val="16"/>
                <w:szCs w:val="16"/>
              </w:rPr>
            </w:pPr>
            <w:r w:rsidRPr="0023106B">
              <w:rPr>
                <w:color w:val="000000"/>
                <w:sz w:val="16"/>
                <w:szCs w:val="16"/>
              </w:rPr>
              <w:t>98,4</w:t>
            </w:r>
          </w:p>
        </w:tc>
      </w:tr>
      <w:tr w:rsidR="0023106B" w14:paraId="0A933D42" w14:textId="77777777" w:rsidTr="00443DCB">
        <w:trPr>
          <w:gridAfter w:val="1"/>
          <w:wAfter w:w="10" w:type="dxa"/>
          <w:jc w:val="center"/>
        </w:trPr>
        <w:tc>
          <w:tcPr>
            <w:tcW w:w="2901" w:type="dxa"/>
            <w:tcBorders>
              <w:top w:val="single" w:sz="4" w:space="0" w:color="auto"/>
              <w:left w:val="single" w:sz="4" w:space="0" w:color="auto"/>
              <w:bottom w:val="single" w:sz="4" w:space="0" w:color="auto"/>
              <w:right w:val="single" w:sz="4" w:space="0" w:color="auto"/>
            </w:tcBorders>
            <w:hideMark/>
          </w:tcPr>
          <w:p w14:paraId="2A047FA8" w14:textId="77777777" w:rsidR="0023106B" w:rsidRDefault="0023106B">
            <w:pPr>
              <w:snapToGrid w:val="0"/>
              <w:jc w:val="right"/>
              <w:rPr>
                <w:rStyle w:val="italic1"/>
                <w:i w:val="0"/>
                <w:iCs w:val="0"/>
              </w:rPr>
            </w:pPr>
            <w:r>
              <w:rPr>
                <w:rStyle w:val="italic1"/>
                <w:iCs w:val="0"/>
                <w:sz w:val="16"/>
                <w:lang w:val="lv-LV"/>
              </w:rPr>
              <w:t>sauszemes</w:t>
            </w:r>
          </w:p>
        </w:tc>
        <w:tc>
          <w:tcPr>
            <w:tcW w:w="910" w:type="dxa"/>
            <w:tcBorders>
              <w:top w:val="single" w:sz="4" w:space="0" w:color="auto"/>
              <w:left w:val="single" w:sz="4" w:space="0" w:color="auto"/>
              <w:bottom w:val="single" w:sz="4" w:space="0" w:color="auto"/>
              <w:right w:val="single" w:sz="4" w:space="0" w:color="auto"/>
            </w:tcBorders>
            <w:vAlign w:val="center"/>
            <w:hideMark/>
          </w:tcPr>
          <w:p w14:paraId="09A20AB4" w14:textId="77777777" w:rsidR="0023106B" w:rsidRPr="0023106B" w:rsidRDefault="0023106B" w:rsidP="0023106B">
            <w:pPr>
              <w:jc w:val="center"/>
              <w:rPr>
                <w:i/>
                <w:iCs/>
                <w:color w:val="000000"/>
                <w:sz w:val="16"/>
                <w:szCs w:val="16"/>
              </w:rPr>
            </w:pPr>
            <w:r w:rsidRPr="0023106B">
              <w:rPr>
                <w:i/>
                <w:iCs/>
                <w:color w:val="000000"/>
                <w:sz w:val="16"/>
                <w:szCs w:val="16"/>
              </w:rPr>
              <w:t>36</w:t>
            </w:r>
          </w:p>
        </w:tc>
        <w:tc>
          <w:tcPr>
            <w:tcW w:w="894" w:type="dxa"/>
            <w:gridSpan w:val="2"/>
            <w:tcBorders>
              <w:top w:val="single" w:sz="4" w:space="0" w:color="auto"/>
              <w:left w:val="single" w:sz="4" w:space="0" w:color="auto"/>
              <w:bottom w:val="single" w:sz="4" w:space="0" w:color="auto"/>
              <w:right w:val="single" w:sz="4" w:space="0" w:color="auto"/>
            </w:tcBorders>
            <w:vAlign w:val="center"/>
            <w:hideMark/>
          </w:tcPr>
          <w:p w14:paraId="2881577C" w14:textId="77777777" w:rsidR="0023106B" w:rsidRPr="0023106B" w:rsidRDefault="00A3560E" w:rsidP="0023106B">
            <w:pPr>
              <w:jc w:val="center"/>
              <w:rPr>
                <w:i/>
                <w:color w:val="000000"/>
                <w:sz w:val="16"/>
                <w:szCs w:val="16"/>
              </w:rPr>
            </w:pPr>
            <w:r>
              <w:rPr>
                <w:i/>
                <w:color w:val="000000"/>
                <w:sz w:val="16"/>
                <w:szCs w:val="16"/>
              </w:rPr>
              <w:t>64,6</w:t>
            </w:r>
          </w:p>
        </w:tc>
        <w:tc>
          <w:tcPr>
            <w:tcW w:w="807" w:type="dxa"/>
            <w:tcBorders>
              <w:top w:val="single" w:sz="4" w:space="0" w:color="auto"/>
              <w:left w:val="single" w:sz="4" w:space="0" w:color="auto"/>
              <w:bottom w:val="single" w:sz="4" w:space="0" w:color="auto"/>
              <w:right w:val="single" w:sz="4" w:space="0" w:color="auto"/>
            </w:tcBorders>
            <w:vAlign w:val="center"/>
            <w:hideMark/>
          </w:tcPr>
          <w:p w14:paraId="0505FD74" w14:textId="77777777" w:rsidR="0023106B" w:rsidRPr="0023106B" w:rsidRDefault="0023106B" w:rsidP="0023106B">
            <w:pPr>
              <w:jc w:val="center"/>
              <w:rPr>
                <w:i/>
                <w:iCs/>
                <w:color w:val="000000"/>
                <w:sz w:val="16"/>
                <w:szCs w:val="16"/>
              </w:rPr>
            </w:pPr>
            <w:r w:rsidRPr="0023106B">
              <w:rPr>
                <w:i/>
                <w:iCs/>
                <w:color w:val="000000"/>
                <w:sz w:val="16"/>
                <w:szCs w:val="16"/>
              </w:rPr>
              <w:t>59</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51D8F09B" w14:textId="77777777" w:rsidR="0023106B" w:rsidRPr="0023106B" w:rsidRDefault="00A3560E" w:rsidP="0023106B">
            <w:pPr>
              <w:jc w:val="center"/>
              <w:rPr>
                <w:i/>
                <w:color w:val="000000"/>
                <w:sz w:val="16"/>
                <w:szCs w:val="16"/>
              </w:rPr>
            </w:pPr>
            <w:r>
              <w:rPr>
                <w:i/>
                <w:color w:val="000000"/>
                <w:sz w:val="16"/>
                <w:szCs w:val="16"/>
              </w:rPr>
              <w:t>98,4</w:t>
            </w:r>
          </w:p>
        </w:tc>
      </w:tr>
      <w:tr w:rsidR="0023106B" w14:paraId="4FDC81BF" w14:textId="77777777" w:rsidTr="00443DCB">
        <w:trPr>
          <w:gridAfter w:val="1"/>
          <w:wAfter w:w="10" w:type="dxa"/>
          <w:jc w:val="center"/>
        </w:trPr>
        <w:tc>
          <w:tcPr>
            <w:tcW w:w="2901" w:type="dxa"/>
            <w:tcBorders>
              <w:top w:val="single" w:sz="4" w:space="0" w:color="auto"/>
              <w:left w:val="single" w:sz="4" w:space="0" w:color="auto"/>
              <w:bottom w:val="single" w:sz="4" w:space="0" w:color="auto"/>
              <w:right w:val="single" w:sz="4" w:space="0" w:color="auto"/>
            </w:tcBorders>
            <w:hideMark/>
          </w:tcPr>
          <w:p w14:paraId="4DA1C360" w14:textId="77777777" w:rsidR="0023106B" w:rsidRDefault="0023106B">
            <w:pPr>
              <w:snapToGrid w:val="0"/>
              <w:jc w:val="right"/>
              <w:rPr>
                <w:rStyle w:val="italic1"/>
                <w:i w:val="0"/>
                <w:iCs w:val="0"/>
              </w:rPr>
            </w:pPr>
            <w:r>
              <w:rPr>
                <w:rStyle w:val="italic1"/>
                <w:iCs w:val="0"/>
                <w:sz w:val="16"/>
                <w:lang w:val="lv-LV"/>
              </w:rPr>
              <w:t>jūras</w:t>
            </w:r>
          </w:p>
        </w:tc>
        <w:tc>
          <w:tcPr>
            <w:tcW w:w="910" w:type="dxa"/>
            <w:tcBorders>
              <w:top w:val="single" w:sz="4" w:space="0" w:color="auto"/>
              <w:left w:val="single" w:sz="4" w:space="0" w:color="auto"/>
              <w:bottom w:val="single" w:sz="4" w:space="0" w:color="auto"/>
              <w:right w:val="single" w:sz="4" w:space="0" w:color="auto"/>
            </w:tcBorders>
            <w:vAlign w:val="center"/>
          </w:tcPr>
          <w:p w14:paraId="51D10EC5" w14:textId="77777777" w:rsidR="0023106B" w:rsidRPr="0023106B" w:rsidRDefault="0023106B" w:rsidP="0023106B">
            <w:pPr>
              <w:jc w:val="center"/>
              <w:rPr>
                <w:i/>
                <w:iCs/>
                <w:color w:val="000000"/>
                <w:sz w:val="16"/>
                <w:szCs w:val="16"/>
              </w:rPr>
            </w:pPr>
            <w:r w:rsidRPr="0023106B">
              <w:rPr>
                <w:i/>
                <w:iCs/>
                <w:color w:val="000000"/>
                <w:sz w:val="16"/>
                <w:szCs w:val="16"/>
              </w:rPr>
              <w:t>0</w:t>
            </w:r>
          </w:p>
        </w:tc>
        <w:tc>
          <w:tcPr>
            <w:tcW w:w="894" w:type="dxa"/>
            <w:gridSpan w:val="2"/>
            <w:tcBorders>
              <w:top w:val="single" w:sz="4" w:space="0" w:color="auto"/>
              <w:left w:val="single" w:sz="4" w:space="0" w:color="auto"/>
              <w:bottom w:val="single" w:sz="4" w:space="0" w:color="auto"/>
              <w:right w:val="single" w:sz="4" w:space="0" w:color="auto"/>
            </w:tcBorders>
            <w:vAlign w:val="center"/>
          </w:tcPr>
          <w:p w14:paraId="5C306DB0" w14:textId="77777777" w:rsidR="0023106B" w:rsidRPr="0023106B" w:rsidRDefault="0023106B" w:rsidP="0023106B">
            <w:pPr>
              <w:jc w:val="center"/>
              <w:rPr>
                <w:i/>
                <w:color w:val="000000"/>
                <w:sz w:val="16"/>
                <w:szCs w:val="16"/>
              </w:rPr>
            </w:pPr>
            <w:r w:rsidRPr="0023106B">
              <w:rPr>
                <w:i/>
                <w:color w:val="000000"/>
                <w:sz w:val="16"/>
                <w:szCs w:val="16"/>
              </w:rPr>
              <w:t>0</w:t>
            </w:r>
          </w:p>
        </w:tc>
        <w:tc>
          <w:tcPr>
            <w:tcW w:w="807" w:type="dxa"/>
            <w:tcBorders>
              <w:top w:val="single" w:sz="4" w:space="0" w:color="auto"/>
              <w:left w:val="single" w:sz="4" w:space="0" w:color="auto"/>
              <w:bottom w:val="single" w:sz="4" w:space="0" w:color="auto"/>
              <w:right w:val="single" w:sz="4" w:space="0" w:color="auto"/>
            </w:tcBorders>
            <w:vAlign w:val="center"/>
          </w:tcPr>
          <w:p w14:paraId="48ECD5C6" w14:textId="77777777" w:rsidR="0023106B" w:rsidRPr="0023106B" w:rsidRDefault="0023106B" w:rsidP="0023106B">
            <w:pPr>
              <w:jc w:val="center"/>
              <w:rPr>
                <w:i/>
                <w:sz w:val="16"/>
                <w:szCs w:val="16"/>
              </w:rPr>
            </w:pPr>
            <w:r w:rsidRPr="0023106B">
              <w:rPr>
                <w:i/>
                <w:iCs/>
                <w:color w:val="000000"/>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0D1E8CB" w14:textId="77777777" w:rsidR="0023106B" w:rsidRPr="0023106B" w:rsidRDefault="0023106B" w:rsidP="0023106B">
            <w:pPr>
              <w:jc w:val="center"/>
              <w:rPr>
                <w:i/>
                <w:color w:val="000000"/>
                <w:sz w:val="16"/>
                <w:szCs w:val="16"/>
              </w:rPr>
            </w:pPr>
            <w:r w:rsidRPr="0023106B">
              <w:rPr>
                <w:i/>
                <w:color w:val="000000"/>
                <w:sz w:val="16"/>
                <w:szCs w:val="16"/>
              </w:rPr>
              <w:t>0</w:t>
            </w:r>
          </w:p>
        </w:tc>
      </w:tr>
      <w:tr w:rsidR="0023106B" w14:paraId="4B86237D" w14:textId="77777777" w:rsidTr="00443DCB">
        <w:trPr>
          <w:gridAfter w:val="1"/>
          <w:wAfter w:w="10" w:type="dxa"/>
          <w:jc w:val="center"/>
        </w:trPr>
        <w:tc>
          <w:tcPr>
            <w:tcW w:w="2901" w:type="dxa"/>
            <w:tcBorders>
              <w:top w:val="single" w:sz="4" w:space="0" w:color="auto"/>
              <w:left w:val="single" w:sz="4" w:space="0" w:color="auto"/>
              <w:bottom w:val="single" w:sz="4" w:space="0" w:color="auto"/>
              <w:right w:val="single" w:sz="4" w:space="0" w:color="auto"/>
            </w:tcBorders>
            <w:hideMark/>
          </w:tcPr>
          <w:p w14:paraId="596A5999" w14:textId="77777777" w:rsidR="0023106B" w:rsidRDefault="0023106B">
            <w:pPr>
              <w:snapToGrid w:val="0"/>
              <w:rPr>
                <w:rStyle w:val="italic1"/>
                <w:b/>
                <w:iCs w:val="0"/>
                <w:sz w:val="16"/>
              </w:rPr>
            </w:pPr>
            <w:r>
              <w:rPr>
                <w:sz w:val="16"/>
                <w:lang w:val="lv-LV"/>
              </w:rPr>
              <w:t>Biomasa</w:t>
            </w:r>
            <w:r>
              <w:rPr>
                <w:rStyle w:val="FootnoteReference"/>
                <w:sz w:val="16"/>
                <w:lang w:val="lv-LV"/>
              </w:rPr>
              <w:footnoteReference w:id="10"/>
            </w:r>
            <w:r>
              <w:rPr>
                <w:sz w:val="16"/>
                <w:lang w:val="lv-LV"/>
              </w:rPr>
              <w:t>:</w:t>
            </w:r>
            <w:r>
              <w:rPr>
                <w:rStyle w:val="italic1"/>
                <w:i w:val="0"/>
                <w:iCs w:val="0"/>
                <w:sz w:val="16"/>
              </w:rPr>
              <w:t xml:space="preserve"> </w:t>
            </w:r>
          </w:p>
        </w:tc>
        <w:tc>
          <w:tcPr>
            <w:tcW w:w="910" w:type="dxa"/>
            <w:tcBorders>
              <w:top w:val="single" w:sz="4" w:space="0" w:color="auto"/>
              <w:left w:val="single" w:sz="4" w:space="0" w:color="auto"/>
              <w:bottom w:val="single" w:sz="4" w:space="0" w:color="auto"/>
              <w:right w:val="single" w:sz="4" w:space="0" w:color="auto"/>
            </w:tcBorders>
            <w:vAlign w:val="center"/>
            <w:hideMark/>
          </w:tcPr>
          <w:p w14:paraId="5FFC1AEC" w14:textId="77777777" w:rsidR="0023106B" w:rsidRPr="0023106B" w:rsidRDefault="0023106B" w:rsidP="0023106B">
            <w:pPr>
              <w:jc w:val="center"/>
              <w:rPr>
                <w:color w:val="000000"/>
                <w:sz w:val="16"/>
                <w:szCs w:val="16"/>
              </w:rPr>
            </w:pPr>
            <w:r w:rsidRPr="0023106B">
              <w:rPr>
                <w:color w:val="000000"/>
                <w:sz w:val="16"/>
                <w:szCs w:val="16"/>
              </w:rPr>
              <w:t>30</w:t>
            </w:r>
          </w:p>
        </w:tc>
        <w:tc>
          <w:tcPr>
            <w:tcW w:w="894" w:type="dxa"/>
            <w:gridSpan w:val="2"/>
            <w:tcBorders>
              <w:top w:val="single" w:sz="4" w:space="0" w:color="auto"/>
              <w:left w:val="single" w:sz="4" w:space="0" w:color="auto"/>
              <w:bottom w:val="single" w:sz="4" w:space="0" w:color="auto"/>
              <w:right w:val="single" w:sz="4" w:space="0" w:color="auto"/>
            </w:tcBorders>
            <w:vAlign w:val="center"/>
            <w:hideMark/>
          </w:tcPr>
          <w:p w14:paraId="65A1AF7E" w14:textId="77777777" w:rsidR="0023106B" w:rsidRPr="0023106B" w:rsidRDefault="0023106B" w:rsidP="0023106B">
            <w:pPr>
              <w:jc w:val="center"/>
              <w:rPr>
                <w:color w:val="000000"/>
                <w:sz w:val="16"/>
                <w:szCs w:val="16"/>
              </w:rPr>
            </w:pPr>
            <w:r w:rsidRPr="0023106B">
              <w:rPr>
                <w:color w:val="000000"/>
                <w:sz w:val="16"/>
                <w:szCs w:val="16"/>
              </w:rPr>
              <w:t>119,4</w:t>
            </w:r>
          </w:p>
        </w:tc>
        <w:tc>
          <w:tcPr>
            <w:tcW w:w="807" w:type="dxa"/>
            <w:tcBorders>
              <w:top w:val="single" w:sz="4" w:space="0" w:color="auto"/>
              <w:left w:val="single" w:sz="4" w:space="0" w:color="auto"/>
              <w:bottom w:val="single" w:sz="4" w:space="0" w:color="auto"/>
              <w:right w:val="single" w:sz="4" w:space="0" w:color="auto"/>
            </w:tcBorders>
            <w:vAlign w:val="center"/>
            <w:hideMark/>
          </w:tcPr>
          <w:p w14:paraId="06D653DC" w14:textId="77777777" w:rsidR="0023106B" w:rsidRPr="0023106B" w:rsidRDefault="0023106B" w:rsidP="0023106B">
            <w:pPr>
              <w:jc w:val="center"/>
              <w:rPr>
                <w:color w:val="000000"/>
                <w:sz w:val="16"/>
                <w:szCs w:val="16"/>
              </w:rPr>
            </w:pPr>
            <w:r w:rsidRPr="0023106B">
              <w:rPr>
                <w:color w:val="000000"/>
                <w:sz w:val="16"/>
                <w:szCs w:val="16"/>
              </w:rPr>
              <w:t>66</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75BE5A7" w14:textId="77777777" w:rsidR="0023106B" w:rsidRPr="0023106B" w:rsidRDefault="0023106B" w:rsidP="0023106B">
            <w:pPr>
              <w:jc w:val="center"/>
              <w:rPr>
                <w:color w:val="000000"/>
                <w:sz w:val="16"/>
                <w:szCs w:val="16"/>
              </w:rPr>
            </w:pPr>
            <w:r w:rsidRPr="0023106B">
              <w:rPr>
                <w:color w:val="000000"/>
                <w:sz w:val="16"/>
                <w:szCs w:val="16"/>
              </w:rPr>
              <w:t>288,6</w:t>
            </w:r>
          </w:p>
        </w:tc>
      </w:tr>
      <w:tr w:rsidR="0023106B" w14:paraId="116ED337" w14:textId="77777777" w:rsidTr="00443DCB">
        <w:trPr>
          <w:gridAfter w:val="1"/>
          <w:wAfter w:w="10" w:type="dxa"/>
          <w:jc w:val="center"/>
        </w:trPr>
        <w:tc>
          <w:tcPr>
            <w:tcW w:w="2901" w:type="dxa"/>
            <w:tcBorders>
              <w:top w:val="single" w:sz="4" w:space="0" w:color="auto"/>
              <w:left w:val="single" w:sz="4" w:space="0" w:color="auto"/>
              <w:bottom w:val="single" w:sz="4" w:space="0" w:color="auto"/>
              <w:right w:val="single" w:sz="4" w:space="0" w:color="auto"/>
            </w:tcBorders>
            <w:hideMark/>
          </w:tcPr>
          <w:p w14:paraId="740C5ADB" w14:textId="77777777" w:rsidR="0023106B" w:rsidRDefault="0023106B">
            <w:pPr>
              <w:snapToGrid w:val="0"/>
              <w:jc w:val="right"/>
              <w:rPr>
                <w:rStyle w:val="italic1"/>
                <w:i w:val="0"/>
                <w:iCs w:val="0"/>
              </w:rPr>
            </w:pPr>
            <w:r>
              <w:rPr>
                <w:rStyle w:val="italic1"/>
                <w:iCs w:val="0"/>
                <w:sz w:val="16"/>
                <w:lang w:val="lv-LV"/>
              </w:rPr>
              <w:t>cietā biomasa</w:t>
            </w:r>
          </w:p>
        </w:tc>
        <w:tc>
          <w:tcPr>
            <w:tcW w:w="910" w:type="dxa"/>
            <w:tcBorders>
              <w:top w:val="single" w:sz="4" w:space="0" w:color="auto"/>
              <w:left w:val="single" w:sz="4" w:space="0" w:color="auto"/>
              <w:bottom w:val="single" w:sz="4" w:space="0" w:color="auto"/>
              <w:right w:val="single" w:sz="4" w:space="0" w:color="auto"/>
            </w:tcBorders>
            <w:vAlign w:val="center"/>
            <w:hideMark/>
          </w:tcPr>
          <w:p w14:paraId="19068BB5" w14:textId="77777777" w:rsidR="0023106B" w:rsidRPr="0023106B" w:rsidRDefault="0023106B" w:rsidP="0023106B">
            <w:pPr>
              <w:jc w:val="center"/>
              <w:rPr>
                <w:i/>
                <w:color w:val="000000"/>
                <w:sz w:val="16"/>
                <w:szCs w:val="16"/>
              </w:rPr>
            </w:pPr>
            <w:r w:rsidRPr="0023106B">
              <w:rPr>
                <w:i/>
                <w:color w:val="000000"/>
                <w:sz w:val="16"/>
                <w:szCs w:val="16"/>
              </w:rPr>
              <w:t>5</w:t>
            </w:r>
          </w:p>
        </w:tc>
        <w:tc>
          <w:tcPr>
            <w:tcW w:w="894" w:type="dxa"/>
            <w:gridSpan w:val="2"/>
            <w:tcBorders>
              <w:top w:val="single" w:sz="4" w:space="0" w:color="auto"/>
              <w:left w:val="single" w:sz="4" w:space="0" w:color="auto"/>
              <w:bottom w:val="single" w:sz="4" w:space="0" w:color="auto"/>
              <w:right w:val="single" w:sz="4" w:space="0" w:color="auto"/>
            </w:tcBorders>
            <w:vAlign w:val="center"/>
            <w:hideMark/>
          </w:tcPr>
          <w:p w14:paraId="2B2A53E1" w14:textId="77777777" w:rsidR="0023106B" w:rsidRPr="0023106B" w:rsidRDefault="0023106B" w:rsidP="0023106B">
            <w:pPr>
              <w:jc w:val="center"/>
              <w:rPr>
                <w:i/>
                <w:color w:val="000000"/>
                <w:sz w:val="16"/>
                <w:szCs w:val="16"/>
              </w:rPr>
            </w:pPr>
            <w:r w:rsidRPr="0023106B">
              <w:rPr>
                <w:i/>
                <w:color w:val="000000"/>
                <w:sz w:val="16"/>
                <w:szCs w:val="16"/>
              </w:rPr>
              <w:t>12,8</w:t>
            </w:r>
          </w:p>
        </w:tc>
        <w:tc>
          <w:tcPr>
            <w:tcW w:w="807" w:type="dxa"/>
            <w:tcBorders>
              <w:top w:val="single" w:sz="4" w:space="0" w:color="auto"/>
              <w:left w:val="single" w:sz="4" w:space="0" w:color="auto"/>
              <w:bottom w:val="single" w:sz="4" w:space="0" w:color="auto"/>
              <w:right w:val="single" w:sz="4" w:space="0" w:color="auto"/>
            </w:tcBorders>
            <w:vAlign w:val="center"/>
            <w:hideMark/>
          </w:tcPr>
          <w:p w14:paraId="11E0B043" w14:textId="77777777" w:rsidR="0023106B" w:rsidRPr="0023106B" w:rsidRDefault="0023106B" w:rsidP="0023106B">
            <w:pPr>
              <w:jc w:val="center"/>
              <w:rPr>
                <w:i/>
                <w:color w:val="000000"/>
                <w:sz w:val="16"/>
                <w:szCs w:val="16"/>
              </w:rPr>
            </w:pPr>
            <w:r w:rsidRPr="0023106B">
              <w:rPr>
                <w:i/>
                <w:color w:val="000000"/>
                <w:sz w:val="16"/>
                <w:szCs w:val="16"/>
              </w:rPr>
              <w:t>23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73D6C5CA" w14:textId="77777777" w:rsidR="0023106B" w:rsidRPr="0023106B" w:rsidRDefault="0023106B" w:rsidP="0023106B">
            <w:pPr>
              <w:jc w:val="center"/>
              <w:rPr>
                <w:i/>
                <w:color w:val="000000"/>
                <w:sz w:val="16"/>
                <w:szCs w:val="16"/>
              </w:rPr>
            </w:pPr>
            <w:r w:rsidRPr="0023106B">
              <w:rPr>
                <w:i/>
                <w:color w:val="000000"/>
                <w:sz w:val="16"/>
                <w:szCs w:val="16"/>
              </w:rPr>
              <w:t>64,4</w:t>
            </w:r>
          </w:p>
        </w:tc>
      </w:tr>
      <w:tr w:rsidR="0023106B" w14:paraId="4E5DE598" w14:textId="77777777" w:rsidTr="00443DCB">
        <w:trPr>
          <w:gridAfter w:val="1"/>
          <w:wAfter w:w="10" w:type="dxa"/>
          <w:jc w:val="center"/>
        </w:trPr>
        <w:tc>
          <w:tcPr>
            <w:tcW w:w="2901" w:type="dxa"/>
            <w:tcBorders>
              <w:top w:val="single" w:sz="4" w:space="0" w:color="auto"/>
              <w:left w:val="single" w:sz="4" w:space="0" w:color="auto"/>
              <w:bottom w:val="single" w:sz="4" w:space="0" w:color="auto"/>
              <w:right w:val="single" w:sz="4" w:space="0" w:color="auto"/>
            </w:tcBorders>
            <w:hideMark/>
          </w:tcPr>
          <w:p w14:paraId="63A9B022" w14:textId="77777777" w:rsidR="0023106B" w:rsidRDefault="0023106B">
            <w:pPr>
              <w:snapToGrid w:val="0"/>
              <w:jc w:val="right"/>
              <w:rPr>
                <w:rStyle w:val="italic1"/>
                <w:i w:val="0"/>
                <w:iCs w:val="0"/>
              </w:rPr>
            </w:pPr>
            <w:r>
              <w:rPr>
                <w:rStyle w:val="italic1"/>
                <w:iCs w:val="0"/>
                <w:sz w:val="16"/>
                <w:lang w:val="lv-LV"/>
              </w:rPr>
              <w:t>biogāze</w:t>
            </w:r>
          </w:p>
        </w:tc>
        <w:tc>
          <w:tcPr>
            <w:tcW w:w="910" w:type="dxa"/>
            <w:tcBorders>
              <w:top w:val="single" w:sz="4" w:space="0" w:color="auto"/>
              <w:left w:val="single" w:sz="4" w:space="0" w:color="auto"/>
              <w:bottom w:val="single" w:sz="4" w:space="0" w:color="auto"/>
              <w:right w:val="single" w:sz="4" w:space="0" w:color="auto"/>
            </w:tcBorders>
            <w:vAlign w:val="center"/>
            <w:hideMark/>
          </w:tcPr>
          <w:p w14:paraId="7FD6E94E" w14:textId="77777777" w:rsidR="0023106B" w:rsidRPr="0023106B" w:rsidRDefault="0023106B" w:rsidP="0023106B">
            <w:pPr>
              <w:jc w:val="center"/>
              <w:rPr>
                <w:i/>
                <w:color w:val="000000"/>
                <w:sz w:val="16"/>
                <w:szCs w:val="16"/>
              </w:rPr>
            </w:pPr>
            <w:r w:rsidRPr="0023106B">
              <w:rPr>
                <w:i/>
                <w:color w:val="000000"/>
                <w:sz w:val="16"/>
                <w:szCs w:val="16"/>
              </w:rPr>
              <w:t>25</w:t>
            </w:r>
          </w:p>
        </w:tc>
        <w:tc>
          <w:tcPr>
            <w:tcW w:w="894" w:type="dxa"/>
            <w:gridSpan w:val="2"/>
            <w:tcBorders>
              <w:top w:val="single" w:sz="4" w:space="0" w:color="auto"/>
              <w:left w:val="single" w:sz="4" w:space="0" w:color="auto"/>
              <w:bottom w:val="single" w:sz="4" w:space="0" w:color="auto"/>
              <w:right w:val="single" w:sz="4" w:space="0" w:color="auto"/>
            </w:tcBorders>
            <w:vAlign w:val="center"/>
            <w:hideMark/>
          </w:tcPr>
          <w:p w14:paraId="72C1572F" w14:textId="77777777" w:rsidR="0023106B" w:rsidRPr="0023106B" w:rsidRDefault="0023106B" w:rsidP="0023106B">
            <w:pPr>
              <w:jc w:val="center"/>
              <w:rPr>
                <w:i/>
                <w:color w:val="000000"/>
                <w:sz w:val="16"/>
                <w:szCs w:val="16"/>
              </w:rPr>
            </w:pPr>
            <w:r w:rsidRPr="0023106B">
              <w:rPr>
                <w:i/>
                <w:color w:val="000000"/>
                <w:sz w:val="16"/>
                <w:szCs w:val="16"/>
              </w:rPr>
              <w:t>105,4</w:t>
            </w:r>
          </w:p>
        </w:tc>
        <w:tc>
          <w:tcPr>
            <w:tcW w:w="807" w:type="dxa"/>
            <w:tcBorders>
              <w:top w:val="single" w:sz="4" w:space="0" w:color="auto"/>
              <w:left w:val="single" w:sz="4" w:space="0" w:color="auto"/>
              <w:bottom w:val="single" w:sz="4" w:space="0" w:color="auto"/>
              <w:right w:val="single" w:sz="4" w:space="0" w:color="auto"/>
            </w:tcBorders>
            <w:vAlign w:val="center"/>
            <w:hideMark/>
          </w:tcPr>
          <w:p w14:paraId="7E3A9E08" w14:textId="77777777" w:rsidR="0023106B" w:rsidRPr="0023106B" w:rsidRDefault="0023106B" w:rsidP="0023106B">
            <w:pPr>
              <w:jc w:val="center"/>
              <w:rPr>
                <w:i/>
                <w:color w:val="000000"/>
                <w:sz w:val="16"/>
                <w:szCs w:val="16"/>
              </w:rPr>
            </w:pPr>
            <w:r w:rsidRPr="0023106B">
              <w:rPr>
                <w:i/>
                <w:color w:val="000000"/>
                <w:sz w:val="16"/>
                <w:szCs w:val="16"/>
              </w:rPr>
              <w:t>43</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29CD91C4" w14:textId="77777777" w:rsidR="0023106B" w:rsidRPr="0023106B" w:rsidRDefault="0023106B" w:rsidP="0023106B">
            <w:pPr>
              <w:jc w:val="center"/>
              <w:rPr>
                <w:i/>
                <w:color w:val="000000"/>
                <w:sz w:val="16"/>
                <w:szCs w:val="16"/>
              </w:rPr>
            </w:pPr>
            <w:r w:rsidRPr="0023106B">
              <w:rPr>
                <w:i/>
                <w:color w:val="000000"/>
                <w:sz w:val="16"/>
                <w:szCs w:val="16"/>
              </w:rPr>
              <w:t>223,4</w:t>
            </w:r>
          </w:p>
        </w:tc>
      </w:tr>
      <w:tr w:rsidR="0023106B" w14:paraId="2FD954B8" w14:textId="77777777" w:rsidTr="00443DCB">
        <w:trPr>
          <w:gridAfter w:val="1"/>
          <w:wAfter w:w="10" w:type="dxa"/>
          <w:trHeight w:val="142"/>
          <w:jc w:val="center"/>
        </w:trPr>
        <w:tc>
          <w:tcPr>
            <w:tcW w:w="2901" w:type="dxa"/>
            <w:tcBorders>
              <w:top w:val="single" w:sz="4" w:space="0" w:color="auto"/>
              <w:left w:val="single" w:sz="4" w:space="0" w:color="auto"/>
              <w:bottom w:val="single" w:sz="4" w:space="0" w:color="auto"/>
              <w:right w:val="single" w:sz="4" w:space="0" w:color="auto"/>
            </w:tcBorders>
            <w:hideMark/>
          </w:tcPr>
          <w:p w14:paraId="033DC673" w14:textId="77777777" w:rsidR="0023106B" w:rsidRDefault="0023106B">
            <w:pPr>
              <w:snapToGrid w:val="0"/>
              <w:jc w:val="right"/>
            </w:pPr>
            <w:r>
              <w:rPr>
                <w:i/>
                <w:sz w:val="16"/>
                <w:lang w:val="lv-LV"/>
              </w:rPr>
              <w:t>bioloģiskie šķidrie kurināmie</w:t>
            </w:r>
          </w:p>
        </w:tc>
        <w:tc>
          <w:tcPr>
            <w:tcW w:w="910" w:type="dxa"/>
            <w:tcBorders>
              <w:top w:val="single" w:sz="4" w:space="0" w:color="auto"/>
              <w:left w:val="single" w:sz="4" w:space="0" w:color="auto"/>
              <w:bottom w:val="single" w:sz="4" w:space="0" w:color="auto"/>
              <w:right w:val="single" w:sz="4" w:space="0" w:color="auto"/>
            </w:tcBorders>
            <w:vAlign w:val="center"/>
            <w:hideMark/>
          </w:tcPr>
          <w:p w14:paraId="73F2CF2A" w14:textId="77777777" w:rsidR="0023106B" w:rsidRPr="0023106B" w:rsidRDefault="0023106B" w:rsidP="0023106B">
            <w:pPr>
              <w:jc w:val="center"/>
              <w:rPr>
                <w:i/>
                <w:iCs/>
                <w:color w:val="000000"/>
                <w:sz w:val="16"/>
                <w:szCs w:val="16"/>
              </w:rPr>
            </w:pPr>
            <w:r w:rsidRPr="0023106B">
              <w:rPr>
                <w:i/>
                <w:iCs/>
                <w:color w:val="000000"/>
                <w:sz w:val="16"/>
                <w:szCs w:val="16"/>
              </w:rPr>
              <w:t>0</w:t>
            </w:r>
          </w:p>
        </w:tc>
        <w:tc>
          <w:tcPr>
            <w:tcW w:w="894" w:type="dxa"/>
            <w:gridSpan w:val="2"/>
            <w:tcBorders>
              <w:top w:val="single" w:sz="4" w:space="0" w:color="auto"/>
              <w:left w:val="single" w:sz="4" w:space="0" w:color="auto"/>
              <w:bottom w:val="single" w:sz="4" w:space="0" w:color="auto"/>
              <w:right w:val="single" w:sz="4" w:space="0" w:color="auto"/>
            </w:tcBorders>
            <w:vAlign w:val="center"/>
            <w:hideMark/>
          </w:tcPr>
          <w:p w14:paraId="4502709A" w14:textId="77777777" w:rsidR="0023106B" w:rsidRPr="0023106B" w:rsidRDefault="0023106B" w:rsidP="0023106B">
            <w:pPr>
              <w:jc w:val="center"/>
              <w:rPr>
                <w:i/>
                <w:color w:val="000000"/>
                <w:sz w:val="16"/>
                <w:szCs w:val="16"/>
              </w:rPr>
            </w:pPr>
            <w:r w:rsidRPr="0023106B">
              <w:rPr>
                <w:i/>
                <w:color w:val="000000"/>
                <w:sz w:val="16"/>
                <w:szCs w:val="16"/>
              </w:rPr>
              <w:t>1,2</w:t>
            </w:r>
          </w:p>
        </w:tc>
        <w:tc>
          <w:tcPr>
            <w:tcW w:w="807" w:type="dxa"/>
            <w:tcBorders>
              <w:top w:val="single" w:sz="4" w:space="0" w:color="auto"/>
              <w:left w:val="single" w:sz="4" w:space="0" w:color="auto"/>
              <w:bottom w:val="single" w:sz="4" w:space="0" w:color="auto"/>
              <w:right w:val="single" w:sz="4" w:space="0" w:color="auto"/>
            </w:tcBorders>
            <w:vAlign w:val="center"/>
          </w:tcPr>
          <w:p w14:paraId="09A6958C" w14:textId="77777777" w:rsidR="0023106B" w:rsidRPr="0023106B" w:rsidRDefault="0023106B" w:rsidP="0023106B">
            <w:pPr>
              <w:jc w:val="center"/>
              <w:rPr>
                <w:i/>
                <w:sz w:val="16"/>
                <w:szCs w:val="16"/>
              </w:rPr>
            </w:pPr>
            <w:r w:rsidRPr="0023106B">
              <w:rPr>
                <w:i/>
                <w:iCs/>
                <w:color w:val="000000"/>
                <w:sz w:val="16"/>
                <w:szCs w:val="16"/>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6C3C7EB" w14:textId="77777777" w:rsidR="0023106B" w:rsidRPr="0023106B" w:rsidRDefault="0023106B" w:rsidP="0023106B">
            <w:pPr>
              <w:jc w:val="center"/>
              <w:rPr>
                <w:i/>
                <w:color w:val="000000"/>
                <w:sz w:val="16"/>
                <w:szCs w:val="16"/>
              </w:rPr>
            </w:pPr>
            <w:r w:rsidRPr="0023106B">
              <w:rPr>
                <w:i/>
                <w:color w:val="000000"/>
                <w:sz w:val="16"/>
                <w:szCs w:val="16"/>
              </w:rPr>
              <w:t>0,8</w:t>
            </w:r>
          </w:p>
        </w:tc>
      </w:tr>
      <w:tr w:rsidR="0023106B" w14:paraId="4EEBDA13" w14:textId="77777777" w:rsidTr="00443DCB">
        <w:trPr>
          <w:gridAfter w:val="1"/>
          <w:wAfter w:w="10" w:type="dxa"/>
          <w:jc w:val="center"/>
        </w:trPr>
        <w:tc>
          <w:tcPr>
            <w:tcW w:w="2901" w:type="dxa"/>
            <w:tcBorders>
              <w:top w:val="single" w:sz="4" w:space="0" w:color="auto"/>
              <w:left w:val="single" w:sz="4" w:space="0" w:color="auto"/>
              <w:bottom w:val="single" w:sz="4" w:space="0" w:color="auto"/>
              <w:right w:val="single" w:sz="4" w:space="0" w:color="auto"/>
            </w:tcBorders>
            <w:hideMark/>
          </w:tcPr>
          <w:p w14:paraId="3F93E239" w14:textId="77777777" w:rsidR="0023106B" w:rsidRDefault="0023106B">
            <w:pPr>
              <w:snapToGrid w:val="0"/>
              <w:rPr>
                <w:rStyle w:val="italic1"/>
                <w:i w:val="0"/>
                <w:iCs w:val="0"/>
              </w:rPr>
            </w:pPr>
            <w:r>
              <w:rPr>
                <w:rStyle w:val="italic1"/>
                <w:b/>
                <w:i w:val="0"/>
                <w:iCs w:val="0"/>
                <w:sz w:val="16"/>
                <w:lang w:val="lv-LV"/>
              </w:rPr>
              <w:t>KOPĀ</w:t>
            </w:r>
          </w:p>
        </w:tc>
        <w:tc>
          <w:tcPr>
            <w:tcW w:w="910" w:type="dxa"/>
            <w:tcBorders>
              <w:top w:val="single" w:sz="4" w:space="0" w:color="auto"/>
              <w:left w:val="single" w:sz="4" w:space="0" w:color="auto"/>
              <w:bottom w:val="single" w:sz="4" w:space="0" w:color="auto"/>
              <w:right w:val="single" w:sz="4" w:space="0" w:color="auto"/>
            </w:tcBorders>
            <w:vAlign w:val="center"/>
            <w:hideMark/>
          </w:tcPr>
          <w:p w14:paraId="275A7435" w14:textId="77777777" w:rsidR="0023106B" w:rsidRPr="002B7079" w:rsidRDefault="0023106B" w:rsidP="0023106B">
            <w:pPr>
              <w:jc w:val="center"/>
              <w:rPr>
                <w:b/>
                <w:color w:val="000000"/>
                <w:sz w:val="16"/>
                <w:szCs w:val="16"/>
              </w:rPr>
            </w:pPr>
            <w:r w:rsidRPr="002B7079">
              <w:rPr>
                <w:b/>
                <w:color w:val="000000"/>
                <w:sz w:val="16"/>
                <w:szCs w:val="16"/>
              </w:rPr>
              <w:t>1642</w:t>
            </w:r>
          </w:p>
        </w:tc>
        <w:tc>
          <w:tcPr>
            <w:tcW w:w="894" w:type="dxa"/>
            <w:gridSpan w:val="2"/>
            <w:tcBorders>
              <w:top w:val="single" w:sz="4" w:space="0" w:color="auto"/>
              <w:left w:val="single" w:sz="4" w:space="0" w:color="auto"/>
              <w:bottom w:val="single" w:sz="4" w:space="0" w:color="auto"/>
              <w:right w:val="single" w:sz="4" w:space="0" w:color="auto"/>
            </w:tcBorders>
            <w:vAlign w:val="center"/>
            <w:hideMark/>
          </w:tcPr>
          <w:p w14:paraId="5428E461" w14:textId="77777777" w:rsidR="0023106B" w:rsidRPr="002B7079" w:rsidRDefault="0023106B" w:rsidP="0023106B">
            <w:pPr>
              <w:jc w:val="center"/>
              <w:rPr>
                <w:b/>
                <w:color w:val="000000"/>
                <w:sz w:val="16"/>
                <w:szCs w:val="16"/>
              </w:rPr>
            </w:pPr>
            <w:r w:rsidRPr="002B7079">
              <w:rPr>
                <w:b/>
                <w:color w:val="000000"/>
                <w:sz w:val="16"/>
                <w:szCs w:val="16"/>
              </w:rPr>
              <w:t>3281,2</w:t>
            </w:r>
          </w:p>
        </w:tc>
        <w:tc>
          <w:tcPr>
            <w:tcW w:w="807" w:type="dxa"/>
            <w:tcBorders>
              <w:top w:val="single" w:sz="4" w:space="0" w:color="auto"/>
              <w:left w:val="single" w:sz="4" w:space="0" w:color="auto"/>
              <w:bottom w:val="single" w:sz="4" w:space="0" w:color="auto"/>
              <w:right w:val="single" w:sz="4" w:space="0" w:color="auto"/>
            </w:tcBorders>
            <w:vAlign w:val="center"/>
            <w:hideMark/>
          </w:tcPr>
          <w:p w14:paraId="3FCE2FE2" w14:textId="77777777" w:rsidR="0023106B" w:rsidRPr="002B7079" w:rsidRDefault="0023106B" w:rsidP="0023106B">
            <w:pPr>
              <w:jc w:val="center"/>
              <w:rPr>
                <w:b/>
                <w:color w:val="000000"/>
                <w:sz w:val="16"/>
                <w:szCs w:val="16"/>
              </w:rPr>
            </w:pPr>
            <w:r w:rsidRPr="002B7079">
              <w:rPr>
                <w:b/>
                <w:color w:val="000000"/>
                <w:sz w:val="16"/>
                <w:szCs w:val="16"/>
              </w:rPr>
              <w:t>1701</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14:paraId="640FD85A" w14:textId="77777777" w:rsidR="0023106B" w:rsidRPr="002B7079" w:rsidRDefault="0023106B" w:rsidP="0023106B">
            <w:pPr>
              <w:jc w:val="center"/>
              <w:rPr>
                <w:b/>
                <w:color w:val="000000"/>
                <w:sz w:val="16"/>
                <w:szCs w:val="16"/>
              </w:rPr>
            </w:pPr>
            <w:r w:rsidRPr="002B7079">
              <w:rPr>
                <w:b/>
                <w:color w:val="000000"/>
                <w:sz w:val="16"/>
                <w:szCs w:val="16"/>
              </w:rPr>
              <w:t>3527,3</w:t>
            </w:r>
          </w:p>
        </w:tc>
      </w:tr>
      <w:tr w:rsidR="0023106B" w14:paraId="7E5D43DF" w14:textId="77777777" w:rsidTr="00443DCB">
        <w:trPr>
          <w:gridAfter w:val="1"/>
          <w:wAfter w:w="10" w:type="dxa"/>
          <w:jc w:val="center"/>
        </w:trPr>
        <w:tc>
          <w:tcPr>
            <w:tcW w:w="2901" w:type="dxa"/>
            <w:tcBorders>
              <w:top w:val="single" w:sz="4" w:space="0" w:color="auto"/>
              <w:left w:val="single" w:sz="4" w:space="0" w:color="auto"/>
              <w:bottom w:val="single" w:sz="4" w:space="0" w:color="auto"/>
              <w:right w:val="single" w:sz="4" w:space="0" w:color="auto"/>
            </w:tcBorders>
            <w:hideMark/>
          </w:tcPr>
          <w:p w14:paraId="4919DB86" w14:textId="77777777" w:rsidR="0023106B" w:rsidRDefault="0023106B">
            <w:pPr>
              <w:snapToGrid w:val="0"/>
              <w:jc w:val="right"/>
              <w:rPr>
                <w:rStyle w:val="italic1"/>
                <w:i w:val="0"/>
                <w:iCs w:val="0"/>
              </w:rPr>
            </w:pPr>
            <w:r>
              <w:rPr>
                <w:i/>
                <w:sz w:val="16"/>
                <w:lang w:val="lv-LV"/>
              </w:rPr>
              <w:t>tostarp koģenerācija</w:t>
            </w:r>
          </w:p>
        </w:tc>
        <w:tc>
          <w:tcPr>
            <w:tcW w:w="910" w:type="dxa"/>
            <w:tcBorders>
              <w:top w:val="single" w:sz="4" w:space="0" w:color="auto"/>
              <w:left w:val="single" w:sz="4" w:space="0" w:color="auto"/>
              <w:bottom w:val="single" w:sz="4" w:space="0" w:color="auto"/>
              <w:right w:val="single" w:sz="4" w:space="0" w:color="auto"/>
            </w:tcBorders>
            <w:vAlign w:val="center"/>
          </w:tcPr>
          <w:p w14:paraId="00078E9B" w14:textId="77777777" w:rsidR="0023106B" w:rsidRPr="0023106B" w:rsidRDefault="0023106B" w:rsidP="0023106B">
            <w:pPr>
              <w:jc w:val="center"/>
              <w:rPr>
                <w:i/>
                <w:color w:val="000000"/>
                <w:sz w:val="16"/>
                <w:szCs w:val="16"/>
              </w:rPr>
            </w:pPr>
          </w:p>
        </w:tc>
        <w:tc>
          <w:tcPr>
            <w:tcW w:w="894" w:type="dxa"/>
            <w:gridSpan w:val="2"/>
            <w:tcBorders>
              <w:top w:val="single" w:sz="4" w:space="0" w:color="auto"/>
              <w:left w:val="single" w:sz="4" w:space="0" w:color="auto"/>
              <w:bottom w:val="single" w:sz="4" w:space="0" w:color="auto"/>
              <w:right w:val="single" w:sz="4" w:space="0" w:color="auto"/>
            </w:tcBorders>
            <w:vAlign w:val="center"/>
            <w:hideMark/>
          </w:tcPr>
          <w:p w14:paraId="3CF68B81" w14:textId="77777777" w:rsidR="0023106B" w:rsidRPr="0023106B" w:rsidRDefault="0023106B" w:rsidP="0023106B">
            <w:pPr>
              <w:jc w:val="center"/>
              <w:rPr>
                <w:i/>
                <w:color w:val="000000"/>
                <w:sz w:val="16"/>
                <w:szCs w:val="16"/>
              </w:rPr>
            </w:pPr>
            <w:r w:rsidRPr="0023106B">
              <w:rPr>
                <w:i/>
                <w:color w:val="000000"/>
                <w:sz w:val="16"/>
                <w:szCs w:val="16"/>
              </w:rPr>
              <w:t>116,3</w:t>
            </w:r>
          </w:p>
        </w:tc>
        <w:tc>
          <w:tcPr>
            <w:tcW w:w="807" w:type="dxa"/>
            <w:tcBorders>
              <w:top w:val="single" w:sz="4" w:space="0" w:color="auto"/>
              <w:left w:val="single" w:sz="4" w:space="0" w:color="auto"/>
              <w:bottom w:val="single" w:sz="4" w:space="0" w:color="auto"/>
              <w:right w:val="single" w:sz="4" w:space="0" w:color="auto"/>
            </w:tcBorders>
            <w:vAlign w:val="center"/>
            <w:hideMark/>
          </w:tcPr>
          <w:p w14:paraId="59529A5F" w14:textId="77777777" w:rsidR="0023106B" w:rsidRPr="0023106B" w:rsidRDefault="0023106B" w:rsidP="0023106B">
            <w:pPr>
              <w:jc w:val="center"/>
              <w:rPr>
                <w:i/>
                <w:color w:val="000000"/>
                <w:sz w:val="16"/>
                <w:szCs w:val="16"/>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50F91311" w14:textId="77777777" w:rsidR="0023106B" w:rsidRPr="0023106B" w:rsidRDefault="0023106B" w:rsidP="0023106B">
            <w:pPr>
              <w:jc w:val="center"/>
              <w:rPr>
                <w:i/>
                <w:color w:val="000000"/>
                <w:sz w:val="16"/>
                <w:szCs w:val="16"/>
              </w:rPr>
            </w:pPr>
            <w:r w:rsidRPr="0023106B">
              <w:rPr>
                <w:i/>
                <w:color w:val="000000"/>
                <w:sz w:val="16"/>
                <w:szCs w:val="16"/>
              </w:rPr>
              <w:t>282,9</w:t>
            </w:r>
          </w:p>
        </w:tc>
      </w:tr>
    </w:tbl>
    <w:p w14:paraId="5B01B3E7" w14:textId="77777777" w:rsidR="0023106B" w:rsidRPr="0041633C" w:rsidRDefault="0023106B" w:rsidP="0023106B">
      <w:pPr>
        <w:ind w:left="851"/>
        <w:rPr>
          <w:i/>
          <w:sz w:val="20"/>
          <w:szCs w:val="20"/>
          <w:lang w:val="lv-LV"/>
        </w:rPr>
      </w:pPr>
      <w:r w:rsidRPr="0041633C">
        <w:rPr>
          <w:i/>
          <w:sz w:val="20"/>
          <w:szCs w:val="20"/>
          <w:lang w:val="lv-LV"/>
        </w:rPr>
        <w:t xml:space="preserve">Avots: </w:t>
      </w:r>
      <w:r>
        <w:rPr>
          <w:i/>
          <w:sz w:val="20"/>
          <w:szCs w:val="20"/>
          <w:lang w:val="lv-LV"/>
        </w:rPr>
        <w:t>CSP</w:t>
      </w:r>
    </w:p>
    <w:p w14:paraId="4A18A3F1" w14:textId="77777777" w:rsidR="00E70D19" w:rsidRPr="00430882" w:rsidRDefault="00E70D19" w:rsidP="00E70D19">
      <w:pPr>
        <w:ind w:firstLine="720"/>
        <w:jc w:val="both"/>
        <w:rPr>
          <w:sz w:val="28"/>
          <w:szCs w:val="28"/>
          <w:lang w:val="lv-LV"/>
        </w:rPr>
      </w:pPr>
      <w:r w:rsidRPr="00430882">
        <w:rPr>
          <w:sz w:val="28"/>
          <w:szCs w:val="28"/>
          <w:lang w:val="lv-LV"/>
        </w:rPr>
        <w:lastRenderedPageBreak/>
        <w:t>1.</w:t>
      </w:r>
      <w:r w:rsidR="005A50D9">
        <w:rPr>
          <w:sz w:val="28"/>
          <w:szCs w:val="28"/>
          <w:lang w:val="lv-LV"/>
        </w:rPr>
        <w:t xml:space="preserve"> b</w:t>
      </w:r>
      <w:r w:rsidR="005A50D9" w:rsidRPr="00430882">
        <w:rPr>
          <w:sz w:val="28"/>
          <w:szCs w:val="28"/>
          <w:lang w:val="lv-LV"/>
        </w:rPr>
        <w:t xml:space="preserve"> </w:t>
      </w:r>
      <w:r w:rsidRPr="00430882">
        <w:rPr>
          <w:sz w:val="28"/>
          <w:szCs w:val="28"/>
          <w:lang w:val="lv-LV"/>
        </w:rPr>
        <w:t xml:space="preserve">tabulā hidroenerģija un vēja enerģija ir normalizēta atbilstoši Direktīvas 2009/28/EK un </w:t>
      </w:r>
      <w:proofErr w:type="spellStart"/>
      <w:r w:rsidRPr="00430882">
        <w:rPr>
          <w:sz w:val="28"/>
          <w:szCs w:val="28"/>
          <w:lang w:val="lv-LV"/>
        </w:rPr>
        <w:t>Eurostat</w:t>
      </w:r>
      <w:proofErr w:type="spellEnd"/>
      <w:r w:rsidRPr="00430882">
        <w:rPr>
          <w:sz w:val="28"/>
          <w:szCs w:val="28"/>
          <w:lang w:val="lv-LV"/>
        </w:rPr>
        <w:t xml:space="preserve"> metodikai. 2012. gadā faktiskā hidroenerģijas ģenerācija bija 3707 </w:t>
      </w:r>
      <w:proofErr w:type="spellStart"/>
      <w:r w:rsidRPr="00430882">
        <w:rPr>
          <w:sz w:val="28"/>
          <w:szCs w:val="28"/>
          <w:lang w:val="lv-LV"/>
        </w:rPr>
        <w:t>GWh</w:t>
      </w:r>
      <w:proofErr w:type="spellEnd"/>
      <w:r>
        <w:rPr>
          <w:sz w:val="28"/>
          <w:szCs w:val="28"/>
          <w:lang w:val="lv-LV"/>
        </w:rPr>
        <w:t xml:space="preserve"> (2011. gadā - 2887 </w:t>
      </w:r>
      <w:proofErr w:type="spellStart"/>
      <w:r>
        <w:rPr>
          <w:sz w:val="28"/>
          <w:szCs w:val="28"/>
          <w:lang w:val="lv-LV"/>
        </w:rPr>
        <w:t>GWh</w:t>
      </w:r>
      <w:proofErr w:type="spellEnd"/>
      <w:r>
        <w:rPr>
          <w:sz w:val="28"/>
          <w:szCs w:val="28"/>
          <w:lang w:val="lv-LV"/>
        </w:rPr>
        <w:t xml:space="preserve"> )</w:t>
      </w:r>
      <w:r w:rsidRPr="00430882">
        <w:rPr>
          <w:sz w:val="28"/>
          <w:szCs w:val="28"/>
          <w:lang w:val="lv-LV"/>
        </w:rPr>
        <w:t xml:space="preserve">, savukārt vēja enerģijas ģenerācija 114 </w:t>
      </w:r>
      <w:proofErr w:type="spellStart"/>
      <w:r w:rsidRPr="00430882">
        <w:rPr>
          <w:sz w:val="28"/>
          <w:szCs w:val="28"/>
          <w:lang w:val="lv-LV"/>
        </w:rPr>
        <w:t>GWh</w:t>
      </w:r>
      <w:proofErr w:type="spellEnd"/>
      <w:r>
        <w:rPr>
          <w:sz w:val="28"/>
          <w:szCs w:val="28"/>
          <w:lang w:val="lv-LV"/>
        </w:rPr>
        <w:t xml:space="preserve"> (2011. gadā - 71 </w:t>
      </w:r>
      <w:proofErr w:type="spellStart"/>
      <w:r>
        <w:rPr>
          <w:sz w:val="28"/>
          <w:szCs w:val="28"/>
          <w:lang w:val="lv-LV"/>
        </w:rPr>
        <w:t>GWh</w:t>
      </w:r>
      <w:proofErr w:type="spellEnd"/>
      <w:r>
        <w:rPr>
          <w:sz w:val="28"/>
          <w:szCs w:val="28"/>
          <w:lang w:val="lv-LV"/>
        </w:rPr>
        <w:t xml:space="preserve"> )</w:t>
      </w:r>
      <w:r w:rsidRPr="00430882">
        <w:rPr>
          <w:sz w:val="28"/>
          <w:szCs w:val="28"/>
          <w:lang w:val="lv-LV"/>
        </w:rPr>
        <w:t xml:space="preserve">. </w:t>
      </w:r>
    </w:p>
    <w:p w14:paraId="2E562819" w14:textId="77777777" w:rsidR="00E70D19" w:rsidRPr="00430882" w:rsidRDefault="00E70D19" w:rsidP="00E70D19">
      <w:pPr>
        <w:ind w:firstLine="720"/>
        <w:jc w:val="both"/>
        <w:rPr>
          <w:color w:val="000000"/>
          <w:sz w:val="28"/>
          <w:szCs w:val="28"/>
          <w:lang w:val="lv-LV"/>
        </w:rPr>
      </w:pPr>
      <w:r w:rsidRPr="00430882">
        <w:rPr>
          <w:sz w:val="28"/>
          <w:szCs w:val="28"/>
          <w:lang w:val="lv-LV"/>
        </w:rPr>
        <w:t xml:space="preserve">Salīdzinot 1.a tabulā norādītos datus, secināms, ka </w:t>
      </w:r>
      <w:r>
        <w:rPr>
          <w:sz w:val="28"/>
          <w:szCs w:val="28"/>
          <w:lang w:val="lv-LV"/>
        </w:rPr>
        <w:t xml:space="preserve">no AER </w:t>
      </w:r>
      <w:r w:rsidRPr="00430882">
        <w:rPr>
          <w:sz w:val="28"/>
          <w:szCs w:val="28"/>
          <w:lang w:val="lv-LV"/>
        </w:rPr>
        <w:t xml:space="preserve">saražotas elektroenerģijas apjoms 2012. gadā ir pieaudzis pret apjomu 2011. gadā, </w:t>
      </w:r>
      <w:r>
        <w:rPr>
          <w:sz w:val="28"/>
          <w:szCs w:val="28"/>
          <w:lang w:val="lv-LV"/>
        </w:rPr>
        <w:t xml:space="preserve">normalizētā </w:t>
      </w:r>
      <w:r w:rsidRPr="00430882">
        <w:rPr>
          <w:sz w:val="28"/>
          <w:szCs w:val="28"/>
          <w:lang w:val="lv-LV"/>
        </w:rPr>
        <w:t xml:space="preserve">vēja enerģijas izstrāde ir palielinājusies no </w:t>
      </w:r>
      <w:r w:rsidRPr="00430882">
        <w:rPr>
          <w:color w:val="000000"/>
          <w:sz w:val="28"/>
          <w:szCs w:val="28"/>
          <w:lang w:val="lv-LV"/>
        </w:rPr>
        <w:t xml:space="preserve">64,6 </w:t>
      </w:r>
      <w:proofErr w:type="spellStart"/>
      <w:r w:rsidRPr="00430882">
        <w:rPr>
          <w:color w:val="000000"/>
          <w:sz w:val="28"/>
          <w:szCs w:val="28"/>
          <w:lang w:val="lv-LV"/>
        </w:rPr>
        <w:t>GWh</w:t>
      </w:r>
      <w:proofErr w:type="spellEnd"/>
      <w:r w:rsidRPr="00430882">
        <w:rPr>
          <w:color w:val="000000"/>
          <w:sz w:val="28"/>
          <w:szCs w:val="28"/>
          <w:lang w:val="lv-LV"/>
        </w:rPr>
        <w:t xml:space="preserve"> līdz 98,4 </w:t>
      </w:r>
      <w:proofErr w:type="spellStart"/>
      <w:r w:rsidRPr="00430882">
        <w:rPr>
          <w:color w:val="000000"/>
          <w:sz w:val="28"/>
          <w:szCs w:val="28"/>
          <w:lang w:val="lv-LV"/>
        </w:rPr>
        <w:t>GWh</w:t>
      </w:r>
      <w:proofErr w:type="spellEnd"/>
      <w:r w:rsidRPr="00430882">
        <w:rPr>
          <w:color w:val="000000"/>
          <w:sz w:val="28"/>
          <w:szCs w:val="28"/>
          <w:lang w:val="lv-LV"/>
        </w:rPr>
        <w:t>, jeb aptuveni par 52%</w:t>
      </w:r>
      <w:r>
        <w:rPr>
          <w:color w:val="000000"/>
          <w:sz w:val="28"/>
          <w:szCs w:val="28"/>
          <w:lang w:val="lv-LV"/>
        </w:rPr>
        <w:t xml:space="preserve">, bet faktiskā izstrāde palielinājās par gandrīz 61%. </w:t>
      </w:r>
      <w:r w:rsidRPr="00430882">
        <w:rPr>
          <w:color w:val="000000"/>
          <w:sz w:val="28"/>
          <w:szCs w:val="28"/>
          <w:lang w:val="lv-LV"/>
        </w:rPr>
        <w:t xml:space="preserve">Šāds pieaugums, galvenokārt bija atkarīgs no labvēlīgiem </w:t>
      </w:r>
      <w:proofErr w:type="spellStart"/>
      <w:r w:rsidRPr="00430882">
        <w:rPr>
          <w:color w:val="000000"/>
          <w:sz w:val="28"/>
          <w:szCs w:val="28"/>
          <w:lang w:val="lv-LV"/>
        </w:rPr>
        <w:t>laikapstākļiem</w:t>
      </w:r>
      <w:proofErr w:type="spellEnd"/>
      <w:r w:rsidRPr="00430882">
        <w:rPr>
          <w:color w:val="000000"/>
          <w:sz w:val="28"/>
          <w:szCs w:val="28"/>
          <w:lang w:val="lv-LV"/>
        </w:rPr>
        <w:t>, kā arī uzstādīto vēja elektrostaciju jaudas pieauguma līdz 59 MW, jeb aptuveni 63% skatoties pret 2011. gadā uzstādītās jaudas apjomu. Savukārt elektroenerģijas izstrāde, izmantojot biomasu (</w:t>
      </w:r>
      <w:proofErr w:type="spellStart"/>
      <w:r w:rsidRPr="00430882">
        <w:rPr>
          <w:color w:val="000000"/>
          <w:sz w:val="28"/>
          <w:szCs w:val="28"/>
          <w:lang w:val="lv-LV"/>
        </w:rPr>
        <w:t>t.sk</w:t>
      </w:r>
      <w:proofErr w:type="spellEnd"/>
      <w:r w:rsidRPr="00430882">
        <w:rPr>
          <w:color w:val="000000"/>
          <w:sz w:val="28"/>
          <w:szCs w:val="28"/>
          <w:lang w:val="lv-LV"/>
        </w:rPr>
        <w:t xml:space="preserve">., arī biogāzi) pieaugusi no 119,4 </w:t>
      </w:r>
      <w:proofErr w:type="spellStart"/>
      <w:r w:rsidRPr="00430882">
        <w:rPr>
          <w:color w:val="000000"/>
          <w:sz w:val="28"/>
          <w:szCs w:val="28"/>
          <w:lang w:val="lv-LV"/>
        </w:rPr>
        <w:t>GWh</w:t>
      </w:r>
      <w:proofErr w:type="spellEnd"/>
      <w:r w:rsidRPr="00430882">
        <w:rPr>
          <w:color w:val="000000"/>
          <w:sz w:val="28"/>
          <w:szCs w:val="28"/>
          <w:lang w:val="lv-LV"/>
        </w:rPr>
        <w:t xml:space="preserve"> 2011. gadā līdz 288,6 </w:t>
      </w:r>
      <w:proofErr w:type="spellStart"/>
      <w:r w:rsidRPr="00430882">
        <w:rPr>
          <w:color w:val="000000"/>
          <w:sz w:val="28"/>
          <w:szCs w:val="28"/>
          <w:lang w:val="lv-LV"/>
        </w:rPr>
        <w:t>GWh</w:t>
      </w:r>
      <w:proofErr w:type="spellEnd"/>
      <w:r w:rsidRPr="00430882">
        <w:rPr>
          <w:color w:val="000000"/>
          <w:sz w:val="28"/>
          <w:szCs w:val="28"/>
          <w:lang w:val="lv-LV"/>
        </w:rPr>
        <w:t xml:space="preserve"> 2012. gadā jeb aptuveni par 141%, kas skaidrojams ar būtisk</w:t>
      </w:r>
      <w:r>
        <w:rPr>
          <w:color w:val="000000"/>
          <w:sz w:val="28"/>
          <w:szCs w:val="28"/>
          <w:lang w:val="lv-LV"/>
        </w:rPr>
        <w:t>u</w:t>
      </w:r>
      <w:r w:rsidRPr="00430882">
        <w:rPr>
          <w:color w:val="000000"/>
          <w:sz w:val="28"/>
          <w:szCs w:val="28"/>
          <w:lang w:val="lv-LV"/>
        </w:rPr>
        <w:t xml:space="preserve"> biomasas (kā arī biogāzes) staciju uzstādīto elektrisko jaudu pieaugumu 36 MW apjomā jeb aptuveni par 120%.</w:t>
      </w:r>
    </w:p>
    <w:p w14:paraId="3A4D0EDD" w14:textId="5A0FA850" w:rsidR="00E70D19" w:rsidRPr="00430882" w:rsidRDefault="001F0921" w:rsidP="00E70D19">
      <w:pPr>
        <w:ind w:firstLine="720"/>
        <w:jc w:val="both"/>
        <w:rPr>
          <w:rStyle w:val="italic1"/>
          <w:i w:val="0"/>
          <w:iCs w:val="0"/>
          <w:sz w:val="28"/>
          <w:szCs w:val="28"/>
          <w:lang w:val="lv-LV"/>
        </w:rPr>
      </w:pPr>
      <w:r>
        <w:rPr>
          <w:rStyle w:val="italic1"/>
          <w:i w:val="0"/>
          <w:iCs w:val="0"/>
          <w:sz w:val="28"/>
          <w:szCs w:val="28"/>
          <w:lang w:val="lv-LV"/>
        </w:rPr>
        <w:t>Salīdzinot</w:t>
      </w:r>
      <w:r w:rsidRPr="00430882">
        <w:rPr>
          <w:rStyle w:val="italic1"/>
          <w:i w:val="0"/>
          <w:iCs w:val="0"/>
          <w:sz w:val="28"/>
          <w:szCs w:val="28"/>
          <w:lang w:val="lv-LV"/>
        </w:rPr>
        <w:t xml:space="preserve"> </w:t>
      </w:r>
      <w:r>
        <w:rPr>
          <w:rStyle w:val="italic1"/>
          <w:i w:val="0"/>
          <w:iCs w:val="0"/>
          <w:sz w:val="28"/>
          <w:szCs w:val="28"/>
          <w:lang w:val="lv-LV"/>
        </w:rPr>
        <w:t>AE</w:t>
      </w:r>
      <w:r w:rsidRPr="00430882">
        <w:rPr>
          <w:rStyle w:val="italic1"/>
          <w:i w:val="0"/>
          <w:iCs w:val="0"/>
          <w:sz w:val="28"/>
          <w:szCs w:val="28"/>
          <w:lang w:val="lv-LV"/>
        </w:rPr>
        <w:t xml:space="preserve"> </w:t>
      </w:r>
      <w:r>
        <w:rPr>
          <w:rStyle w:val="italic1"/>
          <w:i w:val="0"/>
          <w:iCs w:val="0"/>
          <w:sz w:val="28"/>
          <w:szCs w:val="28"/>
          <w:lang w:val="lv-LV"/>
        </w:rPr>
        <w:t>tehnoloģiju elektrostaciju</w:t>
      </w:r>
      <w:r w:rsidR="00E70D19" w:rsidRPr="00430882">
        <w:rPr>
          <w:rStyle w:val="italic1"/>
          <w:i w:val="0"/>
          <w:iCs w:val="0"/>
          <w:sz w:val="28"/>
          <w:szCs w:val="28"/>
          <w:lang w:val="lv-LV"/>
        </w:rPr>
        <w:t xml:space="preserve"> faktiski uzstādīto elektrisko jaudu 2012. gadā pret rīcības plānā prognozēto uzstādītās elektriskās jaudas apjomu 2012. gadā, </w:t>
      </w:r>
      <w:r w:rsidR="002D20D0">
        <w:rPr>
          <w:rStyle w:val="italic1"/>
          <w:i w:val="0"/>
          <w:iCs w:val="0"/>
          <w:sz w:val="28"/>
          <w:szCs w:val="28"/>
          <w:lang w:val="lv-LV"/>
        </w:rPr>
        <w:t xml:space="preserve">vairākām tehnoloģijām </w:t>
      </w:r>
      <w:r w:rsidR="00E70D19" w:rsidRPr="00430882">
        <w:rPr>
          <w:rStyle w:val="italic1"/>
          <w:i w:val="0"/>
          <w:iCs w:val="0"/>
          <w:sz w:val="28"/>
          <w:szCs w:val="28"/>
          <w:lang w:val="lv-LV"/>
        </w:rPr>
        <w:t xml:space="preserve">ir redzams faktiskās uzstādītās elektriskās jaudas </w:t>
      </w:r>
      <w:r w:rsidR="002A6C95">
        <w:rPr>
          <w:rStyle w:val="italic1"/>
          <w:i w:val="0"/>
          <w:iCs w:val="0"/>
          <w:sz w:val="28"/>
          <w:szCs w:val="28"/>
          <w:lang w:val="lv-LV"/>
        </w:rPr>
        <w:t>pārsniegums salīdzinājumā ar plānoto</w:t>
      </w:r>
      <w:r w:rsidR="00E70D19" w:rsidRPr="00430882">
        <w:rPr>
          <w:rStyle w:val="italic1"/>
          <w:i w:val="0"/>
          <w:iCs w:val="0"/>
          <w:sz w:val="28"/>
          <w:szCs w:val="28"/>
          <w:lang w:val="lv-LV"/>
        </w:rPr>
        <w:t>:</w:t>
      </w:r>
    </w:p>
    <w:p w14:paraId="39400E93" w14:textId="77777777" w:rsidR="00E70D19" w:rsidRPr="00430882" w:rsidRDefault="00E70D19" w:rsidP="00E70D19">
      <w:pPr>
        <w:numPr>
          <w:ilvl w:val="0"/>
          <w:numId w:val="27"/>
        </w:numPr>
        <w:jc w:val="both"/>
        <w:rPr>
          <w:rStyle w:val="italic1"/>
          <w:i w:val="0"/>
          <w:iCs w:val="0"/>
          <w:sz w:val="28"/>
          <w:szCs w:val="28"/>
          <w:lang w:val="lv-LV"/>
        </w:rPr>
      </w:pPr>
      <w:r w:rsidRPr="00430882">
        <w:rPr>
          <w:rStyle w:val="italic1"/>
          <w:i w:val="0"/>
          <w:iCs w:val="0"/>
          <w:sz w:val="28"/>
          <w:szCs w:val="28"/>
          <w:lang w:val="lv-LV"/>
        </w:rPr>
        <w:t xml:space="preserve">Hidroelektrostacijām </w:t>
      </w:r>
      <w:r w:rsidRPr="00430882">
        <w:rPr>
          <w:bCs/>
          <w:sz w:val="28"/>
          <w:szCs w:val="28"/>
          <w:lang w:val="lv-LV"/>
        </w:rPr>
        <w:t>–</w:t>
      </w:r>
      <w:r w:rsidRPr="00430882">
        <w:rPr>
          <w:rStyle w:val="italic1"/>
          <w:i w:val="0"/>
          <w:iCs w:val="0"/>
          <w:sz w:val="28"/>
          <w:szCs w:val="28"/>
          <w:lang w:val="lv-LV"/>
        </w:rPr>
        <w:t xml:space="preserve"> (plānots rīcības plānā – </w:t>
      </w:r>
      <w:r w:rsidRPr="00430882">
        <w:rPr>
          <w:bCs/>
          <w:sz w:val="28"/>
          <w:szCs w:val="28"/>
          <w:lang w:val="lv-LV"/>
        </w:rPr>
        <w:t xml:space="preserve">1536 MW, faktiskā uzstādītā elektriskā jauda 2012. gadā – </w:t>
      </w:r>
      <w:r w:rsidRPr="00430882">
        <w:rPr>
          <w:color w:val="000000"/>
          <w:sz w:val="28"/>
          <w:szCs w:val="28"/>
          <w:lang w:val="lv-LV"/>
        </w:rPr>
        <w:t>1576 MW</w:t>
      </w:r>
      <w:r w:rsidRPr="00430882">
        <w:rPr>
          <w:rStyle w:val="italic1"/>
          <w:i w:val="0"/>
          <w:iCs w:val="0"/>
          <w:sz w:val="28"/>
          <w:szCs w:val="28"/>
          <w:lang w:val="lv-LV"/>
        </w:rPr>
        <w:t>);</w:t>
      </w:r>
    </w:p>
    <w:p w14:paraId="697BF285" w14:textId="77777777" w:rsidR="00E70D19" w:rsidRPr="00430882" w:rsidRDefault="00E70D19" w:rsidP="00E70D19">
      <w:pPr>
        <w:numPr>
          <w:ilvl w:val="0"/>
          <w:numId w:val="27"/>
        </w:numPr>
        <w:jc w:val="both"/>
        <w:rPr>
          <w:rStyle w:val="italic1"/>
          <w:i w:val="0"/>
          <w:iCs w:val="0"/>
          <w:sz w:val="28"/>
          <w:szCs w:val="28"/>
          <w:lang w:val="lv-LV"/>
        </w:rPr>
      </w:pPr>
      <w:r w:rsidRPr="00430882">
        <w:rPr>
          <w:rStyle w:val="italic1"/>
          <w:i w:val="0"/>
          <w:iCs w:val="0"/>
          <w:sz w:val="28"/>
          <w:szCs w:val="28"/>
          <w:lang w:val="lv-LV"/>
        </w:rPr>
        <w:t xml:space="preserve">Vēja elektrostacijām </w:t>
      </w:r>
      <w:r w:rsidRPr="00430882">
        <w:rPr>
          <w:bCs/>
          <w:sz w:val="28"/>
          <w:szCs w:val="28"/>
          <w:lang w:val="lv-LV"/>
        </w:rPr>
        <w:t>–</w:t>
      </w:r>
      <w:r w:rsidRPr="00430882">
        <w:rPr>
          <w:rStyle w:val="italic1"/>
          <w:i w:val="0"/>
          <w:iCs w:val="0"/>
          <w:sz w:val="28"/>
          <w:szCs w:val="28"/>
          <w:lang w:val="lv-LV"/>
        </w:rPr>
        <w:t xml:space="preserve"> (plānots rīcības plānā – </w:t>
      </w:r>
      <w:r w:rsidRPr="00430882">
        <w:rPr>
          <w:sz w:val="28"/>
          <w:szCs w:val="28"/>
          <w:lang w:val="lv-LV" w:eastAsia="lv-LV"/>
        </w:rPr>
        <w:t>49</w:t>
      </w:r>
      <w:r w:rsidRPr="00430882">
        <w:rPr>
          <w:bCs/>
          <w:sz w:val="28"/>
          <w:szCs w:val="28"/>
          <w:lang w:val="lv-LV"/>
        </w:rPr>
        <w:t xml:space="preserve"> MW, faktiskā uzstādītā elektriskā jauda 2012. gadā – </w:t>
      </w:r>
      <w:r w:rsidRPr="00430882">
        <w:rPr>
          <w:iCs/>
          <w:color w:val="000000"/>
          <w:sz w:val="28"/>
          <w:szCs w:val="28"/>
          <w:lang w:val="lv-LV"/>
        </w:rPr>
        <w:t>59</w:t>
      </w:r>
      <w:r w:rsidRPr="00430882">
        <w:rPr>
          <w:color w:val="000000"/>
          <w:sz w:val="28"/>
          <w:szCs w:val="28"/>
          <w:lang w:val="lv-LV"/>
        </w:rPr>
        <w:t xml:space="preserve"> MW</w:t>
      </w:r>
      <w:r w:rsidRPr="00430882">
        <w:rPr>
          <w:rStyle w:val="italic1"/>
          <w:i w:val="0"/>
          <w:iCs w:val="0"/>
          <w:sz w:val="28"/>
          <w:szCs w:val="28"/>
          <w:lang w:val="lv-LV"/>
        </w:rPr>
        <w:t>);</w:t>
      </w:r>
    </w:p>
    <w:p w14:paraId="5313BF58" w14:textId="77777777" w:rsidR="00E70D19" w:rsidRPr="00430882" w:rsidRDefault="00E70D19" w:rsidP="00E70D19">
      <w:pPr>
        <w:numPr>
          <w:ilvl w:val="0"/>
          <w:numId w:val="27"/>
        </w:numPr>
        <w:jc w:val="both"/>
        <w:rPr>
          <w:rStyle w:val="italic1"/>
          <w:i w:val="0"/>
          <w:iCs w:val="0"/>
          <w:sz w:val="28"/>
          <w:szCs w:val="28"/>
          <w:lang w:val="lv-LV"/>
        </w:rPr>
      </w:pPr>
      <w:r w:rsidRPr="00430882">
        <w:rPr>
          <w:rStyle w:val="italic1"/>
          <w:i w:val="0"/>
          <w:iCs w:val="0"/>
          <w:sz w:val="28"/>
          <w:szCs w:val="28"/>
          <w:lang w:val="lv-LV"/>
        </w:rPr>
        <w:t>Biomasas (</w:t>
      </w:r>
      <w:proofErr w:type="spellStart"/>
      <w:r w:rsidRPr="00430882">
        <w:rPr>
          <w:rStyle w:val="italic1"/>
          <w:i w:val="0"/>
          <w:iCs w:val="0"/>
          <w:sz w:val="28"/>
          <w:szCs w:val="28"/>
          <w:lang w:val="lv-LV"/>
        </w:rPr>
        <w:t>t.sk</w:t>
      </w:r>
      <w:proofErr w:type="spellEnd"/>
      <w:r w:rsidRPr="00430882">
        <w:rPr>
          <w:rStyle w:val="italic1"/>
          <w:i w:val="0"/>
          <w:iCs w:val="0"/>
          <w:sz w:val="28"/>
          <w:szCs w:val="28"/>
          <w:lang w:val="lv-LV"/>
        </w:rPr>
        <w:t xml:space="preserve">., biogāzes) elektrostacijām </w:t>
      </w:r>
      <w:r w:rsidRPr="00430882">
        <w:rPr>
          <w:bCs/>
          <w:sz w:val="28"/>
          <w:szCs w:val="28"/>
          <w:lang w:val="lv-LV"/>
        </w:rPr>
        <w:t>–</w:t>
      </w:r>
      <w:r w:rsidRPr="00430882">
        <w:rPr>
          <w:rStyle w:val="italic1"/>
          <w:i w:val="0"/>
          <w:iCs w:val="0"/>
          <w:sz w:val="28"/>
          <w:szCs w:val="28"/>
          <w:lang w:val="lv-LV"/>
        </w:rPr>
        <w:t xml:space="preserve"> (plānots rīcības plānā – </w:t>
      </w:r>
      <w:r w:rsidRPr="00430882">
        <w:rPr>
          <w:sz w:val="28"/>
          <w:szCs w:val="28"/>
          <w:lang w:val="lv-LV" w:eastAsia="lv-LV"/>
        </w:rPr>
        <w:t>39</w:t>
      </w:r>
      <w:r w:rsidRPr="00430882">
        <w:rPr>
          <w:bCs/>
          <w:sz w:val="28"/>
          <w:szCs w:val="28"/>
          <w:lang w:val="lv-LV"/>
        </w:rPr>
        <w:t xml:space="preserve"> MW, faktiskā uzstādītā elektriskā jauda 2012. gadā – </w:t>
      </w:r>
      <w:r w:rsidRPr="00430882">
        <w:rPr>
          <w:color w:val="000000"/>
          <w:sz w:val="28"/>
          <w:szCs w:val="28"/>
          <w:lang w:val="lv-LV"/>
        </w:rPr>
        <w:t>66 MW</w:t>
      </w:r>
      <w:r w:rsidRPr="00430882">
        <w:rPr>
          <w:rStyle w:val="italic1"/>
          <w:i w:val="0"/>
          <w:iCs w:val="0"/>
          <w:sz w:val="28"/>
          <w:szCs w:val="28"/>
          <w:lang w:val="lv-LV"/>
        </w:rPr>
        <w:t>).</w:t>
      </w:r>
    </w:p>
    <w:p w14:paraId="2A94D83D" w14:textId="77777777" w:rsidR="001F0921" w:rsidRDefault="002D20D0" w:rsidP="002D20D0">
      <w:pPr>
        <w:ind w:firstLine="709"/>
        <w:jc w:val="both"/>
        <w:rPr>
          <w:rStyle w:val="italic1"/>
          <w:i w:val="0"/>
          <w:iCs w:val="0"/>
          <w:sz w:val="28"/>
          <w:szCs w:val="28"/>
          <w:lang w:val="lv-LV"/>
        </w:rPr>
      </w:pPr>
      <w:r>
        <w:rPr>
          <w:rStyle w:val="italic1"/>
          <w:i w:val="0"/>
          <w:iCs w:val="0"/>
          <w:sz w:val="28"/>
          <w:szCs w:val="28"/>
          <w:lang w:val="lv-LV"/>
        </w:rPr>
        <w:t xml:space="preserve">Vienīgā AE tehnoloģija, kuras uzstādītā jauda atpaliek no rīcības plānā paredzētā ir saules fotoelementu elektrostacija (rīcības plānā 2012. gadā plānots – 1 MW). 2009. gadā Ekonomikas ministrija piešķīra tiesības pārdot elektroenerģiju obligātā iepirkuma ietvaros </w:t>
      </w:r>
      <w:r w:rsidR="0031090E">
        <w:rPr>
          <w:rStyle w:val="italic1"/>
          <w:i w:val="0"/>
          <w:iCs w:val="0"/>
          <w:sz w:val="28"/>
          <w:szCs w:val="28"/>
          <w:lang w:val="lv-LV"/>
        </w:rPr>
        <w:t>2 komersantiem par kopējo uzstādīto jaudu 0,91 MW, taču komersanti noteiktajā termiņā šīs tiesības neīstenoja un lēmumi tika atcelti.</w:t>
      </w:r>
    </w:p>
    <w:p w14:paraId="1F5B81B6" w14:textId="627811BE" w:rsidR="00AC70A1" w:rsidRPr="001C38D7" w:rsidRDefault="00AC70A1" w:rsidP="00AC70A1">
      <w:pPr>
        <w:ind w:firstLine="709"/>
        <w:jc w:val="both"/>
        <w:rPr>
          <w:sz w:val="28"/>
          <w:szCs w:val="28"/>
          <w:lang w:val="lv-LV"/>
        </w:rPr>
      </w:pPr>
      <w:r w:rsidRPr="001C38D7">
        <w:rPr>
          <w:sz w:val="28"/>
          <w:szCs w:val="28"/>
          <w:lang w:val="lv-LV"/>
        </w:rPr>
        <w:t xml:space="preserve">Saules enerģija Latvijā tiek izmantota pārsvarā mājsaimniecību sektorā. Datus par enerģijas ražošanu mājsaimniecībās CSP iegūst no </w:t>
      </w:r>
      <w:r w:rsidR="00FC4C07" w:rsidRPr="001C38D7">
        <w:rPr>
          <w:sz w:val="28"/>
          <w:szCs w:val="28"/>
          <w:lang w:val="lv-LV"/>
        </w:rPr>
        <w:t xml:space="preserve">mājsaimniecību </w:t>
      </w:r>
      <w:r w:rsidRPr="001C38D7">
        <w:rPr>
          <w:sz w:val="28"/>
          <w:szCs w:val="28"/>
          <w:lang w:val="lv-LV"/>
        </w:rPr>
        <w:t xml:space="preserve">apsekojuma, kas tiek veikts </w:t>
      </w:r>
      <w:r w:rsidR="00FC4C07" w:rsidRPr="001C38D7">
        <w:rPr>
          <w:sz w:val="28"/>
          <w:szCs w:val="28"/>
          <w:lang w:val="lv-LV"/>
        </w:rPr>
        <w:t xml:space="preserve">reizi piecos gados. Nākošais mājsaimniecību apsekojums tiks veikts 2016. gadā (par 2015. gadu). </w:t>
      </w:r>
      <w:r w:rsidRPr="001C38D7">
        <w:rPr>
          <w:sz w:val="28"/>
          <w:szCs w:val="28"/>
          <w:lang w:val="lv-LV"/>
        </w:rPr>
        <w:t xml:space="preserve">Pēc Saules enerģijas asociācijas datiem Latvijā šobrīd ir uzstādītas šādas saules enerģiju izmantojošas jaudas: saules elektrostacijas, kas pieslēgtas tīklam, – aptuveni 668 </w:t>
      </w:r>
      <w:proofErr w:type="spellStart"/>
      <w:r w:rsidRPr="001C38D7">
        <w:rPr>
          <w:sz w:val="28"/>
          <w:szCs w:val="28"/>
          <w:lang w:val="lv-LV"/>
        </w:rPr>
        <w:t>kW</w:t>
      </w:r>
      <w:r w:rsidRPr="001C38D7">
        <w:rPr>
          <w:sz w:val="28"/>
          <w:szCs w:val="28"/>
          <w:vertAlign w:val="subscript"/>
          <w:lang w:val="lv-LV"/>
        </w:rPr>
        <w:t>p</w:t>
      </w:r>
      <w:proofErr w:type="spellEnd"/>
      <w:r w:rsidRPr="001C38D7">
        <w:rPr>
          <w:sz w:val="28"/>
          <w:szCs w:val="28"/>
          <w:lang w:val="lv-LV"/>
        </w:rPr>
        <w:t xml:space="preserve">; autonomās saules elektrostacijas – aptuveni 37 </w:t>
      </w:r>
      <w:proofErr w:type="spellStart"/>
      <w:r w:rsidRPr="001C38D7">
        <w:rPr>
          <w:sz w:val="28"/>
          <w:szCs w:val="28"/>
          <w:lang w:val="lv-LV"/>
        </w:rPr>
        <w:t>kW</w:t>
      </w:r>
      <w:r w:rsidRPr="001C38D7">
        <w:rPr>
          <w:sz w:val="28"/>
          <w:szCs w:val="28"/>
          <w:vertAlign w:val="subscript"/>
          <w:lang w:val="lv-LV"/>
        </w:rPr>
        <w:t>p</w:t>
      </w:r>
      <w:proofErr w:type="spellEnd"/>
      <w:r w:rsidRPr="001C38D7">
        <w:rPr>
          <w:sz w:val="28"/>
          <w:szCs w:val="28"/>
          <w:lang w:val="lv-LV"/>
        </w:rPr>
        <w:t xml:space="preserve">; saules termiskās stacijas (kolektori) – virs 800 </w:t>
      </w:r>
      <w:proofErr w:type="spellStart"/>
      <w:r w:rsidRPr="001C38D7">
        <w:rPr>
          <w:sz w:val="28"/>
          <w:szCs w:val="28"/>
          <w:lang w:val="lv-LV"/>
        </w:rPr>
        <w:t>kW</w:t>
      </w:r>
      <w:r w:rsidRPr="001C38D7">
        <w:rPr>
          <w:sz w:val="28"/>
          <w:szCs w:val="28"/>
          <w:vertAlign w:val="subscript"/>
          <w:lang w:val="lv-LV"/>
        </w:rPr>
        <w:t>th</w:t>
      </w:r>
      <w:proofErr w:type="spellEnd"/>
      <w:r w:rsidRPr="001C38D7">
        <w:rPr>
          <w:sz w:val="28"/>
          <w:szCs w:val="28"/>
          <w:lang w:val="lv-LV"/>
        </w:rPr>
        <w:t xml:space="preserve">. Ņemot vērā, ka Saules enerģijas asociācijas biedri nav visi šīs jomas uzņēmumi un eksperti, kopējās jaudas elektroenerģijas un siltumenerģijas ražošanas </w:t>
      </w:r>
      <w:r w:rsidR="00FC4C07" w:rsidRPr="001C38D7">
        <w:rPr>
          <w:sz w:val="28"/>
          <w:szCs w:val="28"/>
          <w:lang w:val="lv-LV"/>
        </w:rPr>
        <w:t>no saules enerģijas varētu būt</w:t>
      </w:r>
      <w:r w:rsidRPr="001C38D7">
        <w:rPr>
          <w:sz w:val="28"/>
          <w:szCs w:val="28"/>
          <w:lang w:val="lv-LV"/>
        </w:rPr>
        <w:t xml:space="preserve"> lielākas.</w:t>
      </w:r>
    </w:p>
    <w:p w14:paraId="31B406DD" w14:textId="2BD40F07" w:rsidR="00FC4C07" w:rsidRPr="001C38D7" w:rsidRDefault="00B46C68" w:rsidP="0025399B">
      <w:pPr>
        <w:ind w:firstLine="709"/>
        <w:jc w:val="both"/>
        <w:rPr>
          <w:sz w:val="28"/>
          <w:szCs w:val="28"/>
          <w:lang w:val="lv-LV"/>
        </w:rPr>
      </w:pPr>
      <w:r w:rsidRPr="001C38D7">
        <w:rPr>
          <w:sz w:val="28"/>
          <w:szCs w:val="28"/>
          <w:lang w:val="lv-LV"/>
        </w:rPr>
        <w:t xml:space="preserve">Latvijā siltumapgādē izmanto arī </w:t>
      </w:r>
      <w:proofErr w:type="spellStart"/>
      <w:r w:rsidRPr="001C38D7">
        <w:rPr>
          <w:sz w:val="28"/>
          <w:szCs w:val="28"/>
          <w:lang w:val="lv-LV"/>
        </w:rPr>
        <w:t>siltumsūkņus</w:t>
      </w:r>
      <w:proofErr w:type="spellEnd"/>
      <w:r w:rsidRPr="001C38D7">
        <w:rPr>
          <w:sz w:val="28"/>
          <w:szCs w:val="28"/>
          <w:lang w:val="lv-LV"/>
        </w:rPr>
        <w:t xml:space="preserve">, taču precīzi dati par to kopējo uzstādīto jaudu un saražoto enerģiju </w:t>
      </w:r>
      <w:r w:rsidR="0025399B" w:rsidRPr="001C38D7">
        <w:rPr>
          <w:sz w:val="28"/>
          <w:szCs w:val="28"/>
          <w:lang w:val="lv-LV"/>
        </w:rPr>
        <w:t xml:space="preserve">statistikā </w:t>
      </w:r>
      <w:r w:rsidRPr="001C38D7">
        <w:rPr>
          <w:sz w:val="28"/>
          <w:szCs w:val="28"/>
          <w:lang w:val="lv-LV"/>
        </w:rPr>
        <w:t>nav pieejami.</w:t>
      </w:r>
      <w:r w:rsidR="0025399B" w:rsidRPr="001C38D7">
        <w:rPr>
          <w:sz w:val="28"/>
          <w:szCs w:val="28"/>
          <w:lang w:val="lv-LV"/>
        </w:rPr>
        <w:t xml:space="preserve"> </w:t>
      </w:r>
    </w:p>
    <w:p w14:paraId="1F13C30A" w14:textId="77777777" w:rsidR="00C6119E" w:rsidRDefault="00C6119E" w:rsidP="00C6119E">
      <w:pPr>
        <w:tabs>
          <w:tab w:val="left" w:pos="2340"/>
        </w:tabs>
        <w:jc w:val="right"/>
        <w:rPr>
          <w:rStyle w:val="italic1"/>
          <w:b/>
          <w:iCs w:val="0"/>
          <w:sz w:val="20"/>
          <w:lang w:val="lv-LV"/>
        </w:rPr>
      </w:pPr>
      <w:r>
        <w:rPr>
          <w:rStyle w:val="italic1"/>
          <w:b/>
          <w:iCs w:val="0"/>
          <w:sz w:val="20"/>
          <w:lang w:val="lv-LV"/>
        </w:rPr>
        <w:lastRenderedPageBreak/>
        <w:t>1.c tabula</w:t>
      </w:r>
    </w:p>
    <w:p w14:paraId="542E1A11" w14:textId="77777777" w:rsidR="00820C75" w:rsidRPr="009E538B" w:rsidRDefault="00820C75" w:rsidP="00C6119E">
      <w:pPr>
        <w:tabs>
          <w:tab w:val="left" w:pos="2340"/>
        </w:tabs>
        <w:jc w:val="center"/>
        <w:rPr>
          <w:rStyle w:val="italic1"/>
          <w:b/>
          <w:iCs w:val="0"/>
          <w:lang w:val="lv-LV"/>
        </w:rPr>
      </w:pPr>
      <w:r>
        <w:rPr>
          <w:b/>
          <w:sz w:val="20"/>
          <w:lang w:val="lv-LV"/>
        </w:rPr>
        <w:t>Kopējais faktiskais ieguldījums (enerģijas galapatēriņš</w:t>
      </w:r>
      <w:r>
        <w:rPr>
          <w:rStyle w:val="FootnoteReference"/>
          <w:sz w:val="20"/>
          <w:lang w:val="lv-LV"/>
        </w:rPr>
        <w:footnoteReference w:id="11"/>
      </w:r>
      <w:r>
        <w:rPr>
          <w:b/>
          <w:sz w:val="20"/>
          <w:lang w:val="lv-LV"/>
        </w:rPr>
        <w:t xml:space="preserve">) no katras atjaunojamās enerģijas tehnoloģijas, lai sasniegtu obligātos 2020. gada mērķus un indikatīvās starpposma līknes rādītājus attiecībā uz atjaunojamo energoresursu enerģijas īpatsvaru </w:t>
      </w:r>
      <w:r>
        <w:rPr>
          <w:b/>
          <w:sz w:val="20"/>
          <w:u w:val="single"/>
          <w:lang w:val="lv-LV"/>
        </w:rPr>
        <w:t>apsildē un dzesēšanā</w:t>
      </w:r>
      <w:r>
        <w:rPr>
          <w:b/>
          <w:sz w:val="20"/>
          <w:lang w:val="lv-LV"/>
        </w:rPr>
        <w:t xml:space="preserve"> (</w:t>
      </w:r>
      <w:proofErr w:type="spellStart"/>
      <w:r>
        <w:rPr>
          <w:b/>
          <w:sz w:val="20"/>
          <w:lang w:val="lv-LV"/>
        </w:rPr>
        <w:t>tūkst</w:t>
      </w:r>
      <w:proofErr w:type="spellEnd"/>
      <w:r>
        <w:rPr>
          <w:b/>
          <w:sz w:val="20"/>
          <w:lang w:val="lv-LV"/>
        </w:rPr>
        <w:t xml:space="preserve">. tonnu naftas </w:t>
      </w:r>
      <w:proofErr w:type="spellStart"/>
      <w:r>
        <w:rPr>
          <w:b/>
          <w:sz w:val="20"/>
          <w:lang w:val="lv-LV"/>
        </w:rPr>
        <w:t>ekv</w:t>
      </w:r>
      <w:proofErr w:type="spellEnd"/>
      <w:r>
        <w:rPr>
          <w:b/>
          <w:sz w:val="20"/>
          <w:lang w:val="lv-LV"/>
        </w:rPr>
        <w:t>.)</w:t>
      </w:r>
      <w:r>
        <w:rPr>
          <w:b/>
          <w:i/>
          <w:vanish/>
          <w:color w:val="800080"/>
          <w:vertAlign w:val="subscript"/>
          <w:lang w:val="lv-LV"/>
        </w:rPr>
        <w:t xml:space="preserve"> </w:t>
      </w:r>
    </w:p>
    <w:p w14:paraId="07AAEA4D" w14:textId="77777777" w:rsidR="00820C75" w:rsidRPr="009E538B" w:rsidRDefault="00820C75">
      <w:pPr>
        <w:tabs>
          <w:tab w:val="left" w:pos="2340"/>
        </w:tabs>
        <w:rPr>
          <w:rStyle w:val="italic1"/>
          <w:b/>
          <w:iCs w:val="0"/>
          <w:sz w:val="20"/>
          <w:lang w:val="lv-LV"/>
        </w:rPr>
      </w:pPr>
    </w:p>
    <w:tbl>
      <w:tblPr>
        <w:tblW w:w="6843" w:type="dxa"/>
        <w:jc w:val="center"/>
        <w:tblInd w:w="-1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5"/>
        <w:gridCol w:w="1557"/>
        <w:gridCol w:w="1721"/>
      </w:tblGrid>
      <w:tr w:rsidR="006C6FB4" w14:paraId="53858BFF" w14:textId="77777777" w:rsidTr="002B7079">
        <w:trPr>
          <w:trHeight w:val="141"/>
          <w:jc w:val="center"/>
        </w:trPr>
        <w:tc>
          <w:tcPr>
            <w:tcW w:w="3565" w:type="dxa"/>
            <w:shd w:val="clear" w:color="auto" w:fill="E6E6E6"/>
          </w:tcPr>
          <w:p w14:paraId="42EB4392" w14:textId="77777777" w:rsidR="006C6FB4" w:rsidRPr="009E538B" w:rsidRDefault="006C6FB4">
            <w:pPr>
              <w:jc w:val="center"/>
              <w:rPr>
                <w:i/>
                <w:sz w:val="16"/>
                <w:lang w:val="lv-LV"/>
              </w:rPr>
            </w:pPr>
          </w:p>
        </w:tc>
        <w:tc>
          <w:tcPr>
            <w:tcW w:w="1557" w:type="dxa"/>
            <w:shd w:val="clear" w:color="auto" w:fill="E6E6E6"/>
          </w:tcPr>
          <w:p w14:paraId="568C0956" w14:textId="77777777" w:rsidR="006C6FB4" w:rsidRDefault="006C6FB4" w:rsidP="005272C8">
            <w:pPr>
              <w:jc w:val="center"/>
              <w:rPr>
                <w:rStyle w:val="italic1"/>
                <w:i w:val="0"/>
                <w:iCs w:val="0"/>
              </w:rPr>
            </w:pPr>
            <w:r>
              <w:rPr>
                <w:rStyle w:val="italic1"/>
                <w:b/>
                <w:i w:val="0"/>
                <w:iCs w:val="0"/>
                <w:sz w:val="16"/>
                <w:lang w:val="lv-LV"/>
              </w:rPr>
              <w:t>2011</w:t>
            </w:r>
            <w:r>
              <w:rPr>
                <w:rStyle w:val="italic1"/>
                <w:b/>
                <w:i w:val="0"/>
                <w:iCs w:val="0"/>
                <w:sz w:val="16"/>
              </w:rPr>
              <w:t xml:space="preserve"> </w:t>
            </w:r>
          </w:p>
        </w:tc>
        <w:tc>
          <w:tcPr>
            <w:tcW w:w="1721" w:type="dxa"/>
            <w:shd w:val="clear" w:color="auto" w:fill="E6E6E6"/>
          </w:tcPr>
          <w:p w14:paraId="554F0527" w14:textId="77777777" w:rsidR="006C6FB4" w:rsidRDefault="007B1DFD" w:rsidP="007B1DFD">
            <w:pPr>
              <w:jc w:val="center"/>
              <w:rPr>
                <w:rStyle w:val="italic1"/>
                <w:i w:val="0"/>
                <w:iCs w:val="0"/>
              </w:rPr>
            </w:pPr>
            <w:r>
              <w:rPr>
                <w:rStyle w:val="italic1"/>
                <w:b/>
                <w:i w:val="0"/>
                <w:iCs w:val="0"/>
                <w:sz w:val="16"/>
                <w:lang w:val="lv-LV"/>
              </w:rPr>
              <w:t>2012</w:t>
            </w:r>
            <w:r w:rsidR="006C6FB4">
              <w:rPr>
                <w:rStyle w:val="italic1"/>
                <w:b/>
                <w:i w:val="0"/>
                <w:iCs w:val="0"/>
                <w:sz w:val="16"/>
              </w:rPr>
              <w:t xml:space="preserve"> </w:t>
            </w:r>
          </w:p>
        </w:tc>
      </w:tr>
      <w:tr w:rsidR="002B7079" w14:paraId="34AF059C" w14:textId="77777777" w:rsidTr="002B7079">
        <w:trPr>
          <w:trHeight w:val="244"/>
          <w:jc w:val="center"/>
        </w:trPr>
        <w:tc>
          <w:tcPr>
            <w:tcW w:w="3565" w:type="dxa"/>
          </w:tcPr>
          <w:p w14:paraId="4558A5E1" w14:textId="77777777" w:rsidR="002B7079" w:rsidRPr="002B7079" w:rsidRDefault="002B7079">
            <w:pPr>
              <w:rPr>
                <w:rStyle w:val="italic1"/>
                <w:i w:val="0"/>
                <w:iCs w:val="0"/>
                <w:sz w:val="16"/>
                <w:szCs w:val="16"/>
              </w:rPr>
            </w:pPr>
            <w:r w:rsidRPr="002B7079">
              <w:rPr>
                <w:rStyle w:val="italic1"/>
                <w:i w:val="0"/>
                <w:iCs w:val="0"/>
                <w:sz w:val="16"/>
                <w:szCs w:val="16"/>
                <w:lang w:val="lv-LV"/>
              </w:rPr>
              <w:t xml:space="preserve">Ģeotermālā enerģija (neskaitot zemas temperatūras ģeotermālo enerģiju </w:t>
            </w:r>
            <w:proofErr w:type="spellStart"/>
            <w:r w:rsidRPr="002B7079">
              <w:rPr>
                <w:rStyle w:val="italic1"/>
                <w:i w:val="0"/>
                <w:iCs w:val="0"/>
                <w:sz w:val="16"/>
                <w:szCs w:val="16"/>
                <w:lang w:val="lv-LV"/>
              </w:rPr>
              <w:t>siltumsūkņiem</w:t>
            </w:r>
            <w:proofErr w:type="spellEnd"/>
            <w:r w:rsidRPr="002B7079">
              <w:rPr>
                <w:rStyle w:val="italic1"/>
                <w:i w:val="0"/>
                <w:iCs w:val="0"/>
                <w:sz w:val="16"/>
                <w:szCs w:val="16"/>
                <w:lang w:val="lv-LV"/>
              </w:rPr>
              <w:t>)</w:t>
            </w:r>
          </w:p>
        </w:tc>
        <w:tc>
          <w:tcPr>
            <w:tcW w:w="1557" w:type="dxa"/>
          </w:tcPr>
          <w:p w14:paraId="74E08652" w14:textId="77777777" w:rsidR="002B7079" w:rsidRPr="002B7079" w:rsidRDefault="002B7079" w:rsidP="002B7079">
            <w:pPr>
              <w:jc w:val="center"/>
              <w:rPr>
                <w:sz w:val="16"/>
                <w:szCs w:val="16"/>
              </w:rPr>
            </w:pPr>
            <w:r w:rsidRPr="002B7079">
              <w:rPr>
                <w:sz w:val="16"/>
                <w:szCs w:val="16"/>
              </w:rPr>
              <w:t>0</w:t>
            </w:r>
          </w:p>
        </w:tc>
        <w:tc>
          <w:tcPr>
            <w:tcW w:w="1721" w:type="dxa"/>
          </w:tcPr>
          <w:p w14:paraId="648DF2F8" w14:textId="77777777" w:rsidR="002B7079" w:rsidRPr="002B7079" w:rsidRDefault="002B7079" w:rsidP="002B7079">
            <w:pPr>
              <w:jc w:val="center"/>
              <w:rPr>
                <w:sz w:val="16"/>
                <w:szCs w:val="16"/>
              </w:rPr>
            </w:pPr>
            <w:r w:rsidRPr="002B7079">
              <w:rPr>
                <w:sz w:val="16"/>
                <w:szCs w:val="16"/>
              </w:rPr>
              <w:t>0</w:t>
            </w:r>
          </w:p>
        </w:tc>
      </w:tr>
      <w:tr w:rsidR="002B7079" w14:paraId="50C9906C" w14:textId="77777777" w:rsidTr="002B7079">
        <w:trPr>
          <w:jc w:val="center"/>
        </w:trPr>
        <w:tc>
          <w:tcPr>
            <w:tcW w:w="3565" w:type="dxa"/>
          </w:tcPr>
          <w:p w14:paraId="397712A1" w14:textId="77777777" w:rsidR="002B7079" w:rsidRPr="002B7079" w:rsidRDefault="002B7079">
            <w:pPr>
              <w:rPr>
                <w:rStyle w:val="italic1"/>
                <w:i w:val="0"/>
                <w:iCs w:val="0"/>
                <w:sz w:val="16"/>
                <w:szCs w:val="16"/>
              </w:rPr>
            </w:pPr>
            <w:r w:rsidRPr="002B7079">
              <w:rPr>
                <w:rStyle w:val="italic1"/>
                <w:i w:val="0"/>
                <w:iCs w:val="0"/>
                <w:sz w:val="16"/>
                <w:szCs w:val="16"/>
                <w:lang w:val="lv-LV"/>
              </w:rPr>
              <w:t>Saules enerģija</w:t>
            </w:r>
          </w:p>
        </w:tc>
        <w:tc>
          <w:tcPr>
            <w:tcW w:w="1557" w:type="dxa"/>
          </w:tcPr>
          <w:p w14:paraId="281285FA" w14:textId="1203AD18" w:rsidR="002B7079" w:rsidRPr="0025399B" w:rsidRDefault="0025399B" w:rsidP="002B7079">
            <w:pPr>
              <w:jc w:val="center"/>
              <w:rPr>
                <w:sz w:val="16"/>
                <w:szCs w:val="16"/>
              </w:rPr>
            </w:pPr>
            <w:r w:rsidRPr="006911BA">
              <w:rPr>
                <w:sz w:val="16"/>
                <w:szCs w:val="16"/>
              </w:rPr>
              <w:t>...</w:t>
            </w:r>
            <w:r w:rsidRPr="006911BA">
              <w:rPr>
                <w:rStyle w:val="FootnoteReference"/>
                <w:b/>
                <w:sz w:val="16"/>
                <w:szCs w:val="16"/>
              </w:rPr>
              <w:t xml:space="preserve"> </w:t>
            </w:r>
            <w:r w:rsidRPr="006911BA">
              <w:rPr>
                <w:rStyle w:val="FootnoteReference"/>
                <w:b/>
                <w:sz w:val="16"/>
                <w:szCs w:val="16"/>
              </w:rPr>
              <w:footnoteReference w:id="12"/>
            </w:r>
          </w:p>
        </w:tc>
        <w:tc>
          <w:tcPr>
            <w:tcW w:w="1721" w:type="dxa"/>
          </w:tcPr>
          <w:p w14:paraId="69AA9957" w14:textId="321434EE" w:rsidR="002B7079" w:rsidRPr="002B7079" w:rsidRDefault="0025399B" w:rsidP="002B7079">
            <w:pPr>
              <w:jc w:val="center"/>
              <w:rPr>
                <w:sz w:val="16"/>
                <w:szCs w:val="16"/>
              </w:rPr>
            </w:pPr>
            <w:r>
              <w:rPr>
                <w:sz w:val="16"/>
                <w:szCs w:val="16"/>
              </w:rPr>
              <w:t>…</w:t>
            </w:r>
            <w:r w:rsidRPr="006911BA">
              <w:rPr>
                <w:sz w:val="16"/>
                <w:szCs w:val="16"/>
                <w:vertAlign w:val="superscript"/>
              </w:rPr>
              <w:t>11</w:t>
            </w:r>
          </w:p>
        </w:tc>
      </w:tr>
      <w:tr w:rsidR="002B7079" w14:paraId="6492B7D8" w14:textId="77777777" w:rsidTr="002B7079">
        <w:trPr>
          <w:jc w:val="center"/>
        </w:trPr>
        <w:tc>
          <w:tcPr>
            <w:tcW w:w="3565" w:type="dxa"/>
          </w:tcPr>
          <w:p w14:paraId="5FB655B3" w14:textId="77777777" w:rsidR="002B7079" w:rsidRPr="002B7079" w:rsidRDefault="002B7079">
            <w:pPr>
              <w:rPr>
                <w:rStyle w:val="italic1"/>
                <w:b/>
                <w:iCs w:val="0"/>
                <w:sz w:val="16"/>
                <w:szCs w:val="16"/>
              </w:rPr>
            </w:pPr>
            <w:r w:rsidRPr="002B7079">
              <w:rPr>
                <w:sz w:val="16"/>
                <w:szCs w:val="16"/>
                <w:lang w:val="lv-LV"/>
              </w:rPr>
              <w:t>Biomasa</w:t>
            </w:r>
            <w:r w:rsidRPr="002B7079">
              <w:rPr>
                <w:rStyle w:val="FootnoteReference"/>
                <w:sz w:val="16"/>
                <w:szCs w:val="16"/>
                <w:lang w:val="lv-LV"/>
              </w:rPr>
              <w:footnoteReference w:id="13"/>
            </w:r>
            <w:r w:rsidRPr="002B7079">
              <w:rPr>
                <w:sz w:val="16"/>
                <w:szCs w:val="16"/>
                <w:lang w:val="lv-LV"/>
              </w:rPr>
              <w:t>:</w:t>
            </w:r>
          </w:p>
        </w:tc>
        <w:tc>
          <w:tcPr>
            <w:tcW w:w="1557" w:type="dxa"/>
          </w:tcPr>
          <w:p w14:paraId="7102A564" w14:textId="77777777" w:rsidR="002B7079" w:rsidRPr="002B7079" w:rsidRDefault="002B7079" w:rsidP="002B7079">
            <w:pPr>
              <w:jc w:val="center"/>
              <w:rPr>
                <w:sz w:val="16"/>
                <w:szCs w:val="16"/>
              </w:rPr>
            </w:pPr>
            <w:r w:rsidRPr="002B7079">
              <w:rPr>
                <w:sz w:val="16"/>
                <w:szCs w:val="16"/>
              </w:rPr>
              <w:t>1059,2</w:t>
            </w:r>
          </w:p>
        </w:tc>
        <w:tc>
          <w:tcPr>
            <w:tcW w:w="1721" w:type="dxa"/>
          </w:tcPr>
          <w:p w14:paraId="0D8FE6B7" w14:textId="77777777" w:rsidR="002B7079" w:rsidRPr="002B7079" w:rsidRDefault="00857D08" w:rsidP="002B7079">
            <w:pPr>
              <w:jc w:val="center"/>
              <w:rPr>
                <w:sz w:val="16"/>
                <w:szCs w:val="16"/>
              </w:rPr>
            </w:pPr>
            <w:r>
              <w:rPr>
                <w:sz w:val="16"/>
                <w:szCs w:val="16"/>
              </w:rPr>
              <w:t>1187,5</w:t>
            </w:r>
          </w:p>
        </w:tc>
      </w:tr>
      <w:tr w:rsidR="002B7079" w14:paraId="5C23D34B" w14:textId="77777777" w:rsidTr="002B7079">
        <w:trPr>
          <w:jc w:val="center"/>
        </w:trPr>
        <w:tc>
          <w:tcPr>
            <w:tcW w:w="3565" w:type="dxa"/>
          </w:tcPr>
          <w:p w14:paraId="6BA3D09A" w14:textId="77777777" w:rsidR="002B7079" w:rsidRPr="002B7079" w:rsidRDefault="002B7079">
            <w:pPr>
              <w:jc w:val="right"/>
              <w:rPr>
                <w:rStyle w:val="italic1"/>
                <w:i w:val="0"/>
                <w:iCs w:val="0"/>
                <w:sz w:val="16"/>
                <w:szCs w:val="16"/>
              </w:rPr>
            </w:pPr>
            <w:r w:rsidRPr="002B7079">
              <w:rPr>
                <w:rStyle w:val="italic1"/>
                <w:iCs w:val="0"/>
                <w:sz w:val="16"/>
                <w:szCs w:val="16"/>
                <w:lang w:val="lv-LV"/>
              </w:rPr>
              <w:t>cietā biomasa</w:t>
            </w:r>
          </w:p>
        </w:tc>
        <w:tc>
          <w:tcPr>
            <w:tcW w:w="1557" w:type="dxa"/>
          </w:tcPr>
          <w:p w14:paraId="06869CCF" w14:textId="77777777" w:rsidR="002B7079" w:rsidRPr="002B7079" w:rsidRDefault="002B7079" w:rsidP="002B7079">
            <w:pPr>
              <w:jc w:val="center"/>
              <w:rPr>
                <w:i/>
                <w:sz w:val="16"/>
                <w:szCs w:val="16"/>
              </w:rPr>
            </w:pPr>
            <w:r w:rsidRPr="002B7079">
              <w:rPr>
                <w:i/>
                <w:sz w:val="16"/>
                <w:szCs w:val="16"/>
              </w:rPr>
              <w:t>1048,7</w:t>
            </w:r>
          </w:p>
        </w:tc>
        <w:tc>
          <w:tcPr>
            <w:tcW w:w="1721" w:type="dxa"/>
          </w:tcPr>
          <w:p w14:paraId="753A6439" w14:textId="77777777" w:rsidR="002B7079" w:rsidRPr="002B7079" w:rsidRDefault="00857D08" w:rsidP="002B7079">
            <w:pPr>
              <w:jc w:val="center"/>
              <w:rPr>
                <w:i/>
                <w:sz w:val="16"/>
                <w:szCs w:val="16"/>
              </w:rPr>
            </w:pPr>
            <w:r>
              <w:rPr>
                <w:i/>
                <w:sz w:val="16"/>
                <w:szCs w:val="16"/>
              </w:rPr>
              <w:t>1167,4</w:t>
            </w:r>
          </w:p>
        </w:tc>
      </w:tr>
      <w:tr w:rsidR="002B7079" w14:paraId="6E8AA3B9" w14:textId="77777777" w:rsidTr="002B7079">
        <w:trPr>
          <w:jc w:val="center"/>
        </w:trPr>
        <w:tc>
          <w:tcPr>
            <w:tcW w:w="3565" w:type="dxa"/>
          </w:tcPr>
          <w:p w14:paraId="656DD65C" w14:textId="77777777" w:rsidR="002B7079" w:rsidRPr="002B7079" w:rsidRDefault="002B7079">
            <w:pPr>
              <w:jc w:val="right"/>
              <w:rPr>
                <w:rStyle w:val="italic1"/>
                <w:i w:val="0"/>
                <w:iCs w:val="0"/>
                <w:sz w:val="16"/>
                <w:szCs w:val="16"/>
              </w:rPr>
            </w:pPr>
            <w:r w:rsidRPr="002B7079">
              <w:rPr>
                <w:rStyle w:val="italic1"/>
                <w:iCs w:val="0"/>
                <w:sz w:val="16"/>
                <w:szCs w:val="16"/>
                <w:lang w:val="lv-LV"/>
              </w:rPr>
              <w:t>biogāze</w:t>
            </w:r>
          </w:p>
        </w:tc>
        <w:tc>
          <w:tcPr>
            <w:tcW w:w="1557" w:type="dxa"/>
          </w:tcPr>
          <w:p w14:paraId="41C579C3" w14:textId="77777777" w:rsidR="002B7079" w:rsidRPr="002B7079" w:rsidRDefault="002B7079" w:rsidP="002B7079">
            <w:pPr>
              <w:jc w:val="center"/>
              <w:rPr>
                <w:i/>
                <w:sz w:val="16"/>
                <w:szCs w:val="16"/>
              </w:rPr>
            </w:pPr>
            <w:r w:rsidRPr="002B7079">
              <w:rPr>
                <w:i/>
                <w:sz w:val="16"/>
                <w:szCs w:val="16"/>
              </w:rPr>
              <w:t>7,7</w:t>
            </w:r>
          </w:p>
        </w:tc>
        <w:tc>
          <w:tcPr>
            <w:tcW w:w="1721" w:type="dxa"/>
          </w:tcPr>
          <w:p w14:paraId="4FDD0EB9" w14:textId="77777777" w:rsidR="002B7079" w:rsidRPr="002B7079" w:rsidRDefault="002B7079" w:rsidP="002B7079">
            <w:pPr>
              <w:jc w:val="center"/>
              <w:rPr>
                <w:i/>
                <w:sz w:val="16"/>
                <w:szCs w:val="16"/>
              </w:rPr>
            </w:pPr>
            <w:r w:rsidRPr="002B7079">
              <w:rPr>
                <w:i/>
                <w:sz w:val="16"/>
                <w:szCs w:val="16"/>
              </w:rPr>
              <w:t>17,8</w:t>
            </w:r>
          </w:p>
        </w:tc>
      </w:tr>
      <w:tr w:rsidR="002B7079" w14:paraId="08B6D431" w14:textId="77777777" w:rsidTr="002B7079">
        <w:trPr>
          <w:jc w:val="center"/>
        </w:trPr>
        <w:tc>
          <w:tcPr>
            <w:tcW w:w="3565" w:type="dxa"/>
          </w:tcPr>
          <w:p w14:paraId="57B7EC36" w14:textId="77777777" w:rsidR="002B7079" w:rsidRPr="002B7079" w:rsidRDefault="002B7079">
            <w:pPr>
              <w:jc w:val="right"/>
              <w:rPr>
                <w:sz w:val="16"/>
                <w:szCs w:val="16"/>
              </w:rPr>
            </w:pPr>
            <w:r w:rsidRPr="002B7079">
              <w:rPr>
                <w:i/>
                <w:sz w:val="16"/>
                <w:szCs w:val="16"/>
                <w:lang w:val="lv-LV"/>
              </w:rPr>
              <w:t>bioloģiskie šķidrie kurināmie</w:t>
            </w:r>
          </w:p>
        </w:tc>
        <w:tc>
          <w:tcPr>
            <w:tcW w:w="1557" w:type="dxa"/>
          </w:tcPr>
          <w:p w14:paraId="45EDC522" w14:textId="77777777" w:rsidR="002B7079" w:rsidRPr="002B7079" w:rsidRDefault="002B7079" w:rsidP="002B7079">
            <w:pPr>
              <w:jc w:val="center"/>
              <w:rPr>
                <w:i/>
                <w:sz w:val="16"/>
                <w:szCs w:val="16"/>
              </w:rPr>
            </w:pPr>
            <w:r w:rsidRPr="002B7079">
              <w:rPr>
                <w:i/>
                <w:sz w:val="16"/>
                <w:szCs w:val="16"/>
              </w:rPr>
              <w:t>2,8</w:t>
            </w:r>
          </w:p>
        </w:tc>
        <w:tc>
          <w:tcPr>
            <w:tcW w:w="1721" w:type="dxa"/>
          </w:tcPr>
          <w:p w14:paraId="4DB08A4F" w14:textId="77777777" w:rsidR="002B7079" w:rsidRPr="002B7079" w:rsidRDefault="002B7079" w:rsidP="002B7079">
            <w:pPr>
              <w:jc w:val="center"/>
              <w:rPr>
                <w:i/>
                <w:sz w:val="16"/>
                <w:szCs w:val="16"/>
              </w:rPr>
            </w:pPr>
            <w:r w:rsidRPr="002B7079">
              <w:rPr>
                <w:i/>
                <w:sz w:val="16"/>
                <w:szCs w:val="16"/>
              </w:rPr>
              <w:t>2,3</w:t>
            </w:r>
          </w:p>
        </w:tc>
      </w:tr>
      <w:tr w:rsidR="002B7079" w14:paraId="4E40E509" w14:textId="77777777" w:rsidTr="002B7079">
        <w:trPr>
          <w:jc w:val="center"/>
        </w:trPr>
        <w:tc>
          <w:tcPr>
            <w:tcW w:w="3565" w:type="dxa"/>
          </w:tcPr>
          <w:p w14:paraId="68F706F5" w14:textId="77777777" w:rsidR="002B7079" w:rsidRPr="002B7079" w:rsidRDefault="002B7079">
            <w:pPr>
              <w:rPr>
                <w:rStyle w:val="italic1"/>
                <w:iCs w:val="0"/>
                <w:sz w:val="16"/>
                <w:szCs w:val="16"/>
              </w:rPr>
            </w:pPr>
            <w:proofErr w:type="spellStart"/>
            <w:r w:rsidRPr="002B7079">
              <w:rPr>
                <w:rStyle w:val="italic1"/>
                <w:i w:val="0"/>
                <w:iCs w:val="0"/>
                <w:sz w:val="16"/>
                <w:szCs w:val="16"/>
                <w:lang w:val="lv-LV"/>
              </w:rPr>
              <w:t>Siltumsūkņu</w:t>
            </w:r>
            <w:proofErr w:type="spellEnd"/>
            <w:r w:rsidRPr="002B7079">
              <w:rPr>
                <w:rStyle w:val="italic1"/>
                <w:i w:val="0"/>
                <w:iCs w:val="0"/>
                <w:sz w:val="16"/>
                <w:szCs w:val="16"/>
                <w:lang w:val="lv-LV"/>
              </w:rPr>
              <w:t xml:space="preserve"> atjaunojamā enerģija:</w:t>
            </w:r>
          </w:p>
          <w:p w14:paraId="67D2D6D1" w14:textId="77777777" w:rsidR="002B7079" w:rsidRPr="002B7079" w:rsidRDefault="002B7079">
            <w:pPr>
              <w:ind w:left="264"/>
              <w:jc w:val="right"/>
              <w:rPr>
                <w:rStyle w:val="italic1"/>
                <w:iCs w:val="0"/>
                <w:sz w:val="16"/>
                <w:szCs w:val="16"/>
              </w:rPr>
            </w:pPr>
            <w:r w:rsidRPr="002B7079">
              <w:rPr>
                <w:rStyle w:val="italic1"/>
                <w:iCs w:val="0"/>
                <w:sz w:val="16"/>
                <w:szCs w:val="16"/>
                <w:lang w:val="lv-LV"/>
              </w:rPr>
              <w:t xml:space="preserve">- tostarp </w:t>
            </w:r>
            <w:proofErr w:type="spellStart"/>
            <w:r w:rsidRPr="002B7079">
              <w:rPr>
                <w:rStyle w:val="italic1"/>
                <w:iCs w:val="0"/>
                <w:sz w:val="16"/>
                <w:szCs w:val="16"/>
                <w:lang w:val="lv-LV"/>
              </w:rPr>
              <w:t>aerotermālā</w:t>
            </w:r>
            <w:proofErr w:type="spellEnd"/>
          </w:p>
          <w:p w14:paraId="1E880CC2" w14:textId="77777777" w:rsidR="002B7079" w:rsidRPr="002B7079" w:rsidRDefault="002B7079">
            <w:pPr>
              <w:ind w:left="264"/>
              <w:jc w:val="right"/>
              <w:rPr>
                <w:rStyle w:val="italic1"/>
                <w:iCs w:val="0"/>
                <w:sz w:val="16"/>
                <w:szCs w:val="16"/>
              </w:rPr>
            </w:pPr>
            <w:r w:rsidRPr="002B7079">
              <w:rPr>
                <w:rStyle w:val="italic1"/>
                <w:iCs w:val="0"/>
                <w:sz w:val="16"/>
                <w:szCs w:val="16"/>
                <w:lang w:val="lv-LV"/>
              </w:rPr>
              <w:t>- tostarp ģeotermālā</w:t>
            </w:r>
          </w:p>
          <w:p w14:paraId="645E397A" w14:textId="77777777" w:rsidR="002B7079" w:rsidRPr="002B7079" w:rsidRDefault="002B7079">
            <w:pPr>
              <w:ind w:left="264"/>
              <w:jc w:val="right"/>
              <w:rPr>
                <w:rStyle w:val="italic1"/>
                <w:i w:val="0"/>
                <w:iCs w:val="0"/>
                <w:sz w:val="16"/>
                <w:szCs w:val="16"/>
              </w:rPr>
            </w:pPr>
            <w:r w:rsidRPr="002B7079">
              <w:rPr>
                <w:rStyle w:val="italic1"/>
                <w:iCs w:val="0"/>
                <w:sz w:val="16"/>
                <w:szCs w:val="16"/>
                <w:lang w:val="lv-LV"/>
              </w:rPr>
              <w:t xml:space="preserve">- tostarp </w:t>
            </w:r>
            <w:proofErr w:type="spellStart"/>
            <w:r w:rsidRPr="002B7079">
              <w:rPr>
                <w:rStyle w:val="italic1"/>
                <w:iCs w:val="0"/>
                <w:sz w:val="16"/>
                <w:szCs w:val="16"/>
                <w:lang w:val="lv-LV"/>
              </w:rPr>
              <w:t>hidrotermālā</w:t>
            </w:r>
            <w:proofErr w:type="spellEnd"/>
          </w:p>
        </w:tc>
        <w:tc>
          <w:tcPr>
            <w:tcW w:w="1557" w:type="dxa"/>
          </w:tcPr>
          <w:p w14:paraId="0DCFF6B5" w14:textId="4C3F65AD" w:rsidR="002B7079" w:rsidRPr="002B7079" w:rsidRDefault="0025399B" w:rsidP="002B7079">
            <w:pPr>
              <w:jc w:val="center"/>
              <w:rPr>
                <w:sz w:val="16"/>
                <w:szCs w:val="16"/>
              </w:rPr>
            </w:pPr>
            <w:r>
              <w:rPr>
                <w:sz w:val="16"/>
                <w:szCs w:val="16"/>
              </w:rPr>
              <w:t>…</w:t>
            </w:r>
            <w:r w:rsidRPr="00F004B2">
              <w:rPr>
                <w:sz w:val="16"/>
                <w:szCs w:val="16"/>
                <w:vertAlign w:val="superscript"/>
              </w:rPr>
              <w:t>11</w:t>
            </w:r>
          </w:p>
        </w:tc>
        <w:tc>
          <w:tcPr>
            <w:tcW w:w="1721" w:type="dxa"/>
          </w:tcPr>
          <w:p w14:paraId="7E383B1E" w14:textId="372C882C" w:rsidR="002B7079" w:rsidRPr="002B7079" w:rsidRDefault="0025399B" w:rsidP="002B7079">
            <w:pPr>
              <w:jc w:val="center"/>
              <w:rPr>
                <w:sz w:val="16"/>
                <w:szCs w:val="16"/>
              </w:rPr>
            </w:pPr>
            <w:r>
              <w:rPr>
                <w:sz w:val="16"/>
                <w:szCs w:val="16"/>
              </w:rPr>
              <w:t>…</w:t>
            </w:r>
            <w:r w:rsidRPr="00F004B2">
              <w:rPr>
                <w:sz w:val="16"/>
                <w:szCs w:val="16"/>
                <w:vertAlign w:val="superscript"/>
              </w:rPr>
              <w:t>11</w:t>
            </w:r>
          </w:p>
        </w:tc>
      </w:tr>
      <w:tr w:rsidR="006C2920" w14:paraId="47F5FCAE" w14:textId="77777777" w:rsidTr="002B7079">
        <w:trPr>
          <w:jc w:val="center"/>
        </w:trPr>
        <w:tc>
          <w:tcPr>
            <w:tcW w:w="3565" w:type="dxa"/>
          </w:tcPr>
          <w:p w14:paraId="2A9F5CEB" w14:textId="77777777" w:rsidR="006C2920" w:rsidRPr="002B7079" w:rsidRDefault="006C2920">
            <w:pPr>
              <w:rPr>
                <w:rStyle w:val="italic1"/>
                <w:i w:val="0"/>
                <w:iCs w:val="0"/>
                <w:sz w:val="16"/>
                <w:szCs w:val="16"/>
              </w:rPr>
            </w:pPr>
            <w:r w:rsidRPr="002B7079">
              <w:rPr>
                <w:rStyle w:val="italic1"/>
                <w:b/>
                <w:i w:val="0"/>
                <w:iCs w:val="0"/>
                <w:sz w:val="16"/>
                <w:szCs w:val="16"/>
                <w:lang w:val="lv-LV"/>
              </w:rPr>
              <w:t>KOPĀ</w:t>
            </w:r>
          </w:p>
        </w:tc>
        <w:tc>
          <w:tcPr>
            <w:tcW w:w="1557" w:type="dxa"/>
          </w:tcPr>
          <w:p w14:paraId="3EBC6442" w14:textId="77777777" w:rsidR="006C2920" w:rsidRPr="002B7079" w:rsidRDefault="006C2920" w:rsidP="002B7079">
            <w:pPr>
              <w:jc w:val="center"/>
              <w:rPr>
                <w:b/>
                <w:sz w:val="16"/>
                <w:szCs w:val="16"/>
              </w:rPr>
            </w:pPr>
            <w:r w:rsidRPr="002B7079">
              <w:rPr>
                <w:b/>
                <w:sz w:val="16"/>
                <w:szCs w:val="16"/>
              </w:rPr>
              <w:t>1059</w:t>
            </w:r>
            <w:r w:rsidR="00046690" w:rsidRPr="002B7079">
              <w:rPr>
                <w:b/>
                <w:sz w:val="16"/>
                <w:szCs w:val="16"/>
              </w:rPr>
              <w:t>,</w:t>
            </w:r>
            <w:r w:rsidR="002B7079" w:rsidRPr="002B7079">
              <w:rPr>
                <w:b/>
                <w:sz w:val="16"/>
                <w:szCs w:val="16"/>
              </w:rPr>
              <w:t>2</w:t>
            </w:r>
          </w:p>
        </w:tc>
        <w:tc>
          <w:tcPr>
            <w:tcW w:w="1721" w:type="dxa"/>
          </w:tcPr>
          <w:p w14:paraId="5C5F1D5A" w14:textId="77777777" w:rsidR="006C2920" w:rsidRPr="002B7079" w:rsidRDefault="00857D08" w:rsidP="002B7079">
            <w:pPr>
              <w:jc w:val="center"/>
              <w:rPr>
                <w:b/>
                <w:sz w:val="16"/>
                <w:szCs w:val="16"/>
              </w:rPr>
            </w:pPr>
            <w:r>
              <w:rPr>
                <w:b/>
                <w:sz w:val="16"/>
                <w:szCs w:val="16"/>
              </w:rPr>
              <w:t>1187,5</w:t>
            </w:r>
          </w:p>
        </w:tc>
      </w:tr>
      <w:tr w:rsidR="00046690" w14:paraId="6D072F15" w14:textId="77777777" w:rsidTr="002B7079">
        <w:trPr>
          <w:jc w:val="center"/>
        </w:trPr>
        <w:tc>
          <w:tcPr>
            <w:tcW w:w="3565" w:type="dxa"/>
          </w:tcPr>
          <w:p w14:paraId="42EB8A22" w14:textId="77777777" w:rsidR="00046690" w:rsidRPr="002B7079" w:rsidRDefault="00046690">
            <w:pPr>
              <w:rPr>
                <w:sz w:val="16"/>
                <w:szCs w:val="16"/>
              </w:rPr>
            </w:pPr>
            <w:r w:rsidRPr="002B7079">
              <w:rPr>
                <w:i/>
                <w:sz w:val="16"/>
                <w:szCs w:val="16"/>
                <w:lang w:val="lv-LV"/>
              </w:rPr>
              <w:t>Tostarp centralizētā siltumapgāde</w:t>
            </w:r>
            <w:r w:rsidRPr="002B7079">
              <w:rPr>
                <w:rStyle w:val="FootnoteReference"/>
                <w:sz w:val="16"/>
                <w:szCs w:val="16"/>
                <w:lang w:val="lv-LV"/>
              </w:rPr>
              <w:footnoteReference w:id="14"/>
            </w:r>
          </w:p>
        </w:tc>
        <w:tc>
          <w:tcPr>
            <w:tcW w:w="1557" w:type="dxa"/>
          </w:tcPr>
          <w:p w14:paraId="611F1BE8" w14:textId="77777777" w:rsidR="00046690" w:rsidRPr="000A1D09" w:rsidRDefault="00046690" w:rsidP="000A1D09">
            <w:pPr>
              <w:jc w:val="center"/>
              <w:rPr>
                <w:i/>
                <w:snapToGrid/>
                <w:color w:val="000000"/>
                <w:sz w:val="16"/>
                <w:szCs w:val="16"/>
                <w:lang w:val="lv-LV" w:eastAsia="lv-LV"/>
              </w:rPr>
            </w:pPr>
            <w:r w:rsidRPr="000A1D09">
              <w:rPr>
                <w:i/>
                <w:snapToGrid/>
                <w:color w:val="000000"/>
                <w:sz w:val="16"/>
                <w:szCs w:val="16"/>
                <w:lang w:val="lv-LV" w:eastAsia="lv-LV"/>
              </w:rPr>
              <w:t>94,8</w:t>
            </w:r>
          </w:p>
        </w:tc>
        <w:tc>
          <w:tcPr>
            <w:tcW w:w="1721" w:type="dxa"/>
          </w:tcPr>
          <w:p w14:paraId="017E8028" w14:textId="77777777" w:rsidR="00046690" w:rsidRPr="000A1D09" w:rsidRDefault="000A1D09" w:rsidP="002B7079">
            <w:pPr>
              <w:jc w:val="center"/>
              <w:rPr>
                <w:i/>
                <w:snapToGrid/>
                <w:color w:val="000000"/>
                <w:sz w:val="16"/>
                <w:szCs w:val="16"/>
                <w:lang w:val="lv-LV" w:eastAsia="lv-LV"/>
              </w:rPr>
            </w:pPr>
            <w:r w:rsidRPr="000A1D09">
              <w:rPr>
                <w:i/>
                <w:snapToGrid/>
                <w:color w:val="000000"/>
                <w:sz w:val="16"/>
                <w:szCs w:val="16"/>
                <w:lang w:val="lv-LV" w:eastAsia="lv-LV"/>
              </w:rPr>
              <w:t>120,5</w:t>
            </w:r>
          </w:p>
        </w:tc>
      </w:tr>
      <w:tr w:rsidR="00046690" w14:paraId="3BB43DFE" w14:textId="77777777" w:rsidTr="002B7079">
        <w:trPr>
          <w:jc w:val="center"/>
        </w:trPr>
        <w:tc>
          <w:tcPr>
            <w:tcW w:w="3565" w:type="dxa"/>
          </w:tcPr>
          <w:p w14:paraId="47A62D71" w14:textId="77777777" w:rsidR="00046690" w:rsidRPr="002B7079" w:rsidRDefault="00046690">
            <w:pPr>
              <w:rPr>
                <w:rStyle w:val="italic1"/>
                <w:b/>
                <w:iCs w:val="0"/>
                <w:sz w:val="16"/>
                <w:szCs w:val="16"/>
              </w:rPr>
            </w:pPr>
            <w:r w:rsidRPr="002B7079">
              <w:rPr>
                <w:i/>
                <w:sz w:val="16"/>
                <w:szCs w:val="16"/>
                <w:lang w:val="lv-LV"/>
              </w:rPr>
              <w:t>Tostarp biomasa mājsaimniecībās</w:t>
            </w:r>
            <w:r w:rsidRPr="002B7079">
              <w:rPr>
                <w:rStyle w:val="FootnoteReference"/>
                <w:i/>
                <w:sz w:val="16"/>
                <w:szCs w:val="16"/>
                <w:lang w:val="lv-LV"/>
              </w:rPr>
              <w:footnoteReference w:id="15"/>
            </w:r>
          </w:p>
        </w:tc>
        <w:tc>
          <w:tcPr>
            <w:tcW w:w="1557" w:type="dxa"/>
          </w:tcPr>
          <w:p w14:paraId="4D2A3452" w14:textId="77777777" w:rsidR="00046690" w:rsidRPr="002B7079" w:rsidRDefault="00046690" w:rsidP="002B7079">
            <w:pPr>
              <w:jc w:val="center"/>
              <w:rPr>
                <w:i/>
                <w:snapToGrid/>
                <w:color w:val="000000"/>
                <w:sz w:val="16"/>
                <w:szCs w:val="16"/>
                <w:lang w:val="lv-LV" w:eastAsia="lv-LV"/>
              </w:rPr>
            </w:pPr>
            <w:r w:rsidRPr="002B7079">
              <w:rPr>
                <w:i/>
                <w:snapToGrid/>
                <w:color w:val="000000"/>
                <w:sz w:val="16"/>
                <w:szCs w:val="16"/>
                <w:lang w:val="lv-LV" w:eastAsia="lv-LV"/>
              </w:rPr>
              <w:t>624,4</w:t>
            </w:r>
          </w:p>
        </w:tc>
        <w:tc>
          <w:tcPr>
            <w:tcW w:w="1721" w:type="dxa"/>
          </w:tcPr>
          <w:p w14:paraId="672619AF" w14:textId="77777777" w:rsidR="00046690" w:rsidRPr="002B7079" w:rsidRDefault="00046690" w:rsidP="00857D08">
            <w:pPr>
              <w:jc w:val="center"/>
              <w:rPr>
                <w:i/>
                <w:snapToGrid/>
                <w:color w:val="000000"/>
                <w:sz w:val="16"/>
                <w:szCs w:val="16"/>
                <w:lang w:val="lv-LV" w:eastAsia="lv-LV"/>
              </w:rPr>
            </w:pPr>
            <w:r w:rsidRPr="002B7079">
              <w:rPr>
                <w:i/>
                <w:snapToGrid/>
                <w:color w:val="000000"/>
                <w:sz w:val="16"/>
                <w:szCs w:val="16"/>
                <w:lang w:val="lv-LV" w:eastAsia="lv-LV"/>
              </w:rPr>
              <w:t>664,</w:t>
            </w:r>
            <w:r w:rsidR="00857D08">
              <w:rPr>
                <w:i/>
                <w:snapToGrid/>
                <w:color w:val="000000"/>
                <w:sz w:val="16"/>
                <w:szCs w:val="16"/>
                <w:lang w:val="lv-LV" w:eastAsia="lv-LV"/>
              </w:rPr>
              <w:t>6</w:t>
            </w:r>
          </w:p>
        </w:tc>
      </w:tr>
    </w:tbl>
    <w:p w14:paraId="0CBB16F0" w14:textId="77777777" w:rsidR="00443DCB" w:rsidRPr="003D398D" w:rsidRDefault="00443DCB" w:rsidP="00443DCB">
      <w:pPr>
        <w:ind w:left="851"/>
        <w:rPr>
          <w:i/>
          <w:sz w:val="20"/>
          <w:szCs w:val="20"/>
          <w:lang w:val="lv-LV"/>
        </w:rPr>
      </w:pPr>
      <w:r w:rsidRPr="003D398D">
        <w:rPr>
          <w:i/>
          <w:sz w:val="20"/>
          <w:szCs w:val="20"/>
          <w:lang w:val="lv-LV"/>
        </w:rPr>
        <w:t>Avots: CSP</w:t>
      </w:r>
    </w:p>
    <w:p w14:paraId="006BAA9E" w14:textId="77777777" w:rsidR="00D86569" w:rsidRDefault="00D86569" w:rsidP="00C6119E">
      <w:pPr>
        <w:tabs>
          <w:tab w:val="left" w:pos="2340"/>
        </w:tabs>
        <w:jc w:val="right"/>
        <w:rPr>
          <w:b/>
          <w:i/>
          <w:sz w:val="20"/>
          <w:lang w:val="lv-LV"/>
        </w:rPr>
      </w:pPr>
    </w:p>
    <w:p w14:paraId="3D7D1011" w14:textId="77777777" w:rsidR="00C6119E" w:rsidRDefault="00820C75" w:rsidP="00C6119E">
      <w:pPr>
        <w:tabs>
          <w:tab w:val="left" w:pos="2340"/>
        </w:tabs>
        <w:jc w:val="right"/>
        <w:rPr>
          <w:b/>
          <w:sz w:val="20"/>
        </w:rPr>
      </w:pPr>
      <w:r>
        <w:rPr>
          <w:b/>
          <w:i/>
          <w:sz w:val="20"/>
          <w:lang w:val="lv-LV"/>
        </w:rPr>
        <w:t>1.d tabula</w:t>
      </w:r>
    </w:p>
    <w:p w14:paraId="01DE3D83" w14:textId="77777777" w:rsidR="00820C75" w:rsidRDefault="00820C75">
      <w:pPr>
        <w:tabs>
          <w:tab w:val="left" w:pos="2340"/>
        </w:tabs>
        <w:jc w:val="center"/>
        <w:rPr>
          <w:b/>
          <w:i/>
          <w:vanish/>
          <w:sz w:val="20"/>
          <w:vertAlign w:val="subscript"/>
          <w:lang w:val="lv-LV"/>
        </w:rPr>
      </w:pPr>
      <w:r>
        <w:rPr>
          <w:b/>
          <w:sz w:val="20"/>
          <w:lang w:val="lv-LV"/>
        </w:rPr>
        <w:t xml:space="preserve">Kopējais faktiskais ieguldījums no katras atjaunojamās enerģijas tehnoloģijas, sasniedzot obligātos 2020. gada mērķus un indikatīvās starpposma līknes rādītājus attiecībā uz atjaunojamo energoresursu enerģijas īpatsvaru </w:t>
      </w:r>
      <w:r>
        <w:rPr>
          <w:b/>
          <w:sz w:val="20"/>
          <w:u w:val="single"/>
          <w:lang w:val="lv-LV"/>
        </w:rPr>
        <w:t>transportā</w:t>
      </w:r>
      <w:r>
        <w:rPr>
          <w:b/>
          <w:sz w:val="20"/>
          <w:lang w:val="lv-LV"/>
        </w:rPr>
        <w:t xml:space="preserve"> (</w:t>
      </w:r>
      <w:proofErr w:type="spellStart"/>
      <w:r>
        <w:rPr>
          <w:b/>
          <w:sz w:val="20"/>
          <w:lang w:val="lv-LV"/>
        </w:rPr>
        <w:t>tūkst</w:t>
      </w:r>
      <w:proofErr w:type="spellEnd"/>
      <w:r>
        <w:rPr>
          <w:b/>
          <w:sz w:val="20"/>
          <w:lang w:val="lv-LV"/>
        </w:rPr>
        <w:t xml:space="preserve">. tonnu naftas </w:t>
      </w:r>
      <w:proofErr w:type="spellStart"/>
      <w:r>
        <w:rPr>
          <w:b/>
          <w:sz w:val="20"/>
          <w:lang w:val="lv-LV"/>
        </w:rPr>
        <w:t>ekv</w:t>
      </w:r>
      <w:proofErr w:type="spellEnd"/>
      <w:r w:rsidRPr="00470485">
        <w:rPr>
          <w:b/>
          <w:sz w:val="20"/>
          <w:lang w:val="lv-LV"/>
        </w:rPr>
        <w:t>.)</w:t>
      </w:r>
      <w:r w:rsidRPr="00B25736">
        <w:rPr>
          <w:b/>
          <w:vanish/>
          <w:vertAlign w:val="subscript"/>
          <w:lang w:val="lv-LV"/>
        </w:rPr>
        <w:t xml:space="preserve"> </w:t>
      </w:r>
      <w:r w:rsidRPr="00470485">
        <w:rPr>
          <w:rStyle w:val="FootnoteReference"/>
          <w:b/>
          <w:i/>
          <w:sz w:val="20"/>
          <w:lang w:val="lv-LV"/>
        </w:rPr>
        <w:footnoteReference w:id="16"/>
      </w:r>
      <w:r w:rsidRPr="00B25736">
        <w:rPr>
          <w:b/>
          <w:i/>
          <w:vanish/>
          <w:sz w:val="20"/>
          <w:vertAlign w:val="subscript"/>
          <w:lang w:val="lv-LV"/>
        </w:rPr>
        <w:t xml:space="preserve"> </w:t>
      </w:r>
    </w:p>
    <w:p w14:paraId="45EA87A8" w14:textId="77777777" w:rsidR="00D13302" w:rsidRPr="00D13302" w:rsidRDefault="00D13302">
      <w:pPr>
        <w:tabs>
          <w:tab w:val="left" w:pos="2340"/>
        </w:tabs>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3"/>
        <w:gridCol w:w="1617"/>
        <w:gridCol w:w="1618"/>
      </w:tblGrid>
      <w:tr w:rsidR="00D13302" w14:paraId="7EFABD3D" w14:textId="77777777" w:rsidTr="00A002C4">
        <w:trPr>
          <w:trHeight w:val="226"/>
          <w:jc w:val="center"/>
        </w:trPr>
        <w:tc>
          <w:tcPr>
            <w:tcW w:w="3713" w:type="dxa"/>
            <w:shd w:val="clear" w:color="auto" w:fill="E6E6E6"/>
          </w:tcPr>
          <w:p w14:paraId="5163134C" w14:textId="77777777" w:rsidR="00D13302" w:rsidRPr="00797AA1" w:rsidRDefault="00D13302" w:rsidP="00A002C4">
            <w:pPr>
              <w:suppressAutoHyphens/>
              <w:rPr>
                <w:sz w:val="16"/>
              </w:rPr>
            </w:pPr>
          </w:p>
        </w:tc>
        <w:tc>
          <w:tcPr>
            <w:tcW w:w="1617" w:type="dxa"/>
            <w:shd w:val="clear" w:color="auto" w:fill="E6E6E6"/>
          </w:tcPr>
          <w:p w14:paraId="60E81E3A" w14:textId="77777777" w:rsidR="00D13302" w:rsidRDefault="00D13302" w:rsidP="00A002C4">
            <w:pPr>
              <w:suppressAutoHyphens/>
              <w:jc w:val="center"/>
            </w:pPr>
            <w:r>
              <w:rPr>
                <w:b/>
                <w:sz w:val="16"/>
                <w:lang w:val="lv-LV"/>
              </w:rPr>
              <w:t>2011</w:t>
            </w:r>
          </w:p>
        </w:tc>
        <w:tc>
          <w:tcPr>
            <w:tcW w:w="1618" w:type="dxa"/>
            <w:shd w:val="clear" w:color="auto" w:fill="E6E6E6"/>
          </w:tcPr>
          <w:p w14:paraId="43DC8C2F" w14:textId="77777777" w:rsidR="00D13302" w:rsidRDefault="00D13302" w:rsidP="00A002C4">
            <w:pPr>
              <w:suppressAutoHyphens/>
              <w:jc w:val="center"/>
            </w:pPr>
            <w:r>
              <w:rPr>
                <w:b/>
                <w:sz w:val="16"/>
                <w:lang w:val="lv-LV"/>
              </w:rPr>
              <w:t>2012</w:t>
            </w:r>
          </w:p>
        </w:tc>
      </w:tr>
      <w:tr w:rsidR="00D13302" w:rsidRPr="00797AA1" w14:paraId="5A6A046B" w14:textId="77777777" w:rsidTr="00A002C4">
        <w:trPr>
          <w:jc w:val="center"/>
        </w:trPr>
        <w:tc>
          <w:tcPr>
            <w:tcW w:w="3713" w:type="dxa"/>
            <w:shd w:val="clear" w:color="auto" w:fill="auto"/>
          </w:tcPr>
          <w:p w14:paraId="743AC904" w14:textId="77777777" w:rsidR="00D13302" w:rsidRDefault="00D13302" w:rsidP="00A002C4">
            <w:pPr>
              <w:suppressAutoHyphens/>
            </w:pPr>
            <w:r w:rsidRPr="00797AA1">
              <w:rPr>
                <w:sz w:val="16"/>
                <w:lang w:val="lv-LV"/>
              </w:rPr>
              <w:t xml:space="preserve">Bioetanols un </w:t>
            </w:r>
            <w:proofErr w:type="spellStart"/>
            <w:r w:rsidRPr="00797AA1">
              <w:rPr>
                <w:sz w:val="16"/>
                <w:lang w:val="lv-LV"/>
              </w:rPr>
              <w:t>bio-ETBE</w:t>
            </w:r>
            <w:proofErr w:type="spellEnd"/>
          </w:p>
        </w:tc>
        <w:tc>
          <w:tcPr>
            <w:tcW w:w="1617" w:type="dxa"/>
            <w:shd w:val="clear" w:color="auto" w:fill="auto"/>
          </w:tcPr>
          <w:p w14:paraId="0E3E8209" w14:textId="77777777" w:rsidR="00D13302" w:rsidRDefault="00857D08" w:rsidP="00A002C4">
            <w:pPr>
              <w:suppressAutoHyphens/>
              <w:snapToGrid w:val="0"/>
              <w:rPr>
                <w:sz w:val="16"/>
              </w:rPr>
            </w:pPr>
            <w:r>
              <w:rPr>
                <w:sz w:val="16"/>
              </w:rPr>
              <w:t>7,7</w:t>
            </w:r>
          </w:p>
        </w:tc>
        <w:tc>
          <w:tcPr>
            <w:tcW w:w="1618" w:type="dxa"/>
            <w:shd w:val="clear" w:color="auto" w:fill="auto"/>
          </w:tcPr>
          <w:p w14:paraId="0F0F562F" w14:textId="77777777" w:rsidR="00D13302" w:rsidRPr="00797AA1" w:rsidRDefault="00857D08" w:rsidP="00A002C4">
            <w:pPr>
              <w:suppressAutoHyphens/>
              <w:rPr>
                <w:sz w:val="16"/>
              </w:rPr>
            </w:pPr>
            <w:r>
              <w:rPr>
                <w:sz w:val="16"/>
              </w:rPr>
              <w:t>6,4</w:t>
            </w:r>
          </w:p>
        </w:tc>
      </w:tr>
      <w:tr w:rsidR="00D13302" w:rsidRPr="00797AA1" w14:paraId="5D908EA1" w14:textId="77777777" w:rsidTr="00A002C4">
        <w:trPr>
          <w:jc w:val="center"/>
        </w:trPr>
        <w:tc>
          <w:tcPr>
            <w:tcW w:w="3713" w:type="dxa"/>
            <w:shd w:val="clear" w:color="auto" w:fill="auto"/>
          </w:tcPr>
          <w:p w14:paraId="30385151" w14:textId="77777777" w:rsidR="00D13302" w:rsidRPr="00797AA1" w:rsidRDefault="00D13302" w:rsidP="00A002C4">
            <w:pPr>
              <w:suppressAutoHyphens/>
              <w:jc w:val="right"/>
              <w:rPr>
                <w:i/>
                <w:sz w:val="16"/>
              </w:rPr>
            </w:pPr>
            <w:r w:rsidRPr="00797AA1">
              <w:rPr>
                <w:i/>
                <w:sz w:val="16"/>
                <w:lang w:val="lv-LV"/>
              </w:rPr>
              <w:t>Tostarp biodegvielas</w:t>
            </w:r>
            <w:r w:rsidRPr="00797AA1">
              <w:rPr>
                <w:rStyle w:val="FootnoteReference"/>
                <w:sz w:val="16"/>
                <w:lang w:val="lv-LV"/>
              </w:rPr>
              <w:footnoteReference w:id="17"/>
            </w:r>
            <w:r w:rsidRPr="00797AA1">
              <w:rPr>
                <w:i/>
                <w:sz w:val="16"/>
                <w:lang w:val="lv-LV"/>
              </w:rPr>
              <w:t xml:space="preserve"> atbilstoši 21. panta 2. punktam</w:t>
            </w:r>
          </w:p>
        </w:tc>
        <w:tc>
          <w:tcPr>
            <w:tcW w:w="1617" w:type="dxa"/>
            <w:shd w:val="clear" w:color="auto" w:fill="auto"/>
          </w:tcPr>
          <w:p w14:paraId="7B945F19" w14:textId="77777777" w:rsidR="00D13302" w:rsidRPr="005B35B9" w:rsidRDefault="00D13302" w:rsidP="00A002C4">
            <w:pPr>
              <w:suppressAutoHyphens/>
              <w:snapToGrid w:val="0"/>
              <w:rPr>
                <w:sz w:val="16"/>
              </w:rPr>
            </w:pPr>
            <w:r w:rsidRPr="005B35B9">
              <w:rPr>
                <w:sz w:val="16"/>
              </w:rPr>
              <w:t>0</w:t>
            </w:r>
          </w:p>
        </w:tc>
        <w:tc>
          <w:tcPr>
            <w:tcW w:w="1618" w:type="dxa"/>
            <w:shd w:val="clear" w:color="auto" w:fill="auto"/>
          </w:tcPr>
          <w:p w14:paraId="061137A6" w14:textId="77777777" w:rsidR="00D13302" w:rsidRPr="005B35B9" w:rsidRDefault="00D13302" w:rsidP="00A002C4">
            <w:pPr>
              <w:suppressAutoHyphens/>
              <w:rPr>
                <w:sz w:val="16"/>
              </w:rPr>
            </w:pPr>
            <w:r w:rsidRPr="005B35B9">
              <w:rPr>
                <w:sz w:val="16"/>
              </w:rPr>
              <w:t>0</w:t>
            </w:r>
          </w:p>
        </w:tc>
      </w:tr>
      <w:tr w:rsidR="00D13302" w:rsidRPr="001801E1" w14:paraId="1C89A93E" w14:textId="77777777" w:rsidTr="00A002C4">
        <w:trPr>
          <w:jc w:val="center"/>
        </w:trPr>
        <w:tc>
          <w:tcPr>
            <w:tcW w:w="3713" w:type="dxa"/>
            <w:shd w:val="clear" w:color="auto" w:fill="FFFFFF"/>
          </w:tcPr>
          <w:p w14:paraId="0DBCA097" w14:textId="77777777" w:rsidR="00D13302" w:rsidRPr="00F26DD1" w:rsidRDefault="00750C42" w:rsidP="00750C42">
            <w:pPr>
              <w:suppressAutoHyphens/>
              <w:jc w:val="right"/>
              <w:rPr>
                <w:i/>
                <w:sz w:val="16"/>
                <w:highlight w:val="yellow"/>
              </w:rPr>
            </w:pPr>
            <w:r>
              <w:rPr>
                <w:i/>
                <w:sz w:val="16"/>
                <w:lang w:val="lv-LV"/>
              </w:rPr>
              <w:t>Importētais b</w:t>
            </w:r>
            <w:r w:rsidRPr="00750C42">
              <w:rPr>
                <w:i/>
                <w:sz w:val="16"/>
                <w:lang w:val="lv-LV"/>
              </w:rPr>
              <w:t xml:space="preserve">ioetanols un </w:t>
            </w:r>
            <w:proofErr w:type="spellStart"/>
            <w:r w:rsidRPr="00750C42">
              <w:rPr>
                <w:i/>
                <w:sz w:val="16"/>
                <w:lang w:val="lv-LV"/>
              </w:rPr>
              <w:t>bio-ETBE</w:t>
            </w:r>
            <w:proofErr w:type="spellEnd"/>
          </w:p>
        </w:tc>
        <w:tc>
          <w:tcPr>
            <w:tcW w:w="1617" w:type="dxa"/>
            <w:shd w:val="clear" w:color="auto" w:fill="auto"/>
          </w:tcPr>
          <w:p w14:paraId="18697C20" w14:textId="77777777" w:rsidR="00D13302" w:rsidRPr="005B35B9" w:rsidRDefault="005B35B9" w:rsidP="005B35B9">
            <w:pPr>
              <w:suppressAutoHyphens/>
              <w:rPr>
                <w:sz w:val="16"/>
              </w:rPr>
            </w:pPr>
            <w:r w:rsidRPr="005B35B9">
              <w:rPr>
                <w:sz w:val="16"/>
              </w:rPr>
              <w:t>11,3</w:t>
            </w:r>
          </w:p>
        </w:tc>
        <w:tc>
          <w:tcPr>
            <w:tcW w:w="1618" w:type="dxa"/>
            <w:shd w:val="clear" w:color="auto" w:fill="auto"/>
          </w:tcPr>
          <w:p w14:paraId="21CBA51A" w14:textId="77777777" w:rsidR="00D13302" w:rsidRPr="005B35B9" w:rsidRDefault="005B35B9" w:rsidP="00A002C4">
            <w:pPr>
              <w:suppressAutoHyphens/>
              <w:rPr>
                <w:sz w:val="16"/>
              </w:rPr>
            </w:pPr>
            <w:r w:rsidRPr="005B35B9">
              <w:rPr>
                <w:sz w:val="16"/>
              </w:rPr>
              <w:t>10,7</w:t>
            </w:r>
          </w:p>
        </w:tc>
      </w:tr>
      <w:tr w:rsidR="00750C42" w:rsidRPr="001801E1" w14:paraId="693B849C" w14:textId="77777777" w:rsidTr="00A002C4">
        <w:trPr>
          <w:jc w:val="center"/>
        </w:trPr>
        <w:tc>
          <w:tcPr>
            <w:tcW w:w="3713" w:type="dxa"/>
            <w:shd w:val="clear" w:color="auto" w:fill="FFFFFF"/>
          </w:tcPr>
          <w:p w14:paraId="682E7E59" w14:textId="77777777" w:rsidR="00750C42" w:rsidRPr="0005051A" w:rsidRDefault="00750C42" w:rsidP="00A002C4">
            <w:pPr>
              <w:suppressAutoHyphens/>
              <w:jc w:val="right"/>
              <w:rPr>
                <w:i/>
                <w:sz w:val="16"/>
                <w:lang w:val="lv-LV"/>
              </w:rPr>
            </w:pPr>
            <w:r>
              <w:rPr>
                <w:i/>
                <w:sz w:val="16"/>
                <w:lang w:val="lv-LV"/>
              </w:rPr>
              <w:t>Eksportētais b</w:t>
            </w:r>
            <w:r w:rsidRPr="00750C42">
              <w:rPr>
                <w:i/>
                <w:sz w:val="16"/>
                <w:lang w:val="lv-LV"/>
              </w:rPr>
              <w:t xml:space="preserve">ioetanols un </w:t>
            </w:r>
            <w:proofErr w:type="spellStart"/>
            <w:r w:rsidRPr="00750C42">
              <w:rPr>
                <w:i/>
                <w:sz w:val="16"/>
                <w:lang w:val="lv-LV"/>
              </w:rPr>
              <w:t>bio-ETBE</w:t>
            </w:r>
            <w:proofErr w:type="spellEnd"/>
          </w:p>
        </w:tc>
        <w:tc>
          <w:tcPr>
            <w:tcW w:w="1617" w:type="dxa"/>
            <w:shd w:val="clear" w:color="auto" w:fill="auto"/>
          </w:tcPr>
          <w:p w14:paraId="5AB1F977" w14:textId="77777777" w:rsidR="00750C42" w:rsidRPr="005B35B9" w:rsidRDefault="005B35B9" w:rsidP="00A002C4">
            <w:pPr>
              <w:suppressAutoHyphens/>
              <w:rPr>
                <w:sz w:val="16"/>
              </w:rPr>
            </w:pPr>
            <w:r w:rsidRPr="005B35B9">
              <w:rPr>
                <w:sz w:val="16"/>
              </w:rPr>
              <w:t>5,4</w:t>
            </w:r>
          </w:p>
        </w:tc>
        <w:tc>
          <w:tcPr>
            <w:tcW w:w="1618" w:type="dxa"/>
            <w:shd w:val="clear" w:color="auto" w:fill="auto"/>
          </w:tcPr>
          <w:p w14:paraId="78BC41F6" w14:textId="77777777" w:rsidR="00750C42" w:rsidRPr="005B35B9" w:rsidRDefault="005B35B9" w:rsidP="00A002C4">
            <w:pPr>
              <w:suppressAutoHyphens/>
              <w:rPr>
                <w:sz w:val="16"/>
              </w:rPr>
            </w:pPr>
            <w:r w:rsidRPr="005B35B9">
              <w:rPr>
                <w:sz w:val="16"/>
              </w:rPr>
              <w:t>5,1</w:t>
            </w:r>
          </w:p>
        </w:tc>
      </w:tr>
      <w:tr w:rsidR="00D13302" w:rsidRPr="00797AA1" w14:paraId="3EF1298B" w14:textId="77777777" w:rsidTr="00A002C4">
        <w:trPr>
          <w:jc w:val="center"/>
        </w:trPr>
        <w:tc>
          <w:tcPr>
            <w:tcW w:w="3713" w:type="dxa"/>
            <w:shd w:val="clear" w:color="auto" w:fill="auto"/>
          </w:tcPr>
          <w:p w14:paraId="2B5B3375" w14:textId="77777777" w:rsidR="00D13302" w:rsidRDefault="00D13302" w:rsidP="00A002C4">
            <w:pPr>
              <w:suppressAutoHyphens/>
            </w:pPr>
            <w:r w:rsidRPr="00797AA1">
              <w:rPr>
                <w:sz w:val="16"/>
                <w:lang w:val="lv-LV"/>
              </w:rPr>
              <w:t>Biodīzeļdegviela</w:t>
            </w:r>
          </w:p>
        </w:tc>
        <w:tc>
          <w:tcPr>
            <w:tcW w:w="1617" w:type="dxa"/>
            <w:shd w:val="clear" w:color="auto" w:fill="auto"/>
          </w:tcPr>
          <w:p w14:paraId="64D1E0B9" w14:textId="77777777" w:rsidR="00D13302" w:rsidRPr="005B35B9" w:rsidRDefault="00857D08" w:rsidP="00A002C4">
            <w:pPr>
              <w:suppressAutoHyphens/>
              <w:snapToGrid w:val="0"/>
              <w:rPr>
                <w:sz w:val="16"/>
              </w:rPr>
            </w:pPr>
            <w:r>
              <w:rPr>
                <w:sz w:val="16"/>
              </w:rPr>
              <w:t>16,9</w:t>
            </w:r>
          </w:p>
        </w:tc>
        <w:tc>
          <w:tcPr>
            <w:tcW w:w="1618" w:type="dxa"/>
            <w:shd w:val="clear" w:color="auto" w:fill="auto"/>
          </w:tcPr>
          <w:p w14:paraId="62A71583" w14:textId="77777777" w:rsidR="00D13302" w:rsidRPr="005B35B9" w:rsidRDefault="00D7655B" w:rsidP="00A002C4">
            <w:pPr>
              <w:suppressAutoHyphens/>
              <w:rPr>
                <w:sz w:val="16"/>
              </w:rPr>
            </w:pPr>
            <w:r>
              <w:rPr>
                <w:sz w:val="16"/>
              </w:rPr>
              <w:t>15,1</w:t>
            </w:r>
          </w:p>
        </w:tc>
      </w:tr>
      <w:tr w:rsidR="00D13302" w:rsidRPr="00797AA1" w14:paraId="22500014" w14:textId="77777777" w:rsidTr="00A002C4">
        <w:trPr>
          <w:jc w:val="center"/>
        </w:trPr>
        <w:tc>
          <w:tcPr>
            <w:tcW w:w="3713" w:type="dxa"/>
            <w:shd w:val="clear" w:color="auto" w:fill="auto"/>
          </w:tcPr>
          <w:p w14:paraId="44D38300" w14:textId="77777777" w:rsidR="00D13302" w:rsidRPr="00797AA1" w:rsidRDefault="00D13302" w:rsidP="00A002C4">
            <w:pPr>
              <w:suppressAutoHyphens/>
              <w:jc w:val="right"/>
              <w:rPr>
                <w:i/>
                <w:sz w:val="16"/>
              </w:rPr>
            </w:pPr>
            <w:r w:rsidRPr="00797AA1">
              <w:rPr>
                <w:i/>
                <w:sz w:val="16"/>
                <w:lang w:val="lv-LV"/>
              </w:rPr>
              <w:t>Tostarp biodegvielas</w:t>
            </w:r>
            <w:r w:rsidRPr="00797AA1">
              <w:rPr>
                <w:rStyle w:val="FootnoteReference"/>
                <w:sz w:val="16"/>
                <w:lang w:val="lv-LV"/>
              </w:rPr>
              <w:footnoteReference w:id="18"/>
            </w:r>
            <w:r w:rsidRPr="00797AA1">
              <w:rPr>
                <w:i/>
                <w:sz w:val="16"/>
                <w:lang w:val="lv-LV"/>
              </w:rPr>
              <w:t xml:space="preserve"> atbilstoši 21. panta 2. punktam</w:t>
            </w:r>
          </w:p>
        </w:tc>
        <w:tc>
          <w:tcPr>
            <w:tcW w:w="1617" w:type="dxa"/>
            <w:shd w:val="clear" w:color="auto" w:fill="auto"/>
          </w:tcPr>
          <w:p w14:paraId="0155781C" w14:textId="77777777" w:rsidR="00D13302" w:rsidRPr="005B35B9" w:rsidRDefault="00D13302" w:rsidP="00A002C4">
            <w:pPr>
              <w:suppressAutoHyphens/>
              <w:snapToGrid w:val="0"/>
              <w:rPr>
                <w:sz w:val="16"/>
              </w:rPr>
            </w:pPr>
            <w:r w:rsidRPr="005B35B9">
              <w:rPr>
                <w:sz w:val="16"/>
              </w:rPr>
              <w:t>0</w:t>
            </w:r>
          </w:p>
        </w:tc>
        <w:tc>
          <w:tcPr>
            <w:tcW w:w="1618" w:type="dxa"/>
            <w:shd w:val="clear" w:color="auto" w:fill="auto"/>
          </w:tcPr>
          <w:p w14:paraId="46ED8D3C" w14:textId="77777777" w:rsidR="00D13302" w:rsidRPr="005B35B9" w:rsidRDefault="00D13302" w:rsidP="00A002C4">
            <w:pPr>
              <w:suppressAutoHyphens/>
              <w:rPr>
                <w:sz w:val="16"/>
              </w:rPr>
            </w:pPr>
            <w:r w:rsidRPr="005B35B9">
              <w:rPr>
                <w:sz w:val="16"/>
              </w:rPr>
              <w:t>0</w:t>
            </w:r>
          </w:p>
        </w:tc>
      </w:tr>
      <w:tr w:rsidR="00D13302" w:rsidRPr="00797AA1" w14:paraId="48085B1E" w14:textId="77777777" w:rsidTr="00A002C4">
        <w:trPr>
          <w:jc w:val="center"/>
        </w:trPr>
        <w:tc>
          <w:tcPr>
            <w:tcW w:w="3713" w:type="dxa"/>
            <w:shd w:val="clear" w:color="auto" w:fill="auto"/>
          </w:tcPr>
          <w:p w14:paraId="721FD6EE" w14:textId="77777777" w:rsidR="00D13302" w:rsidRPr="00797AA1" w:rsidRDefault="00750C42" w:rsidP="00A002C4">
            <w:pPr>
              <w:suppressAutoHyphens/>
              <w:jc w:val="right"/>
              <w:rPr>
                <w:i/>
                <w:sz w:val="16"/>
              </w:rPr>
            </w:pPr>
            <w:r>
              <w:rPr>
                <w:i/>
                <w:sz w:val="16"/>
                <w:lang w:val="lv-LV"/>
              </w:rPr>
              <w:t>Importētā biodīzeļdegviela</w:t>
            </w:r>
          </w:p>
        </w:tc>
        <w:tc>
          <w:tcPr>
            <w:tcW w:w="1617" w:type="dxa"/>
            <w:shd w:val="clear" w:color="auto" w:fill="auto"/>
          </w:tcPr>
          <w:p w14:paraId="4A85563B" w14:textId="77777777" w:rsidR="00D13302" w:rsidRPr="005B35B9" w:rsidRDefault="005B35B9" w:rsidP="00A002C4">
            <w:pPr>
              <w:suppressAutoHyphens/>
              <w:snapToGrid w:val="0"/>
              <w:rPr>
                <w:sz w:val="16"/>
              </w:rPr>
            </w:pPr>
            <w:r w:rsidRPr="005B35B9">
              <w:rPr>
                <w:sz w:val="16"/>
              </w:rPr>
              <w:t>8,9</w:t>
            </w:r>
          </w:p>
        </w:tc>
        <w:tc>
          <w:tcPr>
            <w:tcW w:w="1618" w:type="dxa"/>
            <w:shd w:val="clear" w:color="auto" w:fill="auto"/>
          </w:tcPr>
          <w:p w14:paraId="7849F351" w14:textId="77777777" w:rsidR="00D13302" w:rsidRPr="005B35B9" w:rsidRDefault="005B35B9" w:rsidP="00A002C4">
            <w:pPr>
              <w:suppressAutoHyphens/>
              <w:rPr>
                <w:sz w:val="16"/>
              </w:rPr>
            </w:pPr>
            <w:r w:rsidRPr="005B35B9">
              <w:rPr>
                <w:sz w:val="16"/>
              </w:rPr>
              <w:t>5,1</w:t>
            </w:r>
          </w:p>
        </w:tc>
      </w:tr>
      <w:tr w:rsidR="00750C42" w:rsidRPr="00797AA1" w14:paraId="32ABFDC2" w14:textId="77777777" w:rsidTr="00A002C4">
        <w:trPr>
          <w:jc w:val="center"/>
        </w:trPr>
        <w:tc>
          <w:tcPr>
            <w:tcW w:w="3713" w:type="dxa"/>
            <w:shd w:val="clear" w:color="auto" w:fill="auto"/>
          </w:tcPr>
          <w:p w14:paraId="039C6EEF" w14:textId="77777777" w:rsidR="00750C42" w:rsidRPr="00797AA1" w:rsidRDefault="00750C42" w:rsidP="00A002C4">
            <w:pPr>
              <w:suppressAutoHyphens/>
              <w:jc w:val="right"/>
              <w:rPr>
                <w:i/>
                <w:sz w:val="16"/>
                <w:lang w:val="lv-LV"/>
              </w:rPr>
            </w:pPr>
            <w:r>
              <w:rPr>
                <w:i/>
                <w:sz w:val="16"/>
                <w:lang w:val="lv-LV"/>
              </w:rPr>
              <w:t>Eksportētā biodīzeļdegviela</w:t>
            </w:r>
          </w:p>
        </w:tc>
        <w:tc>
          <w:tcPr>
            <w:tcW w:w="1617" w:type="dxa"/>
            <w:shd w:val="clear" w:color="auto" w:fill="auto"/>
          </w:tcPr>
          <w:p w14:paraId="235882EB" w14:textId="77777777" w:rsidR="00750C42" w:rsidRPr="005B35B9" w:rsidRDefault="005B35B9" w:rsidP="00A002C4">
            <w:pPr>
              <w:suppressAutoHyphens/>
              <w:snapToGrid w:val="0"/>
              <w:rPr>
                <w:sz w:val="16"/>
              </w:rPr>
            </w:pPr>
            <w:r w:rsidRPr="005B35B9">
              <w:rPr>
                <w:sz w:val="16"/>
              </w:rPr>
              <w:t>42,0</w:t>
            </w:r>
          </w:p>
        </w:tc>
        <w:tc>
          <w:tcPr>
            <w:tcW w:w="1618" w:type="dxa"/>
            <w:shd w:val="clear" w:color="auto" w:fill="auto"/>
          </w:tcPr>
          <w:p w14:paraId="15A33EC6" w14:textId="77777777" w:rsidR="00750C42" w:rsidRPr="005B35B9" w:rsidRDefault="005B35B9" w:rsidP="00A002C4">
            <w:pPr>
              <w:suppressAutoHyphens/>
              <w:rPr>
                <w:sz w:val="16"/>
              </w:rPr>
            </w:pPr>
            <w:r w:rsidRPr="005B35B9">
              <w:rPr>
                <w:sz w:val="16"/>
              </w:rPr>
              <w:t>69,1</w:t>
            </w:r>
          </w:p>
        </w:tc>
      </w:tr>
      <w:tr w:rsidR="00D13302" w:rsidRPr="00797AA1" w14:paraId="3328DB87" w14:textId="77777777" w:rsidTr="00A002C4">
        <w:trPr>
          <w:jc w:val="center"/>
        </w:trPr>
        <w:tc>
          <w:tcPr>
            <w:tcW w:w="3713" w:type="dxa"/>
            <w:shd w:val="clear" w:color="auto" w:fill="auto"/>
          </w:tcPr>
          <w:p w14:paraId="0B32CE6D" w14:textId="77777777" w:rsidR="00D13302" w:rsidRDefault="00D13302" w:rsidP="00A002C4">
            <w:pPr>
              <w:suppressAutoHyphens/>
            </w:pPr>
            <w:r w:rsidRPr="00797AA1">
              <w:rPr>
                <w:sz w:val="16"/>
                <w:lang w:val="lv-LV"/>
              </w:rPr>
              <w:t>Ūdeņradis no atjaunojamajiem resursiem</w:t>
            </w:r>
          </w:p>
        </w:tc>
        <w:tc>
          <w:tcPr>
            <w:tcW w:w="1617" w:type="dxa"/>
            <w:shd w:val="clear" w:color="auto" w:fill="auto"/>
          </w:tcPr>
          <w:p w14:paraId="3725E1FF" w14:textId="77777777" w:rsidR="00D13302" w:rsidRDefault="00D13302" w:rsidP="00A002C4">
            <w:pPr>
              <w:suppressAutoHyphens/>
              <w:snapToGrid w:val="0"/>
              <w:rPr>
                <w:sz w:val="16"/>
              </w:rPr>
            </w:pPr>
            <w:r>
              <w:rPr>
                <w:sz w:val="16"/>
              </w:rPr>
              <w:t>0</w:t>
            </w:r>
          </w:p>
        </w:tc>
        <w:tc>
          <w:tcPr>
            <w:tcW w:w="1618" w:type="dxa"/>
            <w:shd w:val="clear" w:color="auto" w:fill="auto"/>
          </w:tcPr>
          <w:p w14:paraId="435BC888" w14:textId="77777777" w:rsidR="00D13302" w:rsidRPr="00797AA1" w:rsidRDefault="00D13302" w:rsidP="00A002C4">
            <w:pPr>
              <w:suppressAutoHyphens/>
              <w:rPr>
                <w:sz w:val="16"/>
              </w:rPr>
            </w:pPr>
            <w:r>
              <w:rPr>
                <w:sz w:val="16"/>
              </w:rPr>
              <w:t>0</w:t>
            </w:r>
          </w:p>
        </w:tc>
      </w:tr>
      <w:tr w:rsidR="00D13302" w:rsidRPr="00797AA1" w14:paraId="1CCD8721" w14:textId="77777777" w:rsidTr="00A002C4">
        <w:trPr>
          <w:jc w:val="center"/>
        </w:trPr>
        <w:tc>
          <w:tcPr>
            <w:tcW w:w="3713" w:type="dxa"/>
            <w:shd w:val="clear" w:color="auto" w:fill="auto"/>
          </w:tcPr>
          <w:p w14:paraId="417AA6E1" w14:textId="77777777" w:rsidR="00D13302" w:rsidRDefault="005B35B9" w:rsidP="005B35B9">
            <w:pPr>
              <w:suppressAutoHyphens/>
            </w:pPr>
            <w:r>
              <w:rPr>
                <w:sz w:val="16"/>
                <w:lang w:val="lv-LV"/>
              </w:rPr>
              <w:t>Atjaunojamā</w:t>
            </w:r>
            <w:r w:rsidR="00D13302" w:rsidRPr="00797AA1">
              <w:rPr>
                <w:sz w:val="16"/>
                <w:lang w:val="lv-LV"/>
              </w:rPr>
              <w:t xml:space="preserve"> elektroenerģija</w:t>
            </w:r>
            <w:r w:rsidR="00D13302" w:rsidRPr="00797AA1">
              <w:rPr>
                <w:sz w:val="16"/>
              </w:rPr>
              <w:t xml:space="preserve"> </w:t>
            </w:r>
            <w:r w:rsidR="00D13302" w:rsidRPr="00D13302">
              <w:rPr>
                <w:rStyle w:val="FootnoteReference"/>
                <w:sz w:val="16"/>
              </w:rPr>
              <w:footnoteReference w:id="19"/>
            </w:r>
          </w:p>
        </w:tc>
        <w:tc>
          <w:tcPr>
            <w:tcW w:w="1617" w:type="dxa"/>
            <w:shd w:val="clear" w:color="auto" w:fill="auto"/>
          </w:tcPr>
          <w:p w14:paraId="1960E19A" w14:textId="77777777" w:rsidR="00D13302" w:rsidRDefault="005B35B9" w:rsidP="00A002C4">
            <w:pPr>
              <w:suppressAutoHyphens/>
              <w:snapToGrid w:val="0"/>
              <w:rPr>
                <w:sz w:val="16"/>
              </w:rPr>
            </w:pPr>
            <w:r>
              <w:rPr>
                <w:sz w:val="16"/>
              </w:rPr>
              <w:t>4,5</w:t>
            </w:r>
          </w:p>
        </w:tc>
        <w:tc>
          <w:tcPr>
            <w:tcW w:w="1618" w:type="dxa"/>
            <w:shd w:val="clear" w:color="auto" w:fill="auto"/>
          </w:tcPr>
          <w:p w14:paraId="34BB9EF2" w14:textId="77777777" w:rsidR="00D13302" w:rsidRPr="00797AA1" w:rsidRDefault="0001318F" w:rsidP="00A002C4">
            <w:pPr>
              <w:suppressAutoHyphens/>
              <w:rPr>
                <w:sz w:val="16"/>
              </w:rPr>
            </w:pPr>
            <w:r>
              <w:rPr>
                <w:sz w:val="16"/>
              </w:rPr>
              <w:t>4,7</w:t>
            </w:r>
          </w:p>
        </w:tc>
      </w:tr>
      <w:tr w:rsidR="00D13302" w:rsidRPr="00797AA1" w14:paraId="6F0561DE" w14:textId="77777777" w:rsidTr="00A002C4">
        <w:trPr>
          <w:jc w:val="center"/>
        </w:trPr>
        <w:tc>
          <w:tcPr>
            <w:tcW w:w="3713" w:type="dxa"/>
            <w:shd w:val="clear" w:color="auto" w:fill="auto"/>
          </w:tcPr>
          <w:p w14:paraId="13C5AEF8" w14:textId="77777777" w:rsidR="00D13302" w:rsidRDefault="00D13302" w:rsidP="00A002C4">
            <w:pPr>
              <w:suppressAutoHyphens/>
              <w:jc w:val="right"/>
            </w:pPr>
            <w:r w:rsidRPr="00797AA1">
              <w:rPr>
                <w:i/>
                <w:sz w:val="16"/>
                <w:lang w:val="lv-LV"/>
              </w:rPr>
              <w:t>Tostarp autotransports</w:t>
            </w:r>
          </w:p>
        </w:tc>
        <w:tc>
          <w:tcPr>
            <w:tcW w:w="1617" w:type="dxa"/>
            <w:shd w:val="clear" w:color="auto" w:fill="auto"/>
          </w:tcPr>
          <w:p w14:paraId="21D6197E" w14:textId="77777777" w:rsidR="00D13302" w:rsidRDefault="00D13302" w:rsidP="00A002C4">
            <w:pPr>
              <w:suppressAutoHyphens/>
              <w:snapToGrid w:val="0"/>
              <w:rPr>
                <w:sz w:val="16"/>
              </w:rPr>
            </w:pPr>
            <w:r>
              <w:rPr>
                <w:sz w:val="16"/>
              </w:rPr>
              <w:t>2,3</w:t>
            </w:r>
          </w:p>
        </w:tc>
        <w:tc>
          <w:tcPr>
            <w:tcW w:w="1618" w:type="dxa"/>
            <w:shd w:val="clear" w:color="auto" w:fill="auto"/>
          </w:tcPr>
          <w:p w14:paraId="2D9CAF7F" w14:textId="77777777" w:rsidR="00D13302" w:rsidRPr="00797AA1" w:rsidRDefault="00D13302" w:rsidP="00A002C4">
            <w:pPr>
              <w:suppressAutoHyphens/>
              <w:rPr>
                <w:sz w:val="16"/>
              </w:rPr>
            </w:pPr>
            <w:r>
              <w:rPr>
                <w:sz w:val="16"/>
              </w:rPr>
              <w:t>2,4</w:t>
            </w:r>
          </w:p>
        </w:tc>
      </w:tr>
      <w:tr w:rsidR="00D13302" w:rsidRPr="00797AA1" w14:paraId="56294798" w14:textId="77777777" w:rsidTr="00A002C4">
        <w:trPr>
          <w:jc w:val="center"/>
        </w:trPr>
        <w:tc>
          <w:tcPr>
            <w:tcW w:w="3713" w:type="dxa"/>
            <w:shd w:val="clear" w:color="auto" w:fill="auto"/>
          </w:tcPr>
          <w:p w14:paraId="3C886D79" w14:textId="77777777" w:rsidR="00D13302" w:rsidRDefault="00D13302" w:rsidP="00A002C4">
            <w:pPr>
              <w:suppressAutoHyphens/>
              <w:jc w:val="right"/>
            </w:pPr>
            <w:r w:rsidRPr="00797AA1">
              <w:rPr>
                <w:i/>
                <w:sz w:val="16"/>
                <w:lang w:val="lv-LV"/>
              </w:rPr>
              <w:t>Tostarp cits transports</w:t>
            </w:r>
          </w:p>
        </w:tc>
        <w:tc>
          <w:tcPr>
            <w:tcW w:w="1617" w:type="dxa"/>
            <w:shd w:val="clear" w:color="auto" w:fill="auto"/>
          </w:tcPr>
          <w:p w14:paraId="58DC7D1E" w14:textId="77777777" w:rsidR="00D13302" w:rsidRDefault="00D13302" w:rsidP="00A002C4">
            <w:pPr>
              <w:suppressAutoHyphens/>
              <w:snapToGrid w:val="0"/>
              <w:rPr>
                <w:sz w:val="16"/>
              </w:rPr>
            </w:pPr>
            <w:r>
              <w:rPr>
                <w:sz w:val="16"/>
              </w:rPr>
              <w:t>2,1</w:t>
            </w:r>
          </w:p>
        </w:tc>
        <w:tc>
          <w:tcPr>
            <w:tcW w:w="1618" w:type="dxa"/>
            <w:shd w:val="clear" w:color="auto" w:fill="auto"/>
          </w:tcPr>
          <w:p w14:paraId="1DB8D0A7" w14:textId="77777777" w:rsidR="00D13302" w:rsidRPr="00797AA1" w:rsidRDefault="00D13302" w:rsidP="00A002C4">
            <w:pPr>
              <w:suppressAutoHyphens/>
              <w:rPr>
                <w:sz w:val="16"/>
              </w:rPr>
            </w:pPr>
            <w:r>
              <w:rPr>
                <w:sz w:val="16"/>
              </w:rPr>
              <w:t>2,3</w:t>
            </w:r>
          </w:p>
        </w:tc>
      </w:tr>
      <w:tr w:rsidR="00D13302" w:rsidRPr="00797AA1" w14:paraId="02A21F5D" w14:textId="77777777" w:rsidTr="00A002C4">
        <w:trPr>
          <w:jc w:val="center"/>
        </w:trPr>
        <w:tc>
          <w:tcPr>
            <w:tcW w:w="3713" w:type="dxa"/>
            <w:shd w:val="clear" w:color="auto" w:fill="auto"/>
          </w:tcPr>
          <w:p w14:paraId="08AC8384" w14:textId="77777777" w:rsidR="00D13302" w:rsidRDefault="00D13302" w:rsidP="00A002C4">
            <w:pPr>
              <w:suppressAutoHyphens/>
            </w:pPr>
            <w:r w:rsidRPr="00797AA1">
              <w:rPr>
                <w:sz w:val="16"/>
                <w:lang w:val="lv-LV"/>
              </w:rPr>
              <w:t xml:space="preserve">Citi (piemēram, biogāze, augu eļļa </w:t>
            </w:r>
            <w:proofErr w:type="spellStart"/>
            <w:r w:rsidRPr="00797AA1">
              <w:rPr>
                <w:sz w:val="16"/>
                <w:lang w:val="lv-LV"/>
              </w:rPr>
              <w:t>utt</w:t>
            </w:r>
            <w:proofErr w:type="spellEnd"/>
            <w:r w:rsidRPr="00797AA1">
              <w:rPr>
                <w:sz w:val="16"/>
                <w:lang w:val="lv-LV"/>
              </w:rPr>
              <w:t>.) - precizēt</w:t>
            </w:r>
          </w:p>
        </w:tc>
        <w:tc>
          <w:tcPr>
            <w:tcW w:w="1617" w:type="dxa"/>
            <w:shd w:val="clear" w:color="auto" w:fill="auto"/>
          </w:tcPr>
          <w:p w14:paraId="5D3E04A4" w14:textId="77777777" w:rsidR="00D13302" w:rsidRDefault="00D13302" w:rsidP="00A002C4">
            <w:pPr>
              <w:suppressAutoHyphens/>
              <w:snapToGrid w:val="0"/>
              <w:rPr>
                <w:sz w:val="16"/>
              </w:rPr>
            </w:pPr>
            <w:r>
              <w:rPr>
                <w:sz w:val="16"/>
              </w:rPr>
              <w:t>0</w:t>
            </w:r>
          </w:p>
        </w:tc>
        <w:tc>
          <w:tcPr>
            <w:tcW w:w="1618" w:type="dxa"/>
            <w:shd w:val="clear" w:color="auto" w:fill="auto"/>
          </w:tcPr>
          <w:p w14:paraId="2F44EF6E" w14:textId="77777777" w:rsidR="00D13302" w:rsidRPr="00797AA1" w:rsidRDefault="00D13302" w:rsidP="00A002C4">
            <w:pPr>
              <w:suppressAutoHyphens/>
              <w:rPr>
                <w:sz w:val="16"/>
              </w:rPr>
            </w:pPr>
            <w:r>
              <w:rPr>
                <w:sz w:val="16"/>
              </w:rPr>
              <w:t>0</w:t>
            </w:r>
          </w:p>
        </w:tc>
      </w:tr>
      <w:tr w:rsidR="00D13302" w:rsidRPr="00797AA1" w14:paraId="7D8A90DC" w14:textId="77777777" w:rsidTr="00A002C4">
        <w:trPr>
          <w:jc w:val="center"/>
        </w:trPr>
        <w:tc>
          <w:tcPr>
            <w:tcW w:w="3713" w:type="dxa"/>
            <w:shd w:val="clear" w:color="auto" w:fill="auto"/>
          </w:tcPr>
          <w:p w14:paraId="2099E271" w14:textId="77777777" w:rsidR="00D13302" w:rsidRPr="00797AA1" w:rsidRDefault="00D13302" w:rsidP="00A002C4">
            <w:pPr>
              <w:suppressAutoHyphens/>
              <w:jc w:val="right"/>
              <w:rPr>
                <w:i/>
                <w:sz w:val="16"/>
              </w:rPr>
            </w:pPr>
            <w:r w:rsidRPr="00797AA1">
              <w:rPr>
                <w:i/>
                <w:sz w:val="16"/>
                <w:lang w:val="lv-LV"/>
              </w:rPr>
              <w:t>Tostarp biodegvielas</w:t>
            </w:r>
            <w:r w:rsidRPr="00797AA1">
              <w:rPr>
                <w:rStyle w:val="FootnoteReference"/>
                <w:sz w:val="16"/>
                <w:lang w:val="lv-LV"/>
              </w:rPr>
              <w:footnoteReference w:id="20"/>
            </w:r>
            <w:r w:rsidRPr="00797AA1">
              <w:rPr>
                <w:i/>
                <w:sz w:val="16"/>
                <w:lang w:val="lv-LV"/>
              </w:rPr>
              <w:t xml:space="preserve"> atbilstoši 21. panta 2. punktam</w:t>
            </w:r>
          </w:p>
        </w:tc>
        <w:tc>
          <w:tcPr>
            <w:tcW w:w="1617" w:type="dxa"/>
            <w:shd w:val="clear" w:color="auto" w:fill="auto"/>
          </w:tcPr>
          <w:p w14:paraId="4A90D09C" w14:textId="77777777" w:rsidR="00D13302" w:rsidRPr="00797AA1" w:rsidRDefault="00D13302" w:rsidP="00A002C4">
            <w:pPr>
              <w:suppressAutoHyphens/>
              <w:rPr>
                <w:sz w:val="16"/>
              </w:rPr>
            </w:pPr>
            <w:r>
              <w:rPr>
                <w:sz w:val="16"/>
              </w:rPr>
              <w:t>0</w:t>
            </w:r>
          </w:p>
        </w:tc>
        <w:tc>
          <w:tcPr>
            <w:tcW w:w="1618" w:type="dxa"/>
            <w:shd w:val="clear" w:color="auto" w:fill="auto"/>
          </w:tcPr>
          <w:p w14:paraId="309FCD0F" w14:textId="77777777" w:rsidR="00D13302" w:rsidRPr="00797AA1" w:rsidRDefault="00D13302" w:rsidP="00A002C4">
            <w:pPr>
              <w:suppressAutoHyphens/>
              <w:rPr>
                <w:sz w:val="16"/>
              </w:rPr>
            </w:pPr>
            <w:r>
              <w:rPr>
                <w:sz w:val="16"/>
              </w:rPr>
              <w:t>0</w:t>
            </w:r>
          </w:p>
        </w:tc>
      </w:tr>
      <w:tr w:rsidR="00D13302" w:rsidRPr="00797AA1" w14:paraId="2DE7F0FE" w14:textId="77777777" w:rsidTr="00A002C4">
        <w:trPr>
          <w:jc w:val="center"/>
        </w:trPr>
        <w:tc>
          <w:tcPr>
            <w:tcW w:w="3713" w:type="dxa"/>
            <w:shd w:val="clear" w:color="auto" w:fill="auto"/>
          </w:tcPr>
          <w:p w14:paraId="47E45503" w14:textId="77777777" w:rsidR="00D13302" w:rsidRPr="00D13302" w:rsidRDefault="00D13302" w:rsidP="00A002C4">
            <w:pPr>
              <w:rPr>
                <w:sz w:val="16"/>
              </w:rPr>
            </w:pPr>
            <w:r w:rsidRPr="00D13302">
              <w:rPr>
                <w:b/>
                <w:sz w:val="16"/>
              </w:rPr>
              <w:t xml:space="preserve">KOPĀ </w:t>
            </w:r>
            <w:r w:rsidRPr="00D13302">
              <w:rPr>
                <w:rStyle w:val="FootnoteReference"/>
                <w:sz w:val="16"/>
              </w:rPr>
              <w:footnoteReference w:id="21"/>
            </w:r>
          </w:p>
        </w:tc>
        <w:tc>
          <w:tcPr>
            <w:tcW w:w="1617" w:type="dxa"/>
            <w:shd w:val="clear" w:color="auto" w:fill="auto"/>
          </w:tcPr>
          <w:p w14:paraId="1D9E2F21" w14:textId="77777777" w:rsidR="00D13302" w:rsidRPr="00797AA1" w:rsidRDefault="00D13302" w:rsidP="00A002C4">
            <w:pPr>
              <w:suppressAutoHyphens/>
              <w:rPr>
                <w:sz w:val="16"/>
              </w:rPr>
            </w:pPr>
            <w:r>
              <w:rPr>
                <w:sz w:val="16"/>
              </w:rPr>
              <w:t>26,8</w:t>
            </w:r>
          </w:p>
        </w:tc>
        <w:tc>
          <w:tcPr>
            <w:tcW w:w="1618" w:type="dxa"/>
            <w:shd w:val="clear" w:color="auto" w:fill="auto"/>
          </w:tcPr>
          <w:p w14:paraId="5882D310" w14:textId="77777777" w:rsidR="00D13302" w:rsidRPr="00797AA1" w:rsidRDefault="00D13302" w:rsidP="00A002C4">
            <w:pPr>
              <w:suppressAutoHyphens/>
              <w:rPr>
                <w:sz w:val="16"/>
              </w:rPr>
            </w:pPr>
            <w:r>
              <w:rPr>
                <w:sz w:val="16"/>
              </w:rPr>
              <w:t>23,9</w:t>
            </w:r>
          </w:p>
        </w:tc>
      </w:tr>
      <w:tr w:rsidR="00D13302" w:rsidRPr="00797AA1" w14:paraId="4B88E6F5" w14:textId="77777777" w:rsidTr="00A002C4">
        <w:trPr>
          <w:jc w:val="center"/>
        </w:trPr>
        <w:tc>
          <w:tcPr>
            <w:tcW w:w="3713" w:type="dxa"/>
            <w:shd w:val="clear" w:color="auto" w:fill="auto"/>
          </w:tcPr>
          <w:p w14:paraId="3615147E" w14:textId="77777777" w:rsidR="00D13302" w:rsidRPr="00D13302" w:rsidRDefault="00D13302" w:rsidP="00A002C4">
            <w:pPr>
              <w:rPr>
                <w:b/>
                <w:sz w:val="16"/>
              </w:rPr>
            </w:pPr>
            <w:r w:rsidRPr="00D13302">
              <w:rPr>
                <w:b/>
                <w:sz w:val="16"/>
              </w:rPr>
              <w:t xml:space="preserve">KOPĀ </w:t>
            </w:r>
            <w:r w:rsidRPr="00D13302">
              <w:rPr>
                <w:rStyle w:val="FootnoteReference"/>
                <w:sz w:val="16"/>
              </w:rPr>
              <w:footnoteReference w:id="22"/>
            </w:r>
          </w:p>
        </w:tc>
        <w:tc>
          <w:tcPr>
            <w:tcW w:w="1617" w:type="dxa"/>
            <w:shd w:val="clear" w:color="auto" w:fill="auto"/>
          </w:tcPr>
          <w:p w14:paraId="61C005E8" w14:textId="77777777" w:rsidR="00D13302" w:rsidRDefault="00D13302" w:rsidP="00A002C4">
            <w:pPr>
              <w:suppressAutoHyphens/>
              <w:rPr>
                <w:sz w:val="16"/>
              </w:rPr>
            </w:pPr>
            <w:r>
              <w:rPr>
                <w:sz w:val="16"/>
              </w:rPr>
              <w:t>30,3</w:t>
            </w:r>
          </w:p>
        </w:tc>
        <w:tc>
          <w:tcPr>
            <w:tcW w:w="1618" w:type="dxa"/>
            <w:shd w:val="clear" w:color="auto" w:fill="auto"/>
          </w:tcPr>
          <w:p w14:paraId="1EAF70D9" w14:textId="77777777" w:rsidR="00D13302" w:rsidRDefault="00D13302" w:rsidP="00A002C4">
            <w:pPr>
              <w:suppressAutoHyphens/>
              <w:rPr>
                <w:sz w:val="16"/>
              </w:rPr>
            </w:pPr>
            <w:r>
              <w:rPr>
                <w:sz w:val="16"/>
              </w:rPr>
              <w:t>27,4</w:t>
            </w:r>
          </w:p>
        </w:tc>
      </w:tr>
    </w:tbl>
    <w:p w14:paraId="5E1132B3" w14:textId="77777777" w:rsidR="00430882" w:rsidRDefault="00D13302" w:rsidP="00D13302">
      <w:pPr>
        <w:ind w:left="851"/>
        <w:rPr>
          <w:i/>
          <w:sz w:val="20"/>
          <w:szCs w:val="20"/>
          <w:lang w:val="lv-LV"/>
        </w:rPr>
      </w:pPr>
      <w:r w:rsidRPr="003D398D">
        <w:rPr>
          <w:i/>
          <w:sz w:val="20"/>
          <w:szCs w:val="20"/>
          <w:lang w:val="lv-LV"/>
        </w:rPr>
        <w:t>Avots: CSP</w:t>
      </w:r>
    </w:p>
    <w:p w14:paraId="54D2D3DE" w14:textId="77777777" w:rsidR="00D13302" w:rsidRPr="003D398D" w:rsidRDefault="00D13302" w:rsidP="00D13302">
      <w:pPr>
        <w:ind w:left="851"/>
        <w:rPr>
          <w:i/>
          <w:sz w:val="20"/>
          <w:szCs w:val="20"/>
          <w:lang w:val="lv-LV"/>
        </w:rPr>
      </w:pPr>
    </w:p>
    <w:p w14:paraId="3716D97F" w14:textId="77777777" w:rsidR="00820C75" w:rsidRPr="00AB36EF" w:rsidRDefault="00820C75" w:rsidP="00AB36EF">
      <w:pPr>
        <w:pStyle w:val="Heading1"/>
        <w:numPr>
          <w:ilvl w:val="0"/>
          <w:numId w:val="18"/>
        </w:numPr>
        <w:jc w:val="center"/>
        <w:rPr>
          <w:smallCaps w:val="0"/>
          <w:sz w:val="28"/>
          <w:lang w:val="lv-LV"/>
        </w:rPr>
      </w:pPr>
      <w:bookmarkStart w:id="6" w:name="_Toc367196054"/>
      <w:bookmarkStart w:id="7" w:name="_Toc373229241"/>
      <w:r w:rsidRPr="00AB36EF">
        <w:rPr>
          <w:smallCaps w:val="0"/>
          <w:sz w:val="28"/>
          <w:lang w:val="lv-LV"/>
        </w:rPr>
        <w:lastRenderedPageBreak/>
        <w:t>Pasākumi, kas sekmē no atjaunojamiem resursiem ražotas enerģijas pieaugumu, ņemot vērā indikatīvo līkni valsts atjaunojamo energoresursu mērķu sasniegšanai</w:t>
      </w:r>
      <w:bookmarkEnd w:id="6"/>
      <w:bookmarkEnd w:id="7"/>
    </w:p>
    <w:p w14:paraId="02A29B8E" w14:textId="77777777" w:rsidR="00A95EA6" w:rsidRDefault="00A95EA6">
      <w:pPr>
        <w:jc w:val="both"/>
        <w:rPr>
          <w:b/>
          <w:i/>
          <w:lang w:val="lv-LV"/>
        </w:rPr>
      </w:pPr>
    </w:p>
    <w:p w14:paraId="333655D4" w14:textId="77777777" w:rsidR="00A95EA6" w:rsidRPr="00546DEB" w:rsidRDefault="00A95EA6" w:rsidP="00546DEB">
      <w:pPr>
        <w:jc w:val="right"/>
        <w:rPr>
          <w:rStyle w:val="italic1"/>
          <w:b/>
          <w:i w:val="0"/>
          <w:iCs w:val="0"/>
          <w:sz w:val="20"/>
          <w:szCs w:val="20"/>
          <w:lang w:val="lv-LV"/>
        </w:rPr>
      </w:pPr>
      <w:bookmarkStart w:id="8" w:name="_Toc367092830"/>
      <w:r w:rsidRPr="00546DEB">
        <w:rPr>
          <w:rStyle w:val="italic1"/>
          <w:b/>
          <w:i w:val="0"/>
          <w:iCs w:val="0"/>
          <w:sz w:val="20"/>
          <w:szCs w:val="20"/>
          <w:lang w:val="lv-LV"/>
        </w:rPr>
        <w:t>2.</w:t>
      </w:r>
      <w:r w:rsidRPr="00F26DD1">
        <w:rPr>
          <w:b/>
          <w:i/>
          <w:sz w:val="20"/>
          <w:szCs w:val="20"/>
        </w:rPr>
        <w:t>tabula</w:t>
      </w:r>
      <w:bookmarkEnd w:id="8"/>
    </w:p>
    <w:p w14:paraId="4687652F" w14:textId="77777777" w:rsidR="00A95EA6" w:rsidRPr="00F26DD1" w:rsidRDefault="00A95EA6" w:rsidP="00D037EB">
      <w:pPr>
        <w:jc w:val="center"/>
        <w:rPr>
          <w:rStyle w:val="italic1"/>
          <w:i w:val="0"/>
          <w:iCs w:val="0"/>
        </w:rPr>
      </w:pPr>
      <w:bookmarkStart w:id="9" w:name="_Toc367092831"/>
      <w:r>
        <w:rPr>
          <w:rStyle w:val="italic1"/>
          <w:b/>
          <w:i w:val="0"/>
          <w:iCs w:val="0"/>
          <w:sz w:val="20"/>
          <w:lang w:val="lv-LV"/>
        </w:rPr>
        <w:t xml:space="preserve">Visu </w:t>
      </w:r>
      <w:proofErr w:type="spellStart"/>
      <w:r>
        <w:rPr>
          <w:rStyle w:val="italic1"/>
          <w:b/>
          <w:i w:val="0"/>
          <w:iCs w:val="0"/>
          <w:sz w:val="20"/>
          <w:lang w:val="lv-LV"/>
        </w:rPr>
        <w:t>rīcībpolitiku</w:t>
      </w:r>
      <w:proofErr w:type="spellEnd"/>
      <w:r>
        <w:rPr>
          <w:rStyle w:val="italic1"/>
          <w:b/>
          <w:i w:val="0"/>
          <w:iCs w:val="0"/>
          <w:sz w:val="20"/>
          <w:lang w:val="lv-LV"/>
        </w:rPr>
        <w:t xml:space="preserve"> un pasākumu pārskats</w:t>
      </w:r>
      <w:bookmarkEnd w:id="9"/>
    </w:p>
    <w:p w14:paraId="53418B46" w14:textId="77777777" w:rsidR="00A95EA6" w:rsidRDefault="00A95EA6" w:rsidP="00A95EA6">
      <w:pPr>
        <w:jc w:val="both"/>
        <w:rPr>
          <w:b/>
          <w:i/>
          <w:lang w:val="lv-LV"/>
        </w:rPr>
      </w:pPr>
    </w:p>
    <w:tbl>
      <w:tblPr>
        <w:tblW w:w="9291" w:type="dxa"/>
        <w:jc w:val="center"/>
        <w:tblInd w:w="-5" w:type="dxa"/>
        <w:tblLayout w:type="fixed"/>
        <w:tblLook w:val="0000" w:firstRow="0" w:lastRow="0" w:firstColumn="0" w:lastColumn="0" w:noHBand="0" w:noVBand="0"/>
      </w:tblPr>
      <w:tblGrid>
        <w:gridCol w:w="1945"/>
        <w:gridCol w:w="1412"/>
        <w:gridCol w:w="1694"/>
        <w:gridCol w:w="1835"/>
        <w:gridCol w:w="1131"/>
        <w:gridCol w:w="1274"/>
      </w:tblGrid>
      <w:tr w:rsidR="007172D5" w:rsidRPr="00410FBD" w14:paraId="37E2C485" w14:textId="77777777" w:rsidTr="007172D5">
        <w:trPr>
          <w:jc w:val="center"/>
        </w:trPr>
        <w:tc>
          <w:tcPr>
            <w:tcW w:w="1945" w:type="dxa"/>
            <w:tcBorders>
              <w:top w:val="single" w:sz="4" w:space="0" w:color="000000"/>
              <w:left w:val="single" w:sz="4" w:space="0" w:color="000000"/>
              <w:bottom w:val="single" w:sz="4" w:space="0" w:color="000000"/>
            </w:tcBorders>
            <w:shd w:val="clear" w:color="auto" w:fill="E6E6E6"/>
          </w:tcPr>
          <w:p w14:paraId="1488D60C" w14:textId="77777777" w:rsidR="007172D5" w:rsidRDefault="007172D5" w:rsidP="00B105AB">
            <w:pPr>
              <w:jc w:val="center"/>
              <w:rPr>
                <w:rStyle w:val="italic1"/>
                <w:i w:val="0"/>
                <w:iCs w:val="0"/>
              </w:rPr>
            </w:pPr>
            <w:r>
              <w:rPr>
                <w:rStyle w:val="italic1"/>
                <w:b/>
                <w:i w:val="0"/>
                <w:iCs w:val="0"/>
                <w:sz w:val="16"/>
                <w:lang w:val="lv-LV"/>
              </w:rPr>
              <w:t>Pasākuma nosaukums un atsauce</w:t>
            </w:r>
          </w:p>
        </w:tc>
        <w:tc>
          <w:tcPr>
            <w:tcW w:w="1412" w:type="dxa"/>
            <w:tcBorders>
              <w:top w:val="single" w:sz="4" w:space="0" w:color="000000"/>
              <w:left w:val="single" w:sz="4" w:space="0" w:color="000000"/>
              <w:bottom w:val="single" w:sz="4" w:space="0" w:color="000000"/>
            </w:tcBorders>
            <w:shd w:val="clear" w:color="auto" w:fill="E6E6E6"/>
          </w:tcPr>
          <w:p w14:paraId="60884720" w14:textId="77777777" w:rsidR="007172D5" w:rsidRDefault="007172D5" w:rsidP="00B105AB">
            <w:pPr>
              <w:jc w:val="center"/>
              <w:rPr>
                <w:rStyle w:val="italic1"/>
                <w:i w:val="0"/>
                <w:iCs w:val="0"/>
              </w:rPr>
            </w:pPr>
            <w:r>
              <w:rPr>
                <w:rStyle w:val="italic1"/>
                <w:b/>
                <w:i w:val="0"/>
                <w:iCs w:val="0"/>
                <w:sz w:val="16"/>
                <w:lang w:val="lv-LV"/>
              </w:rPr>
              <w:t>Pasākuma veids*</w:t>
            </w:r>
          </w:p>
        </w:tc>
        <w:tc>
          <w:tcPr>
            <w:tcW w:w="1694" w:type="dxa"/>
            <w:tcBorders>
              <w:top w:val="single" w:sz="4" w:space="0" w:color="000000"/>
              <w:left w:val="single" w:sz="4" w:space="0" w:color="000000"/>
              <w:bottom w:val="single" w:sz="4" w:space="0" w:color="000000"/>
            </w:tcBorders>
            <w:shd w:val="clear" w:color="auto" w:fill="E6E6E6"/>
          </w:tcPr>
          <w:p w14:paraId="671D7C60" w14:textId="77777777" w:rsidR="007172D5" w:rsidRDefault="007172D5" w:rsidP="00B105AB">
            <w:pPr>
              <w:jc w:val="center"/>
              <w:rPr>
                <w:rStyle w:val="italic1"/>
                <w:i w:val="0"/>
                <w:iCs w:val="0"/>
              </w:rPr>
            </w:pPr>
            <w:r>
              <w:rPr>
                <w:rStyle w:val="italic1"/>
                <w:b/>
                <w:i w:val="0"/>
                <w:iCs w:val="0"/>
                <w:sz w:val="16"/>
                <w:lang w:val="lv-LV"/>
              </w:rPr>
              <w:t>Gaidāmie rezultāti</w:t>
            </w:r>
            <w:r>
              <w:rPr>
                <w:rStyle w:val="italic1"/>
                <w:b/>
                <w:iCs w:val="0"/>
                <w:sz w:val="16"/>
                <w:lang w:val="lv-LV"/>
              </w:rPr>
              <w:t>**</w:t>
            </w:r>
          </w:p>
        </w:tc>
        <w:tc>
          <w:tcPr>
            <w:tcW w:w="1835" w:type="dxa"/>
            <w:tcBorders>
              <w:top w:val="single" w:sz="4" w:space="0" w:color="000000"/>
              <w:left w:val="single" w:sz="4" w:space="0" w:color="000000"/>
              <w:bottom w:val="single" w:sz="4" w:space="0" w:color="000000"/>
            </w:tcBorders>
            <w:shd w:val="clear" w:color="auto" w:fill="E6E6E6"/>
          </w:tcPr>
          <w:p w14:paraId="71396256" w14:textId="77777777" w:rsidR="007172D5" w:rsidRPr="00410FBD" w:rsidRDefault="007172D5" w:rsidP="00B105AB">
            <w:pPr>
              <w:jc w:val="center"/>
              <w:rPr>
                <w:rStyle w:val="italic1"/>
                <w:i w:val="0"/>
                <w:iCs w:val="0"/>
                <w:lang w:val="fr-FR"/>
              </w:rPr>
            </w:pPr>
            <w:r>
              <w:rPr>
                <w:rStyle w:val="italic1"/>
                <w:b/>
                <w:i w:val="0"/>
                <w:iCs w:val="0"/>
                <w:sz w:val="16"/>
                <w:lang w:val="lv-LV"/>
              </w:rPr>
              <w:t>Mērķa grupa un/ vai darbības joma***</w:t>
            </w:r>
          </w:p>
        </w:tc>
        <w:tc>
          <w:tcPr>
            <w:tcW w:w="1131" w:type="dxa"/>
            <w:tcBorders>
              <w:top w:val="single" w:sz="4" w:space="0" w:color="000000"/>
              <w:left w:val="single" w:sz="4" w:space="0" w:color="000000"/>
              <w:bottom w:val="single" w:sz="4" w:space="0" w:color="000000"/>
            </w:tcBorders>
            <w:shd w:val="clear" w:color="auto" w:fill="E6E6E6"/>
          </w:tcPr>
          <w:p w14:paraId="417E79EC" w14:textId="77777777" w:rsidR="007172D5" w:rsidRDefault="007172D5" w:rsidP="00B105AB">
            <w:pPr>
              <w:jc w:val="center"/>
              <w:rPr>
                <w:rStyle w:val="italic1"/>
                <w:i w:val="0"/>
                <w:iCs w:val="0"/>
              </w:rPr>
            </w:pPr>
            <w:r>
              <w:rPr>
                <w:rStyle w:val="italic1"/>
                <w:b/>
                <w:i w:val="0"/>
                <w:iCs w:val="0"/>
                <w:sz w:val="16"/>
                <w:lang w:val="lv-LV"/>
              </w:rPr>
              <w:t>Esošs vai plānots****</w:t>
            </w:r>
          </w:p>
        </w:tc>
        <w:tc>
          <w:tcPr>
            <w:tcW w:w="1274" w:type="dxa"/>
            <w:tcBorders>
              <w:top w:val="single" w:sz="4" w:space="0" w:color="000000"/>
              <w:left w:val="single" w:sz="4" w:space="0" w:color="000000"/>
              <w:bottom w:val="single" w:sz="4" w:space="0" w:color="000000"/>
              <w:right w:val="single" w:sz="4" w:space="0" w:color="000000"/>
            </w:tcBorders>
            <w:shd w:val="clear" w:color="auto" w:fill="E6E6E6"/>
          </w:tcPr>
          <w:p w14:paraId="2C18362A" w14:textId="77777777" w:rsidR="007172D5" w:rsidRPr="00410FBD" w:rsidRDefault="007172D5" w:rsidP="00B105AB">
            <w:pPr>
              <w:jc w:val="center"/>
              <w:rPr>
                <w:rStyle w:val="italic1"/>
                <w:i w:val="0"/>
                <w:iCs w:val="0"/>
                <w:lang w:val="fr-FR"/>
              </w:rPr>
            </w:pPr>
            <w:r>
              <w:rPr>
                <w:rStyle w:val="italic1"/>
                <w:b/>
                <w:i w:val="0"/>
                <w:iCs w:val="0"/>
                <w:sz w:val="16"/>
                <w:lang w:val="lv-LV"/>
              </w:rPr>
              <w:t>Pasākuma sākuma un beigu datums</w:t>
            </w:r>
          </w:p>
        </w:tc>
      </w:tr>
      <w:tr w:rsidR="007172D5" w:rsidRPr="007B1DFD" w14:paraId="0AD19CEB"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4"/>
        </w:trPr>
        <w:tc>
          <w:tcPr>
            <w:tcW w:w="1945" w:type="dxa"/>
            <w:tcBorders>
              <w:top w:val="single" w:sz="4" w:space="0" w:color="auto"/>
              <w:left w:val="single" w:sz="4" w:space="0" w:color="auto"/>
              <w:bottom w:val="single" w:sz="4" w:space="0" w:color="auto"/>
              <w:right w:val="single" w:sz="4" w:space="0" w:color="auto"/>
            </w:tcBorders>
          </w:tcPr>
          <w:p w14:paraId="119A054D" w14:textId="77777777" w:rsidR="00FD1B5D" w:rsidRPr="00617F15" w:rsidRDefault="00FD1B5D" w:rsidP="00A26D7A">
            <w:pPr>
              <w:jc w:val="both"/>
              <w:rPr>
                <w:sz w:val="16"/>
                <w:szCs w:val="16"/>
                <w:lang w:val="lv-LV"/>
              </w:rPr>
            </w:pPr>
            <w:r w:rsidRPr="00617F15">
              <w:rPr>
                <w:sz w:val="16"/>
                <w:szCs w:val="16"/>
                <w:lang w:val="lv-LV"/>
              </w:rPr>
              <w:t xml:space="preserve">1.Tiesības pārdot saražoto elektroenerģiju obligāti iepērkamā elektroenerģijas apjoma veidā (MK 16.03.2010. noteikumi Nr.262 </w:t>
            </w:r>
            <w:r w:rsidR="00AB4BD2">
              <w:rPr>
                <w:sz w:val="16"/>
                <w:szCs w:val="16"/>
                <w:lang w:val="lv-LV"/>
              </w:rPr>
              <w:t>„</w:t>
            </w:r>
            <w:r w:rsidRPr="00617F15">
              <w:rPr>
                <w:sz w:val="16"/>
                <w:szCs w:val="16"/>
                <w:lang w:val="lv-LV"/>
              </w:rPr>
              <w:t>Noteikumi par elektroenerģijas ražošanu, izmantojot atjaunojamos energoresursus, un cenu noteikšanas kārtību")</w:t>
            </w:r>
          </w:p>
        </w:tc>
        <w:tc>
          <w:tcPr>
            <w:tcW w:w="1412" w:type="dxa"/>
            <w:tcBorders>
              <w:top w:val="single" w:sz="4" w:space="0" w:color="auto"/>
              <w:left w:val="single" w:sz="4" w:space="0" w:color="auto"/>
              <w:bottom w:val="single" w:sz="4" w:space="0" w:color="auto"/>
              <w:right w:val="single" w:sz="4" w:space="0" w:color="auto"/>
            </w:tcBorders>
          </w:tcPr>
          <w:p w14:paraId="5CCA0C6D" w14:textId="77777777" w:rsidR="00FD1B5D" w:rsidRPr="00617F15" w:rsidRDefault="00FD1B5D" w:rsidP="00A26D7A">
            <w:pPr>
              <w:pStyle w:val="Default"/>
              <w:jc w:val="both"/>
              <w:rPr>
                <w:sz w:val="16"/>
                <w:szCs w:val="16"/>
              </w:rPr>
            </w:pPr>
            <w:r w:rsidRPr="00617F15">
              <w:rPr>
                <w:sz w:val="16"/>
                <w:szCs w:val="16"/>
              </w:rPr>
              <w:t xml:space="preserve">Publiskam tirgotājam noteikts pienākums iepirkt elektroenerģiju, kas ražota no AER no tiem elektroenerģijas ražotājiem, kas saņēmuši tiesības pārdot elektroenerģiju obligātā iepirkuma ietvaros. </w:t>
            </w:r>
          </w:p>
        </w:tc>
        <w:tc>
          <w:tcPr>
            <w:tcW w:w="1694" w:type="dxa"/>
            <w:tcBorders>
              <w:top w:val="single" w:sz="4" w:space="0" w:color="auto"/>
              <w:left w:val="single" w:sz="4" w:space="0" w:color="auto"/>
              <w:bottom w:val="single" w:sz="4" w:space="0" w:color="auto"/>
              <w:right w:val="single" w:sz="4" w:space="0" w:color="auto"/>
            </w:tcBorders>
          </w:tcPr>
          <w:p w14:paraId="4E4B86F1" w14:textId="77777777" w:rsidR="00FD1B5D" w:rsidRPr="00617F15" w:rsidRDefault="00FD1B5D" w:rsidP="00A26D7A">
            <w:pPr>
              <w:jc w:val="both"/>
              <w:rPr>
                <w:sz w:val="16"/>
                <w:szCs w:val="16"/>
                <w:lang w:val="lv-LV"/>
              </w:rPr>
            </w:pPr>
            <w:r w:rsidRPr="00617F15">
              <w:rPr>
                <w:sz w:val="16"/>
                <w:szCs w:val="16"/>
                <w:lang w:val="lv-LV"/>
              </w:rPr>
              <w:t>AE izmantošanas un enerģijas, kas ražota no AER konkurētspējas veicināšanai.</w:t>
            </w:r>
          </w:p>
        </w:tc>
        <w:tc>
          <w:tcPr>
            <w:tcW w:w="1835" w:type="dxa"/>
            <w:tcBorders>
              <w:top w:val="single" w:sz="4" w:space="0" w:color="auto"/>
              <w:left w:val="single" w:sz="4" w:space="0" w:color="auto"/>
              <w:bottom w:val="single" w:sz="4" w:space="0" w:color="auto"/>
              <w:right w:val="single" w:sz="4" w:space="0" w:color="auto"/>
            </w:tcBorders>
          </w:tcPr>
          <w:p w14:paraId="4284A11E" w14:textId="77777777" w:rsidR="00FD1B5D" w:rsidRPr="00617F15" w:rsidRDefault="00FD1B5D" w:rsidP="00A26D7A">
            <w:pPr>
              <w:jc w:val="both"/>
              <w:rPr>
                <w:sz w:val="16"/>
                <w:szCs w:val="16"/>
                <w:lang w:val="lv-LV"/>
              </w:rPr>
            </w:pPr>
            <w:r w:rsidRPr="00617F15">
              <w:rPr>
                <w:sz w:val="16"/>
                <w:szCs w:val="16"/>
                <w:lang w:val="lv-LV"/>
              </w:rPr>
              <w:t>Komersanti, kuri elektroenerģiju ražo vai plāno ražot no AER elektrostacijā LV teritorijā, izmantojot: hidroenerģiju, biogāzi, jebkāda veida cietu vai šķidru biomasu, vēja enerģiju, saules enerģiju.</w:t>
            </w:r>
          </w:p>
        </w:tc>
        <w:tc>
          <w:tcPr>
            <w:tcW w:w="1131" w:type="dxa"/>
            <w:tcBorders>
              <w:top w:val="single" w:sz="4" w:space="0" w:color="auto"/>
              <w:left w:val="single" w:sz="4" w:space="0" w:color="auto"/>
              <w:bottom w:val="single" w:sz="4" w:space="0" w:color="auto"/>
              <w:right w:val="single" w:sz="4" w:space="0" w:color="auto"/>
            </w:tcBorders>
          </w:tcPr>
          <w:p w14:paraId="7525E65E" w14:textId="77777777" w:rsidR="00922BE8" w:rsidRPr="00650A5C" w:rsidRDefault="00922BE8" w:rsidP="00A26D7A">
            <w:pPr>
              <w:jc w:val="both"/>
              <w:rPr>
                <w:sz w:val="16"/>
                <w:szCs w:val="16"/>
                <w:vertAlign w:val="superscript"/>
                <w:lang w:val="lv-LV"/>
              </w:rPr>
            </w:pPr>
            <w:r>
              <w:rPr>
                <w:sz w:val="16"/>
                <w:szCs w:val="16"/>
                <w:lang w:val="lv-LV"/>
              </w:rPr>
              <w:t>Esošs</w:t>
            </w:r>
            <w:r w:rsidR="00C74BDE" w:rsidRPr="00C74BDE">
              <w:rPr>
                <w:rStyle w:val="FootnoteReference"/>
                <w:sz w:val="16"/>
                <w:szCs w:val="16"/>
                <w:lang w:val="lv-LV"/>
              </w:rPr>
              <w:footnoteReference w:id="23"/>
            </w:r>
          </w:p>
          <w:p w14:paraId="4A03A89F" w14:textId="77777777" w:rsidR="00FD1B5D" w:rsidRPr="00617F15" w:rsidRDefault="00FD1B5D" w:rsidP="00650A5C">
            <w:pPr>
              <w:jc w:val="both"/>
              <w:rPr>
                <w:sz w:val="16"/>
                <w:szCs w:val="16"/>
                <w:lang w:val="lv-LV"/>
              </w:rPr>
            </w:pPr>
          </w:p>
        </w:tc>
        <w:tc>
          <w:tcPr>
            <w:tcW w:w="1274" w:type="dxa"/>
            <w:tcBorders>
              <w:top w:val="single" w:sz="4" w:space="0" w:color="auto"/>
              <w:left w:val="single" w:sz="4" w:space="0" w:color="auto"/>
              <w:bottom w:val="single" w:sz="4" w:space="0" w:color="auto"/>
              <w:right w:val="single" w:sz="4" w:space="0" w:color="auto"/>
            </w:tcBorders>
          </w:tcPr>
          <w:p w14:paraId="0968BB00" w14:textId="77777777" w:rsidR="004044B1" w:rsidRDefault="00FD1B5D" w:rsidP="004044B1">
            <w:pPr>
              <w:pStyle w:val="tv2131"/>
              <w:spacing w:before="0" w:line="240" w:lineRule="auto"/>
              <w:ind w:firstLine="0"/>
              <w:rPr>
                <w:rFonts w:ascii="Times New Roman" w:hAnsi="Times New Roman"/>
                <w:sz w:val="16"/>
                <w:szCs w:val="16"/>
              </w:rPr>
            </w:pPr>
            <w:r w:rsidRPr="00405B48">
              <w:rPr>
                <w:rFonts w:ascii="Times New Roman" w:hAnsi="Times New Roman"/>
                <w:sz w:val="16"/>
                <w:szCs w:val="16"/>
              </w:rPr>
              <w:t xml:space="preserve">Sākot ar 2007. gada 22. </w:t>
            </w:r>
            <w:r w:rsidR="004044B1">
              <w:rPr>
                <w:rFonts w:ascii="Times New Roman" w:hAnsi="Times New Roman"/>
                <w:sz w:val="16"/>
                <w:szCs w:val="16"/>
              </w:rPr>
              <w:t>a</w:t>
            </w:r>
            <w:r w:rsidR="00650A5C" w:rsidRPr="00405B48">
              <w:rPr>
                <w:rFonts w:ascii="Times New Roman" w:hAnsi="Times New Roman"/>
                <w:sz w:val="16"/>
                <w:szCs w:val="16"/>
              </w:rPr>
              <w:t>ugust</w:t>
            </w:r>
            <w:r w:rsidR="00650A5C">
              <w:rPr>
                <w:rFonts w:ascii="Times New Roman" w:hAnsi="Times New Roman"/>
                <w:sz w:val="16"/>
                <w:szCs w:val="16"/>
              </w:rPr>
              <w:t>u</w:t>
            </w:r>
            <w:r w:rsidR="004044B1">
              <w:rPr>
                <w:rFonts w:ascii="Times New Roman" w:hAnsi="Times New Roman"/>
                <w:sz w:val="16"/>
                <w:szCs w:val="16"/>
              </w:rPr>
              <w:t>.</w:t>
            </w:r>
          </w:p>
          <w:p w14:paraId="11DA9D4F" w14:textId="77777777" w:rsidR="00FD1B5D" w:rsidRPr="00617F15" w:rsidRDefault="004044B1" w:rsidP="004044B1">
            <w:pPr>
              <w:pStyle w:val="tv2131"/>
              <w:spacing w:before="0" w:line="240" w:lineRule="auto"/>
              <w:ind w:firstLine="0"/>
              <w:rPr>
                <w:sz w:val="16"/>
                <w:szCs w:val="16"/>
              </w:rPr>
            </w:pPr>
            <w:r>
              <w:rPr>
                <w:rFonts w:ascii="Times New Roman" w:hAnsi="Times New Roman"/>
                <w:sz w:val="16"/>
                <w:szCs w:val="16"/>
              </w:rPr>
              <w:t xml:space="preserve">Šobrīd piešķirto obligātā iepirkuma tiesību ietvaros provizoriskais atbalsta termiņš ir 2036. gads. </w:t>
            </w:r>
          </w:p>
        </w:tc>
      </w:tr>
      <w:tr w:rsidR="007172D5" w:rsidRPr="007B1DFD" w14:paraId="589537BF"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4"/>
        </w:trPr>
        <w:tc>
          <w:tcPr>
            <w:tcW w:w="1945" w:type="dxa"/>
            <w:tcBorders>
              <w:top w:val="single" w:sz="4" w:space="0" w:color="auto"/>
              <w:left w:val="single" w:sz="4" w:space="0" w:color="auto"/>
              <w:bottom w:val="single" w:sz="4" w:space="0" w:color="auto"/>
              <w:right w:val="single" w:sz="4" w:space="0" w:color="auto"/>
            </w:tcBorders>
          </w:tcPr>
          <w:p w14:paraId="267DA636" w14:textId="77777777" w:rsidR="005C0EF4" w:rsidRPr="00AF31E6" w:rsidRDefault="00D86569" w:rsidP="00470485">
            <w:pPr>
              <w:jc w:val="both"/>
              <w:rPr>
                <w:sz w:val="16"/>
                <w:szCs w:val="16"/>
                <w:lang w:val="lv-LV"/>
              </w:rPr>
            </w:pPr>
            <w:r>
              <w:rPr>
                <w:sz w:val="16"/>
                <w:szCs w:val="16"/>
                <w:lang w:val="lv-LV"/>
              </w:rPr>
              <w:t>2</w:t>
            </w:r>
            <w:r w:rsidR="005C0EF4" w:rsidRPr="00AF31E6">
              <w:rPr>
                <w:sz w:val="16"/>
                <w:szCs w:val="16"/>
                <w:lang w:val="lv-LV"/>
              </w:rPr>
              <w:t>. Koģenerācijas elektrostacijā ražotās elektroenerģijas obligātais iepirkums (MK 10.03.2009. noteikumi Nr.221 „Noteikumi par elektroenerģijas ražošanu un cenu noteikšanu, ražojot elektroenerģiju koģenerācijā”)</w:t>
            </w:r>
          </w:p>
        </w:tc>
        <w:tc>
          <w:tcPr>
            <w:tcW w:w="1412" w:type="dxa"/>
            <w:tcBorders>
              <w:top w:val="single" w:sz="4" w:space="0" w:color="auto"/>
              <w:left w:val="single" w:sz="4" w:space="0" w:color="auto"/>
              <w:bottom w:val="single" w:sz="4" w:space="0" w:color="auto"/>
              <w:right w:val="single" w:sz="4" w:space="0" w:color="auto"/>
            </w:tcBorders>
          </w:tcPr>
          <w:p w14:paraId="3D5E19FE" w14:textId="77777777" w:rsidR="005C0EF4" w:rsidRPr="00AF31E6" w:rsidRDefault="005C0EF4" w:rsidP="00A26D7A">
            <w:pPr>
              <w:pStyle w:val="Default"/>
              <w:jc w:val="both"/>
              <w:rPr>
                <w:sz w:val="16"/>
                <w:szCs w:val="16"/>
              </w:rPr>
            </w:pPr>
            <w:r w:rsidRPr="00AF31E6">
              <w:rPr>
                <w:sz w:val="16"/>
                <w:szCs w:val="16"/>
              </w:rPr>
              <w:t>Publiskam tirgotājam noteikts pienākums iepirkt elektroenerģiju, kas ražota efektīvā koģenerācijas procesā.</w:t>
            </w:r>
          </w:p>
        </w:tc>
        <w:tc>
          <w:tcPr>
            <w:tcW w:w="1694" w:type="dxa"/>
            <w:tcBorders>
              <w:top w:val="single" w:sz="4" w:space="0" w:color="auto"/>
              <w:left w:val="single" w:sz="4" w:space="0" w:color="auto"/>
              <w:bottom w:val="single" w:sz="4" w:space="0" w:color="auto"/>
              <w:right w:val="single" w:sz="4" w:space="0" w:color="auto"/>
            </w:tcBorders>
          </w:tcPr>
          <w:p w14:paraId="5E17FDD6" w14:textId="77777777" w:rsidR="005C0EF4" w:rsidRPr="00AF31E6" w:rsidRDefault="005C0EF4" w:rsidP="00A26D7A">
            <w:pPr>
              <w:jc w:val="both"/>
              <w:rPr>
                <w:sz w:val="16"/>
                <w:szCs w:val="16"/>
                <w:lang w:val="lv-LV"/>
              </w:rPr>
            </w:pPr>
            <w:r w:rsidRPr="00AF31E6">
              <w:rPr>
                <w:sz w:val="16"/>
                <w:szCs w:val="16"/>
                <w:lang w:val="lv-LV"/>
              </w:rPr>
              <w:t>Elektroenerģijas ražošanas koģenerācijas procesā veicināšana, izmantojot AER.</w:t>
            </w:r>
          </w:p>
        </w:tc>
        <w:tc>
          <w:tcPr>
            <w:tcW w:w="1835" w:type="dxa"/>
            <w:tcBorders>
              <w:top w:val="single" w:sz="4" w:space="0" w:color="auto"/>
              <w:left w:val="single" w:sz="4" w:space="0" w:color="auto"/>
              <w:bottom w:val="single" w:sz="4" w:space="0" w:color="auto"/>
              <w:right w:val="single" w:sz="4" w:space="0" w:color="auto"/>
            </w:tcBorders>
          </w:tcPr>
          <w:p w14:paraId="5971EF68" w14:textId="77777777" w:rsidR="005C0EF4" w:rsidRPr="00AF31E6" w:rsidRDefault="005C0EF4" w:rsidP="00A26D7A">
            <w:pPr>
              <w:jc w:val="both"/>
              <w:rPr>
                <w:sz w:val="16"/>
                <w:szCs w:val="16"/>
                <w:lang w:val="lv-LV"/>
              </w:rPr>
            </w:pPr>
            <w:r w:rsidRPr="00AF31E6">
              <w:rPr>
                <w:sz w:val="16"/>
                <w:szCs w:val="16"/>
                <w:lang w:val="lv-LV"/>
              </w:rPr>
              <w:t>Elektroenerģijas ražotājs, kas elektroenerģiju ražo augstas efektivitātes koģenerācijas elektrostacijās.</w:t>
            </w:r>
          </w:p>
        </w:tc>
        <w:tc>
          <w:tcPr>
            <w:tcW w:w="1131" w:type="dxa"/>
            <w:tcBorders>
              <w:top w:val="single" w:sz="4" w:space="0" w:color="auto"/>
              <w:left w:val="single" w:sz="4" w:space="0" w:color="auto"/>
              <w:bottom w:val="single" w:sz="4" w:space="0" w:color="auto"/>
              <w:right w:val="single" w:sz="4" w:space="0" w:color="auto"/>
            </w:tcBorders>
          </w:tcPr>
          <w:p w14:paraId="02FA3B82" w14:textId="77777777" w:rsidR="005C0EF4" w:rsidRPr="00AF31E6" w:rsidRDefault="005C0EF4" w:rsidP="00A26D7A">
            <w:pPr>
              <w:jc w:val="both"/>
              <w:rPr>
                <w:sz w:val="16"/>
                <w:szCs w:val="16"/>
                <w:lang w:val="lv-LV"/>
              </w:rPr>
            </w:pPr>
            <w:r w:rsidRPr="00AF31E6">
              <w:rPr>
                <w:sz w:val="16"/>
                <w:szCs w:val="16"/>
                <w:lang w:val="lv-LV"/>
              </w:rPr>
              <w:t>Esošs</w:t>
            </w:r>
            <w:r w:rsidR="00C74BDE">
              <w:rPr>
                <w:rStyle w:val="FootnoteReference"/>
                <w:sz w:val="16"/>
                <w:szCs w:val="16"/>
                <w:lang w:val="lv-LV"/>
              </w:rPr>
              <w:footnoteReference w:id="24"/>
            </w:r>
          </w:p>
        </w:tc>
        <w:tc>
          <w:tcPr>
            <w:tcW w:w="1274" w:type="dxa"/>
            <w:tcBorders>
              <w:top w:val="single" w:sz="4" w:space="0" w:color="auto"/>
              <w:left w:val="single" w:sz="4" w:space="0" w:color="auto"/>
              <w:bottom w:val="single" w:sz="4" w:space="0" w:color="auto"/>
              <w:right w:val="single" w:sz="4" w:space="0" w:color="auto"/>
            </w:tcBorders>
          </w:tcPr>
          <w:p w14:paraId="54C98BB8" w14:textId="77777777" w:rsidR="005C0EF4" w:rsidRPr="00AF31E6" w:rsidRDefault="005C0EF4" w:rsidP="00A26D7A">
            <w:pPr>
              <w:jc w:val="both"/>
              <w:rPr>
                <w:sz w:val="16"/>
                <w:szCs w:val="16"/>
                <w:lang w:val="lv-LV"/>
              </w:rPr>
            </w:pPr>
            <w:r w:rsidRPr="00AF31E6">
              <w:rPr>
                <w:sz w:val="16"/>
                <w:szCs w:val="16"/>
                <w:lang w:val="lv-LV"/>
              </w:rPr>
              <w:t>Sākot ar</w:t>
            </w:r>
          </w:p>
          <w:p w14:paraId="5301F31A" w14:textId="77777777" w:rsidR="005C0EF4" w:rsidRDefault="005C0EF4" w:rsidP="004044B1">
            <w:pPr>
              <w:jc w:val="both"/>
              <w:rPr>
                <w:sz w:val="16"/>
                <w:szCs w:val="16"/>
                <w:lang w:val="lv-LV"/>
              </w:rPr>
            </w:pPr>
            <w:r w:rsidRPr="00AF31E6">
              <w:rPr>
                <w:sz w:val="16"/>
                <w:szCs w:val="16"/>
                <w:lang w:val="lv-LV"/>
              </w:rPr>
              <w:t xml:space="preserve">2006. gada 11. </w:t>
            </w:r>
            <w:r w:rsidR="00D86569">
              <w:rPr>
                <w:sz w:val="16"/>
                <w:szCs w:val="16"/>
                <w:lang w:val="lv-LV"/>
              </w:rPr>
              <w:t>n</w:t>
            </w:r>
            <w:r w:rsidRPr="00793000">
              <w:rPr>
                <w:sz w:val="16"/>
                <w:szCs w:val="16"/>
                <w:lang w:val="lv-LV"/>
              </w:rPr>
              <w:t>ovembri</w:t>
            </w:r>
            <w:r w:rsidR="004044B1">
              <w:rPr>
                <w:sz w:val="16"/>
                <w:szCs w:val="16"/>
                <w:lang w:val="lv-LV"/>
              </w:rPr>
              <w:t>.</w:t>
            </w:r>
          </w:p>
          <w:p w14:paraId="0CD81473" w14:textId="77777777" w:rsidR="004044B1" w:rsidRPr="00AF31E6" w:rsidRDefault="004044B1" w:rsidP="004044B1">
            <w:pPr>
              <w:jc w:val="both"/>
              <w:rPr>
                <w:sz w:val="16"/>
                <w:szCs w:val="16"/>
                <w:lang w:val="lv-LV"/>
              </w:rPr>
            </w:pPr>
            <w:r w:rsidRPr="009E538B">
              <w:rPr>
                <w:sz w:val="16"/>
                <w:szCs w:val="16"/>
                <w:lang w:val="lv-LV"/>
              </w:rPr>
              <w:t>Šobrīd piešķirto obligātā iepirkuma tiesību ietvaros provizoriskais atbalsta termiņš ir 2027. gads.</w:t>
            </w:r>
          </w:p>
        </w:tc>
      </w:tr>
      <w:tr w:rsidR="007172D5" w:rsidRPr="007B1DFD" w14:paraId="058AA019"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4"/>
        </w:trPr>
        <w:tc>
          <w:tcPr>
            <w:tcW w:w="1945" w:type="dxa"/>
            <w:tcBorders>
              <w:top w:val="single" w:sz="4" w:space="0" w:color="auto"/>
              <w:left w:val="single" w:sz="4" w:space="0" w:color="auto"/>
              <w:bottom w:val="single" w:sz="4" w:space="0" w:color="auto"/>
              <w:right w:val="single" w:sz="4" w:space="0" w:color="auto"/>
            </w:tcBorders>
          </w:tcPr>
          <w:p w14:paraId="6F888E86" w14:textId="77777777" w:rsidR="00AF31E6" w:rsidRPr="00FA15C1" w:rsidRDefault="00D86569" w:rsidP="00A26D7A">
            <w:pPr>
              <w:jc w:val="both"/>
              <w:rPr>
                <w:sz w:val="16"/>
                <w:szCs w:val="16"/>
                <w:lang w:val="lv-LV"/>
              </w:rPr>
            </w:pPr>
            <w:r>
              <w:rPr>
                <w:sz w:val="16"/>
                <w:szCs w:val="16"/>
                <w:lang w:val="lv-LV"/>
              </w:rPr>
              <w:t>3</w:t>
            </w:r>
            <w:r w:rsidR="00AF31E6" w:rsidRPr="00FA15C1">
              <w:rPr>
                <w:sz w:val="16"/>
                <w:szCs w:val="16"/>
                <w:lang w:val="lv-LV"/>
              </w:rPr>
              <w:t>. Tiesības saņemt garantētu maksu par koģenerācijas stacijā uzstādīto elektrisko jaudu (MK 10.03.2009. noteikumi Nr.221 „Noteikumi par elektroenerģijas ražošanu un cenu noteikšanu, ražojot elektroenerģiju koģenerācijā”).</w:t>
            </w:r>
          </w:p>
        </w:tc>
        <w:tc>
          <w:tcPr>
            <w:tcW w:w="1412" w:type="dxa"/>
            <w:tcBorders>
              <w:top w:val="single" w:sz="4" w:space="0" w:color="auto"/>
              <w:left w:val="single" w:sz="4" w:space="0" w:color="auto"/>
              <w:bottom w:val="single" w:sz="4" w:space="0" w:color="auto"/>
              <w:right w:val="single" w:sz="4" w:space="0" w:color="auto"/>
            </w:tcBorders>
          </w:tcPr>
          <w:p w14:paraId="64D09959" w14:textId="77777777" w:rsidR="00AF31E6" w:rsidRPr="00FA15C1" w:rsidRDefault="00AF31E6" w:rsidP="00D86569">
            <w:pPr>
              <w:pStyle w:val="Default"/>
              <w:jc w:val="both"/>
              <w:rPr>
                <w:sz w:val="16"/>
                <w:szCs w:val="16"/>
              </w:rPr>
            </w:pPr>
            <w:r w:rsidRPr="00FA15C1">
              <w:rPr>
                <w:sz w:val="16"/>
                <w:szCs w:val="16"/>
              </w:rPr>
              <w:t>Sistēmas operatoram noteikts pienākums maksāt maksu par elektrostacijā uzstādīto elektrisko jaudu komersantam, kas ražo elektroenerģiju no biomasas vai biogāzes un ir kvalificējies šādu tiesību saņemšanai.</w:t>
            </w:r>
          </w:p>
        </w:tc>
        <w:tc>
          <w:tcPr>
            <w:tcW w:w="1694" w:type="dxa"/>
            <w:tcBorders>
              <w:top w:val="single" w:sz="4" w:space="0" w:color="auto"/>
              <w:left w:val="single" w:sz="4" w:space="0" w:color="auto"/>
              <w:bottom w:val="single" w:sz="4" w:space="0" w:color="auto"/>
              <w:right w:val="single" w:sz="4" w:space="0" w:color="auto"/>
            </w:tcBorders>
          </w:tcPr>
          <w:p w14:paraId="3197D01D" w14:textId="77777777" w:rsidR="00AF31E6" w:rsidRPr="00FA15C1" w:rsidRDefault="00AF31E6" w:rsidP="00A26D7A">
            <w:pPr>
              <w:jc w:val="both"/>
              <w:rPr>
                <w:sz w:val="16"/>
                <w:szCs w:val="16"/>
                <w:lang w:val="lv-LV"/>
              </w:rPr>
            </w:pPr>
            <w:r w:rsidRPr="00FA15C1">
              <w:rPr>
                <w:sz w:val="16"/>
                <w:szCs w:val="16"/>
                <w:lang w:val="lv-LV"/>
              </w:rPr>
              <w:t>Elektroenerģijas ražošanas koģenerācijas procesā veicināšana, izmantojot AER.</w:t>
            </w:r>
          </w:p>
        </w:tc>
        <w:tc>
          <w:tcPr>
            <w:tcW w:w="1835" w:type="dxa"/>
            <w:tcBorders>
              <w:top w:val="single" w:sz="4" w:space="0" w:color="auto"/>
              <w:left w:val="single" w:sz="4" w:space="0" w:color="auto"/>
              <w:bottom w:val="single" w:sz="4" w:space="0" w:color="auto"/>
              <w:right w:val="single" w:sz="4" w:space="0" w:color="auto"/>
            </w:tcBorders>
          </w:tcPr>
          <w:p w14:paraId="2817A7C7" w14:textId="77777777" w:rsidR="00AF31E6" w:rsidRPr="00FA15C1" w:rsidRDefault="00AF31E6" w:rsidP="00A26D7A">
            <w:pPr>
              <w:jc w:val="both"/>
              <w:rPr>
                <w:sz w:val="16"/>
                <w:szCs w:val="16"/>
                <w:lang w:val="lv-LV"/>
              </w:rPr>
            </w:pPr>
            <w:r w:rsidRPr="00FA15C1">
              <w:rPr>
                <w:sz w:val="16"/>
                <w:szCs w:val="16"/>
                <w:lang w:val="lv-LV"/>
              </w:rPr>
              <w:t>Elektroenerģijas ražotājs, kas elektroenerģiju ražo augstas efektivitātes koģenerācijas elektrostacijās.</w:t>
            </w:r>
          </w:p>
        </w:tc>
        <w:tc>
          <w:tcPr>
            <w:tcW w:w="1131" w:type="dxa"/>
            <w:tcBorders>
              <w:top w:val="single" w:sz="4" w:space="0" w:color="auto"/>
              <w:left w:val="single" w:sz="4" w:space="0" w:color="auto"/>
              <w:bottom w:val="single" w:sz="4" w:space="0" w:color="auto"/>
              <w:right w:val="single" w:sz="4" w:space="0" w:color="auto"/>
            </w:tcBorders>
          </w:tcPr>
          <w:p w14:paraId="2E8C3C75" w14:textId="77777777" w:rsidR="00AF31E6" w:rsidRPr="00FA15C1" w:rsidRDefault="00AF31E6" w:rsidP="00A26D7A">
            <w:pPr>
              <w:jc w:val="both"/>
              <w:rPr>
                <w:sz w:val="16"/>
                <w:szCs w:val="16"/>
                <w:lang w:val="lv-LV"/>
              </w:rPr>
            </w:pPr>
            <w:r w:rsidRPr="00FA15C1">
              <w:rPr>
                <w:sz w:val="16"/>
                <w:szCs w:val="16"/>
                <w:lang w:val="lv-LV"/>
              </w:rPr>
              <w:t>Esošs</w:t>
            </w:r>
            <w:r w:rsidR="00C74BDE">
              <w:rPr>
                <w:rStyle w:val="FootnoteReference"/>
                <w:sz w:val="16"/>
                <w:szCs w:val="16"/>
                <w:lang w:val="lv-LV"/>
              </w:rPr>
              <w:footnoteReference w:id="25"/>
            </w:r>
          </w:p>
        </w:tc>
        <w:tc>
          <w:tcPr>
            <w:tcW w:w="1274" w:type="dxa"/>
            <w:tcBorders>
              <w:top w:val="single" w:sz="4" w:space="0" w:color="auto"/>
              <w:left w:val="single" w:sz="4" w:space="0" w:color="auto"/>
              <w:bottom w:val="single" w:sz="4" w:space="0" w:color="auto"/>
              <w:right w:val="single" w:sz="4" w:space="0" w:color="auto"/>
            </w:tcBorders>
          </w:tcPr>
          <w:p w14:paraId="54F83310" w14:textId="77777777" w:rsidR="00AF31E6" w:rsidRPr="00FA15C1" w:rsidRDefault="00AF31E6" w:rsidP="00A26D7A">
            <w:pPr>
              <w:jc w:val="both"/>
              <w:rPr>
                <w:sz w:val="16"/>
                <w:szCs w:val="16"/>
                <w:lang w:val="lv-LV"/>
              </w:rPr>
            </w:pPr>
            <w:r w:rsidRPr="00FA15C1">
              <w:rPr>
                <w:sz w:val="16"/>
                <w:szCs w:val="16"/>
                <w:lang w:val="lv-LV"/>
              </w:rPr>
              <w:t>Sākot ar</w:t>
            </w:r>
          </w:p>
          <w:p w14:paraId="50CBCF7E" w14:textId="77777777" w:rsidR="00AF31E6" w:rsidRDefault="00AF31E6" w:rsidP="004044B1">
            <w:pPr>
              <w:jc w:val="both"/>
              <w:rPr>
                <w:sz w:val="16"/>
                <w:szCs w:val="16"/>
                <w:lang w:val="lv-LV"/>
              </w:rPr>
            </w:pPr>
            <w:r w:rsidRPr="00FA15C1">
              <w:rPr>
                <w:sz w:val="16"/>
                <w:szCs w:val="16"/>
                <w:lang w:val="lv-LV"/>
              </w:rPr>
              <w:t xml:space="preserve">2009. gada 18. </w:t>
            </w:r>
            <w:r w:rsidR="004044B1">
              <w:rPr>
                <w:sz w:val="16"/>
                <w:szCs w:val="16"/>
                <w:lang w:val="lv-LV"/>
              </w:rPr>
              <w:t xml:space="preserve">martu. </w:t>
            </w:r>
          </w:p>
          <w:p w14:paraId="35E3F715" w14:textId="77777777" w:rsidR="004044B1" w:rsidRPr="00FA15C1" w:rsidRDefault="004044B1" w:rsidP="00F00276">
            <w:pPr>
              <w:jc w:val="both"/>
              <w:rPr>
                <w:sz w:val="16"/>
                <w:szCs w:val="16"/>
                <w:lang w:val="lv-LV"/>
              </w:rPr>
            </w:pPr>
            <w:r w:rsidRPr="009E538B">
              <w:rPr>
                <w:sz w:val="16"/>
                <w:szCs w:val="16"/>
                <w:lang w:val="lv-LV"/>
              </w:rPr>
              <w:t>Šobrīd piešķirto tiesību saņemt garantētu maksu par uzstādīto elektrisko jaudu ietvaros atbalsta termiņš ir 202</w:t>
            </w:r>
            <w:r w:rsidR="00F00276" w:rsidRPr="009E538B">
              <w:rPr>
                <w:sz w:val="16"/>
                <w:szCs w:val="16"/>
                <w:lang w:val="lv-LV"/>
              </w:rPr>
              <w:t>8</w:t>
            </w:r>
            <w:r w:rsidRPr="009E538B">
              <w:rPr>
                <w:sz w:val="16"/>
                <w:szCs w:val="16"/>
                <w:lang w:val="lv-LV"/>
              </w:rPr>
              <w:t>. gads.</w:t>
            </w:r>
          </w:p>
        </w:tc>
      </w:tr>
      <w:tr w:rsidR="007172D5" w:rsidRPr="007B1DFD" w14:paraId="6A2F4BE4"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4"/>
        </w:trPr>
        <w:tc>
          <w:tcPr>
            <w:tcW w:w="1945" w:type="dxa"/>
            <w:tcBorders>
              <w:top w:val="single" w:sz="4" w:space="0" w:color="auto"/>
              <w:left w:val="single" w:sz="4" w:space="0" w:color="auto"/>
              <w:bottom w:val="single" w:sz="4" w:space="0" w:color="auto"/>
              <w:right w:val="single" w:sz="4" w:space="0" w:color="auto"/>
            </w:tcBorders>
          </w:tcPr>
          <w:p w14:paraId="322C8CCA" w14:textId="77777777" w:rsidR="00355297" w:rsidRPr="008E0BDD" w:rsidRDefault="00D86569" w:rsidP="001F568F">
            <w:pPr>
              <w:jc w:val="both"/>
              <w:rPr>
                <w:sz w:val="16"/>
                <w:szCs w:val="16"/>
                <w:lang w:val="lv-LV"/>
              </w:rPr>
            </w:pPr>
            <w:r>
              <w:rPr>
                <w:sz w:val="16"/>
                <w:szCs w:val="16"/>
                <w:lang w:val="lv-LV"/>
              </w:rPr>
              <w:t>4</w:t>
            </w:r>
            <w:r w:rsidR="00355297" w:rsidRPr="008E0BDD">
              <w:rPr>
                <w:sz w:val="16"/>
                <w:szCs w:val="16"/>
                <w:lang w:val="lv-LV"/>
              </w:rPr>
              <w:t>. Akcīzes nodokļa samazinātā likme (Likums „Par akcīzes nodokli”)</w:t>
            </w:r>
          </w:p>
        </w:tc>
        <w:tc>
          <w:tcPr>
            <w:tcW w:w="1412" w:type="dxa"/>
            <w:tcBorders>
              <w:top w:val="single" w:sz="4" w:space="0" w:color="auto"/>
              <w:left w:val="single" w:sz="4" w:space="0" w:color="auto"/>
              <w:bottom w:val="single" w:sz="4" w:space="0" w:color="auto"/>
              <w:right w:val="single" w:sz="4" w:space="0" w:color="auto"/>
            </w:tcBorders>
          </w:tcPr>
          <w:p w14:paraId="7221F394" w14:textId="77777777" w:rsidR="00355297" w:rsidRPr="008E0BDD" w:rsidRDefault="00355297" w:rsidP="001F568F">
            <w:pPr>
              <w:pStyle w:val="Default"/>
              <w:jc w:val="both"/>
              <w:rPr>
                <w:sz w:val="16"/>
                <w:szCs w:val="16"/>
              </w:rPr>
            </w:pPr>
            <w:r w:rsidRPr="008E0BDD">
              <w:rPr>
                <w:sz w:val="16"/>
                <w:szCs w:val="16"/>
              </w:rPr>
              <w:t xml:space="preserve">Netiešais atbalsta veids – akcīzes nodokļa </w:t>
            </w:r>
            <w:r w:rsidRPr="008E0BDD">
              <w:rPr>
                <w:sz w:val="16"/>
                <w:szCs w:val="16"/>
              </w:rPr>
              <w:lastRenderedPageBreak/>
              <w:t>samazinātās likmes veidā.</w:t>
            </w:r>
          </w:p>
        </w:tc>
        <w:tc>
          <w:tcPr>
            <w:tcW w:w="1694" w:type="dxa"/>
            <w:tcBorders>
              <w:top w:val="single" w:sz="4" w:space="0" w:color="auto"/>
              <w:left w:val="single" w:sz="4" w:space="0" w:color="auto"/>
              <w:bottom w:val="single" w:sz="4" w:space="0" w:color="auto"/>
              <w:right w:val="single" w:sz="4" w:space="0" w:color="auto"/>
            </w:tcBorders>
          </w:tcPr>
          <w:p w14:paraId="1B8A5893" w14:textId="77777777" w:rsidR="00355297" w:rsidRPr="008E0BDD" w:rsidRDefault="00355297" w:rsidP="001F568F">
            <w:pPr>
              <w:jc w:val="both"/>
              <w:rPr>
                <w:sz w:val="16"/>
                <w:szCs w:val="16"/>
                <w:lang w:val="lv-LV"/>
              </w:rPr>
            </w:pPr>
            <w:r w:rsidRPr="008E0BDD">
              <w:rPr>
                <w:sz w:val="16"/>
                <w:szCs w:val="16"/>
                <w:lang w:val="lv-LV"/>
              </w:rPr>
              <w:lastRenderedPageBreak/>
              <w:t>Biodegvielas izmantošanas veicināšana</w:t>
            </w:r>
          </w:p>
        </w:tc>
        <w:tc>
          <w:tcPr>
            <w:tcW w:w="1835" w:type="dxa"/>
            <w:tcBorders>
              <w:top w:val="single" w:sz="4" w:space="0" w:color="auto"/>
              <w:left w:val="single" w:sz="4" w:space="0" w:color="auto"/>
              <w:bottom w:val="single" w:sz="4" w:space="0" w:color="auto"/>
              <w:right w:val="single" w:sz="4" w:space="0" w:color="auto"/>
            </w:tcBorders>
          </w:tcPr>
          <w:p w14:paraId="2574B0C8" w14:textId="77777777" w:rsidR="00355297" w:rsidRPr="008E0BDD" w:rsidRDefault="00355297" w:rsidP="001F568F">
            <w:pPr>
              <w:jc w:val="both"/>
              <w:rPr>
                <w:sz w:val="16"/>
                <w:szCs w:val="16"/>
                <w:lang w:val="lv-LV"/>
              </w:rPr>
            </w:pPr>
            <w:r w:rsidRPr="008E0BDD">
              <w:rPr>
                <w:sz w:val="16"/>
                <w:szCs w:val="16"/>
                <w:lang w:val="lv-LV"/>
              </w:rPr>
              <w:t xml:space="preserve">Samazinātas akcīzes nodokļa likmes tiek piemērotas šādiem </w:t>
            </w:r>
            <w:r w:rsidRPr="008E0BDD">
              <w:rPr>
                <w:sz w:val="16"/>
                <w:szCs w:val="16"/>
                <w:lang w:val="lv-LV"/>
              </w:rPr>
              <w:lastRenderedPageBreak/>
              <w:t xml:space="preserve">degvielas veidiem: </w:t>
            </w:r>
          </w:p>
          <w:p w14:paraId="08AEB709" w14:textId="77777777" w:rsidR="00355297" w:rsidRPr="008E0BDD" w:rsidRDefault="00355297" w:rsidP="001F568F">
            <w:pPr>
              <w:jc w:val="both"/>
              <w:rPr>
                <w:sz w:val="16"/>
                <w:szCs w:val="16"/>
                <w:lang w:val="lv-LV"/>
              </w:rPr>
            </w:pPr>
            <w:r w:rsidRPr="008E0BDD">
              <w:rPr>
                <w:sz w:val="16"/>
                <w:szCs w:val="16"/>
                <w:lang w:val="lv-LV"/>
              </w:rPr>
              <w:t xml:space="preserve">-  bezsvina benzīnam un etilspirta maisījumam, kurā etilspirts ir no 70 līdz 85 </w:t>
            </w:r>
            <w:proofErr w:type="spellStart"/>
            <w:r w:rsidRPr="008E0BDD">
              <w:rPr>
                <w:sz w:val="16"/>
                <w:szCs w:val="16"/>
                <w:lang w:val="lv-LV"/>
              </w:rPr>
              <w:t>tilpumprocenti</w:t>
            </w:r>
            <w:proofErr w:type="spellEnd"/>
            <w:r w:rsidRPr="008E0BDD">
              <w:rPr>
                <w:sz w:val="16"/>
                <w:szCs w:val="16"/>
                <w:lang w:val="lv-LV"/>
              </w:rPr>
              <w:t xml:space="preserve"> (ieskaitot) (E85);</w:t>
            </w:r>
          </w:p>
          <w:p w14:paraId="31B08799" w14:textId="77777777" w:rsidR="00355297" w:rsidRPr="008E0BDD" w:rsidRDefault="00355297" w:rsidP="001F568F">
            <w:pPr>
              <w:jc w:val="both"/>
              <w:rPr>
                <w:sz w:val="16"/>
                <w:szCs w:val="16"/>
                <w:lang w:val="lv-LV"/>
              </w:rPr>
            </w:pPr>
            <w:r w:rsidRPr="008E0BDD">
              <w:rPr>
                <w:sz w:val="16"/>
                <w:szCs w:val="16"/>
                <w:lang w:val="lv-LV"/>
              </w:rPr>
              <w:t xml:space="preserve">- dīzeļdegvielas un no rapšu sēklu eļļas iegūtas biodīzeļdegvielas maisījumam, kurā no rapšu sēklu eļļas iegūtā biodīzeļdegviela ir vismaz 30 </w:t>
            </w:r>
            <w:proofErr w:type="spellStart"/>
            <w:r w:rsidRPr="008E0BDD">
              <w:rPr>
                <w:sz w:val="16"/>
                <w:szCs w:val="16"/>
                <w:lang w:val="lv-LV"/>
              </w:rPr>
              <w:t>tilpumprocenti</w:t>
            </w:r>
            <w:proofErr w:type="spellEnd"/>
            <w:r w:rsidRPr="008E0BDD">
              <w:rPr>
                <w:sz w:val="16"/>
                <w:szCs w:val="16"/>
                <w:lang w:val="lv-LV"/>
              </w:rPr>
              <w:t xml:space="preserve"> (B30);</w:t>
            </w:r>
          </w:p>
          <w:p w14:paraId="5C4EBC51" w14:textId="77777777" w:rsidR="00355297" w:rsidRPr="008E0BDD" w:rsidRDefault="00355297" w:rsidP="001F568F">
            <w:pPr>
              <w:jc w:val="both"/>
              <w:rPr>
                <w:sz w:val="16"/>
                <w:szCs w:val="16"/>
                <w:lang w:val="lv-LV"/>
              </w:rPr>
            </w:pPr>
            <w:r w:rsidRPr="008E0BDD">
              <w:rPr>
                <w:sz w:val="16"/>
                <w:szCs w:val="16"/>
                <w:lang w:val="lv-LV"/>
              </w:rPr>
              <w:t xml:space="preserve">- rapšu sēklu eļļai, kuru realizē vai izmanto par kurināmo vai degvielu, un biodīzeļdegvielai, kas pilnībā iegūta no rapšu sēklu eļļas (B100). </w:t>
            </w:r>
          </w:p>
        </w:tc>
        <w:tc>
          <w:tcPr>
            <w:tcW w:w="1131" w:type="dxa"/>
            <w:tcBorders>
              <w:top w:val="single" w:sz="4" w:space="0" w:color="auto"/>
              <w:left w:val="single" w:sz="4" w:space="0" w:color="auto"/>
              <w:bottom w:val="single" w:sz="4" w:space="0" w:color="auto"/>
              <w:right w:val="single" w:sz="4" w:space="0" w:color="auto"/>
            </w:tcBorders>
          </w:tcPr>
          <w:p w14:paraId="539B510E" w14:textId="77777777" w:rsidR="00355297" w:rsidRPr="008E0BDD" w:rsidRDefault="00355297" w:rsidP="001F568F">
            <w:pPr>
              <w:jc w:val="both"/>
              <w:rPr>
                <w:sz w:val="16"/>
                <w:szCs w:val="16"/>
                <w:lang w:val="lv-LV"/>
              </w:rPr>
            </w:pPr>
            <w:r w:rsidRPr="008E0BDD">
              <w:rPr>
                <w:sz w:val="16"/>
                <w:szCs w:val="16"/>
                <w:lang w:val="lv-LV"/>
              </w:rPr>
              <w:lastRenderedPageBreak/>
              <w:t>Esošs</w:t>
            </w:r>
          </w:p>
        </w:tc>
        <w:tc>
          <w:tcPr>
            <w:tcW w:w="1274" w:type="dxa"/>
            <w:tcBorders>
              <w:top w:val="single" w:sz="4" w:space="0" w:color="auto"/>
              <w:left w:val="single" w:sz="4" w:space="0" w:color="auto"/>
              <w:bottom w:val="single" w:sz="4" w:space="0" w:color="auto"/>
              <w:right w:val="single" w:sz="4" w:space="0" w:color="auto"/>
            </w:tcBorders>
          </w:tcPr>
          <w:p w14:paraId="088179EE" w14:textId="77777777" w:rsidR="00355297" w:rsidRPr="008E0BDD" w:rsidRDefault="00506A30" w:rsidP="00FA6E85">
            <w:pPr>
              <w:jc w:val="both"/>
              <w:rPr>
                <w:sz w:val="16"/>
                <w:szCs w:val="16"/>
                <w:lang w:val="lv-LV"/>
              </w:rPr>
            </w:pPr>
            <w:r>
              <w:rPr>
                <w:sz w:val="16"/>
                <w:szCs w:val="16"/>
                <w:lang w:val="lv-LV"/>
              </w:rPr>
              <w:t>2013.gada 31.decembris</w:t>
            </w:r>
          </w:p>
        </w:tc>
      </w:tr>
      <w:tr w:rsidR="007172D5" w:rsidRPr="007B1DFD" w14:paraId="171C0C5E"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4"/>
        </w:trPr>
        <w:tc>
          <w:tcPr>
            <w:tcW w:w="1945" w:type="dxa"/>
            <w:tcBorders>
              <w:top w:val="single" w:sz="4" w:space="0" w:color="auto"/>
              <w:left w:val="single" w:sz="4" w:space="0" w:color="auto"/>
              <w:bottom w:val="single" w:sz="4" w:space="0" w:color="auto"/>
              <w:right w:val="single" w:sz="4" w:space="0" w:color="auto"/>
            </w:tcBorders>
          </w:tcPr>
          <w:p w14:paraId="337F5F04" w14:textId="77777777" w:rsidR="00355297" w:rsidRPr="008E0BDD" w:rsidRDefault="00D86569" w:rsidP="001F568F">
            <w:pPr>
              <w:jc w:val="both"/>
              <w:rPr>
                <w:sz w:val="16"/>
                <w:szCs w:val="16"/>
                <w:lang w:val="lv-LV"/>
              </w:rPr>
            </w:pPr>
            <w:r>
              <w:rPr>
                <w:sz w:val="16"/>
                <w:szCs w:val="16"/>
                <w:lang w:val="lv-LV"/>
              </w:rPr>
              <w:lastRenderedPageBreak/>
              <w:t>5</w:t>
            </w:r>
            <w:r w:rsidR="00355297" w:rsidRPr="008E0BDD">
              <w:rPr>
                <w:sz w:val="16"/>
                <w:szCs w:val="16"/>
                <w:lang w:val="lv-LV"/>
              </w:rPr>
              <w:t xml:space="preserve">. Obligātais biodegvielas piejaukums fosilai degvielai 4,5 - 5 </w:t>
            </w:r>
            <w:proofErr w:type="spellStart"/>
            <w:r w:rsidR="00355297" w:rsidRPr="008E0BDD">
              <w:rPr>
                <w:sz w:val="16"/>
                <w:szCs w:val="16"/>
                <w:lang w:val="lv-LV"/>
              </w:rPr>
              <w:t>tilpumprocentu</w:t>
            </w:r>
            <w:proofErr w:type="spellEnd"/>
            <w:r w:rsidR="00355297" w:rsidRPr="008E0BDD">
              <w:rPr>
                <w:sz w:val="16"/>
                <w:szCs w:val="16"/>
                <w:lang w:val="lv-LV"/>
              </w:rPr>
              <w:t xml:space="preserve"> apmērā no kopējā gala produkta daudzuma (MK 26.09.2000. noteikumi Nr.332 „Noteikumi par benzīna un dīzeļdegvielas atbilstības novērtēšanu”)</w:t>
            </w:r>
          </w:p>
        </w:tc>
        <w:tc>
          <w:tcPr>
            <w:tcW w:w="1412" w:type="dxa"/>
            <w:tcBorders>
              <w:top w:val="single" w:sz="4" w:space="0" w:color="auto"/>
              <w:left w:val="single" w:sz="4" w:space="0" w:color="auto"/>
              <w:bottom w:val="single" w:sz="4" w:space="0" w:color="auto"/>
              <w:right w:val="single" w:sz="4" w:space="0" w:color="auto"/>
            </w:tcBorders>
          </w:tcPr>
          <w:p w14:paraId="386CF997" w14:textId="77777777" w:rsidR="00355297" w:rsidRPr="008E0BDD" w:rsidRDefault="00355297" w:rsidP="001F568F">
            <w:pPr>
              <w:jc w:val="both"/>
              <w:rPr>
                <w:sz w:val="16"/>
                <w:szCs w:val="16"/>
                <w:lang w:val="lv-LV"/>
              </w:rPr>
            </w:pPr>
            <w:r w:rsidRPr="008E0BDD">
              <w:rPr>
                <w:sz w:val="16"/>
                <w:szCs w:val="16"/>
                <w:lang w:val="lv-LV"/>
              </w:rPr>
              <w:t>Regulatīvs</w:t>
            </w:r>
          </w:p>
        </w:tc>
        <w:tc>
          <w:tcPr>
            <w:tcW w:w="1694" w:type="dxa"/>
            <w:tcBorders>
              <w:top w:val="single" w:sz="4" w:space="0" w:color="auto"/>
              <w:left w:val="single" w:sz="4" w:space="0" w:color="auto"/>
              <w:bottom w:val="single" w:sz="4" w:space="0" w:color="auto"/>
              <w:right w:val="single" w:sz="4" w:space="0" w:color="auto"/>
            </w:tcBorders>
          </w:tcPr>
          <w:p w14:paraId="47AFE73A" w14:textId="77777777" w:rsidR="00355297" w:rsidRPr="008E0BDD" w:rsidRDefault="00355297" w:rsidP="001F568F">
            <w:pPr>
              <w:jc w:val="both"/>
              <w:rPr>
                <w:sz w:val="16"/>
                <w:szCs w:val="16"/>
                <w:lang w:val="lv-LV"/>
              </w:rPr>
            </w:pPr>
            <w:r w:rsidRPr="008E0BDD">
              <w:rPr>
                <w:sz w:val="16"/>
                <w:szCs w:val="16"/>
                <w:lang w:val="lv-LV"/>
              </w:rPr>
              <w:t>Biodegvielas ražošanas un patēriņa veicināšana, lai līdz 2010. gada 31. decembrim sasniegtu Biodegvielas likuma 5,75% noteikto mērķi no kopējā tautsaimniecībā esošā transportam paredzētās degvielas daudzuma.</w:t>
            </w:r>
          </w:p>
        </w:tc>
        <w:tc>
          <w:tcPr>
            <w:tcW w:w="1835" w:type="dxa"/>
            <w:tcBorders>
              <w:top w:val="single" w:sz="4" w:space="0" w:color="auto"/>
              <w:left w:val="single" w:sz="4" w:space="0" w:color="auto"/>
              <w:bottom w:val="single" w:sz="4" w:space="0" w:color="auto"/>
              <w:right w:val="single" w:sz="4" w:space="0" w:color="auto"/>
            </w:tcBorders>
          </w:tcPr>
          <w:p w14:paraId="42467FF3" w14:textId="77777777" w:rsidR="00355297" w:rsidRPr="008E0BDD" w:rsidRDefault="00355297" w:rsidP="001F568F">
            <w:pPr>
              <w:jc w:val="both"/>
              <w:rPr>
                <w:sz w:val="16"/>
                <w:szCs w:val="16"/>
                <w:lang w:val="lv-LV"/>
              </w:rPr>
            </w:pPr>
            <w:r w:rsidRPr="008E0BDD">
              <w:rPr>
                <w:sz w:val="16"/>
                <w:szCs w:val="16"/>
                <w:lang w:val="lv-LV"/>
              </w:rPr>
              <w:t xml:space="preserve">Latvijā ir atļauts realizēt dīzeļdegvielu tikai ar biodīzeļdegvielas saturu 4,5-5 </w:t>
            </w:r>
            <w:proofErr w:type="spellStart"/>
            <w:r w:rsidRPr="008E0BDD">
              <w:rPr>
                <w:sz w:val="16"/>
                <w:szCs w:val="16"/>
                <w:lang w:val="lv-LV"/>
              </w:rPr>
              <w:t>tilpumprocenti</w:t>
            </w:r>
            <w:proofErr w:type="spellEnd"/>
            <w:r w:rsidRPr="008E0BDD">
              <w:rPr>
                <w:sz w:val="16"/>
                <w:szCs w:val="16"/>
                <w:lang w:val="lv-LV"/>
              </w:rPr>
              <w:t xml:space="preserve"> no kopējā galaprodukta daudzuma, kā arī benzīnu ar pievienotu bioetanolu 4,5-5 </w:t>
            </w:r>
            <w:proofErr w:type="spellStart"/>
            <w:r w:rsidRPr="008E0BDD">
              <w:rPr>
                <w:sz w:val="16"/>
                <w:szCs w:val="16"/>
                <w:lang w:val="lv-LV"/>
              </w:rPr>
              <w:t>tilpumprocenti</w:t>
            </w:r>
            <w:proofErr w:type="spellEnd"/>
            <w:r w:rsidRPr="008E0BDD">
              <w:rPr>
                <w:sz w:val="16"/>
                <w:szCs w:val="16"/>
                <w:lang w:val="lv-LV"/>
              </w:rPr>
              <w:t xml:space="preserve"> no kopējā benzīna tilpuma. Prasība par obligāto 5% biodegvielas piejaukumu neattiecas uz arktiskos un bargos ziemas apstākļos izmantojamu 0., 1., 2., 3. un 4.klases dīzeļdegvielu. </w:t>
            </w:r>
          </w:p>
          <w:p w14:paraId="25A76BFD" w14:textId="77777777" w:rsidR="00355297" w:rsidRPr="008E0BDD" w:rsidRDefault="00355297" w:rsidP="001F568F">
            <w:pPr>
              <w:jc w:val="both"/>
              <w:rPr>
                <w:sz w:val="16"/>
                <w:szCs w:val="16"/>
                <w:lang w:val="lv-LV"/>
              </w:rPr>
            </w:pPr>
            <w:r w:rsidRPr="008E0BDD">
              <w:rPr>
                <w:sz w:val="16"/>
                <w:szCs w:val="16"/>
                <w:lang w:val="lv-LV"/>
              </w:rPr>
              <w:t>Obligātais biodegvielas piejaukums attiecas uz  mērenā klimata apstākļos izmantojamo A, B, C, D, E, un F kategorijas dīzeļdegvielu un 95.markas benzīnu.</w:t>
            </w:r>
          </w:p>
        </w:tc>
        <w:tc>
          <w:tcPr>
            <w:tcW w:w="1131" w:type="dxa"/>
            <w:tcBorders>
              <w:top w:val="single" w:sz="4" w:space="0" w:color="auto"/>
              <w:left w:val="single" w:sz="4" w:space="0" w:color="auto"/>
              <w:bottom w:val="single" w:sz="4" w:space="0" w:color="auto"/>
              <w:right w:val="single" w:sz="4" w:space="0" w:color="auto"/>
            </w:tcBorders>
          </w:tcPr>
          <w:p w14:paraId="22E6932B" w14:textId="77777777" w:rsidR="00355297" w:rsidRPr="008E0BDD" w:rsidRDefault="00355297" w:rsidP="001F568F">
            <w:pPr>
              <w:jc w:val="both"/>
              <w:rPr>
                <w:sz w:val="16"/>
                <w:szCs w:val="16"/>
                <w:lang w:val="lv-LV"/>
              </w:rPr>
            </w:pPr>
            <w:r w:rsidRPr="008E0BDD">
              <w:rPr>
                <w:sz w:val="16"/>
                <w:szCs w:val="16"/>
                <w:lang w:val="lv-LV"/>
              </w:rPr>
              <w:t>Esošs</w:t>
            </w:r>
          </w:p>
        </w:tc>
        <w:tc>
          <w:tcPr>
            <w:tcW w:w="1274" w:type="dxa"/>
            <w:tcBorders>
              <w:top w:val="single" w:sz="4" w:space="0" w:color="auto"/>
              <w:left w:val="single" w:sz="4" w:space="0" w:color="auto"/>
              <w:bottom w:val="single" w:sz="4" w:space="0" w:color="auto"/>
              <w:right w:val="single" w:sz="4" w:space="0" w:color="auto"/>
            </w:tcBorders>
          </w:tcPr>
          <w:p w14:paraId="02A88C53" w14:textId="77777777" w:rsidR="00355297" w:rsidRPr="008E0BDD" w:rsidRDefault="00355297" w:rsidP="001F568F">
            <w:pPr>
              <w:jc w:val="both"/>
              <w:rPr>
                <w:sz w:val="16"/>
                <w:szCs w:val="16"/>
                <w:lang w:val="lv-LV"/>
              </w:rPr>
            </w:pPr>
            <w:r w:rsidRPr="008E0BDD">
              <w:rPr>
                <w:sz w:val="16"/>
                <w:szCs w:val="16"/>
                <w:lang w:val="lv-LV"/>
              </w:rPr>
              <w:t>Sākot ar 2009.gada 1.oktobri</w:t>
            </w:r>
          </w:p>
        </w:tc>
      </w:tr>
      <w:tr w:rsidR="007172D5" w:rsidRPr="007B1DFD" w14:paraId="7DBCB024"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4"/>
        </w:trPr>
        <w:tc>
          <w:tcPr>
            <w:tcW w:w="1945" w:type="dxa"/>
            <w:tcBorders>
              <w:top w:val="single" w:sz="4" w:space="0" w:color="auto"/>
              <w:left w:val="single" w:sz="4" w:space="0" w:color="auto"/>
              <w:bottom w:val="single" w:sz="4" w:space="0" w:color="auto"/>
              <w:right w:val="single" w:sz="4" w:space="0" w:color="auto"/>
            </w:tcBorders>
            <w:shd w:val="clear" w:color="auto" w:fill="auto"/>
          </w:tcPr>
          <w:p w14:paraId="2A133F2E" w14:textId="77777777" w:rsidR="00355297" w:rsidRPr="00793000" w:rsidRDefault="00D86569" w:rsidP="001F568F">
            <w:pPr>
              <w:jc w:val="both"/>
              <w:rPr>
                <w:sz w:val="16"/>
                <w:szCs w:val="16"/>
                <w:lang w:val="lv-LV"/>
              </w:rPr>
            </w:pPr>
            <w:r>
              <w:rPr>
                <w:sz w:val="16"/>
                <w:szCs w:val="16"/>
                <w:lang w:val="lv-LV"/>
              </w:rPr>
              <w:t>6</w:t>
            </w:r>
            <w:r w:rsidR="00355297" w:rsidRPr="00793000">
              <w:rPr>
                <w:sz w:val="16"/>
                <w:szCs w:val="16"/>
                <w:lang w:val="lv-LV"/>
              </w:rPr>
              <w:t>. Nodokļa atvieglojums. (Likums „Elektroenerģijas nodokļa likums”)</w:t>
            </w:r>
          </w:p>
        </w:tc>
        <w:tc>
          <w:tcPr>
            <w:tcW w:w="1412" w:type="dxa"/>
            <w:tcBorders>
              <w:top w:val="single" w:sz="4" w:space="0" w:color="auto"/>
              <w:left w:val="single" w:sz="4" w:space="0" w:color="auto"/>
              <w:bottom w:val="single" w:sz="4" w:space="0" w:color="auto"/>
              <w:right w:val="single" w:sz="4" w:space="0" w:color="auto"/>
            </w:tcBorders>
            <w:shd w:val="clear" w:color="auto" w:fill="auto"/>
          </w:tcPr>
          <w:p w14:paraId="3F6B87B3" w14:textId="77777777" w:rsidR="00355297" w:rsidRPr="00793000" w:rsidRDefault="00355297" w:rsidP="001F568F">
            <w:pPr>
              <w:jc w:val="both"/>
              <w:rPr>
                <w:sz w:val="16"/>
                <w:szCs w:val="16"/>
                <w:lang w:val="lv-LV"/>
              </w:rPr>
            </w:pPr>
            <w:r w:rsidRPr="00793000">
              <w:rPr>
                <w:sz w:val="16"/>
                <w:szCs w:val="16"/>
                <w:lang w:val="lv-LV"/>
              </w:rPr>
              <w:t>Netiešais atbalsta veids – elektroenerģijas nodokļa atbrīvojumu un atvieglojumu veidā.</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1B41BC84" w14:textId="77777777" w:rsidR="00355297" w:rsidRPr="00793000" w:rsidRDefault="00355297" w:rsidP="001F568F">
            <w:pPr>
              <w:jc w:val="both"/>
              <w:rPr>
                <w:sz w:val="16"/>
                <w:szCs w:val="16"/>
                <w:lang w:val="lv-LV"/>
              </w:rPr>
            </w:pPr>
          </w:p>
        </w:tc>
        <w:tc>
          <w:tcPr>
            <w:tcW w:w="1835" w:type="dxa"/>
            <w:tcBorders>
              <w:top w:val="single" w:sz="4" w:space="0" w:color="auto"/>
              <w:left w:val="single" w:sz="4" w:space="0" w:color="auto"/>
              <w:bottom w:val="single" w:sz="4" w:space="0" w:color="auto"/>
              <w:right w:val="single" w:sz="4" w:space="0" w:color="auto"/>
            </w:tcBorders>
            <w:shd w:val="clear" w:color="auto" w:fill="auto"/>
          </w:tcPr>
          <w:p w14:paraId="43E9C94D" w14:textId="77777777" w:rsidR="00355297" w:rsidRPr="00793000" w:rsidRDefault="00355297" w:rsidP="001F568F">
            <w:pPr>
              <w:jc w:val="both"/>
              <w:rPr>
                <w:sz w:val="16"/>
                <w:szCs w:val="16"/>
                <w:lang w:val="lv-LV"/>
              </w:rPr>
            </w:pPr>
            <w:r w:rsidRPr="00793000">
              <w:rPr>
                <w:sz w:val="16"/>
                <w:szCs w:val="16"/>
                <w:lang w:val="lv-LV"/>
              </w:rPr>
              <w:t xml:space="preserve">Elektroenerģijas nodokļa likuma 6.panta pirmā daļa nosaka, ka </w:t>
            </w:r>
            <w:r w:rsidR="005A5C60">
              <w:rPr>
                <w:sz w:val="16"/>
                <w:szCs w:val="16"/>
                <w:lang w:val="lv-LV"/>
              </w:rPr>
              <w:t>n</w:t>
            </w:r>
            <w:r w:rsidRPr="00793000">
              <w:rPr>
                <w:sz w:val="16"/>
                <w:szCs w:val="16"/>
                <w:lang w:val="lv-LV"/>
              </w:rPr>
              <w:t xml:space="preserve">o nodokļa ir atbrīvota elektroenerģija, kas iegūta: </w:t>
            </w:r>
          </w:p>
          <w:p w14:paraId="7ADC7565" w14:textId="77777777" w:rsidR="00355297" w:rsidRPr="00793000" w:rsidRDefault="00355297" w:rsidP="001F568F">
            <w:pPr>
              <w:jc w:val="both"/>
              <w:rPr>
                <w:sz w:val="16"/>
                <w:szCs w:val="16"/>
                <w:lang w:val="lv-LV"/>
              </w:rPr>
            </w:pPr>
            <w:r w:rsidRPr="00793000">
              <w:rPr>
                <w:sz w:val="16"/>
                <w:szCs w:val="16"/>
                <w:lang w:val="lv-LV"/>
              </w:rPr>
              <w:t xml:space="preserve">1)no AER; </w:t>
            </w:r>
          </w:p>
          <w:p w14:paraId="7690AF81" w14:textId="77777777" w:rsidR="00355297" w:rsidRPr="00793000" w:rsidRDefault="00355297" w:rsidP="001F568F">
            <w:pPr>
              <w:jc w:val="both"/>
              <w:rPr>
                <w:sz w:val="16"/>
                <w:szCs w:val="16"/>
                <w:lang w:val="lv-LV"/>
              </w:rPr>
            </w:pPr>
            <w:r w:rsidRPr="00793000">
              <w:rPr>
                <w:sz w:val="16"/>
                <w:szCs w:val="16"/>
                <w:lang w:val="lv-LV"/>
              </w:rPr>
              <w:t>2)</w:t>
            </w:r>
            <w:r w:rsidR="00646815">
              <w:rPr>
                <w:sz w:val="16"/>
                <w:szCs w:val="16"/>
                <w:lang w:val="lv-LV"/>
              </w:rPr>
              <w:t xml:space="preserve"> HES</w:t>
            </w:r>
            <w:r w:rsidRPr="00793000">
              <w:rPr>
                <w:sz w:val="16"/>
                <w:szCs w:val="16"/>
                <w:lang w:val="lv-LV"/>
              </w:rPr>
              <w:t xml:space="preserve">; </w:t>
            </w:r>
          </w:p>
          <w:p w14:paraId="27A9E5F8" w14:textId="77777777" w:rsidR="00355297" w:rsidRPr="00793000" w:rsidRDefault="00355297" w:rsidP="001F568F">
            <w:pPr>
              <w:jc w:val="both"/>
              <w:rPr>
                <w:sz w:val="16"/>
                <w:szCs w:val="16"/>
                <w:lang w:val="lv-LV"/>
              </w:rPr>
            </w:pPr>
            <w:r w:rsidRPr="00793000">
              <w:rPr>
                <w:sz w:val="16"/>
                <w:szCs w:val="16"/>
                <w:lang w:val="lv-LV"/>
              </w:rPr>
              <w:t>3) koģenerācijas elektrostacijās, kas atbilst normatīvajos aktos par elektroenerģijas ražošanu koģenerācijas procesā noteiktajiem efektivitātes kritērijiem.</w:t>
            </w:r>
          </w:p>
        </w:tc>
        <w:tc>
          <w:tcPr>
            <w:tcW w:w="1131" w:type="dxa"/>
            <w:tcBorders>
              <w:top w:val="single" w:sz="4" w:space="0" w:color="auto"/>
              <w:left w:val="single" w:sz="4" w:space="0" w:color="auto"/>
              <w:bottom w:val="single" w:sz="4" w:space="0" w:color="auto"/>
              <w:right w:val="single" w:sz="4" w:space="0" w:color="auto"/>
            </w:tcBorders>
            <w:shd w:val="clear" w:color="auto" w:fill="auto"/>
          </w:tcPr>
          <w:p w14:paraId="3BE8298B" w14:textId="77777777" w:rsidR="00355297" w:rsidRPr="00793000" w:rsidRDefault="00355297" w:rsidP="001F568F">
            <w:pPr>
              <w:jc w:val="both"/>
              <w:rPr>
                <w:sz w:val="16"/>
                <w:szCs w:val="16"/>
                <w:lang w:val="lv-LV"/>
              </w:rPr>
            </w:pPr>
            <w:r w:rsidRPr="00793000">
              <w:rPr>
                <w:sz w:val="16"/>
                <w:szCs w:val="16"/>
                <w:lang w:val="lv-LV"/>
              </w:rPr>
              <w:t>Esošs</w:t>
            </w:r>
          </w:p>
        </w:tc>
        <w:tc>
          <w:tcPr>
            <w:tcW w:w="1274" w:type="dxa"/>
            <w:tcBorders>
              <w:top w:val="single" w:sz="4" w:space="0" w:color="auto"/>
              <w:left w:val="single" w:sz="4" w:space="0" w:color="auto"/>
              <w:bottom w:val="single" w:sz="4" w:space="0" w:color="auto"/>
              <w:right w:val="single" w:sz="4" w:space="0" w:color="auto"/>
            </w:tcBorders>
            <w:shd w:val="clear" w:color="auto" w:fill="auto"/>
          </w:tcPr>
          <w:p w14:paraId="548E9A27" w14:textId="77777777" w:rsidR="00355297" w:rsidRPr="00793000" w:rsidRDefault="00355297" w:rsidP="001F568F">
            <w:pPr>
              <w:jc w:val="both"/>
              <w:rPr>
                <w:sz w:val="16"/>
                <w:szCs w:val="16"/>
                <w:lang w:val="lv-LV"/>
              </w:rPr>
            </w:pPr>
            <w:r w:rsidRPr="00793000">
              <w:rPr>
                <w:sz w:val="16"/>
                <w:szCs w:val="16"/>
                <w:lang w:val="lv-LV"/>
              </w:rPr>
              <w:t>Sākot ar 2007.gada 1.janvāri</w:t>
            </w:r>
          </w:p>
        </w:tc>
      </w:tr>
      <w:tr w:rsidR="007172D5" w:rsidRPr="007B1DFD" w14:paraId="598B04EE"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4"/>
        </w:trPr>
        <w:tc>
          <w:tcPr>
            <w:tcW w:w="1945" w:type="dxa"/>
            <w:tcBorders>
              <w:top w:val="single" w:sz="4" w:space="0" w:color="auto"/>
              <w:left w:val="single" w:sz="4" w:space="0" w:color="auto"/>
              <w:bottom w:val="single" w:sz="4" w:space="0" w:color="auto"/>
              <w:right w:val="single" w:sz="4" w:space="0" w:color="auto"/>
            </w:tcBorders>
          </w:tcPr>
          <w:p w14:paraId="4ABE5D73" w14:textId="77777777" w:rsidR="006B6584" w:rsidRPr="007B1DFD" w:rsidRDefault="00D86569" w:rsidP="005272C8">
            <w:pPr>
              <w:jc w:val="both"/>
              <w:rPr>
                <w:sz w:val="16"/>
                <w:szCs w:val="16"/>
                <w:lang w:val="lv-LV"/>
              </w:rPr>
            </w:pPr>
            <w:r>
              <w:rPr>
                <w:sz w:val="16"/>
                <w:szCs w:val="16"/>
                <w:lang w:val="lv-LV"/>
              </w:rPr>
              <w:t>7</w:t>
            </w:r>
            <w:r w:rsidR="00922D17">
              <w:rPr>
                <w:sz w:val="16"/>
                <w:szCs w:val="16"/>
                <w:lang w:val="lv-LV"/>
              </w:rPr>
              <w:t xml:space="preserve">. </w:t>
            </w:r>
            <w:r w:rsidR="006B6584" w:rsidRPr="007B1DFD">
              <w:rPr>
                <w:sz w:val="16"/>
                <w:szCs w:val="16"/>
                <w:lang w:val="lv-LV"/>
              </w:rPr>
              <w:t>Energoefektivitātes paaugstināšana pašvaldību ēkās (I kārta).</w:t>
            </w:r>
          </w:p>
          <w:p w14:paraId="0413CEBC" w14:textId="77777777" w:rsidR="006B6584" w:rsidRPr="007B1DFD" w:rsidRDefault="006B6584" w:rsidP="005272C8">
            <w:pPr>
              <w:jc w:val="both"/>
              <w:rPr>
                <w:b/>
                <w:sz w:val="16"/>
                <w:szCs w:val="16"/>
                <w:lang w:val="lv-LV"/>
              </w:rPr>
            </w:pPr>
            <w:r w:rsidRPr="007B1DFD">
              <w:rPr>
                <w:sz w:val="16"/>
                <w:szCs w:val="16"/>
                <w:lang w:val="lv-LV"/>
              </w:rPr>
              <w:t>(MK 25.06.2009. noteikumi Nr.645</w:t>
            </w:r>
            <w:r w:rsidRPr="007B1DFD">
              <w:rPr>
                <w:b/>
                <w:sz w:val="16"/>
                <w:szCs w:val="16"/>
                <w:lang w:val="lv-LV"/>
              </w:rPr>
              <w:t xml:space="preserve"> </w:t>
            </w:r>
            <w:r w:rsidRPr="007B1DFD">
              <w:rPr>
                <w:rStyle w:val="Strong"/>
                <w:sz w:val="16"/>
                <w:szCs w:val="16"/>
                <w:lang w:val="lv-LV"/>
              </w:rPr>
              <w:t>„Klimata pārmaiņu finanšu instrumenta finansēto projektu atklāta konkursa „Energoefektivitātes paaugstināšana pašvaldību ēkās” nolikums</w:t>
            </w:r>
            <w:r w:rsidRPr="007B1DFD">
              <w:rPr>
                <w:b/>
                <w:sz w:val="16"/>
                <w:szCs w:val="16"/>
                <w:lang w:val="lv-LV"/>
              </w:rPr>
              <w:t>”</w:t>
            </w:r>
            <w:r w:rsidRPr="007B1DFD">
              <w:rPr>
                <w:sz w:val="16"/>
                <w:szCs w:val="16"/>
                <w:lang w:val="lv-LV"/>
              </w:rPr>
              <w:t xml:space="preserve"> ar grozījumiem līdz 25.09.2012.)</w:t>
            </w:r>
          </w:p>
        </w:tc>
        <w:tc>
          <w:tcPr>
            <w:tcW w:w="1412" w:type="dxa"/>
            <w:tcBorders>
              <w:top w:val="single" w:sz="4" w:space="0" w:color="auto"/>
              <w:left w:val="single" w:sz="4" w:space="0" w:color="auto"/>
              <w:bottom w:val="single" w:sz="4" w:space="0" w:color="auto"/>
              <w:right w:val="single" w:sz="4" w:space="0" w:color="auto"/>
            </w:tcBorders>
          </w:tcPr>
          <w:p w14:paraId="06EEC07E" w14:textId="77777777" w:rsidR="006B6584" w:rsidRPr="007B1DFD" w:rsidRDefault="006B6584" w:rsidP="005272C8">
            <w:pPr>
              <w:jc w:val="both"/>
              <w:rPr>
                <w:sz w:val="16"/>
                <w:szCs w:val="16"/>
                <w:lang w:val="lv-LV"/>
              </w:rPr>
            </w:pPr>
            <w:r w:rsidRPr="007B1DFD">
              <w:rPr>
                <w:sz w:val="16"/>
                <w:szCs w:val="16"/>
                <w:lang w:val="lv-LV"/>
              </w:rPr>
              <w:t>Finansiāls (Klimata pārmaiņu finanšu instruments)</w:t>
            </w:r>
          </w:p>
        </w:tc>
        <w:tc>
          <w:tcPr>
            <w:tcW w:w="1694" w:type="dxa"/>
            <w:tcBorders>
              <w:top w:val="single" w:sz="4" w:space="0" w:color="auto"/>
              <w:left w:val="single" w:sz="4" w:space="0" w:color="auto"/>
              <w:bottom w:val="single" w:sz="4" w:space="0" w:color="auto"/>
              <w:right w:val="single" w:sz="4" w:space="0" w:color="auto"/>
            </w:tcBorders>
          </w:tcPr>
          <w:p w14:paraId="105B4C1C" w14:textId="77777777" w:rsidR="006B6584" w:rsidRPr="007B1DFD" w:rsidRDefault="006B6584" w:rsidP="005272C8">
            <w:pPr>
              <w:jc w:val="both"/>
              <w:rPr>
                <w:sz w:val="16"/>
                <w:szCs w:val="16"/>
                <w:lang w:val="lv-LV"/>
              </w:rPr>
            </w:pPr>
            <w:r w:rsidRPr="007B1DFD">
              <w:rPr>
                <w:sz w:val="16"/>
                <w:szCs w:val="16"/>
                <w:lang w:val="lv-LV"/>
              </w:rPr>
              <w:t>CO</w:t>
            </w:r>
            <w:r w:rsidRPr="007B1DFD">
              <w:rPr>
                <w:sz w:val="16"/>
                <w:szCs w:val="16"/>
                <w:vertAlign w:val="subscript"/>
                <w:lang w:val="lv-LV"/>
              </w:rPr>
              <w:t>2</w:t>
            </w:r>
            <w:r w:rsidRPr="007B1DFD">
              <w:rPr>
                <w:sz w:val="16"/>
                <w:szCs w:val="16"/>
                <w:lang w:val="lv-LV"/>
              </w:rPr>
              <w:t xml:space="preserve"> emisiju samazinājums, samazinot siltumenerģijas patēriņu Latvijas Republikas pašvaldību sabiedriskajās ēkās un ēkās, kas nepieciešamas pašvaldību autonomo funkciju nodrošināšanai.</w:t>
            </w:r>
          </w:p>
        </w:tc>
        <w:tc>
          <w:tcPr>
            <w:tcW w:w="1835" w:type="dxa"/>
            <w:tcBorders>
              <w:top w:val="single" w:sz="4" w:space="0" w:color="auto"/>
              <w:left w:val="single" w:sz="4" w:space="0" w:color="auto"/>
              <w:bottom w:val="single" w:sz="4" w:space="0" w:color="auto"/>
              <w:right w:val="single" w:sz="4" w:space="0" w:color="auto"/>
            </w:tcBorders>
          </w:tcPr>
          <w:p w14:paraId="198399B4" w14:textId="77777777" w:rsidR="006B6584" w:rsidRPr="007B1DFD" w:rsidRDefault="006B6584" w:rsidP="005272C8">
            <w:pPr>
              <w:jc w:val="both"/>
              <w:rPr>
                <w:sz w:val="16"/>
                <w:szCs w:val="16"/>
                <w:lang w:val="lv-LV"/>
              </w:rPr>
            </w:pPr>
            <w:r w:rsidRPr="007B1DFD">
              <w:rPr>
                <w:sz w:val="16"/>
                <w:szCs w:val="16"/>
                <w:lang w:val="lv-LV"/>
              </w:rPr>
              <w:t>Pilsētas vai novada pašvaldības</w:t>
            </w:r>
          </w:p>
        </w:tc>
        <w:tc>
          <w:tcPr>
            <w:tcW w:w="1131" w:type="dxa"/>
            <w:tcBorders>
              <w:top w:val="single" w:sz="4" w:space="0" w:color="auto"/>
              <w:left w:val="single" w:sz="4" w:space="0" w:color="auto"/>
              <w:bottom w:val="single" w:sz="4" w:space="0" w:color="auto"/>
              <w:right w:val="single" w:sz="4" w:space="0" w:color="auto"/>
            </w:tcBorders>
          </w:tcPr>
          <w:p w14:paraId="68AC4576" w14:textId="77777777" w:rsidR="006B6584" w:rsidRPr="007B1DFD" w:rsidRDefault="006B6584" w:rsidP="005272C8">
            <w:pPr>
              <w:jc w:val="both"/>
              <w:rPr>
                <w:sz w:val="16"/>
                <w:szCs w:val="16"/>
                <w:lang w:val="lv-LV"/>
              </w:rPr>
            </w:pPr>
            <w:r w:rsidRPr="007B1DFD">
              <w:rPr>
                <w:sz w:val="16"/>
                <w:szCs w:val="16"/>
                <w:lang w:val="lv-LV"/>
              </w:rPr>
              <w:t>Esošs</w:t>
            </w:r>
          </w:p>
        </w:tc>
        <w:tc>
          <w:tcPr>
            <w:tcW w:w="1274" w:type="dxa"/>
            <w:tcBorders>
              <w:top w:val="single" w:sz="4" w:space="0" w:color="auto"/>
              <w:left w:val="single" w:sz="4" w:space="0" w:color="auto"/>
              <w:bottom w:val="single" w:sz="4" w:space="0" w:color="auto"/>
              <w:right w:val="single" w:sz="4" w:space="0" w:color="auto"/>
            </w:tcBorders>
          </w:tcPr>
          <w:p w14:paraId="33F1AD1D" w14:textId="77777777" w:rsidR="006B6584" w:rsidRPr="007B1DFD" w:rsidRDefault="006B6584" w:rsidP="005272C8">
            <w:pPr>
              <w:jc w:val="both"/>
              <w:rPr>
                <w:sz w:val="16"/>
                <w:szCs w:val="16"/>
                <w:lang w:val="lv-LV"/>
              </w:rPr>
            </w:pPr>
            <w:r w:rsidRPr="007B1DFD">
              <w:rPr>
                <w:sz w:val="16"/>
                <w:szCs w:val="16"/>
                <w:lang w:val="lv-LV"/>
              </w:rPr>
              <w:t>Projektu īstenošana līdz 2011. gada 1.decembrim</w:t>
            </w:r>
          </w:p>
        </w:tc>
      </w:tr>
      <w:tr w:rsidR="007172D5" w:rsidRPr="007B1DFD" w14:paraId="788D0976"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4"/>
        </w:trPr>
        <w:tc>
          <w:tcPr>
            <w:tcW w:w="1945" w:type="dxa"/>
            <w:tcBorders>
              <w:top w:val="single" w:sz="4" w:space="0" w:color="auto"/>
              <w:left w:val="single" w:sz="4" w:space="0" w:color="auto"/>
              <w:bottom w:val="single" w:sz="4" w:space="0" w:color="auto"/>
              <w:right w:val="single" w:sz="4" w:space="0" w:color="auto"/>
            </w:tcBorders>
          </w:tcPr>
          <w:p w14:paraId="4548FEAB" w14:textId="77777777" w:rsidR="006B6584" w:rsidRPr="007B1DFD" w:rsidRDefault="00D86569" w:rsidP="005272C8">
            <w:pPr>
              <w:jc w:val="both"/>
              <w:rPr>
                <w:sz w:val="16"/>
                <w:szCs w:val="16"/>
                <w:lang w:val="lv-LV"/>
              </w:rPr>
            </w:pPr>
            <w:r>
              <w:rPr>
                <w:sz w:val="16"/>
                <w:szCs w:val="16"/>
                <w:lang w:val="lv-LV"/>
              </w:rPr>
              <w:lastRenderedPageBreak/>
              <w:t>8</w:t>
            </w:r>
            <w:r w:rsidR="00922D17">
              <w:rPr>
                <w:sz w:val="16"/>
                <w:szCs w:val="16"/>
                <w:lang w:val="lv-LV"/>
              </w:rPr>
              <w:t xml:space="preserve">. </w:t>
            </w:r>
            <w:r w:rsidR="00646815">
              <w:rPr>
                <w:sz w:val="16"/>
                <w:szCs w:val="16"/>
                <w:lang w:val="lv-LV"/>
              </w:rPr>
              <w:t>SEG</w:t>
            </w:r>
            <w:r w:rsidR="006B6584" w:rsidRPr="007B1DFD">
              <w:rPr>
                <w:sz w:val="16"/>
                <w:szCs w:val="16"/>
                <w:lang w:val="lv-LV"/>
              </w:rPr>
              <w:t xml:space="preserve"> emisijas samazinošu tehnoloģiju attīstīšana.</w:t>
            </w:r>
          </w:p>
          <w:p w14:paraId="1C5EC8A8" w14:textId="77777777" w:rsidR="006B6584" w:rsidRPr="007B1DFD" w:rsidRDefault="006B6584" w:rsidP="005272C8">
            <w:pPr>
              <w:jc w:val="both"/>
              <w:rPr>
                <w:b/>
                <w:sz w:val="16"/>
                <w:szCs w:val="16"/>
                <w:lang w:val="lv-LV"/>
              </w:rPr>
            </w:pPr>
            <w:r w:rsidRPr="007B1DFD">
              <w:rPr>
                <w:sz w:val="16"/>
                <w:szCs w:val="16"/>
                <w:lang w:val="lv-LV"/>
              </w:rPr>
              <w:t>(MK 2009.gada 22.decembra noteikumi Nr.1492</w:t>
            </w:r>
            <w:r w:rsidRPr="007B1DFD">
              <w:rPr>
                <w:b/>
                <w:sz w:val="16"/>
                <w:szCs w:val="16"/>
                <w:lang w:val="lv-LV"/>
              </w:rPr>
              <w:t xml:space="preserve"> </w:t>
            </w:r>
            <w:r w:rsidRPr="007B1DFD">
              <w:rPr>
                <w:rStyle w:val="Strong"/>
                <w:sz w:val="16"/>
                <w:szCs w:val="16"/>
                <w:lang w:val="lv-LV"/>
              </w:rPr>
              <w:t xml:space="preserve">„Klimata pārmaiņu finanšu instrumenta finansēto projektu atklāta konkursa „Siltumnīcefekta gāzu emisijas samazinošu tehnoloģiju attīstīšana” nolikums” </w:t>
            </w:r>
            <w:r w:rsidRPr="007B1DFD">
              <w:rPr>
                <w:sz w:val="16"/>
                <w:szCs w:val="16"/>
                <w:lang w:val="lv-LV"/>
              </w:rPr>
              <w:t>ar grozījumiem līdz 25.09.2012.</w:t>
            </w:r>
            <w:r w:rsidRPr="007B1DFD">
              <w:rPr>
                <w:rStyle w:val="Strong"/>
                <w:sz w:val="16"/>
                <w:szCs w:val="16"/>
                <w:lang w:val="lv-LV"/>
              </w:rPr>
              <w:t>)</w:t>
            </w:r>
          </w:p>
        </w:tc>
        <w:tc>
          <w:tcPr>
            <w:tcW w:w="1412" w:type="dxa"/>
            <w:tcBorders>
              <w:top w:val="single" w:sz="4" w:space="0" w:color="auto"/>
              <w:left w:val="single" w:sz="4" w:space="0" w:color="auto"/>
              <w:bottom w:val="single" w:sz="4" w:space="0" w:color="auto"/>
              <w:right w:val="single" w:sz="4" w:space="0" w:color="auto"/>
            </w:tcBorders>
          </w:tcPr>
          <w:p w14:paraId="7B448309" w14:textId="77777777" w:rsidR="006B6584" w:rsidRPr="007B1DFD" w:rsidRDefault="006B6584" w:rsidP="005272C8">
            <w:pPr>
              <w:jc w:val="both"/>
              <w:rPr>
                <w:sz w:val="16"/>
                <w:szCs w:val="16"/>
                <w:lang w:val="lv-LV"/>
              </w:rPr>
            </w:pPr>
            <w:r w:rsidRPr="007B1DFD">
              <w:rPr>
                <w:sz w:val="16"/>
                <w:szCs w:val="16"/>
                <w:lang w:val="lv-LV"/>
              </w:rPr>
              <w:t>Finansiāls (Klimata pārmaiņu finanšu instruments)</w:t>
            </w:r>
          </w:p>
        </w:tc>
        <w:tc>
          <w:tcPr>
            <w:tcW w:w="1694" w:type="dxa"/>
            <w:tcBorders>
              <w:top w:val="single" w:sz="4" w:space="0" w:color="auto"/>
              <w:left w:val="single" w:sz="4" w:space="0" w:color="auto"/>
              <w:bottom w:val="single" w:sz="4" w:space="0" w:color="auto"/>
              <w:right w:val="single" w:sz="4" w:space="0" w:color="auto"/>
            </w:tcBorders>
          </w:tcPr>
          <w:p w14:paraId="0E63DE58" w14:textId="77777777" w:rsidR="006B6584" w:rsidRPr="007B1DFD" w:rsidRDefault="006B6584" w:rsidP="005272C8">
            <w:pPr>
              <w:jc w:val="both"/>
              <w:rPr>
                <w:sz w:val="16"/>
                <w:szCs w:val="16"/>
                <w:lang w:val="lv-LV"/>
              </w:rPr>
            </w:pPr>
            <w:r w:rsidRPr="007B1DFD">
              <w:rPr>
                <w:sz w:val="16"/>
                <w:szCs w:val="16"/>
                <w:lang w:val="lv-LV"/>
              </w:rPr>
              <w:t>Veicināta SEG emisijas samazinošo produktu un tehnoloģiju pieejamība Latvijā, tādējādi nodrošinot SEG emisiju samazinājumu.</w:t>
            </w:r>
          </w:p>
        </w:tc>
        <w:tc>
          <w:tcPr>
            <w:tcW w:w="1835" w:type="dxa"/>
            <w:tcBorders>
              <w:top w:val="single" w:sz="4" w:space="0" w:color="auto"/>
              <w:left w:val="single" w:sz="4" w:space="0" w:color="auto"/>
              <w:bottom w:val="single" w:sz="4" w:space="0" w:color="auto"/>
              <w:right w:val="single" w:sz="4" w:space="0" w:color="auto"/>
            </w:tcBorders>
          </w:tcPr>
          <w:p w14:paraId="28558301" w14:textId="77777777" w:rsidR="006B6584" w:rsidRPr="007B1DFD" w:rsidRDefault="006B6584" w:rsidP="005272C8">
            <w:pPr>
              <w:jc w:val="both"/>
              <w:rPr>
                <w:sz w:val="16"/>
                <w:szCs w:val="16"/>
                <w:lang w:val="lv-LV"/>
              </w:rPr>
            </w:pPr>
            <w:r w:rsidRPr="007B1DFD">
              <w:rPr>
                <w:sz w:val="16"/>
                <w:szCs w:val="16"/>
                <w:lang w:val="lv-LV"/>
              </w:rPr>
              <w:t>Projekta iesnieguma iesniedzējs ir Latvijas Republikas tiešās vai pastarpinātās pārvaldes iestāde, atvasināta publiska persona vai arī Latvijas Republikā reģistrēts komersants.</w:t>
            </w:r>
          </w:p>
        </w:tc>
        <w:tc>
          <w:tcPr>
            <w:tcW w:w="1131" w:type="dxa"/>
            <w:tcBorders>
              <w:top w:val="single" w:sz="4" w:space="0" w:color="auto"/>
              <w:left w:val="single" w:sz="4" w:space="0" w:color="auto"/>
              <w:bottom w:val="single" w:sz="4" w:space="0" w:color="auto"/>
              <w:right w:val="single" w:sz="4" w:space="0" w:color="auto"/>
            </w:tcBorders>
          </w:tcPr>
          <w:p w14:paraId="738F7735" w14:textId="77777777" w:rsidR="006B6584" w:rsidRPr="007B1DFD" w:rsidRDefault="006B6584" w:rsidP="005272C8">
            <w:pPr>
              <w:jc w:val="both"/>
              <w:rPr>
                <w:sz w:val="16"/>
                <w:szCs w:val="16"/>
                <w:lang w:val="lv-LV"/>
              </w:rPr>
            </w:pPr>
            <w:r w:rsidRPr="007B1DFD">
              <w:rPr>
                <w:sz w:val="16"/>
                <w:szCs w:val="16"/>
                <w:lang w:val="lv-LV"/>
              </w:rPr>
              <w:t>Esošs</w:t>
            </w:r>
          </w:p>
        </w:tc>
        <w:tc>
          <w:tcPr>
            <w:tcW w:w="1274" w:type="dxa"/>
            <w:tcBorders>
              <w:top w:val="single" w:sz="4" w:space="0" w:color="auto"/>
              <w:left w:val="single" w:sz="4" w:space="0" w:color="auto"/>
              <w:bottom w:val="single" w:sz="4" w:space="0" w:color="auto"/>
              <w:right w:val="single" w:sz="4" w:space="0" w:color="auto"/>
            </w:tcBorders>
          </w:tcPr>
          <w:p w14:paraId="61DD0EC8" w14:textId="77777777" w:rsidR="006B6584" w:rsidRPr="007B1DFD" w:rsidRDefault="006B6584" w:rsidP="005272C8">
            <w:pPr>
              <w:jc w:val="both"/>
              <w:rPr>
                <w:sz w:val="16"/>
                <w:szCs w:val="16"/>
                <w:lang w:val="lv-LV"/>
              </w:rPr>
            </w:pPr>
            <w:r w:rsidRPr="007B1DFD">
              <w:rPr>
                <w:sz w:val="16"/>
                <w:szCs w:val="16"/>
                <w:lang w:val="lv-LV"/>
              </w:rPr>
              <w:t>Projektu īstenošana līdz 2012. gada 1. decembrim</w:t>
            </w:r>
          </w:p>
        </w:tc>
      </w:tr>
      <w:tr w:rsidR="007172D5" w:rsidRPr="007B1DFD" w14:paraId="3B114A63"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4"/>
        </w:trPr>
        <w:tc>
          <w:tcPr>
            <w:tcW w:w="1945" w:type="dxa"/>
            <w:tcBorders>
              <w:top w:val="single" w:sz="4" w:space="0" w:color="auto"/>
              <w:left w:val="single" w:sz="4" w:space="0" w:color="auto"/>
              <w:bottom w:val="single" w:sz="4" w:space="0" w:color="auto"/>
              <w:right w:val="single" w:sz="4" w:space="0" w:color="auto"/>
            </w:tcBorders>
          </w:tcPr>
          <w:p w14:paraId="55B0E8E7" w14:textId="77777777" w:rsidR="006B6584" w:rsidRPr="007B1DFD" w:rsidRDefault="00D86569" w:rsidP="005272C8">
            <w:pPr>
              <w:jc w:val="both"/>
              <w:rPr>
                <w:sz w:val="16"/>
                <w:szCs w:val="16"/>
                <w:lang w:val="lv-LV"/>
              </w:rPr>
            </w:pPr>
            <w:r>
              <w:rPr>
                <w:sz w:val="16"/>
                <w:szCs w:val="16"/>
                <w:lang w:val="lv-LV"/>
              </w:rPr>
              <w:t>9</w:t>
            </w:r>
            <w:r w:rsidR="00922D17">
              <w:rPr>
                <w:sz w:val="16"/>
                <w:szCs w:val="16"/>
                <w:lang w:val="lv-LV"/>
              </w:rPr>
              <w:t xml:space="preserve">. </w:t>
            </w:r>
            <w:r w:rsidR="006B6584" w:rsidRPr="007B1DFD">
              <w:rPr>
                <w:sz w:val="16"/>
                <w:szCs w:val="16"/>
                <w:lang w:val="lv-LV"/>
              </w:rPr>
              <w:t>Energoefektivitātes paaugstināšana augstākās izglītības iestāžu ēkās.</w:t>
            </w:r>
          </w:p>
          <w:p w14:paraId="7EE3DBA0" w14:textId="77777777" w:rsidR="006B6584" w:rsidRPr="007B1DFD" w:rsidRDefault="006B6584" w:rsidP="005272C8">
            <w:pPr>
              <w:jc w:val="both"/>
              <w:rPr>
                <w:b/>
                <w:sz w:val="16"/>
                <w:szCs w:val="16"/>
                <w:lang w:val="lv-LV"/>
              </w:rPr>
            </w:pPr>
            <w:r w:rsidRPr="007B1DFD">
              <w:rPr>
                <w:sz w:val="16"/>
                <w:szCs w:val="16"/>
                <w:lang w:val="lv-LV"/>
              </w:rPr>
              <w:t xml:space="preserve">(MK 2010. gada 5. janvāra noteikumi </w:t>
            </w:r>
            <w:proofErr w:type="spellStart"/>
            <w:r w:rsidRPr="007B1DFD">
              <w:rPr>
                <w:sz w:val="16"/>
                <w:szCs w:val="16"/>
                <w:lang w:val="lv-LV"/>
              </w:rPr>
              <w:t>Nr</w:t>
            </w:r>
            <w:proofErr w:type="spellEnd"/>
            <w:r w:rsidRPr="007B1DFD">
              <w:rPr>
                <w:sz w:val="16"/>
                <w:szCs w:val="16"/>
                <w:lang w:val="lv-LV"/>
              </w:rPr>
              <w:t>. 1</w:t>
            </w:r>
            <w:r w:rsidRPr="007B1DFD">
              <w:rPr>
                <w:b/>
                <w:sz w:val="16"/>
                <w:szCs w:val="16"/>
                <w:lang w:val="lv-LV"/>
              </w:rPr>
              <w:t xml:space="preserve"> </w:t>
            </w:r>
            <w:r w:rsidRPr="007B1DFD">
              <w:rPr>
                <w:rStyle w:val="Strong"/>
                <w:sz w:val="16"/>
                <w:szCs w:val="16"/>
                <w:lang w:val="lv-LV"/>
              </w:rPr>
              <w:t xml:space="preserve">„Klimata pārmaiņu finanšu instrumenta finansēto projektu atklāta konkursa „Energoefektivitātes paaugstināšana augstākās izglītības iestāžu ēkās” nolikums” </w:t>
            </w:r>
            <w:r w:rsidRPr="007B1DFD">
              <w:rPr>
                <w:sz w:val="16"/>
                <w:szCs w:val="16"/>
                <w:lang w:val="lv-LV"/>
              </w:rPr>
              <w:t>ar grozījumiem līdz 25.09.2012.</w:t>
            </w:r>
            <w:r w:rsidRPr="007B1DFD">
              <w:rPr>
                <w:rStyle w:val="Strong"/>
                <w:sz w:val="16"/>
                <w:szCs w:val="16"/>
                <w:lang w:val="lv-LV"/>
              </w:rPr>
              <w:t>)</w:t>
            </w:r>
          </w:p>
        </w:tc>
        <w:tc>
          <w:tcPr>
            <w:tcW w:w="1412" w:type="dxa"/>
            <w:tcBorders>
              <w:top w:val="single" w:sz="4" w:space="0" w:color="auto"/>
              <w:left w:val="single" w:sz="4" w:space="0" w:color="auto"/>
              <w:bottom w:val="single" w:sz="4" w:space="0" w:color="auto"/>
              <w:right w:val="single" w:sz="4" w:space="0" w:color="auto"/>
            </w:tcBorders>
          </w:tcPr>
          <w:p w14:paraId="066D970B" w14:textId="77777777" w:rsidR="006B6584" w:rsidRPr="007B1DFD" w:rsidRDefault="006B6584" w:rsidP="005272C8">
            <w:pPr>
              <w:jc w:val="both"/>
              <w:rPr>
                <w:sz w:val="16"/>
                <w:szCs w:val="16"/>
                <w:lang w:val="lv-LV"/>
              </w:rPr>
            </w:pPr>
            <w:r w:rsidRPr="007B1DFD">
              <w:rPr>
                <w:sz w:val="16"/>
                <w:szCs w:val="16"/>
                <w:lang w:val="lv-LV"/>
              </w:rPr>
              <w:t>Finansiāls (Klimata pārmaiņu finanšu instruments)</w:t>
            </w:r>
          </w:p>
        </w:tc>
        <w:tc>
          <w:tcPr>
            <w:tcW w:w="1694" w:type="dxa"/>
            <w:tcBorders>
              <w:top w:val="single" w:sz="4" w:space="0" w:color="auto"/>
              <w:left w:val="single" w:sz="4" w:space="0" w:color="auto"/>
              <w:bottom w:val="single" w:sz="4" w:space="0" w:color="auto"/>
              <w:right w:val="single" w:sz="4" w:space="0" w:color="auto"/>
            </w:tcBorders>
          </w:tcPr>
          <w:p w14:paraId="354835AC" w14:textId="77777777" w:rsidR="006B6584" w:rsidRPr="007B1DFD" w:rsidRDefault="006B6584" w:rsidP="005272C8">
            <w:pPr>
              <w:jc w:val="both"/>
              <w:rPr>
                <w:sz w:val="16"/>
                <w:szCs w:val="16"/>
                <w:lang w:val="lv-LV"/>
              </w:rPr>
            </w:pPr>
            <w:r w:rsidRPr="007B1DFD">
              <w:rPr>
                <w:sz w:val="16"/>
                <w:szCs w:val="16"/>
                <w:lang w:val="lv-LV"/>
              </w:rPr>
              <w:t>CO</w:t>
            </w:r>
            <w:r w:rsidRPr="007B1DFD">
              <w:rPr>
                <w:sz w:val="16"/>
                <w:szCs w:val="16"/>
                <w:vertAlign w:val="subscript"/>
                <w:lang w:val="lv-LV"/>
              </w:rPr>
              <w:t>2</w:t>
            </w:r>
            <w:r w:rsidRPr="007B1DFD">
              <w:rPr>
                <w:sz w:val="16"/>
                <w:szCs w:val="16"/>
                <w:lang w:val="lv-LV"/>
              </w:rPr>
              <w:t xml:space="preserve"> emisiju samazinājums, samazinot siltumenerģijas un elektroenerģijas patēriņu</w:t>
            </w:r>
          </w:p>
        </w:tc>
        <w:tc>
          <w:tcPr>
            <w:tcW w:w="1835" w:type="dxa"/>
            <w:tcBorders>
              <w:top w:val="single" w:sz="4" w:space="0" w:color="auto"/>
              <w:left w:val="single" w:sz="4" w:space="0" w:color="auto"/>
              <w:bottom w:val="single" w:sz="4" w:space="0" w:color="auto"/>
              <w:right w:val="single" w:sz="4" w:space="0" w:color="auto"/>
            </w:tcBorders>
          </w:tcPr>
          <w:p w14:paraId="2E3FD590" w14:textId="77777777" w:rsidR="006B6584" w:rsidRPr="007B1DFD" w:rsidRDefault="006B6584" w:rsidP="005272C8">
            <w:pPr>
              <w:jc w:val="both"/>
              <w:rPr>
                <w:sz w:val="16"/>
                <w:szCs w:val="16"/>
                <w:lang w:val="lv-LV"/>
              </w:rPr>
            </w:pPr>
            <w:r w:rsidRPr="007B1DFD">
              <w:rPr>
                <w:sz w:val="16"/>
                <w:szCs w:val="16"/>
                <w:lang w:val="lv-LV"/>
              </w:rPr>
              <w:t>Latvijas Republikā akreditēta augstākās izglītības iestāde</w:t>
            </w:r>
          </w:p>
        </w:tc>
        <w:tc>
          <w:tcPr>
            <w:tcW w:w="1131" w:type="dxa"/>
            <w:tcBorders>
              <w:top w:val="single" w:sz="4" w:space="0" w:color="auto"/>
              <w:left w:val="single" w:sz="4" w:space="0" w:color="auto"/>
              <w:bottom w:val="single" w:sz="4" w:space="0" w:color="auto"/>
              <w:right w:val="single" w:sz="4" w:space="0" w:color="auto"/>
            </w:tcBorders>
          </w:tcPr>
          <w:p w14:paraId="61F0B320" w14:textId="77777777" w:rsidR="006B6584" w:rsidRPr="007B1DFD" w:rsidRDefault="006B6584" w:rsidP="005272C8">
            <w:pPr>
              <w:jc w:val="both"/>
              <w:rPr>
                <w:sz w:val="16"/>
                <w:szCs w:val="16"/>
                <w:lang w:val="lv-LV"/>
              </w:rPr>
            </w:pPr>
            <w:r w:rsidRPr="007B1DFD">
              <w:rPr>
                <w:sz w:val="16"/>
                <w:szCs w:val="16"/>
                <w:lang w:val="lv-LV"/>
              </w:rPr>
              <w:t>Esošs</w:t>
            </w:r>
          </w:p>
        </w:tc>
        <w:tc>
          <w:tcPr>
            <w:tcW w:w="1274" w:type="dxa"/>
            <w:tcBorders>
              <w:top w:val="single" w:sz="4" w:space="0" w:color="auto"/>
              <w:left w:val="single" w:sz="4" w:space="0" w:color="auto"/>
              <w:bottom w:val="single" w:sz="4" w:space="0" w:color="auto"/>
              <w:right w:val="single" w:sz="4" w:space="0" w:color="auto"/>
            </w:tcBorders>
          </w:tcPr>
          <w:p w14:paraId="6A14CD35" w14:textId="77777777" w:rsidR="006B6584" w:rsidRPr="007B1DFD" w:rsidRDefault="006B6584" w:rsidP="005272C8">
            <w:pPr>
              <w:jc w:val="both"/>
              <w:rPr>
                <w:sz w:val="16"/>
                <w:szCs w:val="16"/>
                <w:lang w:val="lv-LV"/>
              </w:rPr>
            </w:pPr>
            <w:r w:rsidRPr="007B1DFD">
              <w:rPr>
                <w:sz w:val="16"/>
                <w:szCs w:val="16"/>
                <w:lang w:val="lv-LV"/>
              </w:rPr>
              <w:t>Projektu īstenošana līdz 2012. gada 1. decembrim</w:t>
            </w:r>
          </w:p>
        </w:tc>
      </w:tr>
      <w:tr w:rsidR="007172D5" w:rsidRPr="007B1DFD" w14:paraId="382E3E89"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4"/>
        </w:trPr>
        <w:tc>
          <w:tcPr>
            <w:tcW w:w="1945" w:type="dxa"/>
            <w:tcBorders>
              <w:top w:val="single" w:sz="4" w:space="0" w:color="auto"/>
              <w:left w:val="single" w:sz="4" w:space="0" w:color="auto"/>
              <w:bottom w:val="single" w:sz="4" w:space="0" w:color="auto"/>
              <w:right w:val="single" w:sz="4" w:space="0" w:color="auto"/>
            </w:tcBorders>
          </w:tcPr>
          <w:p w14:paraId="215F9388" w14:textId="77777777" w:rsidR="006B6584" w:rsidRPr="007B1DFD" w:rsidRDefault="00D86569" w:rsidP="005272C8">
            <w:pPr>
              <w:jc w:val="both"/>
              <w:rPr>
                <w:sz w:val="16"/>
                <w:szCs w:val="16"/>
                <w:lang w:val="lv-LV"/>
              </w:rPr>
            </w:pPr>
            <w:r>
              <w:rPr>
                <w:sz w:val="16"/>
                <w:szCs w:val="16"/>
                <w:lang w:val="lv-LV"/>
              </w:rPr>
              <w:t>10</w:t>
            </w:r>
            <w:r w:rsidR="00922D17">
              <w:rPr>
                <w:sz w:val="16"/>
                <w:szCs w:val="16"/>
                <w:lang w:val="lv-LV"/>
              </w:rPr>
              <w:t xml:space="preserve">. </w:t>
            </w:r>
            <w:r w:rsidR="006B6584" w:rsidRPr="007B1DFD">
              <w:rPr>
                <w:sz w:val="16"/>
                <w:szCs w:val="16"/>
                <w:lang w:val="lv-LV"/>
              </w:rPr>
              <w:t xml:space="preserve">Kompleksi risinājumi </w:t>
            </w:r>
            <w:r w:rsidR="00646815">
              <w:rPr>
                <w:sz w:val="16"/>
                <w:szCs w:val="16"/>
                <w:lang w:val="lv-LV"/>
              </w:rPr>
              <w:t>SEG</w:t>
            </w:r>
            <w:r w:rsidR="006B6584" w:rsidRPr="007B1DFD">
              <w:rPr>
                <w:sz w:val="16"/>
                <w:szCs w:val="16"/>
                <w:lang w:val="lv-LV"/>
              </w:rPr>
              <w:t xml:space="preserve"> emisiju samazināšanai valsts un pašvaldību profesionālās izglītības iestāžu ēkās.</w:t>
            </w:r>
          </w:p>
          <w:p w14:paraId="6AAB7A88" w14:textId="77777777" w:rsidR="006B6584" w:rsidRPr="007B1DFD" w:rsidRDefault="006B6584" w:rsidP="005272C8">
            <w:pPr>
              <w:jc w:val="both"/>
              <w:rPr>
                <w:b/>
                <w:sz w:val="16"/>
                <w:szCs w:val="16"/>
                <w:lang w:val="lv-LV"/>
              </w:rPr>
            </w:pPr>
            <w:r w:rsidRPr="007B1DFD">
              <w:rPr>
                <w:sz w:val="16"/>
                <w:szCs w:val="16"/>
                <w:lang w:val="lv-LV"/>
              </w:rPr>
              <w:t xml:space="preserve">(MK 2010. gada 5.maija noteikumi Nr.417 </w:t>
            </w:r>
            <w:r w:rsidRPr="007B1DFD">
              <w:rPr>
                <w:rStyle w:val="Strong"/>
                <w:sz w:val="16"/>
                <w:szCs w:val="16"/>
                <w:lang w:val="lv-LV"/>
              </w:rPr>
              <w:t xml:space="preserve">„Klimata pārmaiņu finanšu instrumenta finansēto projektu atklāta konkursa „Kompleksi risinājumi siltumnīcefekta gāzu emisiju samazināšanai valsts un pašvaldību profesionālās izglītības iestāžu ēkās” nolikums” </w:t>
            </w:r>
            <w:r w:rsidRPr="007B1DFD">
              <w:rPr>
                <w:sz w:val="16"/>
                <w:szCs w:val="16"/>
                <w:lang w:val="lv-LV"/>
              </w:rPr>
              <w:t>ar grozījumiem kas izdarīti līdz 14.08.2012.)</w:t>
            </w:r>
          </w:p>
        </w:tc>
        <w:tc>
          <w:tcPr>
            <w:tcW w:w="1412" w:type="dxa"/>
            <w:tcBorders>
              <w:top w:val="single" w:sz="4" w:space="0" w:color="auto"/>
              <w:left w:val="single" w:sz="4" w:space="0" w:color="auto"/>
              <w:bottom w:val="single" w:sz="4" w:space="0" w:color="auto"/>
              <w:right w:val="single" w:sz="4" w:space="0" w:color="auto"/>
            </w:tcBorders>
          </w:tcPr>
          <w:p w14:paraId="4F88A11A" w14:textId="77777777" w:rsidR="006B6584" w:rsidRPr="007B1DFD" w:rsidRDefault="006B6584" w:rsidP="005272C8">
            <w:pPr>
              <w:jc w:val="both"/>
              <w:rPr>
                <w:sz w:val="16"/>
                <w:szCs w:val="16"/>
                <w:lang w:val="lv-LV"/>
              </w:rPr>
            </w:pPr>
            <w:r w:rsidRPr="007B1DFD">
              <w:rPr>
                <w:sz w:val="16"/>
                <w:szCs w:val="16"/>
                <w:lang w:val="lv-LV"/>
              </w:rPr>
              <w:t>Finansiāls (Klimata pārmaiņu finanšu instruments)</w:t>
            </w:r>
          </w:p>
        </w:tc>
        <w:tc>
          <w:tcPr>
            <w:tcW w:w="1694" w:type="dxa"/>
            <w:tcBorders>
              <w:top w:val="single" w:sz="4" w:space="0" w:color="auto"/>
              <w:left w:val="single" w:sz="4" w:space="0" w:color="auto"/>
              <w:bottom w:val="single" w:sz="4" w:space="0" w:color="auto"/>
              <w:right w:val="single" w:sz="4" w:space="0" w:color="auto"/>
            </w:tcBorders>
          </w:tcPr>
          <w:p w14:paraId="47993949" w14:textId="77777777" w:rsidR="006B6584" w:rsidRPr="007B1DFD" w:rsidRDefault="006B6584" w:rsidP="005272C8">
            <w:pPr>
              <w:jc w:val="both"/>
              <w:rPr>
                <w:sz w:val="16"/>
                <w:szCs w:val="16"/>
                <w:lang w:val="lv-LV"/>
              </w:rPr>
            </w:pPr>
            <w:r w:rsidRPr="007B1DFD">
              <w:rPr>
                <w:sz w:val="16"/>
                <w:szCs w:val="16"/>
                <w:lang w:val="lv-LV"/>
              </w:rPr>
              <w:t>CO</w:t>
            </w:r>
            <w:r w:rsidRPr="007B1DFD">
              <w:rPr>
                <w:sz w:val="16"/>
                <w:szCs w:val="16"/>
                <w:vertAlign w:val="subscript"/>
                <w:lang w:val="lv-LV"/>
              </w:rPr>
              <w:t xml:space="preserve">2 </w:t>
            </w:r>
            <w:r w:rsidRPr="007B1DFD">
              <w:rPr>
                <w:sz w:val="16"/>
                <w:szCs w:val="16"/>
                <w:lang w:val="lv-LV"/>
              </w:rPr>
              <w:t>emisiju samazinājums, samazinot siltumenerģijas un apgaismojuma elektroenerģijas patēriņu Latvijas Republikas valsts un pašvaldību profesionālās izglītības iestāžu ēkās.</w:t>
            </w:r>
          </w:p>
        </w:tc>
        <w:tc>
          <w:tcPr>
            <w:tcW w:w="1835" w:type="dxa"/>
            <w:tcBorders>
              <w:top w:val="single" w:sz="4" w:space="0" w:color="auto"/>
              <w:left w:val="single" w:sz="4" w:space="0" w:color="auto"/>
              <w:bottom w:val="single" w:sz="4" w:space="0" w:color="auto"/>
              <w:right w:val="single" w:sz="4" w:space="0" w:color="auto"/>
            </w:tcBorders>
          </w:tcPr>
          <w:p w14:paraId="5C37935D" w14:textId="77777777" w:rsidR="006B6584" w:rsidRPr="007B1DFD" w:rsidRDefault="006B6584" w:rsidP="005272C8">
            <w:pPr>
              <w:jc w:val="both"/>
              <w:rPr>
                <w:sz w:val="16"/>
                <w:szCs w:val="16"/>
                <w:lang w:val="lv-LV"/>
              </w:rPr>
            </w:pPr>
            <w:r w:rsidRPr="007B1DFD">
              <w:rPr>
                <w:sz w:val="16"/>
                <w:szCs w:val="16"/>
                <w:lang w:val="lv-LV"/>
              </w:rPr>
              <w:t>Projektu iesniedzēji ir valsts vai pašvaldību profesionālās izglītības iestādes.</w:t>
            </w:r>
          </w:p>
        </w:tc>
        <w:tc>
          <w:tcPr>
            <w:tcW w:w="1131" w:type="dxa"/>
            <w:tcBorders>
              <w:top w:val="single" w:sz="4" w:space="0" w:color="auto"/>
              <w:left w:val="single" w:sz="4" w:space="0" w:color="auto"/>
              <w:bottom w:val="single" w:sz="4" w:space="0" w:color="auto"/>
              <w:right w:val="single" w:sz="4" w:space="0" w:color="auto"/>
            </w:tcBorders>
          </w:tcPr>
          <w:p w14:paraId="5B1D3B90" w14:textId="77777777" w:rsidR="006B6584" w:rsidRPr="007B1DFD" w:rsidRDefault="006B6584" w:rsidP="005272C8">
            <w:pPr>
              <w:jc w:val="both"/>
              <w:rPr>
                <w:sz w:val="16"/>
                <w:szCs w:val="16"/>
                <w:lang w:val="lv-LV"/>
              </w:rPr>
            </w:pPr>
            <w:r w:rsidRPr="007B1DFD">
              <w:rPr>
                <w:sz w:val="16"/>
                <w:szCs w:val="16"/>
                <w:lang w:val="lv-LV"/>
              </w:rPr>
              <w:t>Esošs</w:t>
            </w:r>
          </w:p>
        </w:tc>
        <w:tc>
          <w:tcPr>
            <w:tcW w:w="1274" w:type="dxa"/>
            <w:tcBorders>
              <w:top w:val="single" w:sz="4" w:space="0" w:color="auto"/>
              <w:left w:val="single" w:sz="4" w:space="0" w:color="auto"/>
              <w:bottom w:val="single" w:sz="4" w:space="0" w:color="auto"/>
              <w:right w:val="single" w:sz="4" w:space="0" w:color="auto"/>
            </w:tcBorders>
          </w:tcPr>
          <w:p w14:paraId="0B82E8EB" w14:textId="77777777" w:rsidR="006B6584" w:rsidRPr="007B1DFD" w:rsidRDefault="006B6584" w:rsidP="005272C8">
            <w:pPr>
              <w:jc w:val="both"/>
              <w:rPr>
                <w:sz w:val="16"/>
                <w:szCs w:val="16"/>
                <w:lang w:val="lv-LV"/>
              </w:rPr>
            </w:pPr>
            <w:r w:rsidRPr="007B1DFD">
              <w:rPr>
                <w:sz w:val="16"/>
                <w:szCs w:val="16"/>
                <w:lang w:val="lv-LV"/>
              </w:rPr>
              <w:t>Projektu īstenošana līdz 2012. gada 1. decembrim</w:t>
            </w:r>
          </w:p>
        </w:tc>
      </w:tr>
      <w:tr w:rsidR="007172D5" w:rsidRPr="007B1DFD" w14:paraId="0B0CDF5D"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45" w:type="dxa"/>
            <w:tcBorders>
              <w:top w:val="single" w:sz="4" w:space="0" w:color="auto"/>
              <w:left w:val="single" w:sz="4" w:space="0" w:color="auto"/>
              <w:bottom w:val="single" w:sz="4" w:space="0" w:color="auto"/>
              <w:right w:val="single" w:sz="4" w:space="0" w:color="auto"/>
            </w:tcBorders>
          </w:tcPr>
          <w:p w14:paraId="6121EC54" w14:textId="77777777" w:rsidR="006B6584" w:rsidRPr="007B1DFD" w:rsidRDefault="00922D17" w:rsidP="005272C8">
            <w:pPr>
              <w:jc w:val="both"/>
              <w:rPr>
                <w:sz w:val="16"/>
                <w:szCs w:val="16"/>
                <w:lang w:val="lv-LV"/>
              </w:rPr>
            </w:pPr>
            <w:r>
              <w:rPr>
                <w:sz w:val="16"/>
                <w:szCs w:val="16"/>
                <w:lang w:val="lv-LV"/>
              </w:rPr>
              <w:t>1</w:t>
            </w:r>
            <w:r w:rsidR="00D86569">
              <w:rPr>
                <w:sz w:val="16"/>
                <w:szCs w:val="16"/>
                <w:lang w:val="lv-LV"/>
              </w:rPr>
              <w:t>1</w:t>
            </w:r>
            <w:r>
              <w:rPr>
                <w:sz w:val="16"/>
                <w:szCs w:val="16"/>
                <w:lang w:val="lv-LV"/>
              </w:rPr>
              <w:t xml:space="preserve">. </w:t>
            </w:r>
            <w:r w:rsidR="006B6584" w:rsidRPr="007B1DFD">
              <w:rPr>
                <w:sz w:val="16"/>
                <w:szCs w:val="16"/>
                <w:lang w:val="lv-LV"/>
              </w:rPr>
              <w:t>Tehnoloģiju pāreja no fosilajiem uz atjaunojamajiem energoresursiem</w:t>
            </w:r>
          </w:p>
          <w:p w14:paraId="6D743532" w14:textId="77777777" w:rsidR="006B6584" w:rsidRPr="007B1DFD" w:rsidRDefault="006B6584" w:rsidP="005272C8">
            <w:pPr>
              <w:jc w:val="both"/>
              <w:rPr>
                <w:sz w:val="16"/>
                <w:szCs w:val="16"/>
                <w:lang w:val="lv-LV"/>
              </w:rPr>
            </w:pPr>
            <w:r w:rsidRPr="007B1DFD">
              <w:rPr>
                <w:sz w:val="16"/>
                <w:szCs w:val="16"/>
                <w:lang w:val="lv-LV"/>
              </w:rPr>
              <w:t xml:space="preserve">(MK 2010.gada 12.maija noteikumi Nr.441 </w:t>
            </w:r>
            <w:r w:rsidRPr="00F14798">
              <w:rPr>
                <w:b/>
                <w:sz w:val="16"/>
                <w:szCs w:val="16"/>
                <w:lang w:val="lv-LV"/>
              </w:rPr>
              <w:t>"Klimata pārmaiņu finanšu instrumenta finansēto projektu atklāta konkursa "Tehnoloģiju pāreja no fosilajiem uz atjaunojamajiem energoresursiem" nolikums"</w:t>
            </w:r>
            <w:r w:rsidRPr="007B1DFD">
              <w:rPr>
                <w:sz w:val="16"/>
                <w:szCs w:val="16"/>
                <w:lang w:val="lv-LV"/>
              </w:rPr>
              <w:t xml:space="preserve"> ar grozījumiem kas izdarīti līdz 25.09.2012.)</w:t>
            </w:r>
          </w:p>
        </w:tc>
        <w:tc>
          <w:tcPr>
            <w:tcW w:w="1412" w:type="dxa"/>
            <w:tcBorders>
              <w:top w:val="single" w:sz="4" w:space="0" w:color="auto"/>
              <w:left w:val="single" w:sz="4" w:space="0" w:color="auto"/>
              <w:bottom w:val="single" w:sz="4" w:space="0" w:color="auto"/>
              <w:right w:val="single" w:sz="4" w:space="0" w:color="auto"/>
            </w:tcBorders>
          </w:tcPr>
          <w:p w14:paraId="1E29A179" w14:textId="77777777" w:rsidR="006B6584" w:rsidRPr="007B1DFD" w:rsidRDefault="006B6584" w:rsidP="005272C8">
            <w:pPr>
              <w:jc w:val="both"/>
              <w:rPr>
                <w:sz w:val="16"/>
                <w:szCs w:val="16"/>
                <w:lang w:val="lv-LV"/>
              </w:rPr>
            </w:pPr>
            <w:r w:rsidRPr="007B1DFD">
              <w:rPr>
                <w:sz w:val="16"/>
                <w:szCs w:val="16"/>
                <w:lang w:val="lv-LV"/>
              </w:rPr>
              <w:t>Finansiāls (Klimata pārmaiņu finanšu instruments)</w:t>
            </w:r>
          </w:p>
        </w:tc>
        <w:tc>
          <w:tcPr>
            <w:tcW w:w="1694" w:type="dxa"/>
            <w:tcBorders>
              <w:top w:val="single" w:sz="4" w:space="0" w:color="auto"/>
              <w:left w:val="single" w:sz="4" w:space="0" w:color="auto"/>
              <w:bottom w:val="single" w:sz="4" w:space="0" w:color="auto"/>
              <w:right w:val="single" w:sz="4" w:space="0" w:color="auto"/>
            </w:tcBorders>
          </w:tcPr>
          <w:p w14:paraId="3E245E6C" w14:textId="77777777" w:rsidR="006B6584" w:rsidRPr="007B1DFD" w:rsidRDefault="006B6584" w:rsidP="005272C8">
            <w:pPr>
              <w:jc w:val="both"/>
              <w:rPr>
                <w:sz w:val="16"/>
                <w:szCs w:val="16"/>
                <w:lang w:val="lv-LV"/>
              </w:rPr>
            </w:pPr>
            <w:r w:rsidRPr="007B1DFD">
              <w:rPr>
                <w:sz w:val="16"/>
                <w:szCs w:val="16"/>
                <w:lang w:val="lv-LV"/>
              </w:rPr>
              <w:t>CO</w:t>
            </w:r>
            <w:r w:rsidRPr="007B1DFD">
              <w:rPr>
                <w:sz w:val="16"/>
                <w:szCs w:val="16"/>
                <w:vertAlign w:val="subscript"/>
                <w:lang w:val="lv-LV"/>
              </w:rPr>
              <w:t>2</w:t>
            </w:r>
            <w:r w:rsidRPr="007B1DFD">
              <w:rPr>
                <w:sz w:val="16"/>
                <w:szCs w:val="16"/>
                <w:lang w:val="lv-LV"/>
              </w:rPr>
              <w:t xml:space="preserve"> emisiju samazinājums, nodrošinot pāreju no tehnoloģijām, kurās izmanto fosilos energoresursus, uz tehnoloģijām, kurās izmanto atjaunojamos energoresursus.</w:t>
            </w:r>
          </w:p>
        </w:tc>
        <w:tc>
          <w:tcPr>
            <w:tcW w:w="1835" w:type="dxa"/>
            <w:tcBorders>
              <w:top w:val="single" w:sz="4" w:space="0" w:color="auto"/>
              <w:left w:val="single" w:sz="4" w:space="0" w:color="auto"/>
              <w:bottom w:val="single" w:sz="4" w:space="0" w:color="auto"/>
              <w:right w:val="single" w:sz="4" w:space="0" w:color="auto"/>
            </w:tcBorders>
          </w:tcPr>
          <w:p w14:paraId="1447294F" w14:textId="77777777" w:rsidR="006B6584" w:rsidRPr="007B1DFD" w:rsidRDefault="006B6584" w:rsidP="005272C8">
            <w:pPr>
              <w:jc w:val="both"/>
              <w:rPr>
                <w:sz w:val="16"/>
                <w:szCs w:val="16"/>
                <w:lang w:val="lv-LV"/>
              </w:rPr>
            </w:pPr>
            <w:r w:rsidRPr="007B1DFD">
              <w:rPr>
                <w:sz w:val="16"/>
                <w:szCs w:val="16"/>
                <w:lang w:val="lv-LV"/>
              </w:rPr>
              <w:t>Latvijas Republikas pilsētu vai novadu pašvaldības un izglītības iestādes, Latvijas Republikā reģistrēti sīkie (</w:t>
            </w:r>
            <w:proofErr w:type="spellStart"/>
            <w:r w:rsidRPr="007B1DFD">
              <w:rPr>
                <w:sz w:val="16"/>
                <w:szCs w:val="16"/>
                <w:lang w:val="lv-LV"/>
              </w:rPr>
              <w:t>mikro</w:t>
            </w:r>
            <w:proofErr w:type="spellEnd"/>
            <w:r w:rsidRPr="007B1DFD">
              <w:rPr>
                <w:sz w:val="16"/>
                <w:szCs w:val="16"/>
                <w:lang w:val="lv-LV"/>
              </w:rPr>
              <w:t>), mazie un vidējie komersanti, kā arī zinātnisko institūciju reģistrā reģistrētas zinātniskās institūcijas.</w:t>
            </w:r>
          </w:p>
        </w:tc>
        <w:tc>
          <w:tcPr>
            <w:tcW w:w="1131" w:type="dxa"/>
            <w:tcBorders>
              <w:top w:val="single" w:sz="4" w:space="0" w:color="auto"/>
              <w:left w:val="single" w:sz="4" w:space="0" w:color="auto"/>
              <w:bottom w:val="single" w:sz="4" w:space="0" w:color="auto"/>
              <w:right w:val="single" w:sz="4" w:space="0" w:color="auto"/>
            </w:tcBorders>
          </w:tcPr>
          <w:p w14:paraId="09086789" w14:textId="77777777" w:rsidR="006B6584" w:rsidRPr="007B1DFD" w:rsidRDefault="006B6584" w:rsidP="005272C8">
            <w:pPr>
              <w:jc w:val="both"/>
              <w:rPr>
                <w:sz w:val="16"/>
                <w:szCs w:val="16"/>
                <w:lang w:val="lv-LV"/>
              </w:rPr>
            </w:pPr>
            <w:r w:rsidRPr="007B1DFD">
              <w:rPr>
                <w:sz w:val="16"/>
                <w:szCs w:val="16"/>
                <w:lang w:val="lv-LV"/>
              </w:rPr>
              <w:t>Esošs</w:t>
            </w:r>
          </w:p>
        </w:tc>
        <w:tc>
          <w:tcPr>
            <w:tcW w:w="1274" w:type="dxa"/>
            <w:tcBorders>
              <w:top w:val="single" w:sz="4" w:space="0" w:color="auto"/>
              <w:left w:val="single" w:sz="4" w:space="0" w:color="auto"/>
              <w:bottom w:val="single" w:sz="4" w:space="0" w:color="auto"/>
              <w:right w:val="single" w:sz="4" w:space="0" w:color="auto"/>
            </w:tcBorders>
          </w:tcPr>
          <w:p w14:paraId="2278B036" w14:textId="77777777" w:rsidR="006B6584" w:rsidRPr="007B1DFD" w:rsidRDefault="006B6584" w:rsidP="005272C8">
            <w:pPr>
              <w:jc w:val="both"/>
              <w:rPr>
                <w:sz w:val="16"/>
                <w:szCs w:val="16"/>
                <w:lang w:val="lv-LV"/>
              </w:rPr>
            </w:pPr>
            <w:r w:rsidRPr="007B1DFD">
              <w:rPr>
                <w:sz w:val="16"/>
                <w:szCs w:val="16"/>
                <w:lang w:val="lv-LV"/>
              </w:rPr>
              <w:t>Projektu īstenošana līdz 2012.gada 1.decembrim</w:t>
            </w:r>
          </w:p>
        </w:tc>
      </w:tr>
      <w:tr w:rsidR="007172D5" w:rsidRPr="007B1DFD" w14:paraId="7E6FF872"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45" w:type="dxa"/>
            <w:tcBorders>
              <w:top w:val="single" w:sz="4" w:space="0" w:color="auto"/>
              <w:left w:val="single" w:sz="4" w:space="0" w:color="auto"/>
              <w:bottom w:val="single" w:sz="4" w:space="0" w:color="auto"/>
              <w:right w:val="single" w:sz="4" w:space="0" w:color="auto"/>
            </w:tcBorders>
          </w:tcPr>
          <w:p w14:paraId="07E19ACD" w14:textId="77777777" w:rsidR="006B6584" w:rsidRPr="007B1DFD" w:rsidRDefault="00922D17" w:rsidP="005272C8">
            <w:pPr>
              <w:jc w:val="both"/>
              <w:rPr>
                <w:sz w:val="16"/>
                <w:szCs w:val="16"/>
                <w:lang w:val="lv-LV"/>
              </w:rPr>
            </w:pPr>
            <w:r>
              <w:rPr>
                <w:sz w:val="16"/>
                <w:szCs w:val="16"/>
                <w:lang w:val="lv-LV"/>
              </w:rPr>
              <w:t>1</w:t>
            </w:r>
            <w:r w:rsidR="00D86569">
              <w:rPr>
                <w:sz w:val="16"/>
                <w:szCs w:val="16"/>
                <w:lang w:val="lv-LV"/>
              </w:rPr>
              <w:t>2</w:t>
            </w:r>
            <w:r>
              <w:rPr>
                <w:sz w:val="16"/>
                <w:szCs w:val="16"/>
                <w:lang w:val="lv-LV"/>
              </w:rPr>
              <w:t xml:space="preserve">. </w:t>
            </w:r>
            <w:r w:rsidR="006B6584" w:rsidRPr="007B1DFD">
              <w:rPr>
                <w:sz w:val="16"/>
                <w:szCs w:val="16"/>
                <w:lang w:val="lv-LV"/>
              </w:rPr>
              <w:t xml:space="preserve">Kompleksi risinājumi </w:t>
            </w:r>
            <w:r w:rsidR="00646815">
              <w:rPr>
                <w:sz w:val="16"/>
                <w:szCs w:val="16"/>
                <w:lang w:val="lv-LV"/>
              </w:rPr>
              <w:t>SEG</w:t>
            </w:r>
            <w:r w:rsidR="006B6584" w:rsidRPr="007B1DFD">
              <w:rPr>
                <w:sz w:val="16"/>
                <w:szCs w:val="16"/>
                <w:lang w:val="lv-LV"/>
              </w:rPr>
              <w:t xml:space="preserve"> emisiju samazināšanai ražošanas ēkās.</w:t>
            </w:r>
          </w:p>
          <w:p w14:paraId="74FC5DCC" w14:textId="77777777" w:rsidR="006B6584" w:rsidRPr="007B1DFD" w:rsidRDefault="006B6584" w:rsidP="005272C8">
            <w:pPr>
              <w:jc w:val="both"/>
              <w:rPr>
                <w:b/>
                <w:sz w:val="16"/>
                <w:szCs w:val="16"/>
                <w:lang w:val="lv-LV"/>
              </w:rPr>
            </w:pPr>
            <w:r w:rsidRPr="007B1DFD">
              <w:rPr>
                <w:sz w:val="16"/>
                <w:szCs w:val="16"/>
                <w:lang w:val="lv-LV"/>
              </w:rPr>
              <w:t>(MK 2010.gada 8.jūnija noteikumi Nr.521</w:t>
            </w:r>
            <w:r w:rsidRPr="007B1DFD">
              <w:rPr>
                <w:b/>
                <w:sz w:val="16"/>
                <w:szCs w:val="16"/>
                <w:lang w:val="lv-LV"/>
              </w:rPr>
              <w:t xml:space="preserve"> </w:t>
            </w:r>
            <w:r w:rsidRPr="007B1DFD">
              <w:rPr>
                <w:rStyle w:val="Strong"/>
                <w:sz w:val="16"/>
                <w:szCs w:val="16"/>
                <w:lang w:val="lv-LV"/>
              </w:rPr>
              <w:t xml:space="preserve">„Klimata pārmaiņu finanšu instrumenta </w:t>
            </w:r>
            <w:r w:rsidRPr="007B1DFD">
              <w:rPr>
                <w:rStyle w:val="Strong"/>
                <w:sz w:val="16"/>
                <w:szCs w:val="16"/>
                <w:lang w:val="lv-LV"/>
              </w:rPr>
              <w:lastRenderedPageBreak/>
              <w:t xml:space="preserve">finansēto projektu atklāta konkursa „Kompleksi risinājumi siltumnīcefekta gāzu emisiju samazināšanai ražošanas ēkās” nolikums” </w:t>
            </w:r>
            <w:r w:rsidRPr="007B1DFD">
              <w:rPr>
                <w:sz w:val="16"/>
                <w:szCs w:val="16"/>
                <w:lang w:val="lv-LV"/>
              </w:rPr>
              <w:t>ar grozījumiem kas izdarīti līdz 14.08.2012.)</w:t>
            </w:r>
          </w:p>
        </w:tc>
        <w:tc>
          <w:tcPr>
            <w:tcW w:w="1412" w:type="dxa"/>
            <w:tcBorders>
              <w:top w:val="single" w:sz="4" w:space="0" w:color="auto"/>
              <w:left w:val="single" w:sz="4" w:space="0" w:color="auto"/>
              <w:bottom w:val="single" w:sz="4" w:space="0" w:color="auto"/>
              <w:right w:val="single" w:sz="4" w:space="0" w:color="auto"/>
            </w:tcBorders>
          </w:tcPr>
          <w:p w14:paraId="10A74536" w14:textId="77777777" w:rsidR="006B6584" w:rsidRPr="007B1DFD" w:rsidRDefault="006B6584" w:rsidP="005272C8">
            <w:pPr>
              <w:jc w:val="both"/>
              <w:rPr>
                <w:sz w:val="16"/>
                <w:szCs w:val="16"/>
                <w:lang w:val="lv-LV"/>
              </w:rPr>
            </w:pPr>
            <w:r w:rsidRPr="007B1DFD">
              <w:rPr>
                <w:sz w:val="16"/>
                <w:szCs w:val="16"/>
                <w:lang w:val="lv-LV"/>
              </w:rPr>
              <w:lastRenderedPageBreak/>
              <w:t>Finansiāls (Klimata pārmaiņu finanšu instruments)</w:t>
            </w:r>
          </w:p>
        </w:tc>
        <w:tc>
          <w:tcPr>
            <w:tcW w:w="1694" w:type="dxa"/>
            <w:tcBorders>
              <w:top w:val="single" w:sz="4" w:space="0" w:color="auto"/>
              <w:left w:val="single" w:sz="4" w:space="0" w:color="auto"/>
              <w:bottom w:val="single" w:sz="4" w:space="0" w:color="auto"/>
              <w:right w:val="single" w:sz="4" w:space="0" w:color="auto"/>
            </w:tcBorders>
          </w:tcPr>
          <w:p w14:paraId="7C16E3E2" w14:textId="77777777" w:rsidR="006B6584" w:rsidRPr="007B1DFD" w:rsidRDefault="006B6584" w:rsidP="005272C8">
            <w:pPr>
              <w:rPr>
                <w:sz w:val="16"/>
                <w:szCs w:val="16"/>
                <w:lang w:val="lv-LV"/>
              </w:rPr>
            </w:pPr>
            <w:r w:rsidRPr="007B1DFD">
              <w:rPr>
                <w:sz w:val="16"/>
                <w:szCs w:val="16"/>
                <w:lang w:val="lv-LV"/>
              </w:rPr>
              <w:t>CO</w:t>
            </w:r>
            <w:r w:rsidRPr="007B1DFD">
              <w:rPr>
                <w:sz w:val="16"/>
                <w:szCs w:val="16"/>
                <w:vertAlign w:val="subscript"/>
                <w:lang w:val="lv-LV"/>
              </w:rPr>
              <w:t>2</w:t>
            </w:r>
            <w:r w:rsidRPr="007B1DFD">
              <w:rPr>
                <w:sz w:val="16"/>
                <w:szCs w:val="16"/>
                <w:lang w:val="lv-LV"/>
              </w:rPr>
              <w:t xml:space="preserve"> emisiju samazinājums, ieviešot AER tehnoloģijas un energoefektivitātes pasākumus ražošanas ēkās.</w:t>
            </w:r>
          </w:p>
        </w:tc>
        <w:tc>
          <w:tcPr>
            <w:tcW w:w="1835" w:type="dxa"/>
            <w:tcBorders>
              <w:top w:val="single" w:sz="4" w:space="0" w:color="auto"/>
              <w:left w:val="single" w:sz="4" w:space="0" w:color="auto"/>
              <w:bottom w:val="single" w:sz="4" w:space="0" w:color="auto"/>
              <w:right w:val="single" w:sz="4" w:space="0" w:color="auto"/>
            </w:tcBorders>
          </w:tcPr>
          <w:p w14:paraId="153148F2" w14:textId="77777777" w:rsidR="006B6584" w:rsidRPr="007B1DFD" w:rsidRDefault="006B6584" w:rsidP="005272C8">
            <w:pPr>
              <w:jc w:val="both"/>
              <w:rPr>
                <w:sz w:val="16"/>
                <w:szCs w:val="16"/>
                <w:lang w:val="lv-LV"/>
              </w:rPr>
            </w:pPr>
            <w:r w:rsidRPr="007B1DFD">
              <w:rPr>
                <w:sz w:val="16"/>
                <w:szCs w:val="16"/>
                <w:lang w:val="lv-LV"/>
              </w:rPr>
              <w:t>Komersanti</w:t>
            </w:r>
          </w:p>
        </w:tc>
        <w:tc>
          <w:tcPr>
            <w:tcW w:w="1131" w:type="dxa"/>
            <w:tcBorders>
              <w:top w:val="single" w:sz="4" w:space="0" w:color="auto"/>
              <w:left w:val="single" w:sz="4" w:space="0" w:color="auto"/>
              <w:bottom w:val="single" w:sz="4" w:space="0" w:color="auto"/>
              <w:right w:val="single" w:sz="4" w:space="0" w:color="auto"/>
            </w:tcBorders>
          </w:tcPr>
          <w:p w14:paraId="1EC81880" w14:textId="77777777" w:rsidR="006B6584" w:rsidRPr="007B1DFD" w:rsidRDefault="006B6584" w:rsidP="005272C8">
            <w:pPr>
              <w:jc w:val="both"/>
              <w:rPr>
                <w:sz w:val="16"/>
                <w:szCs w:val="16"/>
                <w:lang w:val="lv-LV"/>
              </w:rPr>
            </w:pPr>
            <w:r w:rsidRPr="007B1DFD">
              <w:rPr>
                <w:sz w:val="16"/>
                <w:szCs w:val="16"/>
                <w:lang w:val="lv-LV"/>
              </w:rPr>
              <w:t>Esošs</w:t>
            </w:r>
          </w:p>
        </w:tc>
        <w:tc>
          <w:tcPr>
            <w:tcW w:w="1274" w:type="dxa"/>
            <w:tcBorders>
              <w:top w:val="single" w:sz="4" w:space="0" w:color="auto"/>
              <w:left w:val="single" w:sz="4" w:space="0" w:color="auto"/>
              <w:bottom w:val="single" w:sz="4" w:space="0" w:color="auto"/>
              <w:right w:val="single" w:sz="4" w:space="0" w:color="auto"/>
            </w:tcBorders>
          </w:tcPr>
          <w:p w14:paraId="7D609CE5" w14:textId="77777777" w:rsidR="006B6584" w:rsidRPr="007B1DFD" w:rsidRDefault="006B6584" w:rsidP="005272C8">
            <w:pPr>
              <w:jc w:val="both"/>
              <w:rPr>
                <w:sz w:val="16"/>
                <w:szCs w:val="16"/>
                <w:lang w:val="lv-LV"/>
              </w:rPr>
            </w:pPr>
            <w:r w:rsidRPr="007B1DFD">
              <w:rPr>
                <w:sz w:val="16"/>
                <w:szCs w:val="16"/>
                <w:lang w:val="lv-LV"/>
              </w:rPr>
              <w:t>Projektu īstenošana līdz 2012.gada 1. decembrim</w:t>
            </w:r>
          </w:p>
        </w:tc>
      </w:tr>
      <w:tr w:rsidR="007172D5" w:rsidRPr="007B1DFD" w14:paraId="33274176"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45" w:type="dxa"/>
            <w:tcBorders>
              <w:top w:val="single" w:sz="4" w:space="0" w:color="auto"/>
              <w:left w:val="single" w:sz="4" w:space="0" w:color="auto"/>
              <w:bottom w:val="single" w:sz="4" w:space="0" w:color="auto"/>
              <w:right w:val="single" w:sz="4" w:space="0" w:color="auto"/>
            </w:tcBorders>
          </w:tcPr>
          <w:p w14:paraId="289B25FA" w14:textId="77777777" w:rsidR="006B6584" w:rsidRPr="007B1DFD" w:rsidRDefault="00922D17" w:rsidP="005272C8">
            <w:pPr>
              <w:jc w:val="both"/>
              <w:rPr>
                <w:rStyle w:val="Emphasis"/>
                <w:i w:val="0"/>
                <w:iCs w:val="0"/>
                <w:sz w:val="16"/>
                <w:szCs w:val="16"/>
                <w:lang w:val="lv-LV"/>
              </w:rPr>
            </w:pPr>
            <w:r>
              <w:rPr>
                <w:sz w:val="16"/>
                <w:szCs w:val="16"/>
                <w:lang w:val="lv-LV"/>
              </w:rPr>
              <w:lastRenderedPageBreak/>
              <w:t>1</w:t>
            </w:r>
            <w:r w:rsidR="00D86569">
              <w:rPr>
                <w:sz w:val="16"/>
                <w:szCs w:val="16"/>
                <w:lang w:val="lv-LV"/>
              </w:rPr>
              <w:t>3</w:t>
            </w:r>
            <w:r>
              <w:rPr>
                <w:sz w:val="16"/>
                <w:szCs w:val="16"/>
                <w:lang w:val="lv-LV"/>
              </w:rPr>
              <w:t xml:space="preserve">. </w:t>
            </w:r>
            <w:r w:rsidR="006B6584" w:rsidRPr="007B1DFD">
              <w:rPr>
                <w:sz w:val="16"/>
                <w:szCs w:val="16"/>
                <w:lang w:val="lv-LV"/>
              </w:rPr>
              <w:t xml:space="preserve">Kompleksi risinājumi </w:t>
            </w:r>
            <w:r w:rsidR="00646815">
              <w:rPr>
                <w:sz w:val="16"/>
                <w:szCs w:val="16"/>
                <w:lang w:val="lv-LV"/>
              </w:rPr>
              <w:t>SEG</w:t>
            </w:r>
            <w:r w:rsidR="006B6584" w:rsidRPr="007B1DFD">
              <w:rPr>
                <w:sz w:val="16"/>
                <w:szCs w:val="16"/>
                <w:lang w:val="lv-LV"/>
              </w:rPr>
              <w:t xml:space="preserve"> emisiju samazināšanai pašvaldību ēkās (</w:t>
            </w:r>
            <w:r w:rsidR="006B6584" w:rsidRPr="007B1DFD">
              <w:rPr>
                <w:rStyle w:val="Emphasis"/>
                <w:sz w:val="16"/>
                <w:szCs w:val="16"/>
                <w:lang w:val="lv-LV"/>
              </w:rPr>
              <w:t>II kārta)</w:t>
            </w:r>
          </w:p>
          <w:p w14:paraId="630CA556" w14:textId="77777777" w:rsidR="006B6584" w:rsidRPr="007B1DFD" w:rsidRDefault="006B6584" w:rsidP="005272C8">
            <w:pPr>
              <w:jc w:val="both"/>
              <w:rPr>
                <w:b/>
                <w:sz w:val="16"/>
                <w:szCs w:val="16"/>
                <w:lang w:val="lv-LV"/>
              </w:rPr>
            </w:pPr>
            <w:r w:rsidRPr="007B1DFD">
              <w:rPr>
                <w:sz w:val="16"/>
                <w:szCs w:val="16"/>
                <w:lang w:val="lv-LV"/>
              </w:rPr>
              <w:t>(MK 2010.gada 21.jūnija noteikumi Nr.542</w:t>
            </w:r>
            <w:r w:rsidRPr="007B1DFD">
              <w:rPr>
                <w:b/>
                <w:sz w:val="16"/>
                <w:szCs w:val="16"/>
                <w:lang w:val="lv-LV"/>
              </w:rPr>
              <w:t xml:space="preserve"> „</w:t>
            </w:r>
            <w:r w:rsidRPr="007B1DFD">
              <w:rPr>
                <w:rStyle w:val="Strong"/>
                <w:sz w:val="16"/>
                <w:szCs w:val="16"/>
                <w:lang w:val="lv-LV"/>
              </w:rPr>
              <w:t xml:space="preserve">Klimata pārmaiņu finanšu instrumenta finansēto projektu atklāta konkursa „Kompleksi risinājumi siltumnīcefekta gāzu emisiju samazināšanai pašvaldību ēkās” nolikums” </w:t>
            </w:r>
            <w:r w:rsidRPr="007B1DFD">
              <w:rPr>
                <w:sz w:val="16"/>
                <w:szCs w:val="16"/>
                <w:lang w:val="lv-LV"/>
              </w:rPr>
              <w:t>ar grozījumiem kas izdarīti līdz 25.09.2012.)</w:t>
            </w:r>
          </w:p>
        </w:tc>
        <w:tc>
          <w:tcPr>
            <w:tcW w:w="1412" w:type="dxa"/>
            <w:tcBorders>
              <w:top w:val="single" w:sz="4" w:space="0" w:color="auto"/>
              <w:left w:val="single" w:sz="4" w:space="0" w:color="auto"/>
              <w:bottom w:val="single" w:sz="4" w:space="0" w:color="auto"/>
              <w:right w:val="single" w:sz="4" w:space="0" w:color="auto"/>
            </w:tcBorders>
          </w:tcPr>
          <w:p w14:paraId="772FB2F3" w14:textId="77777777" w:rsidR="006B6584" w:rsidRPr="007B1DFD" w:rsidRDefault="006B6584" w:rsidP="005272C8">
            <w:pPr>
              <w:jc w:val="both"/>
              <w:rPr>
                <w:sz w:val="16"/>
                <w:szCs w:val="16"/>
                <w:lang w:val="lv-LV"/>
              </w:rPr>
            </w:pPr>
            <w:r w:rsidRPr="007B1DFD">
              <w:rPr>
                <w:sz w:val="16"/>
                <w:szCs w:val="16"/>
                <w:lang w:val="lv-LV"/>
              </w:rPr>
              <w:t>Finansiāls (Klimata pārmaiņu finanšu instruments)</w:t>
            </w:r>
          </w:p>
        </w:tc>
        <w:tc>
          <w:tcPr>
            <w:tcW w:w="1694" w:type="dxa"/>
            <w:tcBorders>
              <w:top w:val="single" w:sz="4" w:space="0" w:color="auto"/>
              <w:left w:val="single" w:sz="4" w:space="0" w:color="auto"/>
              <w:bottom w:val="single" w:sz="4" w:space="0" w:color="auto"/>
              <w:right w:val="single" w:sz="4" w:space="0" w:color="auto"/>
            </w:tcBorders>
          </w:tcPr>
          <w:p w14:paraId="7BF104E4" w14:textId="77777777" w:rsidR="006B6584" w:rsidRPr="007B1DFD" w:rsidRDefault="006B6584" w:rsidP="005272C8">
            <w:pPr>
              <w:jc w:val="both"/>
              <w:rPr>
                <w:sz w:val="16"/>
                <w:szCs w:val="16"/>
                <w:lang w:val="lv-LV"/>
              </w:rPr>
            </w:pPr>
            <w:r w:rsidRPr="007B1DFD">
              <w:rPr>
                <w:sz w:val="16"/>
                <w:szCs w:val="16"/>
                <w:lang w:val="lv-LV"/>
              </w:rPr>
              <w:t>CO</w:t>
            </w:r>
            <w:r w:rsidRPr="007B1DFD">
              <w:rPr>
                <w:sz w:val="16"/>
                <w:szCs w:val="16"/>
                <w:vertAlign w:val="subscript"/>
                <w:lang w:val="lv-LV"/>
              </w:rPr>
              <w:t>2</w:t>
            </w:r>
            <w:r w:rsidRPr="007B1DFD">
              <w:rPr>
                <w:sz w:val="16"/>
                <w:szCs w:val="16"/>
                <w:lang w:val="lv-LV"/>
              </w:rPr>
              <w:t xml:space="preserve"> emisiju samazinājums, ieviešot AER tehnoloģijas un energoefektivitātes pasākumus</w:t>
            </w:r>
          </w:p>
        </w:tc>
        <w:tc>
          <w:tcPr>
            <w:tcW w:w="1835" w:type="dxa"/>
            <w:tcBorders>
              <w:top w:val="single" w:sz="4" w:space="0" w:color="auto"/>
              <w:left w:val="single" w:sz="4" w:space="0" w:color="auto"/>
              <w:bottom w:val="single" w:sz="4" w:space="0" w:color="auto"/>
              <w:right w:val="single" w:sz="4" w:space="0" w:color="auto"/>
            </w:tcBorders>
          </w:tcPr>
          <w:p w14:paraId="68559F54" w14:textId="77777777" w:rsidR="006B6584" w:rsidRPr="007B1DFD" w:rsidRDefault="006B6584" w:rsidP="005272C8">
            <w:pPr>
              <w:jc w:val="both"/>
              <w:rPr>
                <w:sz w:val="16"/>
                <w:szCs w:val="16"/>
                <w:lang w:val="lv-LV"/>
              </w:rPr>
            </w:pPr>
            <w:r w:rsidRPr="007B1DFD">
              <w:rPr>
                <w:sz w:val="16"/>
                <w:szCs w:val="16"/>
                <w:lang w:val="lv-LV"/>
              </w:rPr>
              <w:t>Pilsētu un novadu pašvaldības</w:t>
            </w:r>
          </w:p>
        </w:tc>
        <w:tc>
          <w:tcPr>
            <w:tcW w:w="1131" w:type="dxa"/>
            <w:tcBorders>
              <w:top w:val="single" w:sz="4" w:space="0" w:color="auto"/>
              <w:left w:val="single" w:sz="4" w:space="0" w:color="auto"/>
              <w:bottom w:val="single" w:sz="4" w:space="0" w:color="auto"/>
              <w:right w:val="single" w:sz="4" w:space="0" w:color="auto"/>
            </w:tcBorders>
          </w:tcPr>
          <w:p w14:paraId="37CE4723" w14:textId="77777777" w:rsidR="006B6584" w:rsidRPr="007B1DFD" w:rsidRDefault="006B6584" w:rsidP="005272C8">
            <w:pPr>
              <w:jc w:val="both"/>
              <w:rPr>
                <w:sz w:val="16"/>
                <w:szCs w:val="16"/>
                <w:lang w:val="lv-LV"/>
              </w:rPr>
            </w:pPr>
            <w:r w:rsidRPr="007B1DFD">
              <w:rPr>
                <w:sz w:val="16"/>
                <w:szCs w:val="16"/>
                <w:lang w:val="lv-LV"/>
              </w:rPr>
              <w:t>Esošs</w:t>
            </w:r>
          </w:p>
        </w:tc>
        <w:tc>
          <w:tcPr>
            <w:tcW w:w="1274" w:type="dxa"/>
            <w:tcBorders>
              <w:top w:val="single" w:sz="4" w:space="0" w:color="auto"/>
              <w:left w:val="single" w:sz="4" w:space="0" w:color="auto"/>
              <w:bottom w:val="single" w:sz="4" w:space="0" w:color="auto"/>
              <w:right w:val="single" w:sz="4" w:space="0" w:color="auto"/>
            </w:tcBorders>
          </w:tcPr>
          <w:p w14:paraId="7F8BD996" w14:textId="77777777" w:rsidR="006B6584" w:rsidRPr="007B1DFD" w:rsidRDefault="006B6584" w:rsidP="005272C8">
            <w:pPr>
              <w:jc w:val="both"/>
              <w:rPr>
                <w:sz w:val="16"/>
                <w:szCs w:val="16"/>
                <w:lang w:val="lv-LV"/>
              </w:rPr>
            </w:pPr>
            <w:r w:rsidRPr="007B1DFD">
              <w:rPr>
                <w:sz w:val="16"/>
                <w:szCs w:val="16"/>
                <w:lang w:val="lv-LV"/>
              </w:rPr>
              <w:t>Projektu īstenošana līdz 2012. gada 1. decembrim</w:t>
            </w:r>
          </w:p>
        </w:tc>
      </w:tr>
      <w:tr w:rsidR="007172D5" w:rsidRPr="007B1DFD" w14:paraId="6A9DECCD"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45" w:type="dxa"/>
            <w:tcBorders>
              <w:top w:val="single" w:sz="4" w:space="0" w:color="auto"/>
              <w:left w:val="single" w:sz="4" w:space="0" w:color="auto"/>
              <w:bottom w:val="single" w:sz="4" w:space="0" w:color="auto"/>
              <w:right w:val="single" w:sz="4" w:space="0" w:color="auto"/>
            </w:tcBorders>
          </w:tcPr>
          <w:p w14:paraId="040709FD" w14:textId="77777777" w:rsidR="006B6584" w:rsidRPr="007B1DFD" w:rsidRDefault="00922D17" w:rsidP="005272C8">
            <w:pPr>
              <w:jc w:val="both"/>
              <w:rPr>
                <w:sz w:val="16"/>
                <w:szCs w:val="16"/>
                <w:lang w:val="lv-LV"/>
              </w:rPr>
            </w:pPr>
            <w:r>
              <w:rPr>
                <w:sz w:val="16"/>
                <w:szCs w:val="16"/>
                <w:lang w:val="lv-LV"/>
              </w:rPr>
              <w:t>1</w:t>
            </w:r>
            <w:r w:rsidR="00D86569">
              <w:rPr>
                <w:sz w:val="16"/>
                <w:szCs w:val="16"/>
                <w:lang w:val="lv-LV"/>
              </w:rPr>
              <w:t>4</w:t>
            </w:r>
            <w:r>
              <w:rPr>
                <w:sz w:val="16"/>
                <w:szCs w:val="16"/>
                <w:lang w:val="lv-LV"/>
              </w:rPr>
              <w:t xml:space="preserve">. </w:t>
            </w:r>
            <w:r w:rsidR="006B6584" w:rsidRPr="007B1DFD">
              <w:rPr>
                <w:sz w:val="16"/>
                <w:szCs w:val="16"/>
                <w:lang w:val="lv-LV"/>
              </w:rPr>
              <w:t xml:space="preserve">Sabiedrības izpratnes attīstīšana par </w:t>
            </w:r>
            <w:r w:rsidR="00646815">
              <w:rPr>
                <w:sz w:val="16"/>
                <w:szCs w:val="16"/>
                <w:lang w:val="lv-LV"/>
              </w:rPr>
              <w:t>SEG</w:t>
            </w:r>
            <w:r w:rsidR="006B6584" w:rsidRPr="007B1DFD">
              <w:rPr>
                <w:sz w:val="16"/>
                <w:szCs w:val="16"/>
                <w:lang w:val="lv-LV"/>
              </w:rPr>
              <w:t xml:space="preserve"> emisiju samazināšanas nozīmi un iespējām. (I un II kārta)</w:t>
            </w:r>
          </w:p>
          <w:p w14:paraId="1D16D247" w14:textId="77777777" w:rsidR="006B6584" w:rsidRPr="007B1DFD" w:rsidRDefault="006B6584" w:rsidP="005272C8">
            <w:pPr>
              <w:jc w:val="both"/>
              <w:rPr>
                <w:b/>
                <w:sz w:val="16"/>
                <w:szCs w:val="16"/>
                <w:lang w:val="lv-LV"/>
              </w:rPr>
            </w:pPr>
            <w:r w:rsidRPr="007B1DFD">
              <w:rPr>
                <w:sz w:val="16"/>
                <w:szCs w:val="16"/>
                <w:lang w:val="lv-LV"/>
              </w:rPr>
              <w:t>(MK 2010.gada 17.augusta noteikumi Nr.789</w:t>
            </w:r>
            <w:r w:rsidRPr="007B1DFD">
              <w:rPr>
                <w:b/>
                <w:sz w:val="16"/>
                <w:szCs w:val="16"/>
                <w:lang w:val="lv-LV"/>
              </w:rPr>
              <w:t xml:space="preserve"> </w:t>
            </w:r>
            <w:r w:rsidRPr="007B1DFD">
              <w:rPr>
                <w:rStyle w:val="Strong"/>
                <w:sz w:val="16"/>
                <w:szCs w:val="16"/>
                <w:lang w:val="lv-LV"/>
              </w:rPr>
              <w:t xml:space="preserve">„Klimata pārmaiņu finanšu instrumenta finansēto projektu atklāta konkursa „Sabiedrības izpratnes attīstīšana par siltumnīcefekta gāzu emisiju samazināšanas nozīmi un iespējām” nolikums” </w:t>
            </w:r>
            <w:r w:rsidRPr="007B1DFD">
              <w:rPr>
                <w:sz w:val="16"/>
                <w:szCs w:val="16"/>
                <w:lang w:val="lv-LV"/>
              </w:rPr>
              <w:t>ar grozījumiem līdz 25.09.2011.)</w:t>
            </w:r>
          </w:p>
        </w:tc>
        <w:tc>
          <w:tcPr>
            <w:tcW w:w="1412" w:type="dxa"/>
            <w:tcBorders>
              <w:top w:val="single" w:sz="4" w:space="0" w:color="auto"/>
              <w:left w:val="single" w:sz="4" w:space="0" w:color="auto"/>
              <w:bottom w:val="single" w:sz="4" w:space="0" w:color="auto"/>
              <w:right w:val="single" w:sz="4" w:space="0" w:color="auto"/>
            </w:tcBorders>
          </w:tcPr>
          <w:p w14:paraId="0F8DBD72" w14:textId="77777777" w:rsidR="006B6584" w:rsidRPr="007B1DFD" w:rsidRDefault="006B6584" w:rsidP="005272C8">
            <w:pPr>
              <w:jc w:val="both"/>
              <w:rPr>
                <w:sz w:val="16"/>
                <w:szCs w:val="16"/>
                <w:lang w:val="lv-LV"/>
              </w:rPr>
            </w:pPr>
            <w:r w:rsidRPr="007B1DFD">
              <w:rPr>
                <w:sz w:val="16"/>
                <w:szCs w:val="16"/>
                <w:lang w:val="lv-LV"/>
              </w:rPr>
              <w:t>Finansiāls (Klimata pārmaiņu finanšu instruments)</w:t>
            </w:r>
          </w:p>
        </w:tc>
        <w:tc>
          <w:tcPr>
            <w:tcW w:w="1694" w:type="dxa"/>
            <w:tcBorders>
              <w:top w:val="single" w:sz="4" w:space="0" w:color="auto"/>
              <w:left w:val="single" w:sz="4" w:space="0" w:color="auto"/>
              <w:bottom w:val="single" w:sz="4" w:space="0" w:color="auto"/>
              <w:right w:val="single" w:sz="4" w:space="0" w:color="auto"/>
            </w:tcBorders>
          </w:tcPr>
          <w:p w14:paraId="4BA9751D" w14:textId="77777777" w:rsidR="006B6584" w:rsidRPr="007B1DFD" w:rsidRDefault="006B6584" w:rsidP="00646815">
            <w:pPr>
              <w:jc w:val="both"/>
              <w:rPr>
                <w:sz w:val="16"/>
                <w:szCs w:val="16"/>
                <w:lang w:val="lv-LV"/>
              </w:rPr>
            </w:pPr>
            <w:r w:rsidRPr="007B1DFD">
              <w:rPr>
                <w:sz w:val="16"/>
                <w:szCs w:val="16"/>
                <w:lang w:val="lv-LV"/>
              </w:rPr>
              <w:t xml:space="preserve">Sabiedrības izpratnes par </w:t>
            </w:r>
            <w:r w:rsidR="00646815">
              <w:rPr>
                <w:sz w:val="16"/>
                <w:szCs w:val="16"/>
                <w:lang w:val="lv-LV"/>
              </w:rPr>
              <w:t>SEG</w:t>
            </w:r>
            <w:r w:rsidRPr="007B1DFD">
              <w:rPr>
                <w:sz w:val="16"/>
                <w:szCs w:val="16"/>
                <w:lang w:val="lv-LV"/>
              </w:rPr>
              <w:t xml:space="preserve"> emisiju samazināšanas nozīmi un iespējām veicināšana, sekmējot informētu lēmumu pieņemšanu un videi nekaitīgu rīcību.</w:t>
            </w:r>
          </w:p>
        </w:tc>
        <w:tc>
          <w:tcPr>
            <w:tcW w:w="1835" w:type="dxa"/>
            <w:tcBorders>
              <w:top w:val="single" w:sz="4" w:space="0" w:color="auto"/>
              <w:left w:val="single" w:sz="4" w:space="0" w:color="auto"/>
              <w:bottom w:val="single" w:sz="4" w:space="0" w:color="auto"/>
              <w:right w:val="single" w:sz="4" w:space="0" w:color="auto"/>
            </w:tcBorders>
          </w:tcPr>
          <w:p w14:paraId="3EFEA3F0" w14:textId="77777777" w:rsidR="006B6584" w:rsidRPr="007B1DFD" w:rsidRDefault="006B6584" w:rsidP="005272C8">
            <w:pPr>
              <w:jc w:val="both"/>
              <w:rPr>
                <w:sz w:val="16"/>
                <w:szCs w:val="16"/>
                <w:lang w:val="lv-LV"/>
              </w:rPr>
            </w:pPr>
            <w:r w:rsidRPr="007B1DFD">
              <w:rPr>
                <w:sz w:val="16"/>
                <w:szCs w:val="16"/>
                <w:lang w:val="lv-LV"/>
              </w:rPr>
              <w:t>Projekta iesnieguma iesniedzējs ir:</w:t>
            </w:r>
          </w:p>
          <w:p w14:paraId="49E41630" w14:textId="77777777" w:rsidR="006B6584" w:rsidRPr="007B1DFD" w:rsidRDefault="006B6584" w:rsidP="005272C8">
            <w:pPr>
              <w:jc w:val="both"/>
              <w:rPr>
                <w:sz w:val="16"/>
                <w:szCs w:val="16"/>
                <w:lang w:val="lv-LV"/>
              </w:rPr>
            </w:pPr>
            <w:r w:rsidRPr="007B1DFD">
              <w:rPr>
                <w:sz w:val="16"/>
                <w:szCs w:val="16"/>
                <w:lang w:val="lv-LV"/>
              </w:rPr>
              <w:t>1. Latvijas Republikā reģistrēta biedrība vai nodibinājums vai arī Latvijas Republikā reģistrēts komersants, kura izdevums ir reģistrēts Latvijas Republikas Uzņēmumu reģistra masu informācijas līdzekļu reģistrā, ja izdevuma vai tīmekļa vietnes auditorija atbilst finanšu instrumenta mērķiem;</w:t>
            </w:r>
          </w:p>
          <w:p w14:paraId="4E340DC6" w14:textId="77777777" w:rsidR="006B6584" w:rsidRPr="007B1DFD" w:rsidRDefault="006B6584" w:rsidP="005272C8">
            <w:pPr>
              <w:jc w:val="both"/>
              <w:rPr>
                <w:sz w:val="16"/>
                <w:szCs w:val="16"/>
                <w:lang w:val="lv-LV"/>
              </w:rPr>
            </w:pPr>
            <w:r w:rsidRPr="007B1DFD">
              <w:rPr>
                <w:sz w:val="16"/>
                <w:szCs w:val="16"/>
                <w:lang w:val="lv-LV"/>
              </w:rPr>
              <w:t>2. Latvijas Republikā reģistrēta biedrība vai nodibinājums ar vienu vai vairākiem projekta sadarbības partneriem, kuru darbības joma ir vides izglītība vai enerģijas taupīšanas pasākumu popularizēšana;</w:t>
            </w:r>
          </w:p>
          <w:p w14:paraId="3E0132B5" w14:textId="77777777" w:rsidR="006B6584" w:rsidRPr="007B1DFD" w:rsidRDefault="006B6584" w:rsidP="005272C8">
            <w:pPr>
              <w:jc w:val="both"/>
              <w:rPr>
                <w:sz w:val="16"/>
                <w:szCs w:val="16"/>
                <w:lang w:val="lv-LV"/>
              </w:rPr>
            </w:pPr>
            <w:r w:rsidRPr="007B1DFD">
              <w:rPr>
                <w:sz w:val="16"/>
                <w:szCs w:val="16"/>
                <w:lang w:val="lv-LV"/>
              </w:rPr>
              <w:t xml:space="preserve">3. Latvijas Republikā reģistrēta biedrība, kas pārstāv būvniecības un arhitektūras, enerģētikas, būvniecības inženierzinātņu vides jomas speciālistus, </w:t>
            </w:r>
            <w:proofErr w:type="spellStart"/>
            <w:r w:rsidRPr="007B1DFD">
              <w:rPr>
                <w:sz w:val="16"/>
                <w:szCs w:val="16"/>
                <w:lang w:val="lv-LV"/>
              </w:rPr>
              <w:t>energoauditorus</w:t>
            </w:r>
            <w:proofErr w:type="spellEnd"/>
            <w:r w:rsidRPr="007B1DFD">
              <w:rPr>
                <w:sz w:val="16"/>
                <w:szCs w:val="16"/>
                <w:lang w:val="lv-LV"/>
              </w:rPr>
              <w:t>, vai arī biedrība, kas ir Eiropas Tirdzniecības kameru apvienības biedrs ar vienu vai vairākiem projekta sadarbības partneriem.</w:t>
            </w:r>
          </w:p>
        </w:tc>
        <w:tc>
          <w:tcPr>
            <w:tcW w:w="1131" w:type="dxa"/>
            <w:tcBorders>
              <w:top w:val="single" w:sz="4" w:space="0" w:color="auto"/>
              <w:left w:val="single" w:sz="4" w:space="0" w:color="auto"/>
              <w:bottom w:val="single" w:sz="4" w:space="0" w:color="auto"/>
              <w:right w:val="single" w:sz="4" w:space="0" w:color="auto"/>
            </w:tcBorders>
          </w:tcPr>
          <w:p w14:paraId="4F03120F" w14:textId="77777777" w:rsidR="006B6584" w:rsidRPr="007B1DFD" w:rsidRDefault="006B6584" w:rsidP="005272C8">
            <w:pPr>
              <w:jc w:val="both"/>
              <w:rPr>
                <w:sz w:val="16"/>
                <w:szCs w:val="16"/>
                <w:lang w:val="lv-LV"/>
              </w:rPr>
            </w:pPr>
            <w:r w:rsidRPr="007B1DFD">
              <w:rPr>
                <w:sz w:val="16"/>
                <w:szCs w:val="16"/>
                <w:lang w:val="lv-LV"/>
              </w:rPr>
              <w:t>Esošs</w:t>
            </w:r>
          </w:p>
        </w:tc>
        <w:tc>
          <w:tcPr>
            <w:tcW w:w="1274" w:type="dxa"/>
            <w:tcBorders>
              <w:top w:val="single" w:sz="4" w:space="0" w:color="auto"/>
              <w:left w:val="single" w:sz="4" w:space="0" w:color="auto"/>
              <w:bottom w:val="single" w:sz="4" w:space="0" w:color="auto"/>
              <w:right w:val="single" w:sz="4" w:space="0" w:color="auto"/>
            </w:tcBorders>
          </w:tcPr>
          <w:p w14:paraId="43D8AE27" w14:textId="77777777" w:rsidR="006B6584" w:rsidRPr="007B1DFD" w:rsidRDefault="006B6584" w:rsidP="005272C8">
            <w:pPr>
              <w:jc w:val="both"/>
              <w:rPr>
                <w:sz w:val="16"/>
                <w:szCs w:val="16"/>
                <w:lang w:val="lv-LV"/>
              </w:rPr>
            </w:pPr>
            <w:r w:rsidRPr="007B1DFD">
              <w:rPr>
                <w:sz w:val="16"/>
                <w:szCs w:val="16"/>
                <w:lang w:val="lv-LV"/>
              </w:rPr>
              <w:t>Projektu īstenošana līdz 2012.gada 31.martam</w:t>
            </w:r>
          </w:p>
        </w:tc>
      </w:tr>
      <w:tr w:rsidR="007172D5" w:rsidRPr="007B1DFD" w14:paraId="385320F2"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45" w:type="dxa"/>
            <w:tcBorders>
              <w:top w:val="single" w:sz="4" w:space="0" w:color="auto"/>
              <w:left w:val="single" w:sz="4" w:space="0" w:color="auto"/>
              <w:bottom w:val="single" w:sz="4" w:space="0" w:color="auto"/>
              <w:right w:val="single" w:sz="4" w:space="0" w:color="auto"/>
            </w:tcBorders>
          </w:tcPr>
          <w:p w14:paraId="47925E1F" w14:textId="77777777" w:rsidR="006B6584" w:rsidRPr="007B1DFD" w:rsidRDefault="00922D17" w:rsidP="005272C8">
            <w:pPr>
              <w:jc w:val="both"/>
              <w:rPr>
                <w:sz w:val="16"/>
                <w:szCs w:val="16"/>
                <w:lang w:val="lv-LV"/>
              </w:rPr>
            </w:pPr>
            <w:r>
              <w:rPr>
                <w:sz w:val="16"/>
                <w:szCs w:val="16"/>
                <w:lang w:val="lv-LV"/>
              </w:rPr>
              <w:t>1</w:t>
            </w:r>
            <w:r w:rsidR="00D86569">
              <w:rPr>
                <w:sz w:val="16"/>
                <w:szCs w:val="16"/>
                <w:lang w:val="lv-LV"/>
              </w:rPr>
              <w:t>5</w:t>
            </w:r>
            <w:r>
              <w:rPr>
                <w:sz w:val="16"/>
                <w:szCs w:val="16"/>
                <w:lang w:val="lv-LV"/>
              </w:rPr>
              <w:t xml:space="preserve">. </w:t>
            </w:r>
            <w:r w:rsidR="006B6584" w:rsidRPr="007B1DFD">
              <w:rPr>
                <w:sz w:val="16"/>
                <w:szCs w:val="16"/>
                <w:lang w:val="lv-LV"/>
              </w:rPr>
              <w:t>Zema enerģijas patēriņa ēkas</w:t>
            </w:r>
          </w:p>
          <w:p w14:paraId="5531A972" w14:textId="77777777" w:rsidR="006B6584" w:rsidRPr="007B1DFD" w:rsidRDefault="006B6584" w:rsidP="005272C8">
            <w:pPr>
              <w:jc w:val="both"/>
              <w:rPr>
                <w:b/>
                <w:sz w:val="16"/>
                <w:szCs w:val="16"/>
                <w:lang w:val="lv-LV"/>
              </w:rPr>
            </w:pPr>
            <w:r w:rsidRPr="007B1DFD">
              <w:rPr>
                <w:sz w:val="16"/>
                <w:szCs w:val="16"/>
                <w:lang w:val="lv-LV"/>
              </w:rPr>
              <w:t>(MK 28.12.2010. noteikumi Nr.1185</w:t>
            </w:r>
            <w:r w:rsidRPr="007B1DFD">
              <w:rPr>
                <w:b/>
                <w:sz w:val="16"/>
                <w:szCs w:val="16"/>
                <w:lang w:val="lv-LV"/>
              </w:rPr>
              <w:t xml:space="preserve"> „</w:t>
            </w:r>
            <w:r w:rsidRPr="007B1DFD">
              <w:rPr>
                <w:rStyle w:val="Strong"/>
                <w:sz w:val="16"/>
                <w:szCs w:val="16"/>
                <w:lang w:val="lv-LV"/>
              </w:rPr>
              <w:t xml:space="preserve">Klimata pārmaiņu finanšu instrumenta finansēto projektu atklāta konkursa „Zema enerģijas patēriņa ēkas” </w:t>
            </w:r>
            <w:r w:rsidRPr="007B1DFD">
              <w:rPr>
                <w:rStyle w:val="Strong"/>
                <w:sz w:val="16"/>
                <w:szCs w:val="16"/>
                <w:lang w:val="lv-LV"/>
              </w:rPr>
              <w:lastRenderedPageBreak/>
              <w:t xml:space="preserve">nolikums” </w:t>
            </w:r>
            <w:r w:rsidRPr="007B1DFD">
              <w:rPr>
                <w:sz w:val="16"/>
                <w:szCs w:val="16"/>
                <w:lang w:val="lv-LV"/>
              </w:rPr>
              <w:t>ar grozījumiem kas izdarīti līdz 13.01.2011.</w:t>
            </w:r>
            <w:r w:rsidRPr="007B1DFD">
              <w:rPr>
                <w:rStyle w:val="Strong"/>
                <w:sz w:val="16"/>
                <w:szCs w:val="16"/>
                <w:lang w:val="lv-LV"/>
              </w:rPr>
              <w:t>)</w:t>
            </w:r>
          </w:p>
        </w:tc>
        <w:tc>
          <w:tcPr>
            <w:tcW w:w="1412" w:type="dxa"/>
            <w:tcBorders>
              <w:top w:val="single" w:sz="4" w:space="0" w:color="auto"/>
              <w:left w:val="single" w:sz="4" w:space="0" w:color="auto"/>
              <w:bottom w:val="single" w:sz="4" w:space="0" w:color="auto"/>
              <w:right w:val="single" w:sz="4" w:space="0" w:color="auto"/>
            </w:tcBorders>
          </w:tcPr>
          <w:p w14:paraId="6D3E609D" w14:textId="77777777" w:rsidR="006B6584" w:rsidRPr="007B1DFD" w:rsidRDefault="006B6584" w:rsidP="005272C8">
            <w:pPr>
              <w:jc w:val="both"/>
              <w:rPr>
                <w:sz w:val="16"/>
                <w:szCs w:val="16"/>
                <w:lang w:val="lv-LV"/>
              </w:rPr>
            </w:pPr>
            <w:r w:rsidRPr="007B1DFD">
              <w:rPr>
                <w:sz w:val="16"/>
                <w:szCs w:val="16"/>
                <w:lang w:val="lv-LV"/>
              </w:rPr>
              <w:lastRenderedPageBreak/>
              <w:t>Finansiāls (Klimata pārmaiņu finanšu instruments)</w:t>
            </w:r>
          </w:p>
        </w:tc>
        <w:tc>
          <w:tcPr>
            <w:tcW w:w="1694" w:type="dxa"/>
            <w:tcBorders>
              <w:top w:val="single" w:sz="4" w:space="0" w:color="auto"/>
              <w:left w:val="single" w:sz="4" w:space="0" w:color="auto"/>
              <w:bottom w:val="single" w:sz="4" w:space="0" w:color="auto"/>
              <w:right w:val="single" w:sz="4" w:space="0" w:color="auto"/>
            </w:tcBorders>
          </w:tcPr>
          <w:p w14:paraId="0D0D5DF3" w14:textId="77777777" w:rsidR="006B6584" w:rsidRPr="007B1DFD" w:rsidRDefault="006B6584" w:rsidP="005272C8">
            <w:pPr>
              <w:jc w:val="both"/>
              <w:rPr>
                <w:sz w:val="16"/>
                <w:szCs w:val="16"/>
                <w:lang w:val="lv-LV"/>
              </w:rPr>
            </w:pPr>
            <w:r w:rsidRPr="007B1DFD">
              <w:rPr>
                <w:sz w:val="16"/>
                <w:szCs w:val="16"/>
                <w:lang w:val="lv-LV"/>
              </w:rPr>
              <w:t>CO</w:t>
            </w:r>
            <w:r w:rsidRPr="007B1DFD">
              <w:rPr>
                <w:sz w:val="16"/>
                <w:szCs w:val="16"/>
                <w:vertAlign w:val="subscript"/>
                <w:lang w:val="lv-LV"/>
              </w:rPr>
              <w:t xml:space="preserve">2 </w:t>
            </w:r>
            <w:r w:rsidRPr="007B1DFD">
              <w:rPr>
                <w:sz w:val="16"/>
                <w:szCs w:val="16"/>
                <w:lang w:val="lv-LV"/>
              </w:rPr>
              <w:t>emisiju samazinājums, palielinot ēku energoefektivitāti un izmantojot AER tehnoloģijas.</w:t>
            </w:r>
          </w:p>
        </w:tc>
        <w:tc>
          <w:tcPr>
            <w:tcW w:w="1835" w:type="dxa"/>
            <w:tcBorders>
              <w:top w:val="single" w:sz="4" w:space="0" w:color="auto"/>
              <w:left w:val="single" w:sz="4" w:space="0" w:color="auto"/>
              <w:bottom w:val="single" w:sz="4" w:space="0" w:color="auto"/>
              <w:right w:val="single" w:sz="4" w:space="0" w:color="auto"/>
            </w:tcBorders>
          </w:tcPr>
          <w:p w14:paraId="54D9F0F1" w14:textId="77777777" w:rsidR="006B6584" w:rsidRPr="007B1DFD" w:rsidRDefault="006B6584" w:rsidP="005272C8">
            <w:pPr>
              <w:jc w:val="both"/>
              <w:rPr>
                <w:sz w:val="16"/>
                <w:szCs w:val="16"/>
                <w:lang w:val="lv-LV"/>
              </w:rPr>
            </w:pPr>
            <w:r w:rsidRPr="007B1DFD">
              <w:rPr>
                <w:color w:val="000000"/>
                <w:sz w:val="16"/>
                <w:szCs w:val="16"/>
                <w:lang w:val="lv-LV"/>
              </w:rPr>
              <w:t>Projekta iesniedzējs ir tiešās vai pastarpinātās pārvaldes iestāde, Latvijas Republikas pilsētas vai novada pašvaldības dome, Latvijas Republikā reģistrēts sīkais (</w:t>
            </w:r>
            <w:proofErr w:type="spellStart"/>
            <w:r w:rsidRPr="007B1DFD">
              <w:rPr>
                <w:color w:val="000000"/>
                <w:sz w:val="16"/>
                <w:szCs w:val="16"/>
                <w:lang w:val="lv-LV"/>
              </w:rPr>
              <w:t>mikro</w:t>
            </w:r>
            <w:proofErr w:type="spellEnd"/>
            <w:r w:rsidRPr="007B1DFD">
              <w:rPr>
                <w:color w:val="000000"/>
                <w:sz w:val="16"/>
                <w:szCs w:val="16"/>
                <w:lang w:val="lv-LV"/>
              </w:rPr>
              <w:t xml:space="preserve">), mazais vai vidējais </w:t>
            </w:r>
            <w:r w:rsidRPr="007B1DFD">
              <w:rPr>
                <w:color w:val="000000"/>
                <w:sz w:val="16"/>
                <w:szCs w:val="16"/>
                <w:lang w:val="lv-LV"/>
              </w:rPr>
              <w:lastRenderedPageBreak/>
              <w:t>komersants vai fiziska persona</w:t>
            </w:r>
          </w:p>
        </w:tc>
        <w:tc>
          <w:tcPr>
            <w:tcW w:w="1131" w:type="dxa"/>
            <w:tcBorders>
              <w:top w:val="single" w:sz="4" w:space="0" w:color="auto"/>
              <w:left w:val="single" w:sz="4" w:space="0" w:color="auto"/>
              <w:bottom w:val="single" w:sz="4" w:space="0" w:color="auto"/>
              <w:right w:val="single" w:sz="4" w:space="0" w:color="auto"/>
            </w:tcBorders>
          </w:tcPr>
          <w:p w14:paraId="47FD3A32" w14:textId="77777777" w:rsidR="006B6584" w:rsidRPr="007B1DFD" w:rsidRDefault="006B6584" w:rsidP="005272C8">
            <w:pPr>
              <w:jc w:val="both"/>
              <w:rPr>
                <w:sz w:val="16"/>
                <w:szCs w:val="16"/>
                <w:lang w:val="lv-LV"/>
              </w:rPr>
            </w:pPr>
            <w:r w:rsidRPr="007B1DFD">
              <w:rPr>
                <w:sz w:val="16"/>
                <w:szCs w:val="16"/>
                <w:lang w:val="lv-LV"/>
              </w:rPr>
              <w:lastRenderedPageBreak/>
              <w:t>Esošs</w:t>
            </w:r>
          </w:p>
        </w:tc>
        <w:tc>
          <w:tcPr>
            <w:tcW w:w="1274" w:type="dxa"/>
            <w:tcBorders>
              <w:top w:val="single" w:sz="4" w:space="0" w:color="auto"/>
              <w:left w:val="single" w:sz="4" w:space="0" w:color="auto"/>
              <w:bottom w:val="single" w:sz="4" w:space="0" w:color="auto"/>
              <w:right w:val="single" w:sz="4" w:space="0" w:color="auto"/>
            </w:tcBorders>
          </w:tcPr>
          <w:p w14:paraId="58AE788A" w14:textId="77777777" w:rsidR="006B6584" w:rsidRPr="007B1DFD" w:rsidRDefault="006B6584" w:rsidP="005272C8">
            <w:pPr>
              <w:jc w:val="both"/>
              <w:rPr>
                <w:sz w:val="16"/>
                <w:szCs w:val="16"/>
                <w:lang w:val="lv-LV"/>
              </w:rPr>
            </w:pPr>
            <w:r w:rsidRPr="007B1DFD">
              <w:rPr>
                <w:sz w:val="16"/>
                <w:szCs w:val="16"/>
                <w:lang w:val="lv-LV"/>
              </w:rPr>
              <w:t>Projektu īstenošana līdz 2013. gada 1. novembrim</w:t>
            </w:r>
          </w:p>
        </w:tc>
      </w:tr>
      <w:tr w:rsidR="007172D5" w:rsidRPr="007B1DFD" w14:paraId="7E94A377"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45" w:type="dxa"/>
            <w:tcBorders>
              <w:top w:val="single" w:sz="4" w:space="0" w:color="auto"/>
              <w:left w:val="single" w:sz="4" w:space="0" w:color="auto"/>
              <w:bottom w:val="single" w:sz="4" w:space="0" w:color="auto"/>
              <w:right w:val="single" w:sz="4" w:space="0" w:color="auto"/>
            </w:tcBorders>
          </w:tcPr>
          <w:p w14:paraId="6823C372" w14:textId="77777777" w:rsidR="006B6584" w:rsidRPr="007B1DFD" w:rsidRDefault="00922D17" w:rsidP="005272C8">
            <w:pPr>
              <w:jc w:val="both"/>
              <w:rPr>
                <w:sz w:val="16"/>
                <w:szCs w:val="16"/>
                <w:lang w:val="lv-LV"/>
              </w:rPr>
            </w:pPr>
            <w:r>
              <w:rPr>
                <w:sz w:val="16"/>
                <w:szCs w:val="16"/>
                <w:lang w:val="lv-LV"/>
              </w:rPr>
              <w:lastRenderedPageBreak/>
              <w:t>1</w:t>
            </w:r>
            <w:r w:rsidR="00D86569">
              <w:rPr>
                <w:sz w:val="16"/>
                <w:szCs w:val="16"/>
                <w:lang w:val="lv-LV"/>
              </w:rPr>
              <w:t>6</w:t>
            </w:r>
            <w:r>
              <w:rPr>
                <w:sz w:val="16"/>
                <w:szCs w:val="16"/>
                <w:lang w:val="lv-LV"/>
              </w:rPr>
              <w:t xml:space="preserve">. </w:t>
            </w:r>
            <w:r w:rsidR="00646815">
              <w:rPr>
                <w:sz w:val="16"/>
                <w:szCs w:val="16"/>
                <w:lang w:val="lv-LV"/>
              </w:rPr>
              <w:t>AER</w:t>
            </w:r>
            <w:r w:rsidR="006B6584" w:rsidRPr="007B1DFD">
              <w:rPr>
                <w:sz w:val="16"/>
                <w:szCs w:val="16"/>
                <w:lang w:val="lv-LV"/>
              </w:rPr>
              <w:t xml:space="preserve"> izmantošana siltumnīcefekta gāzu emisiju samazināšanai.</w:t>
            </w:r>
          </w:p>
          <w:p w14:paraId="3F0DDCF5" w14:textId="77777777" w:rsidR="006B6584" w:rsidRPr="007B1DFD" w:rsidRDefault="006B6584" w:rsidP="005272C8">
            <w:pPr>
              <w:jc w:val="both"/>
              <w:rPr>
                <w:b/>
                <w:sz w:val="16"/>
                <w:szCs w:val="16"/>
                <w:lang w:val="lv-LV"/>
              </w:rPr>
            </w:pPr>
            <w:r w:rsidRPr="007B1DFD">
              <w:rPr>
                <w:sz w:val="16"/>
                <w:szCs w:val="16"/>
                <w:lang w:val="lv-LV"/>
              </w:rPr>
              <w:t>(MK 2011.gada 4.janvāra noteikumi Nr.12</w:t>
            </w:r>
            <w:r w:rsidRPr="007B1DFD">
              <w:rPr>
                <w:b/>
                <w:sz w:val="16"/>
                <w:szCs w:val="16"/>
                <w:lang w:val="lv-LV"/>
              </w:rPr>
              <w:t xml:space="preserve"> </w:t>
            </w:r>
            <w:r w:rsidRPr="007B1DFD">
              <w:rPr>
                <w:rStyle w:val="Strong"/>
                <w:sz w:val="16"/>
                <w:szCs w:val="16"/>
                <w:lang w:val="lv-LV"/>
              </w:rPr>
              <w:t xml:space="preserve">„Klimata pārmaiņu finanšu instrumenta finansēto projektu atklāta konkursa „Atjaunojamo energoresursu izmantošana siltumnīcefekta gāzu emisiju samazināšanai" nolikums” </w:t>
            </w:r>
            <w:r w:rsidRPr="007B1DFD">
              <w:rPr>
                <w:sz w:val="16"/>
                <w:szCs w:val="16"/>
                <w:lang w:val="lv-LV"/>
              </w:rPr>
              <w:t>ar grozījumiem kas izdarīti līdz 25.09.2012.</w:t>
            </w:r>
            <w:r w:rsidRPr="007B1DFD">
              <w:rPr>
                <w:rStyle w:val="Strong"/>
                <w:sz w:val="16"/>
                <w:szCs w:val="16"/>
                <w:lang w:val="lv-LV"/>
              </w:rPr>
              <w:t>)</w:t>
            </w:r>
          </w:p>
        </w:tc>
        <w:tc>
          <w:tcPr>
            <w:tcW w:w="1412" w:type="dxa"/>
            <w:tcBorders>
              <w:top w:val="single" w:sz="4" w:space="0" w:color="auto"/>
              <w:left w:val="single" w:sz="4" w:space="0" w:color="auto"/>
              <w:bottom w:val="single" w:sz="4" w:space="0" w:color="auto"/>
              <w:right w:val="single" w:sz="4" w:space="0" w:color="auto"/>
            </w:tcBorders>
          </w:tcPr>
          <w:p w14:paraId="11E2761A" w14:textId="77777777" w:rsidR="006B6584" w:rsidRPr="007B1DFD" w:rsidRDefault="006B6584" w:rsidP="005272C8">
            <w:pPr>
              <w:jc w:val="both"/>
              <w:rPr>
                <w:sz w:val="16"/>
                <w:szCs w:val="16"/>
                <w:lang w:val="lv-LV"/>
              </w:rPr>
            </w:pPr>
            <w:r w:rsidRPr="007B1DFD">
              <w:rPr>
                <w:sz w:val="16"/>
                <w:szCs w:val="16"/>
                <w:lang w:val="lv-LV"/>
              </w:rPr>
              <w:t>Finansiāls (Klimata pārmaiņu finanšu instruments)</w:t>
            </w:r>
          </w:p>
        </w:tc>
        <w:tc>
          <w:tcPr>
            <w:tcW w:w="1694" w:type="dxa"/>
            <w:tcBorders>
              <w:top w:val="single" w:sz="4" w:space="0" w:color="auto"/>
              <w:left w:val="single" w:sz="4" w:space="0" w:color="auto"/>
              <w:bottom w:val="single" w:sz="4" w:space="0" w:color="auto"/>
              <w:right w:val="single" w:sz="4" w:space="0" w:color="auto"/>
            </w:tcBorders>
          </w:tcPr>
          <w:p w14:paraId="37D987C8" w14:textId="77777777" w:rsidR="006B6584" w:rsidRPr="007B1DFD" w:rsidRDefault="006B6584" w:rsidP="005272C8">
            <w:pPr>
              <w:jc w:val="both"/>
              <w:rPr>
                <w:sz w:val="16"/>
                <w:szCs w:val="16"/>
                <w:lang w:val="lv-LV"/>
              </w:rPr>
            </w:pPr>
            <w:r w:rsidRPr="007B1DFD">
              <w:rPr>
                <w:sz w:val="16"/>
                <w:szCs w:val="16"/>
                <w:lang w:val="lv-LV"/>
              </w:rPr>
              <w:t>CO</w:t>
            </w:r>
            <w:r w:rsidRPr="007B1DFD">
              <w:rPr>
                <w:sz w:val="16"/>
                <w:szCs w:val="16"/>
                <w:vertAlign w:val="subscript"/>
                <w:lang w:val="lv-LV"/>
              </w:rPr>
              <w:t>2</w:t>
            </w:r>
            <w:r w:rsidRPr="007B1DFD">
              <w:rPr>
                <w:sz w:val="16"/>
                <w:szCs w:val="16"/>
                <w:lang w:val="lv-LV"/>
              </w:rPr>
              <w:t xml:space="preserve"> emisiju samazinājums, palielinot AER izmantošanu siltumenerģijas un elektroenerģijas ražošanā</w:t>
            </w:r>
          </w:p>
        </w:tc>
        <w:tc>
          <w:tcPr>
            <w:tcW w:w="1835" w:type="dxa"/>
            <w:tcBorders>
              <w:top w:val="single" w:sz="4" w:space="0" w:color="auto"/>
              <w:left w:val="single" w:sz="4" w:space="0" w:color="auto"/>
              <w:bottom w:val="single" w:sz="4" w:space="0" w:color="auto"/>
              <w:right w:val="single" w:sz="4" w:space="0" w:color="auto"/>
            </w:tcBorders>
          </w:tcPr>
          <w:p w14:paraId="2F3AD04F" w14:textId="77777777" w:rsidR="006B6584" w:rsidRPr="007B1DFD" w:rsidRDefault="006B6584" w:rsidP="005272C8">
            <w:pPr>
              <w:jc w:val="both"/>
              <w:rPr>
                <w:sz w:val="16"/>
                <w:szCs w:val="16"/>
                <w:lang w:val="lv-LV"/>
              </w:rPr>
            </w:pPr>
            <w:r w:rsidRPr="007B1DFD">
              <w:rPr>
                <w:sz w:val="16"/>
                <w:szCs w:val="16"/>
                <w:lang w:val="lv-LV"/>
              </w:rPr>
              <w:t>Latvijas Republikas pilsētu vai novadu pašvaldības domes, tiešās vai pastarpinātās pārvaldes iestādes un Latvijas Republikā reģistrēti komersanti</w:t>
            </w:r>
          </w:p>
        </w:tc>
        <w:tc>
          <w:tcPr>
            <w:tcW w:w="1131" w:type="dxa"/>
            <w:tcBorders>
              <w:top w:val="single" w:sz="4" w:space="0" w:color="auto"/>
              <w:left w:val="single" w:sz="4" w:space="0" w:color="auto"/>
              <w:bottom w:val="single" w:sz="4" w:space="0" w:color="auto"/>
              <w:right w:val="single" w:sz="4" w:space="0" w:color="auto"/>
            </w:tcBorders>
          </w:tcPr>
          <w:p w14:paraId="7E563991" w14:textId="77777777" w:rsidR="006B6584" w:rsidRPr="007B1DFD" w:rsidRDefault="006B6584" w:rsidP="005272C8">
            <w:pPr>
              <w:jc w:val="both"/>
              <w:rPr>
                <w:sz w:val="16"/>
                <w:szCs w:val="16"/>
                <w:lang w:val="lv-LV"/>
              </w:rPr>
            </w:pPr>
            <w:r w:rsidRPr="007B1DFD">
              <w:rPr>
                <w:sz w:val="16"/>
                <w:szCs w:val="16"/>
                <w:lang w:val="lv-LV"/>
              </w:rPr>
              <w:t>Esošs</w:t>
            </w:r>
          </w:p>
        </w:tc>
        <w:tc>
          <w:tcPr>
            <w:tcW w:w="1274" w:type="dxa"/>
            <w:tcBorders>
              <w:top w:val="single" w:sz="4" w:space="0" w:color="auto"/>
              <w:left w:val="single" w:sz="4" w:space="0" w:color="auto"/>
              <w:bottom w:val="single" w:sz="4" w:space="0" w:color="auto"/>
              <w:right w:val="single" w:sz="4" w:space="0" w:color="auto"/>
            </w:tcBorders>
          </w:tcPr>
          <w:p w14:paraId="4CEB6BD5" w14:textId="77777777" w:rsidR="006B6584" w:rsidRPr="007B1DFD" w:rsidRDefault="006B6584" w:rsidP="005272C8">
            <w:pPr>
              <w:jc w:val="both"/>
              <w:rPr>
                <w:sz w:val="16"/>
                <w:szCs w:val="16"/>
                <w:lang w:val="lv-LV"/>
              </w:rPr>
            </w:pPr>
            <w:r w:rsidRPr="007B1DFD">
              <w:rPr>
                <w:sz w:val="16"/>
                <w:szCs w:val="16"/>
                <w:lang w:val="lv-LV"/>
              </w:rPr>
              <w:t>Projektu īstenošana līdz 2012.gada 1. novembrim</w:t>
            </w:r>
          </w:p>
        </w:tc>
      </w:tr>
      <w:tr w:rsidR="007172D5" w:rsidRPr="007B1DFD" w14:paraId="3D472787"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45" w:type="dxa"/>
            <w:tcBorders>
              <w:top w:val="single" w:sz="4" w:space="0" w:color="auto"/>
              <w:left w:val="single" w:sz="4" w:space="0" w:color="auto"/>
              <w:bottom w:val="single" w:sz="4" w:space="0" w:color="auto"/>
              <w:right w:val="single" w:sz="4" w:space="0" w:color="auto"/>
            </w:tcBorders>
          </w:tcPr>
          <w:p w14:paraId="27500B50" w14:textId="77777777" w:rsidR="006B6584" w:rsidRPr="007B1DFD" w:rsidRDefault="00922D17" w:rsidP="005272C8">
            <w:pPr>
              <w:jc w:val="both"/>
              <w:rPr>
                <w:sz w:val="16"/>
                <w:szCs w:val="16"/>
                <w:lang w:val="lv-LV"/>
              </w:rPr>
            </w:pPr>
            <w:r>
              <w:rPr>
                <w:sz w:val="16"/>
                <w:szCs w:val="16"/>
                <w:lang w:val="lv-LV"/>
              </w:rPr>
              <w:t>1</w:t>
            </w:r>
            <w:r w:rsidR="00D86569">
              <w:rPr>
                <w:sz w:val="16"/>
                <w:szCs w:val="16"/>
                <w:lang w:val="lv-LV"/>
              </w:rPr>
              <w:t>7</w:t>
            </w:r>
            <w:r>
              <w:rPr>
                <w:sz w:val="16"/>
                <w:szCs w:val="16"/>
                <w:lang w:val="lv-LV"/>
              </w:rPr>
              <w:t xml:space="preserve">. </w:t>
            </w:r>
            <w:r w:rsidR="00646815">
              <w:rPr>
                <w:sz w:val="16"/>
                <w:szCs w:val="16"/>
                <w:lang w:val="lv-LV"/>
              </w:rPr>
              <w:t>AER</w:t>
            </w:r>
            <w:r w:rsidR="006B6584" w:rsidRPr="007B1DFD">
              <w:rPr>
                <w:sz w:val="16"/>
                <w:szCs w:val="16"/>
                <w:lang w:val="lv-LV"/>
              </w:rPr>
              <w:t xml:space="preserve"> izmantošana mājsaimniecību sektorā. (I un II kārta)</w:t>
            </w:r>
          </w:p>
          <w:p w14:paraId="44CEB1F0" w14:textId="77777777" w:rsidR="006B6584" w:rsidRPr="007B1DFD" w:rsidRDefault="006B6584" w:rsidP="005272C8">
            <w:pPr>
              <w:jc w:val="both"/>
              <w:rPr>
                <w:b/>
                <w:sz w:val="16"/>
                <w:szCs w:val="16"/>
                <w:lang w:val="lv-LV"/>
              </w:rPr>
            </w:pPr>
            <w:r w:rsidRPr="007B1DFD">
              <w:rPr>
                <w:sz w:val="16"/>
                <w:szCs w:val="16"/>
                <w:lang w:val="lv-LV"/>
              </w:rPr>
              <w:t xml:space="preserve">(MK 2011.gada 4.janvāra noteikumi Nr.11 </w:t>
            </w:r>
            <w:r w:rsidRPr="00FB49F9">
              <w:rPr>
                <w:sz w:val="16"/>
                <w:szCs w:val="16"/>
                <w:lang w:val="lv-LV"/>
              </w:rPr>
              <w:t>„</w:t>
            </w:r>
            <w:r w:rsidRPr="00FB49F9">
              <w:rPr>
                <w:b/>
                <w:bCs/>
                <w:sz w:val="16"/>
                <w:szCs w:val="16"/>
                <w:lang w:val="lv-LV"/>
              </w:rPr>
              <w:t>Klimata pārmaiņu finanšu instrumenta finansēto projektu atklāta konkursa „Atjaunojamo energoresursu izmantošana mājsaimniecību sektorā” nolikums”</w:t>
            </w:r>
            <w:r w:rsidRPr="00FB49F9">
              <w:rPr>
                <w:bCs/>
                <w:sz w:val="16"/>
                <w:szCs w:val="16"/>
                <w:lang w:val="lv-LV"/>
              </w:rPr>
              <w:t xml:space="preserve"> </w:t>
            </w:r>
            <w:r w:rsidRPr="00FB49F9">
              <w:rPr>
                <w:sz w:val="16"/>
                <w:szCs w:val="16"/>
                <w:lang w:val="lv-LV"/>
              </w:rPr>
              <w:t>ar grozījumiem kas</w:t>
            </w:r>
            <w:r w:rsidRPr="007B1DFD">
              <w:rPr>
                <w:sz w:val="16"/>
                <w:szCs w:val="16"/>
                <w:lang w:val="lv-LV"/>
              </w:rPr>
              <w:t xml:space="preserve"> izdarīti līdz 30.10.2012.</w:t>
            </w:r>
            <w:r w:rsidRPr="007B1DFD">
              <w:rPr>
                <w:bCs/>
                <w:sz w:val="16"/>
                <w:szCs w:val="16"/>
                <w:lang w:val="lv-LV"/>
              </w:rPr>
              <w:t>)</w:t>
            </w:r>
          </w:p>
        </w:tc>
        <w:tc>
          <w:tcPr>
            <w:tcW w:w="1412" w:type="dxa"/>
            <w:tcBorders>
              <w:top w:val="single" w:sz="4" w:space="0" w:color="auto"/>
              <w:left w:val="single" w:sz="4" w:space="0" w:color="auto"/>
              <w:bottom w:val="single" w:sz="4" w:space="0" w:color="auto"/>
              <w:right w:val="single" w:sz="4" w:space="0" w:color="auto"/>
            </w:tcBorders>
          </w:tcPr>
          <w:p w14:paraId="488D0EAB" w14:textId="77777777" w:rsidR="006B6584" w:rsidRPr="007B1DFD" w:rsidRDefault="006B6584" w:rsidP="005272C8">
            <w:pPr>
              <w:jc w:val="both"/>
              <w:rPr>
                <w:sz w:val="16"/>
                <w:szCs w:val="16"/>
                <w:lang w:val="lv-LV"/>
              </w:rPr>
            </w:pPr>
            <w:r w:rsidRPr="007B1DFD">
              <w:rPr>
                <w:sz w:val="16"/>
                <w:szCs w:val="16"/>
                <w:lang w:val="lv-LV"/>
              </w:rPr>
              <w:t>Finansiāls (Klimata pārmaiņu finanšu instruments)</w:t>
            </w:r>
          </w:p>
        </w:tc>
        <w:tc>
          <w:tcPr>
            <w:tcW w:w="1694" w:type="dxa"/>
            <w:tcBorders>
              <w:top w:val="single" w:sz="4" w:space="0" w:color="auto"/>
              <w:left w:val="single" w:sz="4" w:space="0" w:color="auto"/>
              <w:bottom w:val="single" w:sz="4" w:space="0" w:color="auto"/>
              <w:right w:val="single" w:sz="4" w:space="0" w:color="auto"/>
            </w:tcBorders>
          </w:tcPr>
          <w:p w14:paraId="66787EB9" w14:textId="77777777" w:rsidR="006B6584" w:rsidRPr="007B1DFD" w:rsidRDefault="006B6584" w:rsidP="005272C8">
            <w:pPr>
              <w:jc w:val="both"/>
              <w:rPr>
                <w:sz w:val="16"/>
                <w:szCs w:val="16"/>
                <w:lang w:val="lv-LV"/>
              </w:rPr>
            </w:pPr>
            <w:r w:rsidRPr="007B1DFD">
              <w:rPr>
                <w:sz w:val="16"/>
                <w:szCs w:val="16"/>
                <w:lang w:val="lv-LV"/>
              </w:rPr>
              <w:t>CO</w:t>
            </w:r>
            <w:r w:rsidRPr="007B1DFD">
              <w:rPr>
                <w:sz w:val="16"/>
                <w:szCs w:val="16"/>
                <w:vertAlign w:val="subscript"/>
                <w:lang w:val="lv-LV"/>
              </w:rPr>
              <w:t>2</w:t>
            </w:r>
            <w:r w:rsidRPr="007B1DFD">
              <w:rPr>
                <w:sz w:val="16"/>
                <w:szCs w:val="16"/>
                <w:lang w:val="lv-LV"/>
              </w:rPr>
              <w:t xml:space="preserve"> emisiju samazinājums, palielinot AER izmantošanu siltumenerģijas un elektroenerģijas ražošanā mājsaimniecībās pašpatēriņa nodrošināšanai</w:t>
            </w:r>
          </w:p>
        </w:tc>
        <w:tc>
          <w:tcPr>
            <w:tcW w:w="1835" w:type="dxa"/>
            <w:tcBorders>
              <w:top w:val="single" w:sz="4" w:space="0" w:color="auto"/>
              <w:left w:val="single" w:sz="4" w:space="0" w:color="auto"/>
              <w:bottom w:val="single" w:sz="4" w:space="0" w:color="auto"/>
              <w:right w:val="single" w:sz="4" w:space="0" w:color="auto"/>
            </w:tcBorders>
          </w:tcPr>
          <w:p w14:paraId="37A27FC9" w14:textId="77777777" w:rsidR="006B6584" w:rsidRPr="007B1DFD" w:rsidRDefault="006B6584" w:rsidP="005272C8">
            <w:pPr>
              <w:autoSpaceDE w:val="0"/>
              <w:autoSpaceDN w:val="0"/>
              <w:adjustRightInd w:val="0"/>
              <w:rPr>
                <w:sz w:val="16"/>
                <w:szCs w:val="16"/>
                <w:lang w:val="lv-LV"/>
              </w:rPr>
            </w:pPr>
            <w:r w:rsidRPr="007B1DFD">
              <w:rPr>
                <w:sz w:val="16"/>
                <w:szCs w:val="16"/>
                <w:lang w:val="lv-LV"/>
              </w:rPr>
              <w:t>Projekta iesniedzējs ir:</w:t>
            </w:r>
          </w:p>
          <w:p w14:paraId="700D102B" w14:textId="77777777" w:rsidR="006B6584" w:rsidRPr="007B1DFD" w:rsidRDefault="006B6584" w:rsidP="005272C8">
            <w:pPr>
              <w:autoSpaceDE w:val="0"/>
              <w:autoSpaceDN w:val="0"/>
              <w:adjustRightInd w:val="0"/>
              <w:jc w:val="both"/>
              <w:rPr>
                <w:sz w:val="16"/>
                <w:szCs w:val="16"/>
                <w:lang w:val="lv-LV"/>
              </w:rPr>
            </w:pPr>
            <w:r w:rsidRPr="007B1DFD">
              <w:rPr>
                <w:sz w:val="16"/>
                <w:szCs w:val="16"/>
                <w:lang w:val="lv-LV"/>
              </w:rPr>
              <w:t>1. dzīvojamās mājas īpašnieks – fiziska persona;</w:t>
            </w:r>
          </w:p>
          <w:p w14:paraId="40322CC5" w14:textId="77777777" w:rsidR="006B6584" w:rsidRPr="007B1DFD" w:rsidRDefault="006B6584" w:rsidP="005272C8">
            <w:pPr>
              <w:autoSpaceDE w:val="0"/>
              <w:autoSpaceDN w:val="0"/>
              <w:adjustRightInd w:val="0"/>
              <w:jc w:val="both"/>
              <w:rPr>
                <w:sz w:val="16"/>
                <w:szCs w:val="16"/>
                <w:lang w:val="lv-LV"/>
              </w:rPr>
            </w:pPr>
            <w:r w:rsidRPr="007B1DFD">
              <w:rPr>
                <w:sz w:val="16"/>
                <w:szCs w:val="16"/>
                <w:lang w:val="lv-LV"/>
              </w:rPr>
              <w:t>2. vairāku dzīvokļu dzīvojamās mājas dzīvokļu īpašnieku izveidota biedrība, kas neveic saimniecisko darbību un rīkojas vairāku dzīvokļu dzīvojamās mājas dzīvokļu īpašnieku – fizisku personu – vārdā.</w:t>
            </w:r>
          </w:p>
        </w:tc>
        <w:tc>
          <w:tcPr>
            <w:tcW w:w="1131" w:type="dxa"/>
            <w:tcBorders>
              <w:top w:val="single" w:sz="4" w:space="0" w:color="auto"/>
              <w:left w:val="single" w:sz="4" w:space="0" w:color="auto"/>
              <w:bottom w:val="single" w:sz="4" w:space="0" w:color="auto"/>
              <w:right w:val="single" w:sz="4" w:space="0" w:color="auto"/>
            </w:tcBorders>
          </w:tcPr>
          <w:p w14:paraId="5FEC51D0" w14:textId="77777777" w:rsidR="006B6584" w:rsidRPr="007B1DFD" w:rsidRDefault="006B6584" w:rsidP="005272C8">
            <w:pPr>
              <w:jc w:val="both"/>
              <w:rPr>
                <w:sz w:val="16"/>
                <w:szCs w:val="16"/>
                <w:lang w:val="lv-LV"/>
              </w:rPr>
            </w:pPr>
            <w:r w:rsidRPr="007B1DFD">
              <w:rPr>
                <w:sz w:val="16"/>
                <w:szCs w:val="16"/>
                <w:lang w:val="lv-LV"/>
              </w:rPr>
              <w:t>Esošs</w:t>
            </w:r>
          </w:p>
        </w:tc>
        <w:tc>
          <w:tcPr>
            <w:tcW w:w="1274" w:type="dxa"/>
            <w:tcBorders>
              <w:top w:val="single" w:sz="4" w:space="0" w:color="auto"/>
              <w:left w:val="single" w:sz="4" w:space="0" w:color="auto"/>
              <w:bottom w:val="single" w:sz="4" w:space="0" w:color="auto"/>
              <w:right w:val="single" w:sz="4" w:space="0" w:color="auto"/>
            </w:tcBorders>
          </w:tcPr>
          <w:p w14:paraId="080B8703" w14:textId="464738BA" w:rsidR="006B6584" w:rsidRPr="007B1DFD" w:rsidRDefault="006B6584" w:rsidP="00FB49F9">
            <w:pPr>
              <w:jc w:val="both"/>
              <w:rPr>
                <w:sz w:val="16"/>
                <w:szCs w:val="16"/>
                <w:lang w:val="lv-LV"/>
              </w:rPr>
            </w:pPr>
            <w:r w:rsidRPr="007B1DFD">
              <w:rPr>
                <w:sz w:val="16"/>
                <w:szCs w:val="16"/>
                <w:lang w:val="lv-LV"/>
              </w:rPr>
              <w:t>Projektu īstenošana</w:t>
            </w:r>
            <w:r w:rsidR="00FB49F9">
              <w:rPr>
                <w:sz w:val="16"/>
                <w:szCs w:val="16"/>
                <w:lang w:val="lv-LV"/>
              </w:rPr>
              <w:t>: I kārta –</w:t>
            </w:r>
            <w:r w:rsidRPr="007B1DFD">
              <w:rPr>
                <w:sz w:val="16"/>
                <w:szCs w:val="16"/>
                <w:lang w:val="lv-LV"/>
              </w:rPr>
              <w:t xml:space="preserve"> līdz 2012.gada 1. </w:t>
            </w:r>
            <w:r w:rsidR="00FB49F9">
              <w:rPr>
                <w:sz w:val="16"/>
                <w:szCs w:val="16"/>
                <w:lang w:val="lv-LV"/>
              </w:rPr>
              <w:t>jūlijam; II kārta</w:t>
            </w:r>
            <w:r w:rsidR="00FB49F9" w:rsidRPr="007B1DFD">
              <w:rPr>
                <w:sz w:val="16"/>
                <w:szCs w:val="16"/>
                <w:lang w:val="lv-LV"/>
              </w:rPr>
              <w:t xml:space="preserve"> </w:t>
            </w:r>
            <w:r w:rsidR="00FB49F9">
              <w:rPr>
                <w:sz w:val="16"/>
                <w:szCs w:val="16"/>
                <w:lang w:val="lv-LV"/>
              </w:rPr>
              <w:t xml:space="preserve">– </w:t>
            </w:r>
            <w:r w:rsidR="00FB49F9" w:rsidRPr="007B1DFD">
              <w:rPr>
                <w:sz w:val="16"/>
                <w:szCs w:val="16"/>
                <w:lang w:val="lv-LV"/>
              </w:rPr>
              <w:t>līdz 2012.gada 1. novembrim</w:t>
            </w:r>
          </w:p>
        </w:tc>
      </w:tr>
      <w:tr w:rsidR="007172D5" w:rsidRPr="007B1DFD" w14:paraId="5BD2429D"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45" w:type="dxa"/>
            <w:tcBorders>
              <w:top w:val="single" w:sz="4" w:space="0" w:color="auto"/>
              <w:left w:val="single" w:sz="4" w:space="0" w:color="auto"/>
              <w:bottom w:val="single" w:sz="4" w:space="0" w:color="auto"/>
              <w:right w:val="single" w:sz="4" w:space="0" w:color="auto"/>
            </w:tcBorders>
          </w:tcPr>
          <w:p w14:paraId="6DC42AAD" w14:textId="1295EBFE" w:rsidR="006B6584" w:rsidRPr="007B1DFD" w:rsidRDefault="00861D79" w:rsidP="005272C8">
            <w:pPr>
              <w:jc w:val="both"/>
              <w:rPr>
                <w:sz w:val="16"/>
                <w:szCs w:val="16"/>
                <w:lang w:val="lv-LV"/>
              </w:rPr>
            </w:pPr>
            <w:r>
              <w:rPr>
                <w:sz w:val="16"/>
                <w:szCs w:val="16"/>
                <w:lang w:val="lv-LV"/>
              </w:rPr>
              <w:t>1</w:t>
            </w:r>
            <w:r w:rsidR="00D86569">
              <w:rPr>
                <w:sz w:val="16"/>
                <w:szCs w:val="16"/>
                <w:lang w:val="lv-LV"/>
              </w:rPr>
              <w:t>8</w:t>
            </w:r>
            <w:r w:rsidR="00922D17">
              <w:rPr>
                <w:sz w:val="16"/>
                <w:szCs w:val="16"/>
                <w:lang w:val="lv-LV"/>
              </w:rPr>
              <w:t xml:space="preserve">. </w:t>
            </w:r>
            <w:r w:rsidR="00646815">
              <w:rPr>
                <w:sz w:val="16"/>
                <w:szCs w:val="16"/>
                <w:lang w:val="lv-LV"/>
              </w:rPr>
              <w:t>SEG</w:t>
            </w:r>
            <w:r w:rsidR="006B6584" w:rsidRPr="007B1DFD">
              <w:rPr>
                <w:sz w:val="16"/>
                <w:szCs w:val="16"/>
                <w:lang w:val="lv-LV"/>
              </w:rPr>
              <w:t xml:space="preserve"> emisiju samazināšana pašvaldību publisko teritoriju apgaismojuma infrastruktūrā</w:t>
            </w:r>
            <w:r w:rsidR="00FB49F9">
              <w:rPr>
                <w:sz w:val="16"/>
                <w:szCs w:val="16"/>
                <w:lang w:val="lv-LV"/>
              </w:rPr>
              <w:t xml:space="preserve"> </w:t>
            </w:r>
            <w:r w:rsidR="00FB49F9" w:rsidRPr="007B1DFD">
              <w:rPr>
                <w:sz w:val="16"/>
                <w:szCs w:val="16"/>
                <w:lang w:val="lv-LV"/>
              </w:rPr>
              <w:t>(I</w:t>
            </w:r>
            <w:r w:rsidR="00FB49F9">
              <w:rPr>
                <w:sz w:val="16"/>
                <w:szCs w:val="16"/>
                <w:lang w:val="lv-LV"/>
              </w:rPr>
              <w:t>, II</w:t>
            </w:r>
            <w:r w:rsidR="00FB49F9" w:rsidRPr="007B1DFD">
              <w:rPr>
                <w:sz w:val="16"/>
                <w:szCs w:val="16"/>
                <w:lang w:val="lv-LV"/>
              </w:rPr>
              <w:t xml:space="preserve"> un I</w:t>
            </w:r>
            <w:r w:rsidR="00FB49F9">
              <w:rPr>
                <w:sz w:val="16"/>
                <w:szCs w:val="16"/>
                <w:lang w:val="lv-LV"/>
              </w:rPr>
              <w:t>I</w:t>
            </w:r>
            <w:r w:rsidR="00FB49F9" w:rsidRPr="007B1DFD">
              <w:rPr>
                <w:sz w:val="16"/>
                <w:szCs w:val="16"/>
                <w:lang w:val="lv-LV"/>
              </w:rPr>
              <w:t>I kārta)</w:t>
            </w:r>
          </w:p>
          <w:p w14:paraId="19A61760" w14:textId="77777777" w:rsidR="006B6584" w:rsidRPr="007B1DFD" w:rsidRDefault="006B6584" w:rsidP="005272C8">
            <w:pPr>
              <w:jc w:val="both"/>
              <w:rPr>
                <w:b/>
                <w:sz w:val="16"/>
                <w:szCs w:val="16"/>
                <w:lang w:val="lv-LV"/>
              </w:rPr>
            </w:pPr>
            <w:r w:rsidRPr="007B1DFD">
              <w:rPr>
                <w:sz w:val="16"/>
                <w:szCs w:val="16"/>
                <w:lang w:val="lv-LV"/>
              </w:rPr>
              <w:t>(MK 2011.gada 24.maija noteikumi Nr.408</w:t>
            </w:r>
            <w:r w:rsidRPr="007B1DFD">
              <w:rPr>
                <w:b/>
                <w:sz w:val="16"/>
                <w:szCs w:val="16"/>
                <w:lang w:val="lv-LV"/>
              </w:rPr>
              <w:t xml:space="preserve"> </w:t>
            </w:r>
            <w:r w:rsidRPr="007B1DFD">
              <w:rPr>
                <w:rStyle w:val="Strong"/>
                <w:sz w:val="16"/>
                <w:szCs w:val="16"/>
                <w:lang w:val="lv-LV"/>
              </w:rPr>
              <w:t>„Klimata pārmaiņu finanšu instrumenta finansēto projektu atklāta konkursa „Siltumnīcefekta gāzu emisiju samazināšana pašvaldību publisko teritoriju apgaismojuma infrastruktūrā” nolikums</w:t>
            </w:r>
            <w:r w:rsidRPr="007B1DFD">
              <w:rPr>
                <w:sz w:val="16"/>
                <w:szCs w:val="16"/>
                <w:lang w:val="lv-LV"/>
              </w:rPr>
              <w:t>” ar grozījumiem kas izdarīti līdz 30.10.2012.</w:t>
            </w:r>
            <w:r w:rsidRPr="007B1DFD">
              <w:rPr>
                <w:b/>
                <w:sz w:val="16"/>
                <w:szCs w:val="16"/>
                <w:lang w:val="lv-LV"/>
              </w:rPr>
              <w:t>)</w:t>
            </w:r>
          </w:p>
        </w:tc>
        <w:tc>
          <w:tcPr>
            <w:tcW w:w="1412" w:type="dxa"/>
            <w:tcBorders>
              <w:top w:val="single" w:sz="4" w:space="0" w:color="auto"/>
              <w:left w:val="single" w:sz="4" w:space="0" w:color="auto"/>
              <w:bottom w:val="single" w:sz="4" w:space="0" w:color="auto"/>
              <w:right w:val="single" w:sz="4" w:space="0" w:color="auto"/>
            </w:tcBorders>
          </w:tcPr>
          <w:p w14:paraId="13DB8057" w14:textId="77777777" w:rsidR="006B6584" w:rsidRPr="007B1DFD" w:rsidRDefault="006B6584" w:rsidP="005272C8">
            <w:pPr>
              <w:jc w:val="both"/>
              <w:rPr>
                <w:sz w:val="16"/>
                <w:szCs w:val="16"/>
                <w:lang w:val="lv-LV"/>
              </w:rPr>
            </w:pPr>
            <w:r w:rsidRPr="007B1DFD">
              <w:rPr>
                <w:sz w:val="16"/>
                <w:szCs w:val="16"/>
                <w:lang w:val="lv-LV"/>
              </w:rPr>
              <w:t>Finansiāls (Klimata pārmaiņu finanšu instruments)</w:t>
            </w:r>
          </w:p>
        </w:tc>
        <w:tc>
          <w:tcPr>
            <w:tcW w:w="1694" w:type="dxa"/>
            <w:tcBorders>
              <w:top w:val="single" w:sz="4" w:space="0" w:color="auto"/>
              <w:left w:val="single" w:sz="4" w:space="0" w:color="auto"/>
              <w:bottom w:val="single" w:sz="4" w:space="0" w:color="auto"/>
              <w:right w:val="single" w:sz="4" w:space="0" w:color="auto"/>
            </w:tcBorders>
          </w:tcPr>
          <w:p w14:paraId="66D74180" w14:textId="77777777" w:rsidR="006B6584" w:rsidRPr="007B1DFD" w:rsidRDefault="006B6584" w:rsidP="005272C8">
            <w:pPr>
              <w:jc w:val="both"/>
              <w:rPr>
                <w:sz w:val="16"/>
                <w:szCs w:val="16"/>
                <w:lang w:val="lv-LV"/>
              </w:rPr>
            </w:pPr>
            <w:r w:rsidRPr="007B1DFD">
              <w:rPr>
                <w:sz w:val="16"/>
                <w:szCs w:val="16"/>
                <w:lang w:val="lv-LV"/>
              </w:rPr>
              <w:t>CO</w:t>
            </w:r>
            <w:r w:rsidRPr="007B1DFD">
              <w:rPr>
                <w:sz w:val="16"/>
                <w:szCs w:val="16"/>
                <w:vertAlign w:val="subscript"/>
                <w:lang w:val="lv-LV"/>
              </w:rPr>
              <w:t>2</w:t>
            </w:r>
            <w:r w:rsidRPr="007B1DFD">
              <w:rPr>
                <w:sz w:val="16"/>
                <w:szCs w:val="16"/>
                <w:lang w:val="lv-LV"/>
              </w:rPr>
              <w:t xml:space="preserve"> emisijas samazinājums pašvaldību publisko teritoriju apgaismojuma infrastruktūrā, izmantojot tādas tehnoloģijas un videi draudzīgus paņēmienus, kas ļauj samazināt esošo elektroenerģijas patēriņu</w:t>
            </w:r>
          </w:p>
        </w:tc>
        <w:tc>
          <w:tcPr>
            <w:tcW w:w="1835" w:type="dxa"/>
            <w:tcBorders>
              <w:top w:val="single" w:sz="4" w:space="0" w:color="auto"/>
              <w:left w:val="single" w:sz="4" w:space="0" w:color="auto"/>
              <w:bottom w:val="single" w:sz="4" w:space="0" w:color="auto"/>
              <w:right w:val="single" w:sz="4" w:space="0" w:color="auto"/>
            </w:tcBorders>
          </w:tcPr>
          <w:p w14:paraId="6AF8B8AB" w14:textId="77777777" w:rsidR="006B6584" w:rsidRPr="007B1DFD" w:rsidRDefault="006B6584" w:rsidP="005272C8">
            <w:pPr>
              <w:jc w:val="both"/>
              <w:rPr>
                <w:sz w:val="16"/>
                <w:szCs w:val="16"/>
                <w:lang w:val="lv-LV"/>
              </w:rPr>
            </w:pPr>
            <w:r w:rsidRPr="007B1DFD">
              <w:rPr>
                <w:sz w:val="16"/>
                <w:szCs w:val="16"/>
                <w:lang w:val="lv-LV"/>
              </w:rPr>
              <w:t>Latvijas Republikas pašvaldība, tās iestāde vai aģentūra, vai komersants</w:t>
            </w:r>
          </w:p>
        </w:tc>
        <w:tc>
          <w:tcPr>
            <w:tcW w:w="1131" w:type="dxa"/>
            <w:tcBorders>
              <w:top w:val="single" w:sz="4" w:space="0" w:color="auto"/>
              <w:left w:val="single" w:sz="4" w:space="0" w:color="auto"/>
              <w:bottom w:val="single" w:sz="4" w:space="0" w:color="auto"/>
              <w:right w:val="single" w:sz="4" w:space="0" w:color="auto"/>
            </w:tcBorders>
          </w:tcPr>
          <w:p w14:paraId="62D16AE9" w14:textId="77777777" w:rsidR="006B6584" w:rsidRPr="007B1DFD" w:rsidRDefault="006B6584" w:rsidP="005272C8">
            <w:pPr>
              <w:jc w:val="both"/>
              <w:rPr>
                <w:sz w:val="16"/>
                <w:szCs w:val="16"/>
                <w:lang w:val="lv-LV"/>
              </w:rPr>
            </w:pPr>
            <w:r w:rsidRPr="007B1DFD">
              <w:rPr>
                <w:sz w:val="16"/>
                <w:szCs w:val="16"/>
                <w:lang w:val="lv-LV"/>
              </w:rPr>
              <w:t>Esošs</w:t>
            </w:r>
          </w:p>
        </w:tc>
        <w:tc>
          <w:tcPr>
            <w:tcW w:w="1274" w:type="dxa"/>
            <w:tcBorders>
              <w:top w:val="single" w:sz="4" w:space="0" w:color="auto"/>
              <w:left w:val="single" w:sz="4" w:space="0" w:color="auto"/>
              <w:bottom w:val="single" w:sz="4" w:space="0" w:color="auto"/>
              <w:right w:val="single" w:sz="4" w:space="0" w:color="auto"/>
            </w:tcBorders>
          </w:tcPr>
          <w:p w14:paraId="16FF50FA" w14:textId="444E140D" w:rsidR="006B6584" w:rsidRPr="007B1DFD" w:rsidRDefault="006B6584" w:rsidP="003F32E6">
            <w:pPr>
              <w:jc w:val="both"/>
              <w:rPr>
                <w:sz w:val="16"/>
                <w:szCs w:val="16"/>
                <w:lang w:val="lv-LV"/>
              </w:rPr>
            </w:pPr>
            <w:r w:rsidRPr="007B1DFD">
              <w:rPr>
                <w:sz w:val="16"/>
                <w:szCs w:val="16"/>
                <w:lang w:val="lv-LV"/>
              </w:rPr>
              <w:t>Projektu īstenošana</w:t>
            </w:r>
            <w:r w:rsidR="003F32E6">
              <w:rPr>
                <w:sz w:val="16"/>
                <w:szCs w:val="16"/>
                <w:lang w:val="lv-LV"/>
              </w:rPr>
              <w:t>: I kārta –</w:t>
            </w:r>
            <w:r w:rsidR="003F32E6" w:rsidRPr="007B1DFD">
              <w:rPr>
                <w:sz w:val="16"/>
                <w:szCs w:val="16"/>
                <w:lang w:val="lv-LV"/>
              </w:rPr>
              <w:t xml:space="preserve"> līdz 2012.gada 1. </w:t>
            </w:r>
            <w:r w:rsidR="003F32E6">
              <w:rPr>
                <w:sz w:val="16"/>
                <w:szCs w:val="16"/>
                <w:lang w:val="lv-LV"/>
              </w:rPr>
              <w:t>jūlijam; II kārta</w:t>
            </w:r>
            <w:r w:rsidR="003F32E6" w:rsidRPr="007B1DFD">
              <w:rPr>
                <w:sz w:val="16"/>
                <w:szCs w:val="16"/>
                <w:lang w:val="lv-LV"/>
              </w:rPr>
              <w:t xml:space="preserve"> </w:t>
            </w:r>
            <w:r w:rsidR="003F32E6">
              <w:rPr>
                <w:sz w:val="16"/>
                <w:szCs w:val="16"/>
                <w:lang w:val="lv-LV"/>
              </w:rPr>
              <w:t xml:space="preserve">– </w:t>
            </w:r>
            <w:r w:rsidR="003F32E6" w:rsidRPr="007B1DFD">
              <w:rPr>
                <w:sz w:val="16"/>
                <w:szCs w:val="16"/>
                <w:lang w:val="lv-LV"/>
              </w:rPr>
              <w:t>līdz 201</w:t>
            </w:r>
            <w:r w:rsidR="003F32E6">
              <w:rPr>
                <w:sz w:val="16"/>
                <w:szCs w:val="16"/>
                <w:lang w:val="lv-LV"/>
              </w:rPr>
              <w:t>3</w:t>
            </w:r>
            <w:r w:rsidR="003F32E6" w:rsidRPr="007B1DFD">
              <w:rPr>
                <w:sz w:val="16"/>
                <w:szCs w:val="16"/>
                <w:lang w:val="lv-LV"/>
              </w:rPr>
              <w:t xml:space="preserve">.gada </w:t>
            </w:r>
            <w:r w:rsidR="003F32E6">
              <w:rPr>
                <w:sz w:val="16"/>
                <w:szCs w:val="16"/>
                <w:lang w:val="lv-LV"/>
              </w:rPr>
              <w:t>30</w:t>
            </w:r>
            <w:r w:rsidR="003F32E6" w:rsidRPr="007B1DFD">
              <w:rPr>
                <w:sz w:val="16"/>
                <w:szCs w:val="16"/>
                <w:lang w:val="lv-LV"/>
              </w:rPr>
              <w:t>. </w:t>
            </w:r>
            <w:r w:rsidR="003F32E6">
              <w:rPr>
                <w:sz w:val="16"/>
                <w:szCs w:val="16"/>
                <w:lang w:val="lv-LV"/>
              </w:rPr>
              <w:t>augustam; III kārta</w:t>
            </w:r>
            <w:r w:rsidR="003F32E6" w:rsidRPr="007B1DFD">
              <w:rPr>
                <w:sz w:val="16"/>
                <w:szCs w:val="16"/>
                <w:lang w:val="lv-LV"/>
              </w:rPr>
              <w:t xml:space="preserve"> </w:t>
            </w:r>
            <w:r w:rsidR="003F32E6">
              <w:rPr>
                <w:sz w:val="16"/>
                <w:szCs w:val="16"/>
                <w:lang w:val="lv-LV"/>
              </w:rPr>
              <w:t xml:space="preserve">– </w:t>
            </w:r>
            <w:r w:rsidRPr="007B1DFD">
              <w:rPr>
                <w:sz w:val="16"/>
                <w:szCs w:val="16"/>
                <w:lang w:val="lv-LV"/>
              </w:rPr>
              <w:t xml:space="preserve"> līdz 201</w:t>
            </w:r>
            <w:r w:rsidR="00DC11FE">
              <w:rPr>
                <w:sz w:val="16"/>
                <w:szCs w:val="16"/>
                <w:lang w:val="lv-LV"/>
              </w:rPr>
              <w:t>4</w:t>
            </w:r>
            <w:r w:rsidRPr="007B1DFD">
              <w:rPr>
                <w:sz w:val="16"/>
                <w:szCs w:val="16"/>
                <w:lang w:val="lv-LV"/>
              </w:rPr>
              <w:t xml:space="preserve">. gada </w:t>
            </w:r>
            <w:r w:rsidR="00DC11FE">
              <w:rPr>
                <w:sz w:val="16"/>
                <w:szCs w:val="16"/>
                <w:lang w:val="lv-LV"/>
              </w:rPr>
              <w:t>3</w:t>
            </w:r>
            <w:r w:rsidRPr="007B1DFD">
              <w:rPr>
                <w:sz w:val="16"/>
                <w:szCs w:val="16"/>
                <w:lang w:val="lv-LV"/>
              </w:rPr>
              <w:t>1. </w:t>
            </w:r>
            <w:r w:rsidR="00DC11FE">
              <w:rPr>
                <w:sz w:val="16"/>
                <w:szCs w:val="16"/>
                <w:lang w:val="lv-LV"/>
              </w:rPr>
              <w:t>martam.</w:t>
            </w:r>
          </w:p>
        </w:tc>
      </w:tr>
      <w:tr w:rsidR="007172D5" w:rsidRPr="007B1DFD" w14:paraId="1DC60927"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45" w:type="dxa"/>
            <w:tcBorders>
              <w:top w:val="single" w:sz="4" w:space="0" w:color="auto"/>
              <w:left w:val="single" w:sz="4" w:space="0" w:color="auto"/>
              <w:bottom w:val="single" w:sz="4" w:space="0" w:color="auto"/>
              <w:right w:val="single" w:sz="4" w:space="0" w:color="auto"/>
            </w:tcBorders>
          </w:tcPr>
          <w:p w14:paraId="2C5258ED" w14:textId="77777777" w:rsidR="006B6584" w:rsidRPr="007B1DFD" w:rsidRDefault="00D86569" w:rsidP="005272C8">
            <w:pPr>
              <w:jc w:val="both"/>
              <w:rPr>
                <w:sz w:val="16"/>
                <w:szCs w:val="16"/>
                <w:lang w:val="lv-LV"/>
              </w:rPr>
            </w:pPr>
            <w:r>
              <w:rPr>
                <w:sz w:val="16"/>
                <w:szCs w:val="16"/>
                <w:lang w:val="lv-LV"/>
              </w:rPr>
              <w:t>19</w:t>
            </w:r>
            <w:r w:rsidR="00922D17">
              <w:rPr>
                <w:sz w:val="16"/>
                <w:szCs w:val="16"/>
                <w:lang w:val="lv-LV"/>
              </w:rPr>
              <w:t xml:space="preserve">. </w:t>
            </w:r>
            <w:r w:rsidR="00646815">
              <w:rPr>
                <w:sz w:val="16"/>
                <w:szCs w:val="16"/>
                <w:lang w:val="lv-LV"/>
              </w:rPr>
              <w:t>SEG</w:t>
            </w:r>
            <w:r w:rsidR="006B6584" w:rsidRPr="007B1DFD">
              <w:rPr>
                <w:sz w:val="16"/>
                <w:szCs w:val="16"/>
                <w:lang w:val="lv-LV"/>
              </w:rPr>
              <w:t xml:space="preserve"> emisijas samazinošu tehnoloģiju attīstīšana un pilotprojektu īstenošana.</w:t>
            </w:r>
          </w:p>
          <w:p w14:paraId="6E2A5868" w14:textId="77777777" w:rsidR="006B6584" w:rsidRPr="007B1DFD" w:rsidRDefault="006B6584" w:rsidP="005272C8">
            <w:pPr>
              <w:jc w:val="both"/>
              <w:rPr>
                <w:b/>
                <w:sz w:val="16"/>
                <w:szCs w:val="16"/>
                <w:lang w:val="lv-LV"/>
              </w:rPr>
            </w:pPr>
            <w:r w:rsidRPr="007B1DFD">
              <w:rPr>
                <w:sz w:val="16"/>
                <w:szCs w:val="16"/>
                <w:lang w:val="lv-LV"/>
              </w:rPr>
              <w:t xml:space="preserve">(MK 2011.gada 2.augusta  noteikumi Nr.608 </w:t>
            </w:r>
            <w:r w:rsidRPr="00F14798">
              <w:rPr>
                <w:b/>
                <w:bCs/>
                <w:sz w:val="16"/>
                <w:szCs w:val="16"/>
                <w:lang w:val="lv-LV"/>
              </w:rPr>
              <w:t>„Klimata pārmaiņu finanšu instrumenta finansēto projektu atklāta konkursa „Siltumnīcefekta gāzu emisijas samazinošu tehnoloģiju attīstīšana un pilotprojektu īstenošana” nolikums”</w:t>
            </w:r>
            <w:r w:rsidRPr="007B1DFD">
              <w:rPr>
                <w:bCs/>
                <w:sz w:val="16"/>
                <w:szCs w:val="16"/>
                <w:lang w:val="lv-LV"/>
              </w:rPr>
              <w:t xml:space="preserve"> </w:t>
            </w:r>
            <w:r w:rsidRPr="007B1DFD">
              <w:rPr>
                <w:sz w:val="16"/>
                <w:szCs w:val="16"/>
                <w:lang w:val="lv-LV"/>
              </w:rPr>
              <w:t>ar grozījumiem kas izdarīti līdz 25.09.2012.</w:t>
            </w:r>
            <w:r w:rsidRPr="007B1DFD">
              <w:rPr>
                <w:bCs/>
                <w:sz w:val="16"/>
                <w:szCs w:val="16"/>
                <w:lang w:val="lv-LV"/>
              </w:rPr>
              <w:t>)</w:t>
            </w:r>
          </w:p>
        </w:tc>
        <w:tc>
          <w:tcPr>
            <w:tcW w:w="1412" w:type="dxa"/>
            <w:tcBorders>
              <w:top w:val="single" w:sz="4" w:space="0" w:color="auto"/>
              <w:left w:val="single" w:sz="4" w:space="0" w:color="auto"/>
              <w:bottom w:val="single" w:sz="4" w:space="0" w:color="auto"/>
              <w:right w:val="single" w:sz="4" w:space="0" w:color="auto"/>
            </w:tcBorders>
          </w:tcPr>
          <w:p w14:paraId="698E8597" w14:textId="77777777" w:rsidR="006B6584" w:rsidRPr="007B1DFD" w:rsidRDefault="006B6584" w:rsidP="005272C8">
            <w:pPr>
              <w:jc w:val="both"/>
              <w:rPr>
                <w:sz w:val="16"/>
                <w:szCs w:val="16"/>
                <w:lang w:val="lv-LV"/>
              </w:rPr>
            </w:pPr>
            <w:r w:rsidRPr="007B1DFD">
              <w:rPr>
                <w:sz w:val="16"/>
                <w:szCs w:val="16"/>
                <w:lang w:val="lv-LV"/>
              </w:rPr>
              <w:t>Finansiāls (Klimata pārmaiņu finanšu instruments)</w:t>
            </w:r>
          </w:p>
        </w:tc>
        <w:tc>
          <w:tcPr>
            <w:tcW w:w="1694" w:type="dxa"/>
            <w:tcBorders>
              <w:top w:val="single" w:sz="4" w:space="0" w:color="auto"/>
              <w:left w:val="single" w:sz="4" w:space="0" w:color="auto"/>
              <w:bottom w:val="single" w:sz="4" w:space="0" w:color="auto"/>
              <w:right w:val="single" w:sz="4" w:space="0" w:color="auto"/>
            </w:tcBorders>
          </w:tcPr>
          <w:p w14:paraId="1BA7DCC8" w14:textId="77777777" w:rsidR="006B6584" w:rsidRPr="007B1DFD" w:rsidRDefault="006B6584" w:rsidP="005272C8">
            <w:pPr>
              <w:rPr>
                <w:sz w:val="16"/>
                <w:szCs w:val="16"/>
                <w:lang w:val="lv-LV"/>
              </w:rPr>
            </w:pPr>
            <w:r w:rsidRPr="007B1DFD">
              <w:rPr>
                <w:sz w:val="16"/>
                <w:szCs w:val="16"/>
                <w:lang w:val="lv-LV"/>
              </w:rPr>
              <w:t>SEG emisiju samazinošu produktu un tehnoloģiju attīstība un zināšanu un tehnoloģiju pārnese, atbalstot pilotprojektu īstenošanu Latvijā.</w:t>
            </w:r>
          </w:p>
        </w:tc>
        <w:tc>
          <w:tcPr>
            <w:tcW w:w="1835" w:type="dxa"/>
            <w:tcBorders>
              <w:top w:val="single" w:sz="4" w:space="0" w:color="auto"/>
              <w:left w:val="single" w:sz="4" w:space="0" w:color="auto"/>
              <w:bottom w:val="single" w:sz="4" w:space="0" w:color="auto"/>
              <w:right w:val="single" w:sz="4" w:space="0" w:color="auto"/>
            </w:tcBorders>
          </w:tcPr>
          <w:p w14:paraId="11CD9FDA" w14:textId="77777777" w:rsidR="006B6584" w:rsidRPr="007B1DFD" w:rsidRDefault="006B6584" w:rsidP="005272C8">
            <w:pPr>
              <w:rPr>
                <w:sz w:val="16"/>
                <w:szCs w:val="16"/>
                <w:lang w:val="lv-LV"/>
              </w:rPr>
            </w:pPr>
            <w:r w:rsidRPr="007B1DFD">
              <w:rPr>
                <w:sz w:val="16"/>
                <w:szCs w:val="16"/>
                <w:lang w:val="lv-LV"/>
              </w:rPr>
              <w:t>Latvijas Republikas tiešās vai pastarpinātās pārvaldes iestāde, atvasināta publiska persona vai Latvijas Republikā reģistrēts komersants.</w:t>
            </w:r>
          </w:p>
        </w:tc>
        <w:tc>
          <w:tcPr>
            <w:tcW w:w="1131" w:type="dxa"/>
            <w:tcBorders>
              <w:top w:val="single" w:sz="4" w:space="0" w:color="auto"/>
              <w:left w:val="single" w:sz="4" w:space="0" w:color="auto"/>
              <w:bottom w:val="single" w:sz="4" w:space="0" w:color="auto"/>
              <w:right w:val="single" w:sz="4" w:space="0" w:color="auto"/>
            </w:tcBorders>
          </w:tcPr>
          <w:p w14:paraId="187A34B5" w14:textId="6A6B1D0D" w:rsidR="006B6584" w:rsidRPr="007B1DFD" w:rsidRDefault="006B6584" w:rsidP="00E834E5">
            <w:pPr>
              <w:jc w:val="both"/>
              <w:rPr>
                <w:sz w:val="16"/>
                <w:szCs w:val="16"/>
                <w:lang w:val="lv-LV"/>
              </w:rPr>
            </w:pPr>
            <w:r w:rsidRPr="007B1DFD">
              <w:rPr>
                <w:sz w:val="16"/>
                <w:szCs w:val="16"/>
                <w:lang w:val="lv-LV"/>
              </w:rPr>
              <w:t>Esošs</w:t>
            </w:r>
            <w:r w:rsidR="00E834E5">
              <w:rPr>
                <w:sz w:val="16"/>
                <w:szCs w:val="16"/>
                <w:lang w:val="lv-LV"/>
              </w:rPr>
              <w:t xml:space="preserve">, papildina </w:t>
            </w:r>
            <w:r w:rsidR="00504C34">
              <w:rPr>
                <w:sz w:val="16"/>
                <w:szCs w:val="16"/>
                <w:lang w:val="lv-LV"/>
              </w:rPr>
              <w:t>rīcības plānu.</w:t>
            </w:r>
          </w:p>
        </w:tc>
        <w:tc>
          <w:tcPr>
            <w:tcW w:w="1274" w:type="dxa"/>
            <w:tcBorders>
              <w:top w:val="single" w:sz="4" w:space="0" w:color="auto"/>
              <w:left w:val="single" w:sz="4" w:space="0" w:color="auto"/>
              <w:bottom w:val="single" w:sz="4" w:space="0" w:color="auto"/>
              <w:right w:val="single" w:sz="4" w:space="0" w:color="auto"/>
            </w:tcBorders>
          </w:tcPr>
          <w:p w14:paraId="2344B44F" w14:textId="77777777" w:rsidR="006B6584" w:rsidRPr="007B1DFD" w:rsidRDefault="006B6584" w:rsidP="005272C8">
            <w:pPr>
              <w:jc w:val="both"/>
              <w:rPr>
                <w:sz w:val="16"/>
                <w:szCs w:val="16"/>
                <w:lang w:val="lv-LV"/>
              </w:rPr>
            </w:pPr>
            <w:r w:rsidRPr="007B1DFD">
              <w:rPr>
                <w:sz w:val="16"/>
                <w:szCs w:val="16"/>
                <w:lang w:val="lv-LV"/>
              </w:rPr>
              <w:t>Projektu īstenošana līdz 2013.gada 1.aprīlim</w:t>
            </w:r>
          </w:p>
        </w:tc>
      </w:tr>
      <w:tr w:rsidR="007172D5" w:rsidRPr="007B1DFD" w14:paraId="085081BA"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45" w:type="dxa"/>
            <w:tcBorders>
              <w:top w:val="single" w:sz="4" w:space="0" w:color="auto"/>
              <w:left w:val="single" w:sz="4" w:space="0" w:color="auto"/>
              <w:bottom w:val="single" w:sz="4" w:space="0" w:color="auto"/>
              <w:right w:val="single" w:sz="4" w:space="0" w:color="auto"/>
            </w:tcBorders>
          </w:tcPr>
          <w:p w14:paraId="5159D776" w14:textId="662472ED" w:rsidR="006B6584" w:rsidRPr="007B1DFD" w:rsidRDefault="00922D17" w:rsidP="005272C8">
            <w:pPr>
              <w:jc w:val="both"/>
              <w:rPr>
                <w:sz w:val="16"/>
                <w:szCs w:val="16"/>
                <w:lang w:val="lv-LV"/>
              </w:rPr>
            </w:pPr>
            <w:r>
              <w:rPr>
                <w:sz w:val="16"/>
                <w:szCs w:val="16"/>
                <w:lang w:val="lv-LV"/>
              </w:rPr>
              <w:t>2</w:t>
            </w:r>
            <w:r w:rsidR="00D86569">
              <w:rPr>
                <w:sz w:val="16"/>
                <w:szCs w:val="16"/>
                <w:lang w:val="lv-LV"/>
              </w:rPr>
              <w:t>0</w:t>
            </w:r>
            <w:r>
              <w:rPr>
                <w:sz w:val="16"/>
                <w:szCs w:val="16"/>
                <w:lang w:val="lv-LV"/>
              </w:rPr>
              <w:t xml:space="preserve">. </w:t>
            </w:r>
            <w:r w:rsidR="006B6584" w:rsidRPr="007B1DFD">
              <w:rPr>
                <w:sz w:val="16"/>
                <w:szCs w:val="16"/>
                <w:lang w:val="lv-LV"/>
              </w:rPr>
              <w:t xml:space="preserve">Kompleksi risinājumi </w:t>
            </w:r>
            <w:r w:rsidR="00646815">
              <w:rPr>
                <w:sz w:val="16"/>
                <w:szCs w:val="16"/>
                <w:lang w:val="lv-LV"/>
              </w:rPr>
              <w:t>SEG</w:t>
            </w:r>
            <w:r w:rsidR="006B6584" w:rsidRPr="007B1DFD">
              <w:rPr>
                <w:sz w:val="16"/>
                <w:szCs w:val="16"/>
                <w:lang w:val="lv-LV"/>
              </w:rPr>
              <w:t xml:space="preserve"> emisiju </w:t>
            </w:r>
            <w:r w:rsidR="006B6584" w:rsidRPr="007B1DFD">
              <w:rPr>
                <w:sz w:val="16"/>
                <w:szCs w:val="16"/>
                <w:lang w:val="lv-LV"/>
              </w:rPr>
              <w:lastRenderedPageBreak/>
              <w:t xml:space="preserve">samazināšanai </w:t>
            </w:r>
            <w:r w:rsidR="003F32E6" w:rsidRPr="007B1DFD">
              <w:rPr>
                <w:sz w:val="16"/>
                <w:szCs w:val="16"/>
                <w:lang w:val="lv-LV"/>
              </w:rPr>
              <w:t>(I</w:t>
            </w:r>
            <w:r w:rsidR="003F32E6">
              <w:rPr>
                <w:sz w:val="16"/>
                <w:szCs w:val="16"/>
                <w:lang w:val="lv-LV"/>
              </w:rPr>
              <w:t>, II</w:t>
            </w:r>
            <w:r w:rsidR="003F32E6" w:rsidRPr="007B1DFD">
              <w:rPr>
                <w:sz w:val="16"/>
                <w:szCs w:val="16"/>
                <w:lang w:val="lv-LV"/>
              </w:rPr>
              <w:t xml:space="preserve"> un I</w:t>
            </w:r>
            <w:r w:rsidR="003F32E6">
              <w:rPr>
                <w:sz w:val="16"/>
                <w:szCs w:val="16"/>
                <w:lang w:val="lv-LV"/>
              </w:rPr>
              <w:t>I</w:t>
            </w:r>
            <w:r w:rsidR="003F32E6" w:rsidRPr="007B1DFD">
              <w:rPr>
                <w:sz w:val="16"/>
                <w:szCs w:val="16"/>
                <w:lang w:val="lv-LV"/>
              </w:rPr>
              <w:t>I kārta)</w:t>
            </w:r>
          </w:p>
          <w:p w14:paraId="7EABAFD7" w14:textId="77777777" w:rsidR="006B6584" w:rsidRPr="007B1DFD" w:rsidRDefault="006B6584" w:rsidP="005272C8">
            <w:pPr>
              <w:jc w:val="both"/>
              <w:rPr>
                <w:sz w:val="16"/>
                <w:szCs w:val="16"/>
                <w:lang w:val="lv-LV"/>
              </w:rPr>
            </w:pPr>
            <w:r w:rsidRPr="007B1DFD">
              <w:rPr>
                <w:sz w:val="16"/>
                <w:szCs w:val="16"/>
                <w:lang w:val="lv-LV"/>
              </w:rPr>
              <w:t>(MK 2012.gada 14.augusta noteikumi Nr.559</w:t>
            </w:r>
            <w:r w:rsidRPr="007B1DFD">
              <w:rPr>
                <w:b/>
                <w:sz w:val="16"/>
                <w:szCs w:val="16"/>
                <w:lang w:val="lv-LV"/>
              </w:rPr>
              <w:t xml:space="preserve"> </w:t>
            </w:r>
            <w:r w:rsidRPr="007B1DFD">
              <w:rPr>
                <w:rStyle w:val="Strong"/>
                <w:sz w:val="16"/>
                <w:szCs w:val="16"/>
                <w:lang w:val="lv-LV"/>
              </w:rPr>
              <w:t>„Klimata pārmaiņu finanšu instrumenta finansēto projektu atklāta konkursa „Kompleksi risinājumi siltumnīcefekta gāzu emisiju samazināšanai” nolikums</w:t>
            </w:r>
            <w:r w:rsidRPr="007B1DFD">
              <w:rPr>
                <w:sz w:val="16"/>
                <w:szCs w:val="16"/>
                <w:lang w:val="lv-LV"/>
              </w:rPr>
              <w:t>” ar grozījumiem kas izdarīti līdz 25.09.2012.</w:t>
            </w:r>
            <w:r w:rsidRPr="007B1DFD">
              <w:rPr>
                <w:b/>
                <w:sz w:val="16"/>
                <w:szCs w:val="16"/>
                <w:lang w:val="lv-LV"/>
              </w:rPr>
              <w:t>)</w:t>
            </w:r>
          </w:p>
        </w:tc>
        <w:tc>
          <w:tcPr>
            <w:tcW w:w="1412" w:type="dxa"/>
            <w:tcBorders>
              <w:top w:val="single" w:sz="4" w:space="0" w:color="auto"/>
              <w:left w:val="single" w:sz="4" w:space="0" w:color="auto"/>
              <w:bottom w:val="single" w:sz="4" w:space="0" w:color="auto"/>
              <w:right w:val="single" w:sz="4" w:space="0" w:color="auto"/>
            </w:tcBorders>
          </w:tcPr>
          <w:p w14:paraId="1B85D37A" w14:textId="77777777" w:rsidR="006B6584" w:rsidRPr="007B1DFD" w:rsidRDefault="006B6584" w:rsidP="005272C8">
            <w:pPr>
              <w:jc w:val="both"/>
              <w:rPr>
                <w:sz w:val="16"/>
                <w:szCs w:val="16"/>
                <w:lang w:val="lv-LV"/>
              </w:rPr>
            </w:pPr>
            <w:r w:rsidRPr="007B1DFD">
              <w:rPr>
                <w:sz w:val="16"/>
                <w:szCs w:val="16"/>
                <w:lang w:val="lv-LV"/>
              </w:rPr>
              <w:lastRenderedPageBreak/>
              <w:t xml:space="preserve">Finansiāls (Klimata </w:t>
            </w:r>
            <w:r w:rsidRPr="007B1DFD">
              <w:rPr>
                <w:sz w:val="16"/>
                <w:szCs w:val="16"/>
                <w:lang w:val="lv-LV"/>
              </w:rPr>
              <w:lastRenderedPageBreak/>
              <w:t>pārmaiņu finanšu instruments)</w:t>
            </w:r>
          </w:p>
        </w:tc>
        <w:tc>
          <w:tcPr>
            <w:tcW w:w="1694" w:type="dxa"/>
            <w:tcBorders>
              <w:top w:val="single" w:sz="4" w:space="0" w:color="auto"/>
              <w:left w:val="single" w:sz="4" w:space="0" w:color="auto"/>
              <w:bottom w:val="single" w:sz="4" w:space="0" w:color="auto"/>
              <w:right w:val="single" w:sz="4" w:space="0" w:color="auto"/>
            </w:tcBorders>
          </w:tcPr>
          <w:p w14:paraId="780EB945" w14:textId="77777777" w:rsidR="006B6584" w:rsidRPr="007B1DFD" w:rsidRDefault="006B6584" w:rsidP="00646815">
            <w:pPr>
              <w:rPr>
                <w:sz w:val="16"/>
                <w:szCs w:val="16"/>
                <w:lang w:val="lv-LV"/>
              </w:rPr>
            </w:pPr>
            <w:r w:rsidRPr="007B1DFD">
              <w:rPr>
                <w:sz w:val="16"/>
                <w:szCs w:val="16"/>
                <w:lang w:val="lv-LV"/>
              </w:rPr>
              <w:lastRenderedPageBreak/>
              <w:t xml:space="preserve">SEG emisiju samazinājums, </w:t>
            </w:r>
            <w:r w:rsidRPr="007B1DFD">
              <w:rPr>
                <w:sz w:val="16"/>
                <w:szCs w:val="16"/>
                <w:lang w:val="lv-LV"/>
              </w:rPr>
              <w:lastRenderedPageBreak/>
              <w:t xml:space="preserve">nodrošinot pāreju no tehnoloģijām, kurās izmanto fosilos energoresursus, uz tehnoloģijām, kurās izmanto </w:t>
            </w:r>
            <w:r w:rsidR="00646815">
              <w:rPr>
                <w:sz w:val="16"/>
                <w:szCs w:val="16"/>
                <w:lang w:val="lv-LV"/>
              </w:rPr>
              <w:t>AER</w:t>
            </w:r>
            <w:r w:rsidRPr="007B1DFD">
              <w:rPr>
                <w:sz w:val="16"/>
                <w:szCs w:val="16"/>
                <w:lang w:val="lv-LV"/>
              </w:rPr>
              <w:t>, uzlabojot komersantu ražošanas tehnoloģiskās iekārtas vai nomainot tās ar jaunām ražošanas tehnoloģiskām iekārtām un uzlabojot izglītības iestāžu, ražošanas, vairumtirdzniecības un mazumtirdzniecības ēku energoefektivitāti.</w:t>
            </w:r>
          </w:p>
        </w:tc>
        <w:tc>
          <w:tcPr>
            <w:tcW w:w="1835" w:type="dxa"/>
            <w:tcBorders>
              <w:top w:val="single" w:sz="4" w:space="0" w:color="auto"/>
              <w:left w:val="single" w:sz="4" w:space="0" w:color="auto"/>
              <w:bottom w:val="single" w:sz="4" w:space="0" w:color="auto"/>
              <w:right w:val="single" w:sz="4" w:space="0" w:color="auto"/>
            </w:tcBorders>
          </w:tcPr>
          <w:p w14:paraId="67E696FB" w14:textId="77777777" w:rsidR="006B6584" w:rsidRPr="007B1DFD" w:rsidRDefault="006B6584" w:rsidP="005272C8">
            <w:pPr>
              <w:rPr>
                <w:sz w:val="16"/>
                <w:szCs w:val="16"/>
                <w:lang w:val="lv-LV"/>
              </w:rPr>
            </w:pPr>
            <w:r w:rsidRPr="007B1DFD">
              <w:rPr>
                <w:sz w:val="16"/>
                <w:szCs w:val="16"/>
                <w:lang w:val="lv-LV"/>
              </w:rPr>
              <w:lastRenderedPageBreak/>
              <w:t xml:space="preserve">Latvijas Republikā reģistrēts komersants. </w:t>
            </w:r>
            <w:r w:rsidRPr="007B1DFD">
              <w:rPr>
                <w:sz w:val="16"/>
                <w:szCs w:val="16"/>
                <w:lang w:val="lv-LV"/>
              </w:rPr>
              <w:lastRenderedPageBreak/>
              <w:t>Projekta iesniedzējs konkursa otrajā kārtā, ir komersants vai Latvijas Republikā reģistrēta valsts, pašvaldību vai citu juridisku vai fizisku personu dibināta iestāde, kuras uzdevums ir izglī</w:t>
            </w:r>
            <w:r w:rsidRPr="007B1DFD">
              <w:rPr>
                <w:sz w:val="16"/>
                <w:szCs w:val="16"/>
                <w:lang w:val="lv-LV"/>
              </w:rPr>
              <w:softHyphen/>
              <w:t>tības programmu īstenošana, vai komercsabiedrība, kurai izglītības programmu īstenošana ir viens no darbības veidiem</w:t>
            </w:r>
          </w:p>
        </w:tc>
        <w:tc>
          <w:tcPr>
            <w:tcW w:w="1131" w:type="dxa"/>
            <w:tcBorders>
              <w:top w:val="single" w:sz="4" w:space="0" w:color="auto"/>
              <w:left w:val="single" w:sz="4" w:space="0" w:color="auto"/>
              <w:bottom w:val="single" w:sz="4" w:space="0" w:color="auto"/>
              <w:right w:val="single" w:sz="4" w:space="0" w:color="auto"/>
            </w:tcBorders>
          </w:tcPr>
          <w:p w14:paraId="143B1266" w14:textId="373E12CF" w:rsidR="006B6584" w:rsidRPr="007B1DFD" w:rsidRDefault="006B6584" w:rsidP="005272C8">
            <w:pPr>
              <w:jc w:val="both"/>
              <w:rPr>
                <w:sz w:val="16"/>
                <w:szCs w:val="16"/>
                <w:lang w:val="lv-LV"/>
              </w:rPr>
            </w:pPr>
            <w:r w:rsidRPr="007B1DFD">
              <w:rPr>
                <w:sz w:val="16"/>
                <w:szCs w:val="16"/>
                <w:lang w:val="lv-LV"/>
              </w:rPr>
              <w:lastRenderedPageBreak/>
              <w:t>Esošs</w:t>
            </w:r>
            <w:r w:rsidR="00E834E5">
              <w:rPr>
                <w:sz w:val="16"/>
                <w:szCs w:val="16"/>
                <w:lang w:val="lv-LV"/>
              </w:rPr>
              <w:t xml:space="preserve">, papildina </w:t>
            </w:r>
            <w:r w:rsidR="00504C34">
              <w:rPr>
                <w:sz w:val="16"/>
                <w:szCs w:val="16"/>
                <w:lang w:val="lv-LV"/>
              </w:rPr>
              <w:lastRenderedPageBreak/>
              <w:t>rīcības plānu</w:t>
            </w:r>
          </w:p>
        </w:tc>
        <w:tc>
          <w:tcPr>
            <w:tcW w:w="1274" w:type="dxa"/>
            <w:tcBorders>
              <w:top w:val="single" w:sz="4" w:space="0" w:color="auto"/>
              <w:left w:val="single" w:sz="4" w:space="0" w:color="auto"/>
              <w:bottom w:val="single" w:sz="4" w:space="0" w:color="auto"/>
              <w:right w:val="single" w:sz="4" w:space="0" w:color="auto"/>
            </w:tcBorders>
          </w:tcPr>
          <w:p w14:paraId="393D8628" w14:textId="5BB865CB" w:rsidR="006B6584" w:rsidRPr="007B1DFD" w:rsidRDefault="003F32E6" w:rsidP="003F32E6">
            <w:pPr>
              <w:jc w:val="both"/>
              <w:rPr>
                <w:sz w:val="16"/>
                <w:szCs w:val="16"/>
                <w:lang w:val="lv-LV"/>
              </w:rPr>
            </w:pPr>
            <w:r w:rsidRPr="007B1DFD">
              <w:rPr>
                <w:sz w:val="16"/>
                <w:szCs w:val="16"/>
                <w:lang w:val="lv-LV"/>
              </w:rPr>
              <w:lastRenderedPageBreak/>
              <w:t>Projektu īstenošana</w:t>
            </w:r>
            <w:r>
              <w:rPr>
                <w:sz w:val="16"/>
                <w:szCs w:val="16"/>
                <w:lang w:val="lv-LV"/>
              </w:rPr>
              <w:t xml:space="preserve">: I </w:t>
            </w:r>
            <w:r>
              <w:rPr>
                <w:sz w:val="16"/>
                <w:szCs w:val="16"/>
                <w:lang w:val="lv-LV"/>
              </w:rPr>
              <w:lastRenderedPageBreak/>
              <w:t>kārta –</w:t>
            </w:r>
            <w:r w:rsidRPr="007B1DFD">
              <w:rPr>
                <w:sz w:val="16"/>
                <w:szCs w:val="16"/>
                <w:lang w:val="lv-LV"/>
              </w:rPr>
              <w:t xml:space="preserve"> līdz 201</w:t>
            </w:r>
            <w:r>
              <w:rPr>
                <w:sz w:val="16"/>
                <w:szCs w:val="16"/>
                <w:lang w:val="lv-LV"/>
              </w:rPr>
              <w:t>3</w:t>
            </w:r>
            <w:r w:rsidRPr="007B1DFD">
              <w:rPr>
                <w:sz w:val="16"/>
                <w:szCs w:val="16"/>
                <w:lang w:val="lv-LV"/>
              </w:rPr>
              <w:t>.</w:t>
            </w:r>
            <w:r>
              <w:rPr>
                <w:sz w:val="16"/>
                <w:szCs w:val="16"/>
                <w:lang w:val="lv-LV"/>
              </w:rPr>
              <w:t> </w:t>
            </w:r>
            <w:r w:rsidRPr="007B1DFD">
              <w:rPr>
                <w:sz w:val="16"/>
                <w:szCs w:val="16"/>
                <w:lang w:val="lv-LV"/>
              </w:rPr>
              <w:t>gada 30.</w:t>
            </w:r>
            <w:r>
              <w:rPr>
                <w:sz w:val="16"/>
                <w:szCs w:val="16"/>
                <w:lang w:val="lv-LV"/>
              </w:rPr>
              <w:t> </w:t>
            </w:r>
            <w:r w:rsidRPr="007B1DFD">
              <w:rPr>
                <w:sz w:val="16"/>
                <w:szCs w:val="16"/>
                <w:lang w:val="lv-LV"/>
              </w:rPr>
              <w:t>aprīlim</w:t>
            </w:r>
            <w:r>
              <w:rPr>
                <w:sz w:val="16"/>
                <w:szCs w:val="16"/>
                <w:lang w:val="lv-LV"/>
              </w:rPr>
              <w:t>; II kārta</w:t>
            </w:r>
            <w:r w:rsidRPr="007B1DFD">
              <w:rPr>
                <w:sz w:val="16"/>
                <w:szCs w:val="16"/>
                <w:lang w:val="lv-LV"/>
              </w:rPr>
              <w:t xml:space="preserve"> </w:t>
            </w:r>
            <w:r>
              <w:rPr>
                <w:sz w:val="16"/>
                <w:szCs w:val="16"/>
                <w:lang w:val="lv-LV"/>
              </w:rPr>
              <w:t xml:space="preserve">– </w:t>
            </w:r>
            <w:r w:rsidRPr="007B1DFD">
              <w:rPr>
                <w:sz w:val="16"/>
                <w:szCs w:val="16"/>
                <w:lang w:val="lv-LV"/>
              </w:rPr>
              <w:t>līdz 201</w:t>
            </w:r>
            <w:r>
              <w:rPr>
                <w:sz w:val="16"/>
                <w:szCs w:val="16"/>
                <w:lang w:val="lv-LV"/>
              </w:rPr>
              <w:t>3</w:t>
            </w:r>
            <w:r w:rsidRPr="007B1DFD">
              <w:rPr>
                <w:sz w:val="16"/>
                <w:szCs w:val="16"/>
                <w:lang w:val="lv-LV"/>
              </w:rPr>
              <w:t>.gada 31.</w:t>
            </w:r>
            <w:r>
              <w:rPr>
                <w:sz w:val="16"/>
                <w:szCs w:val="16"/>
                <w:lang w:val="lv-LV"/>
              </w:rPr>
              <w:t> </w:t>
            </w:r>
            <w:r w:rsidRPr="007B1DFD">
              <w:rPr>
                <w:sz w:val="16"/>
                <w:szCs w:val="16"/>
                <w:lang w:val="lv-LV"/>
              </w:rPr>
              <w:t>oktobrim</w:t>
            </w:r>
            <w:r>
              <w:rPr>
                <w:sz w:val="16"/>
                <w:szCs w:val="16"/>
                <w:lang w:val="lv-LV"/>
              </w:rPr>
              <w:t>; III kārta</w:t>
            </w:r>
            <w:r w:rsidRPr="007B1DFD">
              <w:rPr>
                <w:sz w:val="16"/>
                <w:szCs w:val="16"/>
                <w:lang w:val="lv-LV"/>
              </w:rPr>
              <w:t xml:space="preserve"> </w:t>
            </w:r>
            <w:r>
              <w:rPr>
                <w:sz w:val="16"/>
                <w:szCs w:val="16"/>
                <w:lang w:val="lv-LV"/>
              </w:rPr>
              <w:t xml:space="preserve">– </w:t>
            </w:r>
            <w:r w:rsidRPr="007B1DFD">
              <w:rPr>
                <w:sz w:val="16"/>
                <w:szCs w:val="16"/>
                <w:lang w:val="lv-LV"/>
              </w:rPr>
              <w:t xml:space="preserve"> līdz 201</w:t>
            </w:r>
            <w:r>
              <w:rPr>
                <w:sz w:val="16"/>
                <w:szCs w:val="16"/>
                <w:lang w:val="lv-LV"/>
              </w:rPr>
              <w:t>4</w:t>
            </w:r>
            <w:r w:rsidRPr="007B1DFD">
              <w:rPr>
                <w:sz w:val="16"/>
                <w:szCs w:val="16"/>
                <w:lang w:val="lv-LV"/>
              </w:rPr>
              <w:t xml:space="preserve">. gada </w:t>
            </w:r>
            <w:r>
              <w:rPr>
                <w:sz w:val="16"/>
                <w:szCs w:val="16"/>
                <w:lang w:val="lv-LV"/>
              </w:rPr>
              <w:t>30</w:t>
            </w:r>
            <w:r w:rsidRPr="007B1DFD">
              <w:rPr>
                <w:sz w:val="16"/>
                <w:szCs w:val="16"/>
                <w:lang w:val="lv-LV"/>
              </w:rPr>
              <w:t>. </w:t>
            </w:r>
            <w:r>
              <w:rPr>
                <w:sz w:val="16"/>
                <w:szCs w:val="16"/>
                <w:lang w:val="lv-LV"/>
              </w:rPr>
              <w:t>jūnijam.</w:t>
            </w:r>
            <w:r w:rsidR="006B6584" w:rsidRPr="007B1DFD">
              <w:rPr>
                <w:sz w:val="16"/>
                <w:szCs w:val="16"/>
                <w:lang w:val="lv-LV"/>
              </w:rPr>
              <w:t>.</w:t>
            </w:r>
          </w:p>
        </w:tc>
      </w:tr>
      <w:tr w:rsidR="007172D5" w:rsidRPr="00A32D85" w14:paraId="1251D397"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45" w:type="dxa"/>
            <w:tcBorders>
              <w:top w:val="single" w:sz="4" w:space="0" w:color="auto"/>
              <w:left w:val="single" w:sz="4" w:space="0" w:color="auto"/>
              <w:bottom w:val="single" w:sz="4" w:space="0" w:color="auto"/>
              <w:right w:val="single" w:sz="4" w:space="0" w:color="auto"/>
            </w:tcBorders>
          </w:tcPr>
          <w:p w14:paraId="138D8434" w14:textId="77777777" w:rsidR="00793000" w:rsidRPr="00A32D85" w:rsidRDefault="00E834E5" w:rsidP="00D86569">
            <w:pPr>
              <w:jc w:val="both"/>
              <w:rPr>
                <w:sz w:val="16"/>
                <w:szCs w:val="16"/>
                <w:lang w:val="lv-LV"/>
              </w:rPr>
            </w:pPr>
            <w:r>
              <w:rPr>
                <w:sz w:val="16"/>
                <w:szCs w:val="16"/>
                <w:lang w:val="lv-LV"/>
              </w:rPr>
              <w:lastRenderedPageBreak/>
              <w:t>2</w:t>
            </w:r>
            <w:r w:rsidR="00D86569">
              <w:rPr>
                <w:sz w:val="16"/>
                <w:szCs w:val="16"/>
                <w:lang w:val="lv-LV"/>
              </w:rPr>
              <w:t>1</w:t>
            </w:r>
            <w:r>
              <w:rPr>
                <w:sz w:val="16"/>
                <w:szCs w:val="16"/>
                <w:lang w:val="lv-LV"/>
              </w:rPr>
              <w:t xml:space="preserve">. </w:t>
            </w:r>
            <w:r w:rsidR="00793000" w:rsidRPr="00793000">
              <w:rPr>
                <w:sz w:val="16"/>
                <w:szCs w:val="16"/>
                <w:lang w:val="lv-LV"/>
              </w:rPr>
              <w:t>Eiropas Ekonomikas zonas (EEZ) finanšu instrumenta 2009.-2014. gada programmas "Nacionālā klimata politika"</w:t>
            </w:r>
          </w:p>
        </w:tc>
        <w:tc>
          <w:tcPr>
            <w:tcW w:w="1412" w:type="dxa"/>
            <w:tcBorders>
              <w:top w:val="single" w:sz="4" w:space="0" w:color="auto"/>
              <w:left w:val="single" w:sz="4" w:space="0" w:color="auto"/>
              <w:bottom w:val="single" w:sz="4" w:space="0" w:color="auto"/>
              <w:right w:val="single" w:sz="4" w:space="0" w:color="auto"/>
            </w:tcBorders>
          </w:tcPr>
          <w:p w14:paraId="37158B3E" w14:textId="77777777" w:rsidR="00793000" w:rsidRPr="00A32D85" w:rsidRDefault="00793000" w:rsidP="00AC5B1C">
            <w:pPr>
              <w:jc w:val="both"/>
              <w:rPr>
                <w:sz w:val="16"/>
                <w:szCs w:val="16"/>
                <w:lang w:val="lv-LV"/>
              </w:rPr>
            </w:pPr>
            <w:r w:rsidRPr="00A32D85">
              <w:rPr>
                <w:sz w:val="16"/>
                <w:szCs w:val="16"/>
                <w:lang w:val="lv-LV"/>
              </w:rPr>
              <w:t>Finansiāls (</w:t>
            </w:r>
            <w:r w:rsidRPr="00793000">
              <w:rPr>
                <w:sz w:val="16"/>
                <w:szCs w:val="16"/>
                <w:lang w:val="lv-LV"/>
              </w:rPr>
              <w:t>Eiropas Ekonomikas zona</w:t>
            </w:r>
            <w:r w:rsidRPr="00A32D85">
              <w:rPr>
                <w:sz w:val="16"/>
                <w:szCs w:val="16"/>
                <w:lang w:val="lv-LV"/>
              </w:rPr>
              <w:t>)</w:t>
            </w:r>
          </w:p>
        </w:tc>
        <w:tc>
          <w:tcPr>
            <w:tcW w:w="1694" w:type="dxa"/>
            <w:tcBorders>
              <w:top w:val="single" w:sz="4" w:space="0" w:color="auto"/>
              <w:left w:val="single" w:sz="4" w:space="0" w:color="auto"/>
              <w:bottom w:val="single" w:sz="4" w:space="0" w:color="auto"/>
              <w:right w:val="single" w:sz="4" w:space="0" w:color="auto"/>
            </w:tcBorders>
          </w:tcPr>
          <w:p w14:paraId="508BA6E2" w14:textId="77777777" w:rsidR="00793000" w:rsidRPr="00793000" w:rsidRDefault="00793000" w:rsidP="00AC5B1C">
            <w:pPr>
              <w:rPr>
                <w:sz w:val="16"/>
                <w:szCs w:val="16"/>
                <w:lang w:val="lv-LV"/>
              </w:rPr>
            </w:pPr>
            <w:r w:rsidRPr="00793000">
              <w:rPr>
                <w:sz w:val="16"/>
                <w:szCs w:val="16"/>
                <w:lang w:val="lv-LV"/>
              </w:rPr>
              <w:t xml:space="preserve">Eiropas Ekonomikas zonas finanšu instrumenta līdzfinansētās programmas „Nacionālā klimata politika” mērķis ir atbalstīt Latviju visaptverošas nacionālās klimata politikas izstrādē, kas ietver </w:t>
            </w:r>
            <w:r w:rsidR="00646815">
              <w:rPr>
                <w:sz w:val="16"/>
                <w:szCs w:val="16"/>
                <w:lang w:val="lv-LV"/>
              </w:rPr>
              <w:t>ES</w:t>
            </w:r>
            <w:r w:rsidRPr="00793000">
              <w:rPr>
                <w:sz w:val="16"/>
                <w:szCs w:val="16"/>
                <w:lang w:val="lv-LV"/>
              </w:rPr>
              <w:t xml:space="preserve"> emisiju tirdzniecības sistēmā neiekļautos sektorus emisijas jautājumos un visus pārējos sektorus klimata pārmaiņu pielāgošanas jautājumos.</w:t>
            </w:r>
          </w:p>
          <w:p w14:paraId="188E1262" w14:textId="77777777" w:rsidR="00793000" w:rsidRPr="00A32D85" w:rsidRDefault="00793000" w:rsidP="00AC5B1C">
            <w:pPr>
              <w:rPr>
                <w:sz w:val="16"/>
                <w:szCs w:val="16"/>
                <w:lang w:val="lv-LV"/>
              </w:rPr>
            </w:pPr>
          </w:p>
        </w:tc>
        <w:tc>
          <w:tcPr>
            <w:tcW w:w="1835" w:type="dxa"/>
            <w:tcBorders>
              <w:top w:val="single" w:sz="4" w:space="0" w:color="auto"/>
              <w:left w:val="single" w:sz="4" w:space="0" w:color="auto"/>
              <w:bottom w:val="single" w:sz="4" w:space="0" w:color="auto"/>
              <w:right w:val="single" w:sz="4" w:space="0" w:color="auto"/>
            </w:tcBorders>
          </w:tcPr>
          <w:p w14:paraId="1D63EAC2" w14:textId="77777777" w:rsidR="00793000" w:rsidRPr="00793000" w:rsidRDefault="00793000" w:rsidP="00AC5B1C">
            <w:pPr>
              <w:rPr>
                <w:sz w:val="16"/>
                <w:szCs w:val="16"/>
                <w:lang w:val="lv-LV"/>
              </w:rPr>
            </w:pPr>
            <w:r w:rsidRPr="00793000">
              <w:rPr>
                <w:sz w:val="16"/>
                <w:szCs w:val="16"/>
                <w:lang w:val="lv-LV"/>
              </w:rPr>
              <w:t>Kopējais programmai pieejamais finansējums ir EUR 11 205 406 ekvivalents latos, tai skaitā Eiropas Ekonomikas zonas finanšu instrumenta līdzfinansējums EUR 10 365 000 ekvivalents latos un Latvijas valsts budžeta līdzfinansējums EUR 840 406 ekvivalents latos.</w:t>
            </w:r>
          </w:p>
          <w:p w14:paraId="1D31CDF3" w14:textId="77777777" w:rsidR="00793000" w:rsidRPr="00A32D85" w:rsidRDefault="00793000" w:rsidP="00AC5B1C">
            <w:pPr>
              <w:rPr>
                <w:sz w:val="16"/>
                <w:szCs w:val="16"/>
                <w:lang w:val="lv-LV"/>
              </w:rPr>
            </w:pPr>
          </w:p>
        </w:tc>
        <w:tc>
          <w:tcPr>
            <w:tcW w:w="1131" w:type="dxa"/>
            <w:tcBorders>
              <w:top w:val="single" w:sz="4" w:space="0" w:color="auto"/>
              <w:left w:val="single" w:sz="4" w:space="0" w:color="auto"/>
              <w:bottom w:val="single" w:sz="4" w:space="0" w:color="auto"/>
              <w:right w:val="single" w:sz="4" w:space="0" w:color="auto"/>
            </w:tcBorders>
          </w:tcPr>
          <w:p w14:paraId="1AB6A2F8" w14:textId="626E6613" w:rsidR="00793000" w:rsidRPr="00A32D85" w:rsidRDefault="00793000" w:rsidP="00AC5B1C">
            <w:pPr>
              <w:jc w:val="both"/>
              <w:rPr>
                <w:sz w:val="16"/>
                <w:szCs w:val="16"/>
                <w:lang w:val="lv-LV"/>
              </w:rPr>
            </w:pPr>
            <w:r w:rsidRPr="00A32D85">
              <w:rPr>
                <w:sz w:val="16"/>
                <w:szCs w:val="16"/>
                <w:lang w:val="lv-LV"/>
              </w:rPr>
              <w:t>Esošs</w:t>
            </w:r>
            <w:r w:rsidR="00E834E5">
              <w:rPr>
                <w:sz w:val="16"/>
                <w:szCs w:val="16"/>
                <w:lang w:val="lv-LV"/>
              </w:rPr>
              <w:t xml:space="preserve">, papildina </w:t>
            </w:r>
            <w:r w:rsidR="00504C34">
              <w:rPr>
                <w:sz w:val="16"/>
                <w:szCs w:val="16"/>
                <w:lang w:val="lv-LV"/>
              </w:rPr>
              <w:t>rīcības plānu</w:t>
            </w:r>
          </w:p>
        </w:tc>
        <w:tc>
          <w:tcPr>
            <w:tcW w:w="1274" w:type="dxa"/>
            <w:tcBorders>
              <w:top w:val="single" w:sz="4" w:space="0" w:color="auto"/>
              <w:left w:val="single" w:sz="4" w:space="0" w:color="auto"/>
              <w:bottom w:val="single" w:sz="4" w:space="0" w:color="auto"/>
              <w:right w:val="single" w:sz="4" w:space="0" w:color="auto"/>
            </w:tcBorders>
          </w:tcPr>
          <w:p w14:paraId="6B96C6B4" w14:textId="77777777" w:rsidR="00793000" w:rsidRPr="00A32D85" w:rsidRDefault="00793000" w:rsidP="00AC5B1C">
            <w:pPr>
              <w:jc w:val="both"/>
              <w:rPr>
                <w:sz w:val="16"/>
                <w:szCs w:val="16"/>
                <w:lang w:val="lv-LV"/>
              </w:rPr>
            </w:pPr>
            <w:r>
              <w:rPr>
                <w:sz w:val="16"/>
                <w:szCs w:val="16"/>
                <w:lang w:val="lv-LV"/>
              </w:rPr>
              <w:t>Projektu ieviešanas noslēgums plānots 2016.</w:t>
            </w:r>
            <w:r w:rsidRPr="00EB0036">
              <w:rPr>
                <w:sz w:val="16"/>
                <w:szCs w:val="16"/>
                <w:lang w:val="lv-LV"/>
              </w:rPr>
              <w:t>gada</w:t>
            </w:r>
            <w:r>
              <w:rPr>
                <w:sz w:val="16"/>
                <w:szCs w:val="16"/>
                <w:lang w:val="lv-LV"/>
              </w:rPr>
              <w:t xml:space="preserve"> beigās</w:t>
            </w:r>
          </w:p>
        </w:tc>
      </w:tr>
      <w:tr w:rsidR="00E834E5" w:rsidRPr="00E834E5" w14:paraId="188DB63D"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45" w:type="dxa"/>
            <w:tcBorders>
              <w:top w:val="single" w:sz="4" w:space="0" w:color="auto"/>
              <w:left w:val="single" w:sz="4" w:space="0" w:color="auto"/>
              <w:bottom w:val="single" w:sz="4" w:space="0" w:color="auto"/>
              <w:right w:val="single" w:sz="4" w:space="0" w:color="auto"/>
            </w:tcBorders>
          </w:tcPr>
          <w:p w14:paraId="682F066B" w14:textId="77777777" w:rsidR="00E834E5" w:rsidRPr="00E834E5" w:rsidRDefault="00E834E5" w:rsidP="00D86569">
            <w:pPr>
              <w:jc w:val="both"/>
              <w:rPr>
                <w:sz w:val="16"/>
                <w:szCs w:val="16"/>
                <w:lang w:val="lv-LV"/>
              </w:rPr>
            </w:pPr>
            <w:r w:rsidRPr="00E834E5">
              <w:rPr>
                <w:sz w:val="16"/>
                <w:szCs w:val="16"/>
                <w:lang w:val="lv-LV"/>
              </w:rPr>
              <w:t>2</w:t>
            </w:r>
            <w:r w:rsidR="00D86569">
              <w:rPr>
                <w:sz w:val="16"/>
                <w:szCs w:val="16"/>
                <w:lang w:val="lv-LV"/>
              </w:rPr>
              <w:t>2</w:t>
            </w:r>
            <w:r w:rsidRPr="00E834E5">
              <w:rPr>
                <w:sz w:val="16"/>
                <w:szCs w:val="16"/>
                <w:lang w:val="lv-LV"/>
              </w:rPr>
              <w:t>. Norvēģijas finanšu instrumenta 2009.- 2014.gadam programma “Inovācijas zaļās ražošanas jomā”</w:t>
            </w:r>
          </w:p>
        </w:tc>
        <w:tc>
          <w:tcPr>
            <w:tcW w:w="1412" w:type="dxa"/>
            <w:tcBorders>
              <w:top w:val="single" w:sz="4" w:space="0" w:color="auto"/>
              <w:left w:val="single" w:sz="4" w:space="0" w:color="auto"/>
              <w:bottom w:val="single" w:sz="4" w:space="0" w:color="auto"/>
              <w:right w:val="single" w:sz="4" w:space="0" w:color="auto"/>
            </w:tcBorders>
          </w:tcPr>
          <w:p w14:paraId="6F162A68" w14:textId="77777777" w:rsidR="00E834E5" w:rsidRPr="00E834E5" w:rsidRDefault="00E834E5" w:rsidP="00AC5B1C">
            <w:pPr>
              <w:jc w:val="both"/>
              <w:rPr>
                <w:sz w:val="16"/>
                <w:szCs w:val="16"/>
                <w:lang w:val="lv-LV"/>
              </w:rPr>
            </w:pPr>
            <w:r w:rsidRPr="00E834E5">
              <w:rPr>
                <w:sz w:val="16"/>
                <w:szCs w:val="16"/>
                <w:lang w:val="lv-LV"/>
              </w:rPr>
              <w:t>Finansiāls (Norvēģijas finanšu instrumenta 2009.- 2014.gadam programmas Latvijai ietvaros)</w:t>
            </w:r>
          </w:p>
        </w:tc>
        <w:tc>
          <w:tcPr>
            <w:tcW w:w="1694" w:type="dxa"/>
            <w:tcBorders>
              <w:top w:val="single" w:sz="4" w:space="0" w:color="auto"/>
              <w:left w:val="single" w:sz="4" w:space="0" w:color="auto"/>
              <w:bottom w:val="single" w:sz="4" w:space="0" w:color="auto"/>
              <w:right w:val="single" w:sz="4" w:space="0" w:color="auto"/>
            </w:tcBorders>
          </w:tcPr>
          <w:p w14:paraId="4065DB6E" w14:textId="77777777" w:rsidR="00E834E5" w:rsidRPr="00B62E7E" w:rsidRDefault="00B62E7E" w:rsidP="00F453E2">
            <w:pPr>
              <w:autoSpaceDE w:val="0"/>
              <w:autoSpaceDN w:val="0"/>
              <w:adjustRightInd w:val="0"/>
              <w:jc w:val="both"/>
              <w:rPr>
                <w:snapToGrid/>
                <w:color w:val="000000"/>
                <w:sz w:val="16"/>
                <w:szCs w:val="16"/>
                <w:lang w:val="lv-LV" w:eastAsia="lv-LV"/>
              </w:rPr>
            </w:pPr>
            <w:r w:rsidRPr="00B62E7E">
              <w:rPr>
                <w:snapToGrid/>
                <w:color w:val="000000"/>
                <w:sz w:val="16"/>
                <w:szCs w:val="16"/>
                <w:lang w:val="lv-LV" w:eastAsia="lv-LV"/>
              </w:rPr>
              <w:t>Paredzēts, lai veicinātu AE ražošanu, „zaļu”</w:t>
            </w:r>
            <w:r w:rsidR="00051A73">
              <w:rPr>
                <w:snapToGrid/>
                <w:color w:val="000000"/>
                <w:sz w:val="16"/>
                <w:szCs w:val="16"/>
                <w:lang w:val="lv-LV" w:eastAsia="lv-LV"/>
              </w:rPr>
              <w:t xml:space="preserve"> </w:t>
            </w:r>
            <w:r w:rsidRPr="00B62E7E">
              <w:rPr>
                <w:snapToGrid/>
                <w:color w:val="000000"/>
                <w:sz w:val="16"/>
                <w:szCs w:val="16"/>
                <w:lang w:val="lv-LV" w:eastAsia="lv-LV"/>
              </w:rPr>
              <w:t xml:space="preserve">un </w:t>
            </w:r>
            <w:proofErr w:type="spellStart"/>
            <w:r w:rsidRPr="00B62E7E">
              <w:rPr>
                <w:snapToGrid/>
                <w:color w:val="000000"/>
                <w:sz w:val="16"/>
                <w:szCs w:val="16"/>
                <w:lang w:val="lv-LV" w:eastAsia="lv-LV"/>
              </w:rPr>
              <w:t>energoefektīvu</w:t>
            </w:r>
            <w:proofErr w:type="spellEnd"/>
            <w:r w:rsidRPr="00B62E7E">
              <w:rPr>
                <w:snapToGrid/>
                <w:color w:val="000000"/>
                <w:sz w:val="16"/>
                <w:szCs w:val="16"/>
                <w:lang w:val="lv-LV" w:eastAsia="lv-LV"/>
              </w:rPr>
              <w:t xml:space="preserve"> preču un materiālu ražošanu, </w:t>
            </w:r>
            <w:r w:rsidR="00F453E2">
              <w:rPr>
                <w:snapToGrid/>
                <w:color w:val="000000"/>
                <w:sz w:val="16"/>
                <w:szCs w:val="16"/>
                <w:lang w:val="lv-LV" w:eastAsia="lv-LV"/>
              </w:rPr>
              <w:t>„</w:t>
            </w:r>
            <w:r w:rsidRPr="00B62E7E">
              <w:rPr>
                <w:snapToGrid/>
                <w:color w:val="000000"/>
                <w:sz w:val="16"/>
                <w:szCs w:val="16"/>
                <w:lang w:val="lv-LV" w:eastAsia="lv-LV"/>
              </w:rPr>
              <w:t>tīr</w:t>
            </w:r>
            <w:r w:rsidR="00F453E2">
              <w:rPr>
                <w:snapToGrid/>
                <w:color w:val="000000"/>
                <w:sz w:val="16"/>
                <w:szCs w:val="16"/>
                <w:lang w:val="lv-LV" w:eastAsia="lv-LV"/>
              </w:rPr>
              <w:t>as” enerģijas izmantošanu</w:t>
            </w:r>
            <w:r w:rsidRPr="00B62E7E">
              <w:rPr>
                <w:snapToGrid/>
                <w:color w:val="000000"/>
                <w:sz w:val="16"/>
                <w:szCs w:val="16"/>
                <w:lang w:val="lv-LV" w:eastAsia="lv-LV"/>
              </w:rPr>
              <w:t xml:space="preserve"> transport</w:t>
            </w:r>
            <w:r w:rsidR="00F453E2">
              <w:rPr>
                <w:snapToGrid/>
                <w:color w:val="000000"/>
                <w:sz w:val="16"/>
                <w:szCs w:val="16"/>
                <w:lang w:val="lv-LV" w:eastAsia="lv-LV"/>
              </w:rPr>
              <w:t>ā</w:t>
            </w:r>
            <w:r w:rsidRPr="00B62E7E">
              <w:rPr>
                <w:snapToGrid/>
                <w:color w:val="000000"/>
                <w:sz w:val="16"/>
                <w:szCs w:val="16"/>
                <w:lang w:val="lv-LV" w:eastAsia="lv-LV"/>
              </w:rPr>
              <w:t>, ūdensapgād</w:t>
            </w:r>
            <w:r w:rsidR="00F453E2">
              <w:rPr>
                <w:snapToGrid/>
                <w:color w:val="000000"/>
                <w:sz w:val="16"/>
                <w:szCs w:val="16"/>
                <w:lang w:val="lv-LV" w:eastAsia="lv-LV"/>
              </w:rPr>
              <w:t>ē</w:t>
            </w:r>
            <w:r w:rsidRPr="00B62E7E">
              <w:rPr>
                <w:snapToGrid/>
                <w:color w:val="000000"/>
                <w:sz w:val="16"/>
                <w:szCs w:val="16"/>
                <w:lang w:val="lv-LV" w:eastAsia="lv-LV"/>
              </w:rPr>
              <w:t>, atkritumu apstrād</w:t>
            </w:r>
            <w:r w:rsidR="00F453E2">
              <w:rPr>
                <w:snapToGrid/>
                <w:color w:val="000000"/>
                <w:sz w:val="16"/>
                <w:szCs w:val="16"/>
                <w:lang w:val="lv-LV" w:eastAsia="lv-LV"/>
              </w:rPr>
              <w:t>ē</w:t>
            </w:r>
            <w:r w:rsidRPr="00B62E7E">
              <w:rPr>
                <w:snapToGrid/>
                <w:color w:val="000000"/>
                <w:sz w:val="16"/>
                <w:szCs w:val="16"/>
                <w:lang w:val="lv-LV" w:eastAsia="lv-LV"/>
              </w:rPr>
              <w:t xml:space="preserve">, </w:t>
            </w:r>
            <w:proofErr w:type="spellStart"/>
            <w:r w:rsidRPr="00B62E7E">
              <w:rPr>
                <w:snapToGrid/>
                <w:color w:val="000000"/>
                <w:sz w:val="16"/>
                <w:szCs w:val="16"/>
                <w:lang w:val="lv-LV" w:eastAsia="lv-LV"/>
              </w:rPr>
              <w:t>ekodizainam</w:t>
            </w:r>
            <w:proofErr w:type="spellEnd"/>
            <w:r w:rsidRPr="00B62E7E">
              <w:rPr>
                <w:snapToGrid/>
                <w:color w:val="000000"/>
                <w:sz w:val="16"/>
                <w:szCs w:val="16"/>
                <w:lang w:val="lv-LV" w:eastAsia="lv-LV"/>
              </w:rPr>
              <w:t xml:space="preserve"> vai citiem uzlabojumiem produktos, tehnoloģijās vai procesos citās sfērās, kas dod ieguldījumu energoefektivitātē, </w:t>
            </w:r>
            <w:r w:rsidR="00051A73">
              <w:rPr>
                <w:snapToGrid/>
                <w:color w:val="000000"/>
                <w:sz w:val="16"/>
                <w:szCs w:val="16"/>
                <w:lang w:val="lv-LV" w:eastAsia="lv-LV"/>
              </w:rPr>
              <w:t xml:space="preserve">samazina </w:t>
            </w:r>
            <w:r w:rsidRPr="00B62E7E">
              <w:rPr>
                <w:snapToGrid/>
                <w:color w:val="000000"/>
                <w:sz w:val="16"/>
                <w:szCs w:val="16"/>
                <w:lang w:val="lv-LV" w:eastAsia="lv-LV"/>
              </w:rPr>
              <w:t>emisij</w:t>
            </w:r>
            <w:r w:rsidR="00051A73">
              <w:rPr>
                <w:snapToGrid/>
                <w:color w:val="000000"/>
                <w:sz w:val="16"/>
                <w:szCs w:val="16"/>
                <w:lang w:val="lv-LV" w:eastAsia="lv-LV"/>
              </w:rPr>
              <w:t>a</w:t>
            </w:r>
            <w:r w:rsidRPr="00B62E7E">
              <w:rPr>
                <w:snapToGrid/>
                <w:color w:val="000000"/>
                <w:sz w:val="16"/>
                <w:szCs w:val="16"/>
                <w:lang w:val="lv-LV" w:eastAsia="lv-LV"/>
              </w:rPr>
              <w:t xml:space="preserve">s vai resursu patēriņu. </w:t>
            </w:r>
          </w:p>
        </w:tc>
        <w:tc>
          <w:tcPr>
            <w:tcW w:w="1835" w:type="dxa"/>
            <w:tcBorders>
              <w:top w:val="single" w:sz="4" w:space="0" w:color="auto"/>
              <w:left w:val="single" w:sz="4" w:space="0" w:color="auto"/>
              <w:bottom w:val="single" w:sz="4" w:space="0" w:color="auto"/>
              <w:right w:val="single" w:sz="4" w:space="0" w:color="auto"/>
            </w:tcBorders>
          </w:tcPr>
          <w:p w14:paraId="1E9FEA59" w14:textId="77777777" w:rsidR="00EB0036" w:rsidRDefault="00EB0036" w:rsidP="00EB0036">
            <w:pPr>
              <w:pStyle w:val="NormalWeb"/>
              <w:rPr>
                <w:rFonts w:ascii="Verdana" w:hAnsi="Verdana"/>
                <w:sz w:val="18"/>
                <w:szCs w:val="18"/>
              </w:rPr>
            </w:pPr>
            <w:r w:rsidRPr="00EB0036">
              <w:rPr>
                <w:sz w:val="16"/>
                <w:szCs w:val="16"/>
              </w:rPr>
              <w:t xml:space="preserve">Programmas kopējais finansējums </w:t>
            </w:r>
            <w:r w:rsidR="00646815">
              <w:rPr>
                <w:sz w:val="16"/>
                <w:szCs w:val="16"/>
              </w:rPr>
              <w:t>–</w:t>
            </w:r>
            <w:r w:rsidRPr="00EB0036">
              <w:rPr>
                <w:sz w:val="16"/>
                <w:szCs w:val="16"/>
              </w:rPr>
              <w:t xml:space="preserve"> 12</w:t>
            </w:r>
            <w:r w:rsidR="00646815">
              <w:rPr>
                <w:sz w:val="16"/>
                <w:szCs w:val="16"/>
              </w:rPr>
              <w:t xml:space="preserve"> </w:t>
            </w:r>
            <w:r w:rsidRPr="00EB0036">
              <w:rPr>
                <w:sz w:val="16"/>
                <w:szCs w:val="16"/>
              </w:rPr>
              <w:t>586</w:t>
            </w:r>
            <w:r w:rsidR="00646815">
              <w:rPr>
                <w:sz w:val="16"/>
                <w:szCs w:val="16"/>
              </w:rPr>
              <w:t xml:space="preserve"> </w:t>
            </w:r>
            <w:r w:rsidRPr="00EB0036">
              <w:rPr>
                <w:sz w:val="16"/>
                <w:szCs w:val="16"/>
              </w:rPr>
              <w:t>667 EUR.</w:t>
            </w:r>
            <w:r>
              <w:rPr>
                <w:sz w:val="16"/>
                <w:szCs w:val="16"/>
              </w:rPr>
              <w:t xml:space="preserve"> </w:t>
            </w:r>
            <w:r w:rsidRPr="00EB0036">
              <w:rPr>
                <w:sz w:val="16"/>
                <w:szCs w:val="16"/>
              </w:rPr>
              <w:t xml:space="preserve">Norvēģijas finanšu instrumenta līdzfinansējums </w:t>
            </w:r>
            <w:r w:rsidR="00646815">
              <w:rPr>
                <w:sz w:val="16"/>
                <w:szCs w:val="16"/>
              </w:rPr>
              <w:t>–</w:t>
            </w:r>
            <w:r w:rsidRPr="00EB0036">
              <w:rPr>
                <w:sz w:val="16"/>
                <w:szCs w:val="16"/>
              </w:rPr>
              <w:t xml:space="preserve"> 11</w:t>
            </w:r>
            <w:r w:rsidR="00646815">
              <w:rPr>
                <w:sz w:val="16"/>
                <w:szCs w:val="16"/>
              </w:rPr>
              <w:t xml:space="preserve"> </w:t>
            </w:r>
            <w:r w:rsidRPr="00EB0036">
              <w:rPr>
                <w:sz w:val="16"/>
                <w:szCs w:val="16"/>
              </w:rPr>
              <w:t>328</w:t>
            </w:r>
            <w:r w:rsidR="00646815">
              <w:rPr>
                <w:sz w:val="16"/>
                <w:szCs w:val="16"/>
              </w:rPr>
              <w:t xml:space="preserve"> </w:t>
            </w:r>
            <w:r w:rsidRPr="00EB0036">
              <w:rPr>
                <w:sz w:val="16"/>
                <w:szCs w:val="16"/>
              </w:rPr>
              <w:t>000 EUR.</w:t>
            </w:r>
            <w:r>
              <w:rPr>
                <w:sz w:val="16"/>
                <w:szCs w:val="16"/>
              </w:rPr>
              <w:t xml:space="preserve"> </w:t>
            </w:r>
            <w:r w:rsidRPr="00EB0036">
              <w:rPr>
                <w:sz w:val="16"/>
                <w:szCs w:val="16"/>
              </w:rPr>
              <w:t xml:space="preserve">Latvijas valsts finansējums </w:t>
            </w:r>
            <w:r w:rsidR="00646815">
              <w:rPr>
                <w:sz w:val="16"/>
                <w:szCs w:val="16"/>
              </w:rPr>
              <w:t>–</w:t>
            </w:r>
            <w:r w:rsidRPr="00EB0036">
              <w:rPr>
                <w:sz w:val="16"/>
                <w:szCs w:val="16"/>
              </w:rPr>
              <w:t xml:space="preserve"> 1</w:t>
            </w:r>
            <w:r w:rsidR="00646815">
              <w:rPr>
                <w:sz w:val="16"/>
                <w:szCs w:val="16"/>
              </w:rPr>
              <w:t xml:space="preserve"> </w:t>
            </w:r>
            <w:r w:rsidRPr="00EB0036">
              <w:rPr>
                <w:sz w:val="16"/>
                <w:szCs w:val="16"/>
              </w:rPr>
              <w:t>258</w:t>
            </w:r>
            <w:r w:rsidR="00646815">
              <w:rPr>
                <w:sz w:val="16"/>
                <w:szCs w:val="16"/>
              </w:rPr>
              <w:t xml:space="preserve"> </w:t>
            </w:r>
            <w:r w:rsidRPr="00EB0036">
              <w:rPr>
                <w:sz w:val="16"/>
                <w:szCs w:val="16"/>
              </w:rPr>
              <w:t>667 EUR</w:t>
            </w:r>
            <w:r>
              <w:rPr>
                <w:rFonts w:ascii="Verdana" w:hAnsi="Verdana"/>
                <w:sz w:val="18"/>
                <w:szCs w:val="18"/>
              </w:rPr>
              <w:t>.</w:t>
            </w:r>
          </w:p>
          <w:p w14:paraId="77EE1492" w14:textId="77777777" w:rsidR="00E834E5" w:rsidRPr="00E834E5" w:rsidRDefault="00E834E5" w:rsidP="00AC5B1C">
            <w:pPr>
              <w:rPr>
                <w:sz w:val="16"/>
                <w:szCs w:val="16"/>
                <w:lang w:val="lv-LV"/>
              </w:rPr>
            </w:pPr>
          </w:p>
        </w:tc>
        <w:tc>
          <w:tcPr>
            <w:tcW w:w="1131" w:type="dxa"/>
            <w:tcBorders>
              <w:top w:val="single" w:sz="4" w:space="0" w:color="auto"/>
              <w:left w:val="single" w:sz="4" w:space="0" w:color="auto"/>
              <w:bottom w:val="single" w:sz="4" w:space="0" w:color="auto"/>
              <w:right w:val="single" w:sz="4" w:space="0" w:color="auto"/>
            </w:tcBorders>
          </w:tcPr>
          <w:p w14:paraId="039826BE" w14:textId="02E5D831" w:rsidR="00E834E5" w:rsidRPr="000477FA" w:rsidRDefault="00EB0036" w:rsidP="00AC5B1C">
            <w:pPr>
              <w:jc w:val="both"/>
              <w:rPr>
                <w:sz w:val="16"/>
                <w:szCs w:val="16"/>
                <w:lang w:val="lv-LV"/>
              </w:rPr>
            </w:pPr>
            <w:r w:rsidRPr="0039420A">
              <w:rPr>
                <w:sz w:val="16"/>
                <w:szCs w:val="16"/>
                <w:lang w:val="lv-LV"/>
              </w:rPr>
              <w:t>Esošs</w:t>
            </w:r>
            <w:r w:rsidRPr="000477FA">
              <w:rPr>
                <w:sz w:val="16"/>
                <w:szCs w:val="16"/>
                <w:lang w:val="lv-LV"/>
              </w:rPr>
              <w:t xml:space="preserve">, papildina </w:t>
            </w:r>
            <w:r w:rsidR="00504C34" w:rsidRPr="000477FA">
              <w:rPr>
                <w:sz w:val="16"/>
                <w:szCs w:val="16"/>
                <w:lang w:val="lv-LV"/>
              </w:rPr>
              <w:t>rīcības plānu</w:t>
            </w:r>
          </w:p>
        </w:tc>
        <w:tc>
          <w:tcPr>
            <w:tcW w:w="1274" w:type="dxa"/>
            <w:tcBorders>
              <w:top w:val="single" w:sz="4" w:space="0" w:color="auto"/>
              <w:left w:val="single" w:sz="4" w:space="0" w:color="auto"/>
              <w:bottom w:val="single" w:sz="4" w:space="0" w:color="auto"/>
              <w:right w:val="single" w:sz="4" w:space="0" w:color="auto"/>
            </w:tcBorders>
          </w:tcPr>
          <w:p w14:paraId="7F130AAE" w14:textId="77777777" w:rsidR="00E834E5" w:rsidRPr="0039420A" w:rsidRDefault="00EB0036" w:rsidP="00AC5B1C">
            <w:pPr>
              <w:jc w:val="both"/>
              <w:rPr>
                <w:sz w:val="16"/>
                <w:szCs w:val="16"/>
                <w:lang w:val="lv-LV"/>
              </w:rPr>
            </w:pPr>
            <w:r w:rsidRPr="000477FA">
              <w:rPr>
                <w:sz w:val="16"/>
                <w:szCs w:val="16"/>
                <w:lang w:val="lv-LV"/>
              </w:rPr>
              <w:t>2009.- 2014.gad</w:t>
            </w:r>
            <w:r w:rsidRPr="00EB716E">
              <w:rPr>
                <w:sz w:val="16"/>
                <w:szCs w:val="16"/>
                <w:lang w:val="lv-LV"/>
              </w:rPr>
              <w:t>s</w:t>
            </w:r>
          </w:p>
        </w:tc>
      </w:tr>
      <w:tr w:rsidR="0003570F" w:rsidRPr="00E834E5" w14:paraId="65A44A3F"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45" w:type="dxa"/>
            <w:tcBorders>
              <w:top w:val="single" w:sz="4" w:space="0" w:color="auto"/>
              <w:left w:val="single" w:sz="4" w:space="0" w:color="auto"/>
              <w:bottom w:val="single" w:sz="4" w:space="0" w:color="auto"/>
              <w:right w:val="single" w:sz="4" w:space="0" w:color="auto"/>
            </w:tcBorders>
          </w:tcPr>
          <w:p w14:paraId="6132CFCB" w14:textId="6EE65D2F" w:rsidR="0003570F" w:rsidRPr="00E834E5" w:rsidRDefault="0003570F" w:rsidP="001344DE">
            <w:pPr>
              <w:jc w:val="both"/>
              <w:rPr>
                <w:sz w:val="16"/>
                <w:szCs w:val="16"/>
                <w:lang w:val="lv-LV"/>
              </w:rPr>
            </w:pPr>
            <w:r w:rsidRPr="002F1911">
              <w:rPr>
                <w:sz w:val="16"/>
                <w:szCs w:val="16"/>
              </w:rPr>
              <w:t>2</w:t>
            </w:r>
            <w:r>
              <w:rPr>
                <w:sz w:val="16"/>
                <w:szCs w:val="16"/>
              </w:rPr>
              <w:t>3</w:t>
            </w:r>
            <w:r w:rsidRPr="002F1911">
              <w:rPr>
                <w:sz w:val="16"/>
                <w:szCs w:val="16"/>
              </w:rPr>
              <w:t xml:space="preserve">. AER </w:t>
            </w:r>
            <w:proofErr w:type="spellStart"/>
            <w:r w:rsidRPr="002F1911">
              <w:rPr>
                <w:sz w:val="16"/>
                <w:szCs w:val="16"/>
              </w:rPr>
              <w:t>izmantojošu</w:t>
            </w:r>
            <w:proofErr w:type="spellEnd"/>
            <w:r w:rsidRPr="002F1911">
              <w:rPr>
                <w:sz w:val="16"/>
                <w:szCs w:val="16"/>
              </w:rPr>
              <w:t xml:space="preserve"> </w:t>
            </w:r>
            <w:proofErr w:type="spellStart"/>
            <w:r w:rsidRPr="002F1911">
              <w:rPr>
                <w:sz w:val="16"/>
                <w:szCs w:val="16"/>
              </w:rPr>
              <w:t>koģenerācijas</w:t>
            </w:r>
            <w:proofErr w:type="spellEnd"/>
            <w:r w:rsidRPr="002F1911">
              <w:rPr>
                <w:sz w:val="16"/>
                <w:szCs w:val="16"/>
              </w:rPr>
              <w:t xml:space="preserve"> </w:t>
            </w:r>
            <w:proofErr w:type="spellStart"/>
            <w:r w:rsidRPr="002F1911">
              <w:rPr>
                <w:sz w:val="16"/>
                <w:szCs w:val="16"/>
              </w:rPr>
              <w:t>elektrostaciju</w:t>
            </w:r>
            <w:proofErr w:type="spellEnd"/>
            <w:r w:rsidRPr="002F1911">
              <w:rPr>
                <w:sz w:val="16"/>
                <w:szCs w:val="16"/>
              </w:rPr>
              <w:t xml:space="preserve"> </w:t>
            </w:r>
            <w:proofErr w:type="spellStart"/>
            <w:r w:rsidRPr="002F1911">
              <w:rPr>
                <w:sz w:val="16"/>
                <w:szCs w:val="16"/>
              </w:rPr>
              <w:t>attīstība</w:t>
            </w:r>
            <w:proofErr w:type="spellEnd"/>
            <w:r>
              <w:rPr>
                <w:sz w:val="16"/>
                <w:szCs w:val="16"/>
              </w:rPr>
              <w:br/>
            </w:r>
            <w:r w:rsidR="00173D5B">
              <w:rPr>
                <w:sz w:val="16"/>
                <w:szCs w:val="16"/>
                <w:lang w:val="lv-LV"/>
              </w:rPr>
              <w:t>(MK</w:t>
            </w:r>
            <w:r w:rsidR="00173D5B" w:rsidRPr="00173D5B">
              <w:rPr>
                <w:sz w:val="16"/>
                <w:szCs w:val="16"/>
                <w:lang w:val="lv-LV"/>
              </w:rPr>
              <w:t xml:space="preserve"> 2009.</w:t>
            </w:r>
            <w:r w:rsidR="00173D5B">
              <w:rPr>
                <w:sz w:val="16"/>
                <w:szCs w:val="16"/>
                <w:lang w:val="lv-LV"/>
              </w:rPr>
              <w:t> </w:t>
            </w:r>
            <w:r w:rsidR="00173D5B" w:rsidRPr="00173D5B">
              <w:rPr>
                <w:sz w:val="16"/>
                <w:szCs w:val="16"/>
                <w:lang w:val="lv-LV"/>
              </w:rPr>
              <w:t>gada 17.</w:t>
            </w:r>
            <w:r w:rsidR="00173D5B">
              <w:rPr>
                <w:sz w:val="16"/>
                <w:szCs w:val="16"/>
                <w:lang w:val="lv-LV"/>
              </w:rPr>
              <w:t> </w:t>
            </w:r>
            <w:r w:rsidR="00173D5B" w:rsidRPr="00173D5B">
              <w:rPr>
                <w:sz w:val="16"/>
                <w:szCs w:val="16"/>
                <w:lang w:val="lv-LV"/>
              </w:rPr>
              <w:t xml:space="preserve">februāra noteikumi </w:t>
            </w:r>
            <w:proofErr w:type="spellStart"/>
            <w:r w:rsidR="00173D5B" w:rsidRPr="00173D5B">
              <w:rPr>
                <w:sz w:val="16"/>
                <w:szCs w:val="16"/>
                <w:lang w:val="lv-LV"/>
              </w:rPr>
              <w:t>Nr</w:t>
            </w:r>
            <w:proofErr w:type="spellEnd"/>
            <w:r w:rsidR="00173D5B" w:rsidRPr="00173D5B">
              <w:rPr>
                <w:sz w:val="16"/>
                <w:szCs w:val="16"/>
                <w:lang w:val="lv-LV"/>
              </w:rPr>
              <w:t>.</w:t>
            </w:r>
            <w:r w:rsidR="00173D5B">
              <w:rPr>
                <w:sz w:val="16"/>
                <w:szCs w:val="16"/>
                <w:lang w:val="lv-LV"/>
              </w:rPr>
              <w:t> </w:t>
            </w:r>
            <w:r w:rsidR="00173D5B" w:rsidRPr="00173D5B">
              <w:rPr>
                <w:sz w:val="16"/>
                <w:szCs w:val="16"/>
                <w:lang w:val="lv-LV"/>
              </w:rPr>
              <w:t xml:space="preserve">165 </w:t>
            </w:r>
            <w:r w:rsidR="00173D5B" w:rsidRPr="00173D5B">
              <w:rPr>
                <w:bCs/>
                <w:sz w:val="16"/>
                <w:szCs w:val="16"/>
                <w:lang w:val="lv-LV"/>
              </w:rPr>
              <w:t>„</w:t>
            </w:r>
            <w:r w:rsidR="00173D5B" w:rsidRPr="00173D5B">
              <w:rPr>
                <w:sz w:val="16"/>
                <w:szCs w:val="16"/>
                <w:lang w:val="lv-LV"/>
              </w:rPr>
              <w:t xml:space="preserve">Noteikumi par darbības programmas </w:t>
            </w:r>
            <w:r w:rsidR="00173D5B" w:rsidRPr="00173D5B">
              <w:rPr>
                <w:bCs/>
                <w:sz w:val="16"/>
                <w:szCs w:val="16"/>
                <w:lang w:val="lv-LV"/>
              </w:rPr>
              <w:t>„</w:t>
            </w:r>
            <w:r w:rsidR="00173D5B" w:rsidRPr="00173D5B">
              <w:rPr>
                <w:sz w:val="16"/>
                <w:szCs w:val="16"/>
                <w:lang w:val="lv-LV"/>
              </w:rPr>
              <w:t xml:space="preserve">Infrastruktūra un pakalpojumi” papildinājuma 3.5.2.2.aktivitāti </w:t>
            </w:r>
            <w:r w:rsidR="00173D5B" w:rsidRPr="00173D5B">
              <w:rPr>
                <w:bCs/>
                <w:sz w:val="16"/>
                <w:szCs w:val="16"/>
                <w:lang w:val="lv-LV"/>
              </w:rPr>
              <w:t>„</w:t>
            </w:r>
            <w:r w:rsidR="00173D5B" w:rsidRPr="00173D5B">
              <w:rPr>
                <w:sz w:val="16"/>
                <w:szCs w:val="16"/>
                <w:lang w:val="lv-LV"/>
              </w:rPr>
              <w:t>Atjaunojamo energoresursu izmantojošu koģenerācijas elektrostaciju attīstība””</w:t>
            </w:r>
            <w:r w:rsidR="00173D5B">
              <w:rPr>
                <w:sz w:val="16"/>
                <w:szCs w:val="16"/>
                <w:lang w:val="lv-LV"/>
              </w:rPr>
              <w:t>)</w:t>
            </w:r>
          </w:p>
        </w:tc>
        <w:tc>
          <w:tcPr>
            <w:tcW w:w="1412" w:type="dxa"/>
            <w:tcBorders>
              <w:top w:val="single" w:sz="4" w:space="0" w:color="auto"/>
              <w:left w:val="single" w:sz="4" w:space="0" w:color="auto"/>
              <w:bottom w:val="single" w:sz="4" w:space="0" w:color="auto"/>
              <w:right w:val="single" w:sz="4" w:space="0" w:color="auto"/>
            </w:tcBorders>
          </w:tcPr>
          <w:p w14:paraId="755A94E8" w14:textId="1B80EAAB" w:rsidR="0003570F" w:rsidRPr="00E834E5" w:rsidRDefault="0003570F" w:rsidP="00AC5B1C">
            <w:pPr>
              <w:jc w:val="both"/>
              <w:rPr>
                <w:sz w:val="16"/>
                <w:szCs w:val="16"/>
                <w:lang w:val="lv-LV"/>
              </w:rPr>
            </w:pPr>
            <w:proofErr w:type="spellStart"/>
            <w:r w:rsidRPr="002F1911">
              <w:rPr>
                <w:sz w:val="16"/>
                <w:szCs w:val="16"/>
              </w:rPr>
              <w:t>Kohēzijas</w:t>
            </w:r>
            <w:proofErr w:type="spellEnd"/>
            <w:r w:rsidRPr="002F1911">
              <w:rPr>
                <w:sz w:val="16"/>
                <w:szCs w:val="16"/>
              </w:rPr>
              <w:t xml:space="preserve"> </w:t>
            </w:r>
            <w:proofErr w:type="spellStart"/>
            <w:r w:rsidRPr="002F1911">
              <w:rPr>
                <w:sz w:val="16"/>
                <w:szCs w:val="16"/>
              </w:rPr>
              <w:t>fonds</w:t>
            </w:r>
            <w:proofErr w:type="spellEnd"/>
          </w:p>
        </w:tc>
        <w:tc>
          <w:tcPr>
            <w:tcW w:w="1694" w:type="dxa"/>
            <w:tcBorders>
              <w:top w:val="single" w:sz="4" w:space="0" w:color="auto"/>
              <w:left w:val="single" w:sz="4" w:space="0" w:color="auto"/>
              <w:bottom w:val="single" w:sz="4" w:space="0" w:color="auto"/>
              <w:right w:val="single" w:sz="4" w:space="0" w:color="auto"/>
            </w:tcBorders>
          </w:tcPr>
          <w:p w14:paraId="012E20AD" w14:textId="77777777" w:rsidR="0003570F" w:rsidRDefault="0003570F" w:rsidP="00F453E2">
            <w:pPr>
              <w:autoSpaceDE w:val="0"/>
              <w:autoSpaceDN w:val="0"/>
              <w:adjustRightInd w:val="0"/>
              <w:jc w:val="both"/>
              <w:rPr>
                <w:sz w:val="16"/>
                <w:szCs w:val="16"/>
              </w:rPr>
            </w:pPr>
            <w:proofErr w:type="spellStart"/>
            <w:r w:rsidRPr="002F1911">
              <w:rPr>
                <w:sz w:val="16"/>
                <w:szCs w:val="16"/>
              </w:rPr>
              <w:t>Aktivitātes</w:t>
            </w:r>
            <w:proofErr w:type="spellEnd"/>
            <w:r w:rsidRPr="002F1911">
              <w:rPr>
                <w:sz w:val="16"/>
                <w:szCs w:val="16"/>
              </w:rPr>
              <w:t xml:space="preserve"> </w:t>
            </w:r>
            <w:proofErr w:type="spellStart"/>
            <w:r w:rsidRPr="002F1911">
              <w:rPr>
                <w:sz w:val="16"/>
                <w:szCs w:val="16"/>
              </w:rPr>
              <w:t>mērķis</w:t>
            </w:r>
            <w:proofErr w:type="spellEnd"/>
            <w:r w:rsidRPr="002F1911">
              <w:rPr>
                <w:sz w:val="16"/>
                <w:szCs w:val="16"/>
              </w:rPr>
              <w:t xml:space="preserve"> </w:t>
            </w:r>
            <w:proofErr w:type="spellStart"/>
            <w:r w:rsidRPr="002F1911">
              <w:rPr>
                <w:sz w:val="16"/>
                <w:szCs w:val="16"/>
              </w:rPr>
              <w:t>ir</w:t>
            </w:r>
            <w:proofErr w:type="spellEnd"/>
            <w:r w:rsidRPr="002F1911">
              <w:rPr>
                <w:sz w:val="16"/>
                <w:szCs w:val="16"/>
              </w:rPr>
              <w:t xml:space="preserve"> </w:t>
            </w:r>
            <w:proofErr w:type="spellStart"/>
            <w:r w:rsidRPr="002F1911">
              <w:rPr>
                <w:sz w:val="16"/>
                <w:szCs w:val="16"/>
              </w:rPr>
              <w:t>būtiski</w:t>
            </w:r>
            <w:proofErr w:type="spellEnd"/>
            <w:r w:rsidRPr="002F1911">
              <w:rPr>
                <w:sz w:val="16"/>
                <w:szCs w:val="16"/>
              </w:rPr>
              <w:t xml:space="preserve"> </w:t>
            </w:r>
            <w:proofErr w:type="spellStart"/>
            <w:r w:rsidRPr="002F1911">
              <w:rPr>
                <w:sz w:val="16"/>
                <w:szCs w:val="16"/>
              </w:rPr>
              <w:t>paaugstināt</w:t>
            </w:r>
            <w:proofErr w:type="spellEnd"/>
            <w:r w:rsidRPr="002F1911">
              <w:rPr>
                <w:sz w:val="16"/>
                <w:szCs w:val="16"/>
              </w:rPr>
              <w:t xml:space="preserve"> </w:t>
            </w:r>
            <w:proofErr w:type="spellStart"/>
            <w:r w:rsidRPr="002F1911">
              <w:rPr>
                <w:sz w:val="16"/>
                <w:szCs w:val="16"/>
              </w:rPr>
              <w:t>elektroenerģijas</w:t>
            </w:r>
            <w:proofErr w:type="spellEnd"/>
            <w:r w:rsidRPr="002F1911">
              <w:rPr>
                <w:sz w:val="16"/>
                <w:szCs w:val="16"/>
              </w:rPr>
              <w:t xml:space="preserve"> un </w:t>
            </w:r>
            <w:proofErr w:type="spellStart"/>
            <w:r w:rsidRPr="002F1911">
              <w:rPr>
                <w:sz w:val="16"/>
                <w:szCs w:val="16"/>
              </w:rPr>
              <w:t>siltumenerģijas</w:t>
            </w:r>
            <w:proofErr w:type="spellEnd"/>
            <w:r w:rsidRPr="002F1911">
              <w:rPr>
                <w:sz w:val="16"/>
                <w:szCs w:val="16"/>
              </w:rPr>
              <w:t xml:space="preserve"> </w:t>
            </w:r>
            <w:proofErr w:type="spellStart"/>
            <w:r w:rsidRPr="002F1911">
              <w:rPr>
                <w:sz w:val="16"/>
                <w:szCs w:val="16"/>
              </w:rPr>
              <w:t>ražošanas</w:t>
            </w:r>
            <w:proofErr w:type="spellEnd"/>
            <w:r w:rsidRPr="002F1911">
              <w:rPr>
                <w:sz w:val="16"/>
                <w:szCs w:val="16"/>
              </w:rPr>
              <w:t xml:space="preserve"> </w:t>
            </w:r>
            <w:proofErr w:type="spellStart"/>
            <w:r w:rsidRPr="002F1911">
              <w:rPr>
                <w:sz w:val="16"/>
                <w:szCs w:val="16"/>
              </w:rPr>
              <w:t>apjomus</w:t>
            </w:r>
            <w:proofErr w:type="spellEnd"/>
            <w:r w:rsidRPr="002F1911">
              <w:rPr>
                <w:sz w:val="16"/>
                <w:szCs w:val="16"/>
              </w:rPr>
              <w:t xml:space="preserve"> no AER, </w:t>
            </w:r>
            <w:proofErr w:type="spellStart"/>
            <w:r w:rsidRPr="002F1911">
              <w:rPr>
                <w:sz w:val="16"/>
                <w:szCs w:val="16"/>
              </w:rPr>
              <w:t>tādējādi</w:t>
            </w:r>
            <w:proofErr w:type="spellEnd"/>
            <w:r w:rsidRPr="002F1911">
              <w:rPr>
                <w:sz w:val="16"/>
                <w:szCs w:val="16"/>
              </w:rPr>
              <w:t xml:space="preserve"> </w:t>
            </w:r>
            <w:proofErr w:type="spellStart"/>
            <w:r w:rsidRPr="002F1911">
              <w:rPr>
                <w:sz w:val="16"/>
                <w:szCs w:val="16"/>
              </w:rPr>
              <w:t>mazinot</w:t>
            </w:r>
            <w:proofErr w:type="spellEnd"/>
            <w:r w:rsidRPr="002F1911">
              <w:rPr>
                <w:sz w:val="16"/>
                <w:szCs w:val="16"/>
              </w:rPr>
              <w:t xml:space="preserve"> </w:t>
            </w:r>
            <w:proofErr w:type="spellStart"/>
            <w:r w:rsidRPr="002F1911">
              <w:rPr>
                <w:sz w:val="16"/>
                <w:szCs w:val="16"/>
              </w:rPr>
              <w:t>Latvijas</w:t>
            </w:r>
            <w:proofErr w:type="spellEnd"/>
            <w:r w:rsidRPr="002F1911">
              <w:rPr>
                <w:sz w:val="16"/>
                <w:szCs w:val="16"/>
              </w:rPr>
              <w:t xml:space="preserve"> </w:t>
            </w:r>
            <w:proofErr w:type="spellStart"/>
            <w:r w:rsidRPr="002F1911">
              <w:rPr>
                <w:sz w:val="16"/>
                <w:szCs w:val="16"/>
              </w:rPr>
              <w:t>atkarību</w:t>
            </w:r>
            <w:proofErr w:type="spellEnd"/>
            <w:r w:rsidRPr="002F1911">
              <w:rPr>
                <w:sz w:val="16"/>
                <w:szCs w:val="16"/>
              </w:rPr>
              <w:t xml:space="preserve"> no </w:t>
            </w:r>
            <w:proofErr w:type="spellStart"/>
            <w:r w:rsidRPr="002F1911">
              <w:rPr>
                <w:sz w:val="16"/>
                <w:szCs w:val="16"/>
              </w:rPr>
              <w:t>primāro</w:t>
            </w:r>
            <w:proofErr w:type="spellEnd"/>
            <w:r w:rsidRPr="002F1911">
              <w:rPr>
                <w:sz w:val="16"/>
                <w:szCs w:val="16"/>
              </w:rPr>
              <w:t xml:space="preserve"> </w:t>
            </w:r>
            <w:proofErr w:type="spellStart"/>
            <w:r w:rsidRPr="002F1911">
              <w:rPr>
                <w:sz w:val="16"/>
                <w:szCs w:val="16"/>
              </w:rPr>
              <w:t>enerģijas</w:t>
            </w:r>
            <w:proofErr w:type="spellEnd"/>
            <w:r w:rsidRPr="002F1911">
              <w:rPr>
                <w:sz w:val="16"/>
                <w:szCs w:val="16"/>
              </w:rPr>
              <w:t xml:space="preserve"> </w:t>
            </w:r>
            <w:proofErr w:type="spellStart"/>
            <w:r w:rsidRPr="002F1911">
              <w:rPr>
                <w:sz w:val="16"/>
                <w:szCs w:val="16"/>
              </w:rPr>
              <w:t>resursu</w:t>
            </w:r>
            <w:proofErr w:type="spellEnd"/>
            <w:r w:rsidRPr="002F1911">
              <w:rPr>
                <w:sz w:val="16"/>
                <w:szCs w:val="16"/>
              </w:rPr>
              <w:t xml:space="preserve"> </w:t>
            </w:r>
            <w:proofErr w:type="spellStart"/>
            <w:r w:rsidRPr="002F1911">
              <w:rPr>
                <w:sz w:val="16"/>
                <w:szCs w:val="16"/>
              </w:rPr>
              <w:t>importa</w:t>
            </w:r>
            <w:proofErr w:type="spellEnd"/>
            <w:r w:rsidRPr="002F1911">
              <w:rPr>
                <w:sz w:val="16"/>
                <w:szCs w:val="16"/>
              </w:rPr>
              <w:t>.</w:t>
            </w:r>
          </w:p>
          <w:p w14:paraId="2F0F7348" w14:textId="68DD6060" w:rsidR="00173D5B" w:rsidRPr="00B62E7E" w:rsidRDefault="00173D5B" w:rsidP="00F453E2">
            <w:pPr>
              <w:autoSpaceDE w:val="0"/>
              <w:autoSpaceDN w:val="0"/>
              <w:adjustRightInd w:val="0"/>
              <w:jc w:val="both"/>
              <w:rPr>
                <w:snapToGrid/>
                <w:color w:val="000000"/>
                <w:sz w:val="16"/>
                <w:szCs w:val="16"/>
                <w:lang w:val="lv-LV" w:eastAsia="lv-LV"/>
              </w:rPr>
            </w:pPr>
            <w:r w:rsidRPr="00173D5B">
              <w:rPr>
                <w:snapToGrid/>
                <w:color w:val="000000"/>
                <w:sz w:val="16"/>
                <w:szCs w:val="16"/>
                <w:lang w:val="lv-LV" w:eastAsia="lv-LV"/>
              </w:rPr>
              <w:t xml:space="preserve">Aktivitātes ietvaros atbalstu saņēmuši 10 projekti, kuros paredzēta jaunu koģenerācijas staciju būvniecība, aizstājot esošās stacijas, kas izmanto fosilo kurināmo, un esošo </w:t>
            </w:r>
            <w:r w:rsidRPr="00173D5B">
              <w:rPr>
                <w:snapToGrid/>
                <w:color w:val="000000"/>
                <w:sz w:val="16"/>
                <w:szCs w:val="16"/>
                <w:lang w:val="lv-LV" w:eastAsia="lv-LV"/>
              </w:rPr>
              <w:lastRenderedPageBreak/>
              <w:t>rekonstrukcija šķeldas vai biomasas izmantošanai.</w:t>
            </w:r>
          </w:p>
        </w:tc>
        <w:tc>
          <w:tcPr>
            <w:tcW w:w="1835" w:type="dxa"/>
            <w:tcBorders>
              <w:top w:val="single" w:sz="4" w:space="0" w:color="auto"/>
              <w:left w:val="single" w:sz="4" w:space="0" w:color="auto"/>
              <w:bottom w:val="single" w:sz="4" w:space="0" w:color="auto"/>
              <w:right w:val="single" w:sz="4" w:space="0" w:color="auto"/>
            </w:tcBorders>
          </w:tcPr>
          <w:p w14:paraId="7EC65350" w14:textId="063B7F26" w:rsidR="0003570F" w:rsidRPr="00EB0036" w:rsidRDefault="0003570F" w:rsidP="00EB0036">
            <w:pPr>
              <w:pStyle w:val="NormalWeb"/>
              <w:rPr>
                <w:sz w:val="16"/>
                <w:szCs w:val="16"/>
              </w:rPr>
            </w:pPr>
            <w:r w:rsidRPr="002F1911">
              <w:rPr>
                <w:sz w:val="16"/>
                <w:szCs w:val="16"/>
              </w:rPr>
              <w:lastRenderedPageBreak/>
              <w:t>Siltumenerģijas un elektrības lietotāji, pašvaldības un komersanti.</w:t>
            </w:r>
          </w:p>
        </w:tc>
        <w:tc>
          <w:tcPr>
            <w:tcW w:w="1131" w:type="dxa"/>
            <w:tcBorders>
              <w:top w:val="single" w:sz="4" w:space="0" w:color="auto"/>
              <w:left w:val="single" w:sz="4" w:space="0" w:color="auto"/>
              <w:bottom w:val="single" w:sz="4" w:space="0" w:color="auto"/>
              <w:right w:val="single" w:sz="4" w:space="0" w:color="auto"/>
            </w:tcBorders>
          </w:tcPr>
          <w:p w14:paraId="1977332E" w14:textId="33899B03" w:rsidR="0003570F" w:rsidRPr="000477FA" w:rsidRDefault="0003570F" w:rsidP="00AC5B1C">
            <w:pPr>
              <w:jc w:val="both"/>
              <w:rPr>
                <w:sz w:val="16"/>
                <w:szCs w:val="16"/>
                <w:lang w:val="lv-LV"/>
              </w:rPr>
            </w:pPr>
            <w:proofErr w:type="spellStart"/>
            <w:r w:rsidRPr="0039420A">
              <w:rPr>
                <w:sz w:val="16"/>
                <w:szCs w:val="16"/>
              </w:rPr>
              <w:t>Esošs</w:t>
            </w:r>
            <w:proofErr w:type="spellEnd"/>
          </w:p>
        </w:tc>
        <w:tc>
          <w:tcPr>
            <w:tcW w:w="1274" w:type="dxa"/>
            <w:tcBorders>
              <w:top w:val="single" w:sz="4" w:space="0" w:color="auto"/>
              <w:left w:val="single" w:sz="4" w:space="0" w:color="auto"/>
              <w:bottom w:val="single" w:sz="4" w:space="0" w:color="auto"/>
              <w:right w:val="single" w:sz="4" w:space="0" w:color="auto"/>
            </w:tcBorders>
          </w:tcPr>
          <w:p w14:paraId="0CF31CCB" w14:textId="410CA37F" w:rsidR="0003570F" w:rsidRPr="000477FA" w:rsidRDefault="0003570F" w:rsidP="00AC5B1C">
            <w:pPr>
              <w:jc w:val="both"/>
              <w:rPr>
                <w:sz w:val="16"/>
                <w:szCs w:val="16"/>
                <w:lang w:val="lv-LV"/>
              </w:rPr>
            </w:pPr>
            <w:proofErr w:type="spellStart"/>
            <w:r w:rsidRPr="000477FA">
              <w:rPr>
                <w:sz w:val="16"/>
                <w:szCs w:val="16"/>
              </w:rPr>
              <w:t>Sākot</w:t>
            </w:r>
            <w:proofErr w:type="spellEnd"/>
            <w:r w:rsidRPr="000477FA">
              <w:rPr>
                <w:sz w:val="16"/>
                <w:szCs w:val="16"/>
              </w:rPr>
              <w:t xml:space="preserve"> </w:t>
            </w:r>
            <w:proofErr w:type="spellStart"/>
            <w:r w:rsidRPr="000477FA">
              <w:rPr>
                <w:sz w:val="16"/>
                <w:szCs w:val="16"/>
              </w:rPr>
              <w:t>ar</w:t>
            </w:r>
            <w:proofErr w:type="spellEnd"/>
            <w:r w:rsidRPr="000477FA">
              <w:rPr>
                <w:sz w:val="16"/>
                <w:szCs w:val="16"/>
              </w:rPr>
              <w:t xml:space="preserve"> 2009.gada 12.martu.</w:t>
            </w:r>
          </w:p>
        </w:tc>
      </w:tr>
      <w:tr w:rsidR="0003570F" w:rsidRPr="00E834E5" w14:paraId="1FD2F96C"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45" w:type="dxa"/>
            <w:tcBorders>
              <w:top w:val="single" w:sz="4" w:space="0" w:color="auto"/>
              <w:left w:val="single" w:sz="4" w:space="0" w:color="auto"/>
              <w:bottom w:val="single" w:sz="4" w:space="0" w:color="auto"/>
              <w:right w:val="single" w:sz="4" w:space="0" w:color="auto"/>
            </w:tcBorders>
          </w:tcPr>
          <w:p w14:paraId="51552815" w14:textId="0C19285A" w:rsidR="0003570F" w:rsidRPr="00E834E5" w:rsidRDefault="0003570F" w:rsidP="00173D5B">
            <w:pPr>
              <w:jc w:val="both"/>
              <w:rPr>
                <w:sz w:val="16"/>
                <w:szCs w:val="16"/>
                <w:lang w:val="lv-LV"/>
              </w:rPr>
            </w:pPr>
            <w:r>
              <w:rPr>
                <w:sz w:val="16"/>
                <w:szCs w:val="16"/>
              </w:rPr>
              <w:lastRenderedPageBreak/>
              <w:t>24</w:t>
            </w:r>
            <w:r w:rsidRPr="002F1911">
              <w:rPr>
                <w:sz w:val="16"/>
                <w:szCs w:val="16"/>
              </w:rPr>
              <w:t xml:space="preserve">. </w:t>
            </w:r>
            <w:proofErr w:type="spellStart"/>
            <w:r w:rsidRPr="002F1911">
              <w:rPr>
                <w:sz w:val="16"/>
                <w:szCs w:val="16"/>
              </w:rPr>
              <w:t>Pasākumi</w:t>
            </w:r>
            <w:proofErr w:type="spellEnd"/>
            <w:r w:rsidRPr="002F1911">
              <w:rPr>
                <w:sz w:val="16"/>
                <w:szCs w:val="16"/>
              </w:rPr>
              <w:t xml:space="preserve"> </w:t>
            </w:r>
            <w:proofErr w:type="spellStart"/>
            <w:r w:rsidRPr="002F1911">
              <w:rPr>
                <w:sz w:val="16"/>
                <w:szCs w:val="16"/>
              </w:rPr>
              <w:t>centralizētās</w:t>
            </w:r>
            <w:proofErr w:type="spellEnd"/>
            <w:r w:rsidRPr="002F1911">
              <w:rPr>
                <w:sz w:val="16"/>
                <w:szCs w:val="16"/>
              </w:rPr>
              <w:t xml:space="preserve"> </w:t>
            </w:r>
            <w:proofErr w:type="spellStart"/>
            <w:r w:rsidRPr="002F1911">
              <w:rPr>
                <w:sz w:val="16"/>
                <w:szCs w:val="16"/>
              </w:rPr>
              <w:t>siltumapgādes</w:t>
            </w:r>
            <w:proofErr w:type="spellEnd"/>
            <w:r w:rsidRPr="002F1911">
              <w:rPr>
                <w:sz w:val="16"/>
                <w:szCs w:val="16"/>
              </w:rPr>
              <w:t xml:space="preserve"> </w:t>
            </w:r>
            <w:proofErr w:type="spellStart"/>
            <w:r w:rsidRPr="002F1911">
              <w:rPr>
                <w:sz w:val="16"/>
                <w:szCs w:val="16"/>
              </w:rPr>
              <w:t>sistēmu</w:t>
            </w:r>
            <w:proofErr w:type="spellEnd"/>
            <w:r w:rsidRPr="002F1911">
              <w:rPr>
                <w:sz w:val="16"/>
                <w:szCs w:val="16"/>
              </w:rPr>
              <w:t xml:space="preserve"> </w:t>
            </w:r>
            <w:proofErr w:type="spellStart"/>
            <w:r w:rsidRPr="002F1911">
              <w:rPr>
                <w:sz w:val="16"/>
                <w:szCs w:val="16"/>
              </w:rPr>
              <w:t>efektivitātes</w:t>
            </w:r>
            <w:proofErr w:type="spellEnd"/>
            <w:r w:rsidRPr="002F1911">
              <w:rPr>
                <w:sz w:val="16"/>
                <w:szCs w:val="16"/>
              </w:rPr>
              <w:t xml:space="preserve"> </w:t>
            </w:r>
            <w:proofErr w:type="spellStart"/>
            <w:proofErr w:type="gramStart"/>
            <w:r w:rsidRPr="002F1911">
              <w:rPr>
                <w:sz w:val="16"/>
                <w:szCs w:val="16"/>
              </w:rPr>
              <w:t>paaugstināšanai</w:t>
            </w:r>
            <w:proofErr w:type="spellEnd"/>
            <w:proofErr w:type="gramEnd"/>
            <w:r>
              <w:rPr>
                <w:sz w:val="16"/>
                <w:szCs w:val="16"/>
              </w:rPr>
              <w:br/>
              <w:t>(</w:t>
            </w:r>
            <w:r>
              <w:rPr>
                <w:sz w:val="16"/>
                <w:szCs w:val="16"/>
                <w:lang w:val="lv-LV"/>
              </w:rPr>
              <w:t xml:space="preserve">MK </w:t>
            </w:r>
            <w:r w:rsidR="00173D5B" w:rsidRPr="00173D5B">
              <w:rPr>
                <w:sz w:val="16"/>
                <w:szCs w:val="16"/>
                <w:lang w:val="lv-LV"/>
              </w:rPr>
              <w:t xml:space="preserve">2010. gada 31. augusta noteikumi Nr.824 „Noteikumi par darbības programmas „Infrastruktūra un pakalpojumi” papildinājuma 3.5.2.1.1. </w:t>
            </w:r>
            <w:proofErr w:type="spellStart"/>
            <w:r w:rsidR="00173D5B" w:rsidRPr="00173D5B">
              <w:rPr>
                <w:sz w:val="16"/>
                <w:szCs w:val="16"/>
                <w:lang w:val="lv-LV"/>
              </w:rPr>
              <w:t>apakšaktivitātes</w:t>
            </w:r>
            <w:proofErr w:type="spellEnd"/>
            <w:r w:rsidR="00173D5B" w:rsidRPr="00173D5B">
              <w:rPr>
                <w:sz w:val="16"/>
                <w:szCs w:val="16"/>
                <w:lang w:val="lv-LV"/>
              </w:rPr>
              <w:t xml:space="preserve"> „Pasākumi centralizētās siltumapgādes sistēmu efektivitātes paaugstināšanai” projektu iesniegumu atlases otro kārtu un turpmākajām kārtām”</w:t>
            </w:r>
            <w:r w:rsidRPr="0003570F">
              <w:rPr>
                <w:sz w:val="16"/>
                <w:szCs w:val="16"/>
                <w:lang w:val="lv-LV"/>
              </w:rPr>
              <w:t>)</w:t>
            </w:r>
          </w:p>
        </w:tc>
        <w:tc>
          <w:tcPr>
            <w:tcW w:w="1412" w:type="dxa"/>
            <w:tcBorders>
              <w:top w:val="single" w:sz="4" w:space="0" w:color="auto"/>
              <w:left w:val="single" w:sz="4" w:space="0" w:color="auto"/>
              <w:bottom w:val="single" w:sz="4" w:space="0" w:color="auto"/>
              <w:right w:val="single" w:sz="4" w:space="0" w:color="auto"/>
            </w:tcBorders>
          </w:tcPr>
          <w:p w14:paraId="4AEF7FE6" w14:textId="363377B3" w:rsidR="0003570F" w:rsidRPr="00E834E5" w:rsidRDefault="0003570F" w:rsidP="00AC5B1C">
            <w:pPr>
              <w:jc w:val="both"/>
              <w:rPr>
                <w:sz w:val="16"/>
                <w:szCs w:val="16"/>
                <w:lang w:val="lv-LV"/>
              </w:rPr>
            </w:pPr>
            <w:proofErr w:type="spellStart"/>
            <w:r w:rsidRPr="002F1911">
              <w:rPr>
                <w:sz w:val="16"/>
                <w:szCs w:val="16"/>
              </w:rPr>
              <w:t>Kohēzijas</w:t>
            </w:r>
            <w:proofErr w:type="spellEnd"/>
            <w:r w:rsidRPr="002F1911">
              <w:rPr>
                <w:sz w:val="16"/>
                <w:szCs w:val="16"/>
              </w:rPr>
              <w:t xml:space="preserve"> </w:t>
            </w:r>
            <w:proofErr w:type="spellStart"/>
            <w:r w:rsidRPr="002F1911">
              <w:rPr>
                <w:sz w:val="16"/>
                <w:szCs w:val="16"/>
              </w:rPr>
              <w:t>fonds</w:t>
            </w:r>
            <w:proofErr w:type="spellEnd"/>
          </w:p>
        </w:tc>
        <w:tc>
          <w:tcPr>
            <w:tcW w:w="1694" w:type="dxa"/>
            <w:tcBorders>
              <w:top w:val="single" w:sz="4" w:space="0" w:color="auto"/>
              <w:left w:val="single" w:sz="4" w:space="0" w:color="auto"/>
              <w:bottom w:val="single" w:sz="4" w:space="0" w:color="auto"/>
              <w:right w:val="single" w:sz="4" w:space="0" w:color="auto"/>
            </w:tcBorders>
          </w:tcPr>
          <w:p w14:paraId="610A8553" w14:textId="6F83DBBA" w:rsidR="0003570F" w:rsidRPr="00B62E7E" w:rsidRDefault="0003570F" w:rsidP="00F453E2">
            <w:pPr>
              <w:autoSpaceDE w:val="0"/>
              <w:autoSpaceDN w:val="0"/>
              <w:adjustRightInd w:val="0"/>
              <w:jc w:val="both"/>
              <w:rPr>
                <w:snapToGrid/>
                <w:color w:val="000000"/>
                <w:sz w:val="16"/>
                <w:szCs w:val="16"/>
                <w:lang w:val="lv-LV" w:eastAsia="lv-LV"/>
              </w:rPr>
            </w:pPr>
            <w:proofErr w:type="spellStart"/>
            <w:r w:rsidRPr="002F1911">
              <w:rPr>
                <w:sz w:val="16"/>
                <w:szCs w:val="16"/>
              </w:rPr>
              <w:t>Aktivitātes</w:t>
            </w:r>
            <w:proofErr w:type="spellEnd"/>
            <w:r w:rsidRPr="002F1911">
              <w:rPr>
                <w:sz w:val="16"/>
                <w:szCs w:val="16"/>
              </w:rPr>
              <w:t xml:space="preserve"> </w:t>
            </w:r>
            <w:proofErr w:type="spellStart"/>
            <w:r w:rsidRPr="002F1911">
              <w:rPr>
                <w:sz w:val="16"/>
                <w:szCs w:val="16"/>
              </w:rPr>
              <w:t>mērķis</w:t>
            </w:r>
            <w:proofErr w:type="spellEnd"/>
            <w:r w:rsidRPr="002F1911">
              <w:rPr>
                <w:sz w:val="16"/>
                <w:szCs w:val="16"/>
              </w:rPr>
              <w:t xml:space="preserve"> </w:t>
            </w:r>
            <w:proofErr w:type="spellStart"/>
            <w:r w:rsidRPr="002F1911">
              <w:rPr>
                <w:sz w:val="16"/>
                <w:szCs w:val="16"/>
              </w:rPr>
              <w:t>ir</w:t>
            </w:r>
            <w:proofErr w:type="spellEnd"/>
            <w:r w:rsidRPr="002F1911">
              <w:rPr>
                <w:sz w:val="16"/>
                <w:szCs w:val="16"/>
              </w:rPr>
              <w:t xml:space="preserve"> </w:t>
            </w:r>
            <w:proofErr w:type="spellStart"/>
            <w:r w:rsidRPr="002F1911">
              <w:rPr>
                <w:sz w:val="16"/>
                <w:szCs w:val="16"/>
              </w:rPr>
              <w:t>būtiski</w:t>
            </w:r>
            <w:proofErr w:type="spellEnd"/>
            <w:r w:rsidRPr="002F1911">
              <w:rPr>
                <w:sz w:val="16"/>
                <w:szCs w:val="16"/>
              </w:rPr>
              <w:t xml:space="preserve"> </w:t>
            </w:r>
            <w:proofErr w:type="spellStart"/>
            <w:r w:rsidRPr="002F1911">
              <w:rPr>
                <w:sz w:val="16"/>
                <w:szCs w:val="16"/>
              </w:rPr>
              <w:t>paaugstināt</w:t>
            </w:r>
            <w:proofErr w:type="spellEnd"/>
            <w:r w:rsidRPr="002F1911">
              <w:rPr>
                <w:sz w:val="16"/>
                <w:szCs w:val="16"/>
              </w:rPr>
              <w:t xml:space="preserve"> </w:t>
            </w:r>
            <w:proofErr w:type="spellStart"/>
            <w:r w:rsidRPr="002F1911">
              <w:rPr>
                <w:sz w:val="16"/>
                <w:szCs w:val="16"/>
              </w:rPr>
              <w:t>siltumenerģijas</w:t>
            </w:r>
            <w:proofErr w:type="spellEnd"/>
            <w:r w:rsidRPr="002F1911">
              <w:rPr>
                <w:sz w:val="16"/>
                <w:szCs w:val="16"/>
              </w:rPr>
              <w:t xml:space="preserve"> </w:t>
            </w:r>
            <w:proofErr w:type="spellStart"/>
            <w:r w:rsidRPr="002F1911">
              <w:rPr>
                <w:sz w:val="16"/>
                <w:szCs w:val="16"/>
              </w:rPr>
              <w:t>ražošanas</w:t>
            </w:r>
            <w:proofErr w:type="spellEnd"/>
            <w:r w:rsidRPr="002F1911">
              <w:rPr>
                <w:sz w:val="16"/>
                <w:szCs w:val="16"/>
              </w:rPr>
              <w:t xml:space="preserve"> </w:t>
            </w:r>
            <w:proofErr w:type="spellStart"/>
            <w:r w:rsidRPr="002F1911">
              <w:rPr>
                <w:sz w:val="16"/>
                <w:szCs w:val="16"/>
              </w:rPr>
              <w:t>efektivitāti</w:t>
            </w:r>
            <w:proofErr w:type="spellEnd"/>
            <w:r w:rsidRPr="002F1911">
              <w:rPr>
                <w:sz w:val="16"/>
                <w:szCs w:val="16"/>
              </w:rPr>
              <w:t xml:space="preserve">, </w:t>
            </w:r>
            <w:proofErr w:type="spellStart"/>
            <w:r w:rsidRPr="002F1911">
              <w:rPr>
                <w:sz w:val="16"/>
                <w:szCs w:val="16"/>
              </w:rPr>
              <w:t>samazināt</w:t>
            </w:r>
            <w:proofErr w:type="spellEnd"/>
            <w:r w:rsidRPr="002F1911">
              <w:rPr>
                <w:sz w:val="16"/>
                <w:szCs w:val="16"/>
              </w:rPr>
              <w:t xml:space="preserve"> </w:t>
            </w:r>
            <w:proofErr w:type="spellStart"/>
            <w:r w:rsidRPr="002F1911">
              <w:rPr>
                <w:sz w:val="16"/>
                <w:szCs w:val="16"/>
              </w:rPr>
              <w:t>siltumenerģijas</w:t>
            </w:r>
            <w:proofErr w:type="spellEnd"/>
            <w:r w:rsidRPr="002F1911">
              <w:rPr>
                <w:sz w:val="16"/>
                <w:szCs w:val="16"/>
              </w:rPr>
              <w:t xml:space="preserve"> </w:t>
            </w:r>
            <w:proofErr w:type="spellStart"/>
            <w:r w:rsidRPr="002F1911">
              <w:rPr>
                <w:sz w:val="16"/>
                <w:szCs w:val="16"/>
              </w:rPr>
              <w:t>zudumus</w:t>
            </w:r>
            <w:proofErr w:type="spellEnd"/>
            <w:r w:rsidRPr="002F1911">
              <w:rPr>
                <w:sz w:val="16"/>
                <w:szCs w:val="16"/>
              </w:rPr>
              <w:t xml:space="preserve"> </w:t>
            </w:r>
            <w:proofErr w:type="spellStart"/>
            <w:r w:rsidRPr="002F1911">
              <w:rPr>
                <w:sz w:val="16"/>
                <w:szCs w:val="16"/>
              </w:rPr>
              <w:t>pārvades</w:t>
            </w:r>
            <w:proofErr w:type="spellEnd"/>
            <w:r w:rsidRPr="002F1911">
              <w:rPr>
                <w:sz w:val="16"/>
                <w:szCs w:val="16"/>
              </w:rPr>
              <w:t xml:space="preserve"> un </w:t>
            </w:r>
            <w:proofErr w:type="spellStart"/>
            <w:r w:rsidRPr="002F1911">
              <w:rPr>
                <w:sz w:val="16"/>
                <w:szCs w:val="16"/>
              </w:rPr>
              <w:t>sadales</w:t>
            </w:r>
            <w:proofErr w:type="spellEnd"/>
            <w:r w:rsidRPr="002F1911">
              <w:rPr>
                <w:sz w:val="16"/>
                <w:szCs w:val="16"/>
              </w:rPr>
              <w:t xml:space="preserve"> </w:t>
            </w:r>
            <w:proofErr w:type="spellStart"/>
            <w:r w:rsidRPr="002F1911">
              <w:rPr>
                <w:sz w:val="16"/>
                <w:szCs w:val="16"/>
              </w:rPr>
              <w:t>sistēmās</w:t>
            </w:r>
            <w:proofErr w:type="spellEnd"/>
            <w:r w:rsidRPr="002F1911">
              <w:rPr>
                <w:sz w:val="16"/>
                <w:szCs w:val="16"/>
              </w:rPr>
              <w:t xml:space="preserve"> un </w:t>
            </w:r>
            <w:proofErr w:type="spellStart"/>
            <w:r w:rsidRPr="002F1911">
              <w:rPr>
                <w:sz w:val="16"/>
                <w:szCs w:val="16"/>
              </w:rPr>
              <w:t>sekmēt</w:t>
            </w:r>
            <w:proofErr w:type="spellEnd"/>
            <w:r w:rsidRPr="002F1911">
              <w:rPr>
                <w:sz w:val="16"/>
                <w:szCs w:val="16"/>
              </w:rPr>
              <w:t xml:space="preserve"> </w:t>
            </w:r>
            <w:proofErr w:type="spellStart"/>
            <w:r w:rsidRPr="002F1911">
              <w:rPr>
                <w:sz w:val="16"/>
                <w:szCs w:val="16"/>
              </w:rPr>
              <w:t>fosilā</w:t>
            </w:r>
            <w:proofErr w:type="spellEnd"/>
            <w:r w:rsidRPr="002F1911">
              <w:rPr>
                <w:sz w:val="16"/>
                <w:szCs w:val="16"/>
              </w:rPr>
              <w:t xml:space="preserve"> </w:t>
            </w:r>
            <w:proofErr w:type="spellStart"/>
            <w:r w:rsidRPr="002F1911">
              <w:rPr>
                <w:sz w:val="16"/>
                <w:szCs w:val="16"/>
              </w:rPr>
              <w:t>kurināmā</w:t>
            </w:r>
            <w:proofErr w:type="spellEnd"/>
            <w:r w:rsidRPr="002F1911">
              <w:rPr>
                <w:sz w:val="16"/>
                <w:szCs w:val="16"/>
              </w:rPr>
              <w:t xml:space="preserve"> </w:t>
            </w:r>
            <w:proofErr w:type="spellStart"/>
            <w:r w:rsidRPr="002F1911">
              <w:rPr>
                <w:sz w:val="16"/>
                <w:szCs w:val="16"/>
              </w:rPr>
              <w:t>veidu</w:t>
            </w:r>
            <w:proofErr w:type="spellEnd"/>
            <w:r w:rsidRPr="002F1911">
              <w:rPr>
                <w:sz w:val="16"/>
                <w:szCs w:val="16"/>
              </w:rPr>
              <w:t xml:space="preserve"> </w:t>
            </w:r>
            <w:proofErr w:type="spellStart"/>
            <w:r w:rsidRPr="002F1911">
              <w:rPr>
                <w:sz w:val="16"/>
                <w:szCs w:val="16"/>
              </w:rPr>
              <w:t>aizvietošanu</w:t>
            </w:r>
            <w:proofErr w:type="spellEnd"/>
            <w:r w:rsidRPr="002F1911">
              <w:rPr>
                <w:sz w:val="16"/>
                <w:szCs w:val="16"/>
              </w:rPr>
              <w:t xml:space="preserve"> </w:t>
            </w:r>
            <w:proofErr w:type="spellStart"/>
            <w:r w:rsidRPr="002F1911">
              <w:rPr>
                <w:sz w:val="16"/>
                <w:szCs w:val="16"/>
              </w:rPr>
              <w:t>ar</w:t>
            </w:r>
            <w:proofErr w:type="spellEnd"/>
            <w:r w:rsidRPr="002F1911">
              <w:rPr>
                <w:sz w:val="16"/>
                <w:szCs w:val="16"/>
              </w:rPr>
              <w:t xml:space="preserve"> </w:t>
            </w:r>
            <w:proofErr w:type="spellStart"/>
            <w:r w:rsidRPr="002F1911">
              <w:rPr>
                <w:sz w:val="16"/>
                <w:szCs w:val="16"/>
              </w:rPr>
              <w:t>atjaunojamiem</w:t>
            </w:r>
            <w:proofErr w:type="spellEnd"/>
            <w:r w:rsidRPr="002F1911">
              <w:rPr>
                <w:sz w:val="16"/>
                <w:szCs w:val="16"/>
              </w:rPr>
              <w:t xml:space="preserve"> </w:t>
            </w:r>
            <w:proofErr w:type="spellStart"/>
            <w:r w:rsidRPr="002F1911">
              <w:rPr>
                <w:sz w:val="16"/>
                <w:szCs w:val="16"/>
              </w:rPr>
              <w:t>vai</w:t>
            </w:r>
            <w:proofErr w:type="spellEnd"/>
            <w:r w:rsidRPr="002F1911">
              <w:rPr>
                <w:sz w:val="16"/>
                <w:szCs w:val="16"/>
              </w:rPr>
              <w:t xml:space="preserve"> </w:t>
            </w:r>
            <w:proofErr w:type="spellStart"/>
            <w:r w:rsidRPr="002F1911">
              <w:rPr>
                <w:sz w:val="16"/>
                <w:szCs w:val="16"/>
              </w:rPr>
              <w:t>citu</w:t>
            </w:r>
            <w:proofErr w:type="spellEnd"/>
            <w:r w:rsidRPr="002F1911">
              <w:rPr>
                <w:sz w:val="16"/>
                <w:szCs w:val="16"/>
              </w:rPr>
              <w:t xml:space="preserve"> </w:t>
            </w:r>
            <w:proofErr w:type="spellStart"/>
            <w:r w:rsidRPr="002F1911">
              <w:rPr>
                <w:sz w:val="16"/>
                <w:szCs w:val="16"/>
              </w:rPr>
              <w:t>veidu</w:t>
            </w:r>
            <w:proofErr w:type="spellEnd"/>
            <w:r w:rsidRPr="002F1911">
              <w:rPr>
                <w:sz w:val="16"/>
                <w:szCs w:val="16"/>
              </w:rPr>
              <w:t xml:space="preserve"> </w:t>
            </w:r>
            <w:proofErr w:type="spellStart"/>
            <w:r w:rsidRPr="002F1911">
              <w:rPr>
                <w:sz w:val="16"/>
                <w:szCs w:val="16"/>
              </w:rPr>
              <w:t>kurināmiem</w:t>
            </w:r>
            <w:proofErr w:type="spellEnd"/>
            <w:r w:rsidRPr="002F1911">
              <w:rPr>
                <w:sz w:val="16"/>
                <w:szCs w:val="16"/>
              </w:rPr>
              <w:t>.</w:t>
            </w:r>
          </w:p>
        </w:tc>
        <w:tc>
          <w:tcPr>
            <w:tcW w:w="1835" w:type="dxa"/>
            <w:tcBorders>
              <w:top w:val="single" w:sz="4" w:space="0" w:color="auto"/>
              <w:left w:val="single" w:sz="4" w:space="0" w:color="auto"/>
              <w:bottom w:val="single" w:sz="4" w:space="0" w:color="auto"/>
              <w:right w:val="single" w:sz="4" w:space="0" w:color="auto"/>
            </w:tcBorders>
          </w:tcPr>
          <w:p w14:paraId="6BA9BB22" w14:textId="30915646" w:rsidR="0003570F" w:rsidRPr="00EB0036" w:rsidRDefault="0003570F" w:rsidP="00EB0036">
            <w:pPr>
              <w:pStyle w:val="NormalWeb"/>
              <w:rPr>
                <w:sz w:val="16"/>
                <w:szCs w:val="16"/>
              </w:rPr>
            </w:pPr>
            <w:r w:rsidRPr="002F1911">
              <w:rPr>
                <w:sz w:val="16"/>
                <w:szCs w:val="16"/>
              </w:rPr>
              <w:t>Siltumenerģijas lietotāji, pašvaldības un komersanti.</w:t>
            </w:r>
          </w:p>
        </w:tc>
        <w:tc>
          <w:tcPr>
            <w:tcW w:w="1131" w:type="dxa"/>
            <w:tcBorders>
              <w:top w:val="single" w:sz="4" w:space="0" w:color="auto"/>
              <w:left w:val="single" w:sz="4" w:space="0" w:color="auto"/>
              <w:bottom w:val="single" w:sz="4" w:space="0" w:color="auto"/>
              <w:right w:val="single" w:sz="4" w:space="0" w:color="auto"/>
            </w:tcBorders>
          </w:tcPr>
          <w:p w14:paraId="697CFC76" w14:textId="52A77DE4" w:rsidR="0003570F" w:rsidRPr="00A32D85" w:rsidRDefault="0003570F" w:rsidP="00AC5B1C">
            <w:pPr>
              <w:jc w:val="both"/>
              <w:rPr>
                <w:sz w:val="16"/>
                <w:szCs w:val="16"/>
                <w:lang w:val="lv-LV"/>
              </w:rPr>
            </w:pPr>
            <w:proofErr w:type="spellStart"/>
            <w:r w:rsidRPr="002F1911">
              <w:rPr>
                <w:sz w:val="16"/>
                <w:szCs w:val="16"/>
              </w:rPr>
              <w:t>Esošs</w:t>
            </w:r>
            <w:proofErr w:type="spellEnd"/>
          </w:p>
        </w:tc>
        <w:tc>
          <w:tcPr>
            <w:tcW w:w="1274" w:type="dxa"/>
            <w:tcBorders>
              <w:top w:val="single" w:sz="4" w:space="0" w:color="auto"/>
              <w:left w:val="single" w:sz="4" w:space="0" w:color="auto"/>
              <w:bottom w:val="single" w:sz="4" w:space="0" w:color="auto"/>
              <w:right w:val="single" w:sz="4" w:space="0" w:color="auto"/>
            </w:tcBorders>
          </w:tcPr>
          <w:p w14:paraId="7AEE3778" w14:textId="45B529DB" w:rsidR="0003570F" w:rsidRPr="00262774" w:rsidRDefault="00262774" w:rsidP="00262774">
            <w:pPr>
              <w:jc w:val="both"/>
              <w:rPr>
                <w:sz w:val="16"/>
                <w:szCs w:val="16"/>
                <w:lang w:val="lv-LV"/>
              </w:rPr>
            </w:pPr>
            <w:r>
              <w:rPr>
                <w:sz w:val="16"/>
                <w:szCs w:val="16"/>
                <w:lang w:val="lv-LV"/>
              </w:rPr>
              <w:t xml:space="preserve">Projektu īstenošana </w:t>
            </w:r>
            <w:r w:rsidRPr="00262774">
              <w:rPr>
                <w:sz w:val="16"/>
                <w:szCs w:val="16"/>
                <w:lang w:val="lv-LV"/>
              </w:rPr>
              <w:t>līdz 2015.gada 1.jūnijam.</w:t>
            </w:r>
          </w:p>
        </w:tc>
      </w:tr>
      <w:tr w:rsidR="00173D5B" w:rsidRPr="00E834E5" w14:paraId="22D2A1A6" w14:textId="77777777" w:rsidTr="007172D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945" w:type="dxa"/>
            <w:tcBorders>
              <w:top w:val="single" w:sz="4" w:space="0" w:color="auto"/>
              <w:left w:val="single" w:sz="4" w:space="0" w:color="auto"/>
              <w:bottom w:val="single" w:sz="4" w:space="0" w:color="auto"/>
              <w:right w:val="single" w:sz="4" w:space="0" w:color="auto"/>
            </w:tcBorders>
          </w:tcPr>
          <w:p w14:paraId="7B230BC6" w14:textId="78C7957D" w:rsidR="00173D5B" w:rsidRPr="00E834E5" w:rsidRDefault="00173D5B" w:rsidP="00173D5B">
            <w:pPr>
              <w:jc w:val="both"/>
              <w:rPr>
                <w:sz w:val="16"/>
                <w:szCs w:val="16"/>
                <w:lang w:val="lv-LV"/>
              </w:rPr>
            </w:pPr>
            <w:r>
              <w:rPr>
                <w:sz w:val="16"/>
                <w:szCs w:val="16"/>
              </w:rPr>
              <w:t>25</w:t>
            </w:r>
            <w:r w:rsidRPr="002F1911">
              <w:rPr>
                <w:sz w:val="16"/>
                <w:szCs w:val="16"/>
              </w:rPr>
              <w:t xml:space="preserve">. </w:t>
            </w:r>
            <w:proofErr w:type="spellStart"/>
            <w:r w:rsidRPr="002F1911">
              <w:rPr>
                <w:sz w:val="16"/>
                <w:szCs w:val="16"/>
              </w:rPr>
              <w:t>Pasākumi</w:t>
            </w:r>
            <w:proofErr w:type="spellEnd"/>
            <w:r w:rsidRPr="002F1911">
              <w:rPr>
                <w:sz w:val="16"/>
                <w:szCs w:val="16"/>
              </w:rPr>
              <w:t xml:space="preserve"> </w:t>
            </w:r>
            <w:proofErr w:type="spellStart"/>
            <w:r>
              <w:rPr>
                <w:sz w:val="16"/>
                <w:szCs w:val="16"/>
              </w:rPr>
              <w:t>uzņēmumu</w:t>
            </w:r>
            <w:proofErr w:type="spellEnd"/>
            <w:r w:rsidRPr="002F1911">
              <w:rPr>
                <w:sz w:val="16"/>
                <w:szCs w:val="16"/>
              </w:rPr>
              <w:t xml:space="preserve"> </w:t>
            </w:r>
            <w:proofErr w:type="spellStart"/>
            <w:r w:rsidRPr="002F1911">
              <w:rPr>
                <w:sz w:val="16"/>
                <w:szCs w:val="16"/>
              </w:rPr>
              <w:t>siltumapgādes</w:t>
            </w:r>
            <w:proofErr w:type="spellEnd"/>
            <w:r w:rsidRPr="002F1911">
              <w:rPr>
                <w:sz w:val="16"/>
                <w:szCs w:val="16"/>
              </w:rPr>
              <w:t xml:space="preserve"> </w:t>
            </w:r>
            <w:proofErr w:type="spellStart"/>
            <w:r w:rsidRPr="002F1911">
              <w:rPr>
                <w:sz w:val="16"/>
                <w:szCs w:val="16"/>
              </w:rPr>
              <w:t>sistēmu</w:t>
            </w:r>
            <w:proofErr w:type="spellEnd"/>
            <w:r w:rsidRPr="002F1911">
              <w:rPr>
                <w:sz w:val="16"/>
                <w:szCs w:val="16"/>
              </w:rPr>
              <w:t xml:space="preserve"> </w:t>
            </w:r>
            <w:proofErr w:type="spellStart"/>
            <w:r w:rsidRPr="002F1911">
              <w:rPr>
                <w:sz w:val="16"/>
                <w:szCs w:val="16"/>
              </w:rPr>
              <w:t>efektivitātes</w:t>
            </w:r>
            <w:proofErr w:type="spellEnd"/>
            <w:r w:rsidRPr="002F1911">
              <w:rPr>
                <w:sz w:val="16"/>
                <w:szCs w:val="16"/>
              </w:rPr>
              <w:t xml:space="preserve"> </w:t>
            </w:r>
            <w:proofErr w:type="spellStart"/>
            <w:r w:rsidRPr="002F1911">
              <w:rPr>
                <w:sz w:val="16"/>
                <w:szCs w:val="16"/>
              </w:rPr>
              <w:t>paaugstināšanai</w:t>
            </w:r>
            <w:proofErr w:type="spellEnd"/>
            <w:r>
              <w:rPr>
                <w:sz w:val="16"/>
                <w:szCs w:val="16"/>
              </w:rPr>
              <w:br/>
              <w:t>(</w:t>
            </w:r>
            <w:r>
              <w:rPr>
                <w:sz w:val="16"/>
                <w:szCs w:val="16"/>
                <w:lang w:val="lv-LV"/>
              </w:rPr>
              <w:t>MK 2011. </w:t>
            </w:r>
            <w:r w:rsidRPr="0003570F">
              <w:rPr>
                <w:sz w:val="16"/>
                <w:szCs w:val="16"/>
                <w:lang w:val="lv-LV"/>
              </w:rPr>
              <w:t>gada 11.</w:t>
            </w:r>
            <w:r>
              <w:rPr>
                <w:sz w:val="16"/>
                <w:szCs w:val="16"/>
                <w:lang w:val="lv-LV"/>
              </w:rPr>
              <w:t> </w:t>
            </w:r>
            <w:r w:rsidRPr="0003570F">
              <w:rPr>
                <w:sz w:val="16"/>
                <w:szCs w:val="16"/>
                <w:lang w:val="lv-LV"/>
              </w:rPr>
              <w:t xml:space="preserve">oktobra noteikumi </w:t>
            </w:r>
            <w:proofErr w:type="spellStart"/>
            <w:r w:rsidRPr="0003570F">
              <w:rPr>
                <w:sz w:val="16"/>
                <w:szCs w:val="16"/>
                <w:lang w:val="lv-LV"/>
              </w:rPr>
              <w:t>Nr</w:t>
            </w:r>
            <w:proofErr w:type="spellEnd"/>
            <w:r w:rsidRPr="0003570F">
              <w:rPr>
                <w:sz w:val="16"/>
                <w:szCs w:val="16"/>
                <w:lang w:val="lv-LV"/>
              </w:rPr>
              <w:t>.</w:t>
            </w:r>
            <w:r>
              <w:rPr>
                <w:sz w:val="16"/>
                <w:szCs w:val="16"/>
                <w:lang w:val="lv-LV"/>
              </w:rPr>
              <w:t> </w:t>
            </w:r>
            <w:r w:rsidRPr="0003570F">
              <w:rPr>
                <w:sz w:val="16"/>
                <w:szCs w:val="16"/>
                <w:lang w:val="lv-LV"/>
              </w:rPr>
              <w:t xml:space="preserve">796 </w:t>
            </w:r>
            <w:r w:rsidRPr="00B041A3">
              <w:rPr>
                <w:bCs/>
                <w:sz w:val="16"/>
                <w:szCs w:val="16"/>
                <w:lang w:val="lv-LV"/>
              </w:rPr>
              <w:t>„</w:t>
            </w:r>
            <w:r w:rsidRPr="00B041A3">
              <w:rPr>
                <w:sz w:val="16"/>
                <w:szCs w:val="16"/>
                <w:lang w:val="lv-LV"/>
              </w:rPr>
              <w:t xml:space="preserve">Noteikumi par darbības programmas </w:t>
            </w:r>
            <w:r w:rsidRPr="00B041A3">
              <w:rPr>
                <w:bCs/>
                <w:sz w:val="16"/>
                <w:szCs w:val="16"/>
                <w:lang w:val="lv-LV"/>
              </w:rPr>
              <w:t>„</w:t>
            </w:r>
            <w:r w:rsidRPr="00B041A3">
              <w:rPr>
                <w:sz w:val="16"/>
                <w:szCs w:val="16"/>
                <w:lang w:val="lv-LV"/>
              </w:rPr>
              <w:t>Infrastruktūra un pakalpojumi” papildinājuma 3.5.2.1.2.apakšaktivitāti „Pasākumi uzņēmumu siltumapgādes sistēmu efektivitātes paaugstināšanai””</w:t>
            </w:r>
            <w:r w:rsidRPr="0003570F">
              <w:rPr>
                <w:sz w:val="16"/>
                <w:szCs w:val="16"/>
                <w:lang w:val="lv-LV"/>
              </w:rPr>
              <w:t>)</w:t>
            </w:r>
          </w:p>
        </w:tc>
        <w:tc>
          <w:tcPr>
            <w:tcW w:w="1412" w:type="dxa"/>
            <w:tcBorders>
              <w:top w:val="single" w:sz="4" w:space="0" w:color="auto"/>
              <w:left w:val="single" w:sz="4" w:space="0" w:color="auto"/>
              <w:bottom w:val="single" w:sz="4" w:space="0" w:color="auto"/>
              <w:right w:val="single" w:sz="4" w:space="0" w:color="auto"/>
            </w:tcBorders>
          </w:tcPr>
          <w:p w14:paraId="0A87A418" w14:textId="3FBFC327" w:rsidR="00173D5B" w:rsidRPr="00E834E5" w:rsidRDefault="00173D5B" w:rsidP="00AC5B1C">
            <w:pPr>
              <w:jc w:val="both"/>
              <w:rPr>
                <w:sz w:val="16"/>
                <w:szCs w:val="16"/>
                <w:lang w:val="lv-LV"/>
              </w:rPr>
            </w:pPr>
            <w:proofErr w:type="spellStart"/>
            <w:r w:rsidRPr="002F1911">
              <w:rPr>
                <w:sz w:val="16"/>
                <w:szCs w:val="16"/>
              </w:rPr>
              <w:t>Kohēzijas</w:t>
            </w:r>
            <w:proofErr w:type="spellEnd"/>
            <w:r w:rsidRPr="002F1911">
              <w:rPr>
                <w:sz w:val="16"/>
                <w:szCs w:val="16"/>
              </w:rPr>
              <w:t xml:space="preserve"> </w:t>
            </w:r>
            <w:proofErr w:type="spellStart"/>
            <w:r w:rsidRPr="002F1911">
              <w:rPr>
                <w:sz w:val="16"/>
                <w:szCs w:val="16"/>
              </w:rPr>
              <w:t>fonds</w:t>
            </w:r>
            <w:proofErr w:type="spellEnd"/>
          </w:p>
        </w:tc>
        <w:tc>
          <w:tcPr>
            <w:tcW w:w="1694" w:type="dxa"/>
            <w:tcBorders>
              <w:top w:val="single" w:sz="4" w:space="0" w:color="auto"/>
              <w:left w:val="single" w:sz="4" w:space="0" w:color="auto"/>
              <w:bottom w:val="single" w:sz="4" w:space="0" w:color="auto"/>
              <w:right w:val="single" w:sz="4" w:space="0" w:color="auto"/>
            </w:tcBorders>
          </w:tcPr>
          <w:p w14:paraId="00CD1B9C" w14:textId="77777777" w:rsidR="001344DE" w:rsidRPr="001344DE" w:rsidRDefault="001344DE" w:rsidP="001344DE">
            <w:pPr>
              <w:autoSpaceDE w:val="0"/>
              <w:autoSpaceDN w:val="0"/>
              <w:adjustRightInd w:val="0"/>
              <w:jc w:val="both"/>
              <w:rPr>
                <w:snapToGrid/>
                <w:color w:val="000000"/>
                <w:sz w:val="16"/>
                <w:szCs w:val="16"/>
                <w:lang w:val="lv-LV" w:eastAsia="lv-LV"/>
              </w:rPr>
            </w:pPr>
            <w:r w:rsidRPr="001344DE">
              <w:rPr>
                <w:snapToGrid/>
                <w:color w:val="000000"/>
                <w:sz w:val="16"/>
                <w:szCs w:val="16"/>
                <w:lang w:val="lv-LV" w:eastAsia="lv-LV"/>
              </w:rPr>
              <w:t xml:space="preserve">Būtiski paaugstināt siltumenerģijas ražošanas efektivitāti, veicinot siltumenerģijas, kas ražota, izmantojot atjaunojamos </w:t>
            </w:r>
          </w:p>
          <w:p w14:paraId="10AED542" w14:textId="57A8EDDC" w:rsidR="001344DE" w:rsidRPr="001344DE" w:rsidRDefault="001344DE" w:rsidP="001344DE">
            <w:pPr>
              <w:autoSpaceDE w:val="0"/>
              <w:autoSpaceDN w:val="0"/>
              <w:adjustRightInd w:val="0"/>
              <w:jc w:val="both"/>
              <w:rPr>
                <w:snapToGrid/>
                <w:color w:val="000000"/>
                <w:sz w:val="16"/>
                <w:szCs w:val="16"/>
                <w:lang w:val="lv-LV" w:eastAsia="lv-LV"/>
              </w:rPr>
            </w:pPr>
            <w:r w:rsidRPr="001344DE">
              <w:rPr>
                <w:snapToGrid/>
                <w:color w:val="000000"/>
                <w:sz w:val="16"/>
                <w:szCs w:val="16"/>
                <w:lang w:val="lv-LV" w:eastAsia="lv-LV"/>
              </w:rPr>
              <w:t>energoresursus, izmantošanu industriālajā ražošanā.</w:t>
            </w:r>
          </w:p>
        </w:tc>
        <w:tc>
          <w:tcPr>
            <w:tcW w:w="1835" w:type="dxa"/>
            <w:tcBorders>
              <w:top w:val="single" w:sz="4" w:space="0" w:color="auto"/>
              <w:left w:val="single" w:sz="4" w:space="0" w:color="auto"/>
              <w:bottom w:val="single" w:sz="4" w:space="0" w:color="auto"/>
              <w:right w:val="single" w:sz="4" w:space="0" w:color="auto"/>
            </w:tcBorders>
          </w:tcPr>
          <w:p w14:paraId="1E3802B8" w14:textId="7F1575D3" w:rsidR="00173D5B" w:rsidRPr="001344DE" w:rsidRDefault="001344DE" w:rsidP="00EB0036">
            <w:pPr>
              <w:pStyle w:val="NormalWeb"/>
              <w:rPr>
                <w:sz w:val="16"/>
                <w:szCs w:val="16"/>
              </w:rPr>
            </w:pPr>
            <w:proofErr w:type="spellStart"/>
            <w:r w:rsidRPr="001344DE">
              <w:rPr>
                <w:snapToGrid w:val="0"/>
                <w:sz w:val="16"/>
                <w:szCs w:val="16"/>
                <w:lang w:val="en-GB" w:eastAsia="en-GB"/>
              </w:rPr>
              <w:t>K</w:t>
            </w:r>
            <w:r w:rsidR="00173D5B" w:rsidRPr="001344DE">
              <w:rPr>
                <w:snapToGrid w:val="0"/>
                <w:sz w:val="16"/>
                <w:szCs w:val="16"/>
                <w:lang w:val="en-GB" w:eastAsia="en-GB"/>
              </w:rPr>
              <w:t>omersanti</w:t>
            </w:r>
            <w:proofErr w:type="spellEnd"/>
            <w:r w:rsidR="00173D5B" w:rsidRPr="001344DE">
              <w:rPr>
                <w:snapToGrid w:val="0"/>
                <w:sz w:val="16"/>
                <w:szCs w:val="16"/>
                <w:lang w:val="en-GB" w:eastAsia="en-GB"/>
              </w:rPr>
              <w:t>.</w:t>
            </w:r>
          </w:p>
        </w:tc>
        <w:tc>
          <w:tcPr>
            <w:tcW w:w="1131" w:type="dxa"/>
            <w:tcBorders>
              <w:top w:val="single" w:sz="4" w:space="0" w:color="auto"/>
              <w:left w:val="single" w:sz="4" w:space="0" w:color="auto"/>
              <w:bottom w:val="single" w:sz="4" w:space="0" w:color="auto"/>
              <w:right w:val="single" w:sz="4" w:space="0" w:color="auto"/>
            </w:tcBorders>
          </w:tcPr>
          <w:p w14:paraId="65CD1A18" w14:textId="66CAA706" w:rsidR="00173D5B" w:rsidRPr="001344DE" w:rsidRDefault="001344DE" w:rsidP="00AC5B1C">
            <w:pPr>
              <w:jc w:val="both"/>
              <w:rPr>
                <w:sz w:val="16"/>
                <w:szCs w:val="16"/>
                <w:lang w:val="lv-LV"/>
              </w:rPr>
            </w:pPr>
            <w:proofErr w:type="spellStart"/>
            <w:r w:rsidRPr="001344DE">
              <w:rPr>
                <w:sz w:val="16"/>
                <w:szCs w:val="16"/>
              </w:rPr>
              <w:t>Izbeigts</w:t>
            </w:r>
            <w:proofErr w:type="spellEnd"/>
          </w:p>
        </w:tc>
        <w:tc>
          <w:tcPr>
            <w:tcW w:w="1274" w:type="dxa"/>
            <w:tcBorders>
              <w:top w:val="single" w:sz="4" w:space="0" w:color="auto"/>
              <w:left w:val="single" w:sz="4" w:space="0" w:color="auto"/>
              <w:bottom w:val="single" w:sz="4" w:space="0" w:color="auto"/>
              <w:right w:val="single" w:sz="4" w:space="0" w:color="auto"/>
            </w:tcBorders>
          </w:tcPr>
          <w:p w14:paraId="086EEEFA" w14:textId="49F2B87C" w:rsidR="00173D5B" w:rsidRPr="00E834E5" w:rsidRDefault="00173D5B" w:rsidP="001344DE">
            <w:pPr>
              <w:jc w:val="both"/>
              <w:rPr>
                <w:sz w:val="16"/>
                <w:szCs w:val="16"/>
                <w:lang w:val="lv-LV"/>
              </w:rPr>
            </w:pPr>
            <w:r w:rsidRPr="001344DE">
              <w:rPr>
                <w:sz w:val="16"/>
                <w:szCs w:val="16"/>
                <w:lang w:val="lv-LV"/>
              </w:rPr>
              <w:t>Projektu iesniegumu atlase notika 01.12.2011.-01.02.2012</w:t>
            </w:r>
            <w:r w:rsidR="001344DE">
              <w:rPr>
                <w:sz w:val="16"/>
                <w:szCs w:val="16"/>
                <w:lang w:val="lv-LV"/>
              </w:rPr>
              <w:t>.</w:t>
            </w:r>
          </w:p>
        </w:tc>
      </w:tr>
    </w:tbl>
    <w:p w14:paraId="0F9513E9" w14:textId="77777777" w:rsidR="00820C75" w:rsidRPr="009E538B" w:rsidRDefault="00820C75">
      <w:pPr>
        <w:pStyle w:val="Text1"/>
        <w:spacing w:before="0" w:after="0"/>
        <w:ind w:left="0"/>
        <w:jc w:val="left"/>
        <w:rPr>
          <w:sz w:val="18"/>
          <w:lang w:val="lv-LV"/>
        </w:rPr>
      </w:pPr>
      <w:r>
        <w:rPr>
          <w:sz w:val="18"/>
          <w:lang w:val="lv-LV"/>
        </w:rPr>
        <w:t>* Norādīt, vai pasākums ir (galvenokārt) regulatīva, finansiāla vai neregulatīva (piemēram, informācijas kampaņa) rakstura.</w:t>
      </w:r>
    </w:p>
    <w:p w14:paraId="65298BA3" w14:textId="77777777" w:rsidR="00820C75" w:rsidRPr="009E538B" w:rsidRDefault="00820C75">
      <w:pPr>
        <w:pStyle w:val="Text1"/>
        <w:spacing w:before="0" w:after="0"/>
        <w:ind w:left="0"/>
        <w:jc w:val="left"/>
        <w:rPr>
          <w:lang w:val="lv-LV"/>
        </w:rPr>
      </w:pPr>
      <w:r>
        <w:rPr>
          <w:sz w:val="18"/>
          <w:lang w:val="lv-LV"/>
        </w:rPr>
        <w:t>**Gaidāmais rezultāts — tendences maiņa, uzstādītā jauda (MW;</w:t>
      </w:r>
      <w:r w:rsidRPr="009E538B">
        <w:rPr>
          <w:sz w:val="18"/>
          <w:lang w:val="lv-LV"/>
        </w:rPr>
        <w:t xml:space="preserve"> </w:t>
      </w:r>
      <w:r>
        <w:rPr>
          <w:sz w:val="18"/>
          <w:lang w:val="lv-LV"/>
        </w:rPr>
        <w:t>t/</w:t>
      </w:r>
      <w:proofErr w:type="spellStart"/>
      <w:r>
        <w:rPr>
          <w:sz w:val="18"/>
          <w:lang w:val="lv-LV"/>
        </w:rPr>
        <w:t>g</w:t>
      </w:r>
      <w:proofErr w:type="spellEnd"/>
      <w:r>
        <w:rPr>
          <w:sz w:val="18"/>
          <w:lang w:val="lv-LV"/>
        </w:rPr>
        <w:t>.), saražotā enerģija (</w:t>
      </w:r>
      <w:proofErr w:type="spellStart"/>
      <w:r>
        <w:rPr>
          <w:sz w:val="18"/>
          <w:lang w:val="lv-LV"/>
        </w:rPr>
        <w:t>tūkst</w:t>
      </w:r>
      <w:proofErr w:type="spellEnd"/>
      <w:r>
        <w:rPr>
          <w:sz w:val="18"/>
          <w:lang w:val="lv-LV"/>
        </w:rPr>
        <w:t xml:space="preserve">. tonnu naftas </w:t>
      </w:r>
      <w:proofErr w:type="spellStart"/>
      <w:r>
        <w:rPr>
          <w:sz w:val="18"/>
          <w:lang w:val="lv-LV"/>
        </w:rPr>
        <w:t>ekv</w:t>
      </w:r>
      <w:proofErr w:type="spellEnd"/>
      <w:r>
        <w:rPr>
          <w:sz w:val="18"/>
          <w:lang w:val="lv-LV"/>
        </w:rPr>
        <w:t>.).</w:t>
      </w:r>
    </w:p>
    <w:p w14:paraId="05DEDCB0" w14:textId="77777777" w:rsidR="00820C75" w:rsidRPr="009E538B" w:rsidRDefault="00820C75">
      <w:pPr>
        <w:pStyle w:val="Text1"/>
        <w:spacing w:before="0" w:after="0"/>
        <w:ind w:left="0"/>
        <w:jc w:val="left"/>
        <w:rPr>
          <w:lang w:val="lv-LV"/>
        </w:rPr>
      </w:pPr>
      <w:r>
        <w:rPr>
          <w:sz w:val="18"/>
          <w:lang w:val="lv-LV"/>
        </w:rPr>
        <w:t>***Pasākuma mērķauditorija:</w:t>
      </w:r>
      <w:r w:rsidRPr="009E538B">
        <w:rPr>
          <w:sz w:val="18"/>
          <w:lang w:val="lv-LV"/>
        </w:rPr>
        <w:t xml:space="preserve"> </w:t>
      </w:r>
      <w:r>
        <w:rPr>
          <w:sz w:val="18"/>
          <w:lang w:val="lv-LV"/>
        </w:rPr>
        <w:t xml:space="preserve">investori, galalietotāji, publiskā pārvalde, plānotāji, arhitekti, uzstādītāji </w:t>
      </w:r>
      <w:proofErr w:type="spellStart"/>
      <w:r>
        <w:rPr>
          <w:sz w:val="18"/>
          <w:lang w:val="lv-LV"/>
        </w:rPr>
        <w:t>utt</w:t>
      </w:r>
      <w:proofErr w:type="spellEnd"/>
      <w:r>
        <w:rPr>
          <w:sz w:val="18"/>
          <w:lang w:val="lv-LV"/>
        </w:rPr>
        <w:t>. vai attiecīgā darbības joma/nozare:</w:t>
      </w:r>
      <w:r w:rsidRPr="009E538B">
        <w:rPr>
          <w:sz w:val="18"/>
          <w:lang w:val="lv-LV"/>
        </w:rPr>
        <w:t xml:space="preserve"> </w:t>
      </w:r>
      <w:r>
        <w:rPr>
          <w:sz w:val="18"/>
          <w:lang w:val="lv-LV"/>
        </w:rPr>
        <w:t xml:space="preserve">biodegvielas ražošana, dzīvnieku mēslu izmantošana enerģētikā </w:t>
      </w:r>
      <w:proofErr w:type="spellStart"/>
      <w:r>
        <w:rPr>
          <w:sz w:val="18"/>
          <w:lang w:val="lv-LV"/>
        </w:rPr>
        <w:t>utt</w:t>
      </w:r>
      <w:proofErr w:type="spellEnd"/>
      <w:r>
        <w:rPr>
          <w:sz w:val="18"/>
          <w:lang w:val="lv-LV"/>
        </w:rPr>
        <w:t>.</w:t>
      </w:r>
    </w:p>
    <w:p w14:paraId="51C4F1B3" w14:textId="77777777" w:rsidR="00820C75" w:rsidRDefault="00820C75">
      <w:pPr>
        <w:pStyle w:val="Text1"/>
        <w:spacing w:before="0" w:after="0"/>
        <w:ind w:left="0"/>
        <w:jc w:val="left"/>
        <w:rPr>
          <w:sz w:val="18"/>
          <w:lang w:val="lv-LV"/>
        </w:rPr>
      </w:pPr>
      <w:r>
        <w:rPr>
          <w:sz w:val="18"/>
          <w:lang w:val="lv-LV"/>
        </w:rPr>
        <w:t>**** Vai šis pasākums aizstāj vai papildina VRPAEJ 5. tabulā ietvertos pasākumus?</w:t>
      </w:r>
    </w:p>
    <w:p w14:paraId="0B794EDA" w14:textId="77777777" w:rsidR="003E0D79" w:rsidRPr="009E538B" w:rsidRDefault="003E0D79">
      <w:pPr>
        <w:pStyle w:val="Text1"/>
        <w:spacing w:before="0" w:after="0"/>
        <w:ind w:left="0"/>
        <w:jc w:val="left"/>
        <w:rPr>
          <w:sz w:val="18"/>
          <w:lang w:val="lv-LV"/>
        </w:rPr>
      </w:pPr>
    </w:p>
    <w:p w14:paraId="47D2A71C" w14:textId="1D24DE9F" w:rsidR="00F14798" w:rsidRDefault="00B33CFC" w:rsidP="0021153D">
      <w:pPr>
        <w:ind w:firstLine="567"/>
        <w:jc w:val="both"/>
        <w:rPr>
          <w:sz w:val="28"/>
          <w:szCs w:val="28"/>
          <w:lang w:val="lv-LV"/>
        </w:rPr>
      </w:pPr>
      <w:r w:rsidRPr="0021153D">
        <w:rPr>
          <w:sz w:val="28"/>
          <w:lang w:val="lv-LV"/>
        </w:rPr>
        <w:t>Īstenotie pasākumi, lai sekmētu no atjaunojamiem resursiem ražotas enerģijas pieaugumu</w:t>
      </w:r>
      <w:r w:rsidR="001548AE" w:rsidRPr="0021153D">
        <w:rPr>
          <w:sz w:val="28"/>
          <w:lang w:val="lv-LV"/>
        </w:rPr>
        <w:t xml:space="preserve"> un sasniegtu Direktīvā 2009/28/EK noteikto mērķi 2020.</w:t>
      </w:r>
      <w:r w:rsidR="00504C34">
        <w:rPr>
          <w:sz w:val="28"/>
          <w:lang w:val="lv-LV"/>
        </w:rPr>
        <w:t> </w:t>
      </w:r>
      <w:r w:rsidR="001548AE" w:rsidRPr="0021153D">
        <w:rPr>
          <w:sz w:val="28"/>
          <w:lang w:val="lv-LV"/>
        </w:rPr>
        <w:t>gadam,</w:t>
      </w:r>
      <w:r w:rsidRPr="0021153D">
        <w:rPr>
          <w:sz w:val="28"/>
          <w:lang w:val="lv-LV"/>
        </w:rPr>
        <w:t xml:space="preserve"> ir pietiekami</w:t>
      </w:r>
      <w:r w:rsidR="001548AE" w:rsidRPr="0021153D">
        <w:rPr>
          <w:sz w:val="28"/>
          <w:lang w:val="lv-LV"/>
        </w:rPr>
        <w:t xml:space="preserve">. Turklāt Latvijā ES fondu plānošanas periodā 2007.-2013.gadā atbalsts atjaunojamās enerģijas plašākai izmantošanai tika </w:t>
      </w:r>
      <w:r w:rsidRPr="0021153D">
        <w:rPr>
          <w:sz w:val="28"/>
          <w:lang w:val="lv-LV"/>
        </w:rPr>
        <w:t xml:space="preserve">īstenots divos līmeņos – gan kā investīciju atbalsts, gan arī darbības atbalsts. </w:t>
      </w:r>
    </w:p>
    <w:p w14:paraId="7A3285B5" w14:textId="77777777" w:rsidR="0024787F" w:rsidRPr="009E538B" w:rsidRDefault="0024787F" w:rsidP="00B70687">
      <w:pPr>
        <w:rPr>
          <w:lang w:val="lv-LV"/>
        </w:rPr>
      </w:pPr>
      <w:bookmarkStart w:id="10" w:name="_Toc371357202"/>
    </w:p>
    <w:p w14:paraId="7F406E41" w14:textId="77777777" w:rsidR="00820C75" w:rsidRPr="0024787F" w:rsidRDefault="00820C75" w:rsidP="00935562">
      <w:pPr>
        <w:pStyle w:val="Heading2"/>
        <w:numPr>
          <w:ilvl w:val="0"/>
          <w:numId w:val="0"/>
        </w:numPr>
        <w:jc w:val="center"/>
        <w:rPr>
          <w:sz w:val="28"/>
          <w:szCs w:val="32"/>
          <w:lang w:val="lv-LV"/>
        </w:rPr>
      </w:pPr>
      <w:bookmarkStart w:id="11" w:name="_Toc373229242"/>
      <w:r w:rsidRPr="0024787F">
        <w:rPr>
          <w:sz w:val="28"/>
          <w:szCs w:val="32"/>
          <w:lang w:val="lv-LV"/>
        </w:rPr>
        <w:t xml:space="preserve">2.a </w:t>
      </w:r>
      <w:r w:rsidR="006C05DE" w:rsidRPr="0024787F">
        <w:rPr>
          <w:sz w:val="28"/>
          <w:szCs w:val="32"/>
          <w:lang w:val="lv-LV"/>
        </w:rPr>
        <w:t>Administratīvo procedūru progresa izklāsts</w:t>
      </w:r>
      <w:bookmarkEnd w:id="10"/>
      <w:bookmarkEnd w:id="11"/>
    </w:p>
    <w:p w14:paraId="65D2BD68" w14:textId="77777777" w:rsidR="00CB0F76" w:rsidRPr="00184A22" w:rsidRDefault="00CB0F76">
      <w:pPr>
        <w:jc w:val="both"/>
        <w:rPr>
          <w:b/>
          <w:lang w:val="lv-LV"/>
        </w:rPr>
      </w:pPr>
    </w:p>
    <w:p w14:paraId="60B91A1E" w14:textId="77777777" w:rsidR="00BB4EAC" w:rsidRDefault="00BB4EAC" w:rsidP="003B7F3F">
      <w:pPr>
        <w:spacing w:before="120"/>
        <w:ind w:firstLine="584"/>
        <w:jc w:val="both"/>
        <w:rPr>
          <w:color w:val="000000"/>
          <w:sz w:val="28"/>
          <w:szCs w:val="28"/>
          <w:lang w:val="lv-LV"/>
        </w:rPr>
      </w:pPr>
      <w:r>
        <w:rPr>
          <w:color w:val="000000"/>
          <w:sz w:val="28"/>
          <w:szCs w:val="28"/>
          <w:lang w:val="lv-LV"/>
        </w:rPr>
        <w:t>EM</w:t>
      </w:r>
      <w:r w:rsidRPr="00E25237">
        <w:rPr>
          <w:color w:val="000000"/>
          <w:sz w:val="28"/>
          <w:szCs w:val="28"/>
          <w:lang w:val="lv-LV"/>
        </w:rPr>
        <w:t xml:space="preserve"> </w:t>
      </w:r>
      <w:r w:rsidRPr="00376EA9">
        <w:rPr>
          <w:sz w:val="28"/>
          <w:szCs w:val="28"/>
          <w:lang w:val="lv-LV"/>
        </w:rPr>
        <w:t>vei</w:t>
      </w:r>
      <w:r>
        <w:rPr>
          <w:sz w:val="28"/>
          <w:szCs w:val="28"/>
          <w:lang w:val="lv-LV"/>
        </w:rPr>
        <w:t>ca</w:t>
      </w:r>
      <w:r w:rsidRPr="00376EA9">
        <w:rPr>
          <w:sz w:val="28"/>
          <w:szCs w:val="28"/>
          <w:lang w:val="lv-LV"/>
        </w:rPr>
        <w:t xml:space="preserve"> analīzi par vēsturiski īstenotās politikas ietekmi un sekām uz Latvijas ekonomikas konkurētspēju un iedzīvotāju maksātspēju</w:t>
      </w:r>
      <w:r>
        <w:rPr>
          <w:sz w:val="28"/>
          <w:szCs w:val="28"/>
          <w:lang w:val="lv-LV"/>
        </w:rPr>
        <w:t xml:space="preserve"> un</w:t>
      </w:r>
      <w:r w:rsidR="000972DB">
        <w:rPr>
          <w:sz w:val="28"/>
          <w:szCs w:val="28"/>
          <w:lang w:val="lv-LV"/>
        </w:rPr>
        <w:t>,</w:t>
      </w:r>
      <w:r w:rsidRPr="00E25237">
        <w:rPr>
          <w:color w:val="000000"/>
          <w:sz w:val="28"/>
          <w:szCs w:val="28"/>
          <w:lang w:val="lv-LV"/>
        </w:rPr>
        <w:t xml:space="preserve"> </w:t>
      </w:r>
      <w:r>
        <w:rPr>
          <w:color w:val="000000"/>
          <w:sz w:val="28"/>
          <w:szCs w:val="28"/>
          <w:lang w:val="lv-LV"/>
        </w:rPr>
        <w:t>ņ</w:t>
      </w:r>
      <w:r w:rsidRPr="00E25237">
        <w:rPr>
          <w:color w:val="000000"/>
          <w:sz w:val="28"/>
          <w:szCs w:val="28"/>
          <w:lang w:val="lv-LV"/>
        </w:rPr>
        <w:t xml:space="preserve">emot </w:t>
      </w:r>
      <w:r w:rsidR="006308BA" w:rsidRPr="00E25237">
        <w:rPr>
          <w:color w:val="000000"/>
          <w:sz w:val="28"/>
          <w:szCs w:val="28"/>
          <w:lang w:val="lv-LV"/>
        </w:rPr>
        <w:t xml:space="preserve">vērā </w:t>
      </w:r>
      <w:r w:rsidR="00646815">
        <w:rPr>
          <w:color w:val="000000"/>
          <w:sz w:val="28"/>
          <w:szCs w:val="28"/>
          <w:lang w:val="lv-LV"/>
        </w:rPr>
        <w:t>EM</w:t>
      </w:r>
      <w:r w:rsidR="006308BA" w:rsidRPr="00E25237">
        <w:rPr>
          <w:color w:val="000000"/>
          <w:sz w:val="28"/>
          <w:szCs w:val="28"/>
          <w:lang w:val="lv-LV"/>
        </w:rPr>
        <w:t xml:space="preserve"> </w:t>
      </w:r>
      <w:r w:rsidR="00084AD9" w:rsidRPr="00376EA9">
        <w:rPr>
          <w:sz w:val="28"/>
          <w:szCs w:val="28"/>
          <w:lang w:val="lv-LV"/>
        </w:rPr>
        <w:t>veikt</w:t>
      </w:r>
      <w:r w:rsidR="00084AD9">
        <w:rPr>
          <w:sz w:val="28"/>
          <w:szCs w:val="28"/>
          <w:lang w:val="lv-LV"/>
        </w:rPr>
        <w:t>ās</w:t>
      </w:r>
      <w:r w:rsidR="00084AD9" w:rsidRPr="00376EA9">
        <w:rPr>
          <w:sz w:val="28"/>
          <w:szCs w:val="28"/>
          <w:lang w:val="lv-LV"/>
        </w:rPr>
        <w:t xml:space="preserve"> analīz</w:t>
      </w:r>
      <w:r w:rsidR="00084AD9">
        <w:rPr>
          <w:sz w:val="28"/>
          <w:szCs w:val="28"/>
          <w:lang w:val="lv-LV"/>
        </w:rPr>
        <w:t>es secinājumus</w:t>
      </w:r>
      <w:r w:rsidR="000972DB">
        <w:rPr>
          <w:sz w:val="28"/>
          <w:szCs w:val="28"/>
          <w:lang w:val="lv-LV"/>
        </w:rPr>
        <w:t>,</w:t>
      </w:r>
      <w:r w:rsidR="00084AD9" w:rsidRPr="00376EA9">
        <w:rPr>
          <w:sz w:val="28"/>
          <w:szCs w:val="28"/>
          <w:lang w:val="lv-LV"/>
        </w:rPr>
        <w:t xml:space="preserve"> </w:t>
      </w:r>
      <w:r>
        <w:rPr>
          <w:color w:val="000000"/>
          <w:sz w:val="28"/>
          <w:szCs w:val="28"/>
          <w:lang w:val="lv-LV"/>
        </w:rPr>
        <w:t xml:space="preserve">tika identificēta nepieciešamība uzlabot administratīvās procedūras </w:t>
      </w:r>
      <w:r w:rsidRPr="003B7F3F">
        <w:rPr>
          <w:sz w:val="28"/>
          <w:szCs w:val="28"/>
          <w:lang w:val="lv-LV"/>
        </w:rPr>
        <w:t>MK noteikumos Nr.221</w:t>
      </w:r>
      <w:r w:rsidRPr="003B7F3F">
        <w:rPr>
          <w:rStyle w:val="FootnoteReference"/>
          <w:sz w:val="28"/>
          <w:szCs w:val="28"/>
          <w:lang w:val="lv-LV"/>
        </w:rPr>
        <w:footnoteReference w:id="26"/>
      </w:r>
      <w:r w:rsidRPr="003B7F3F">
        <w:rPr>
          <w:sz w:val="28"/>
          <w:szCs w:val="28"/>
          <w:lang w:val="lv-LV"/>
        </w:rPr>
        <w:t xml:space="preserve"> un MK noteikumos </w:t>
      </w:r>
      <w:r w:rsidRPr="003B7F3F">
        <w:rPr>
          <w:sz w:val="28"/>
          <w:szCs w:val="28"/>
          <w:lang w:val="lv-LV"/>
        </w:rPr>
        <w:lastRenderedPageBreak/>
        <w:t>Nr.262</w:t>
      </w:r>
      <w:r w:rsidR="00A40720">
        <w:rPr>
          <w:rStyle w:val="FootnoteReference"/>
          <w:sz w:val="28"/>
          <w:szCs w:val="28"/>
          <w:lang w:val="lv-LV"/>
        </w:rPr>
        <w:footnoteReference w:id="27"/>
      </w:r>
      <w:r>
        <w:rPr>
          <w:sz w:val="28"/>
          <w:szCs w:val="28"/>
          <w:lang w:val="lv-LV"/>
        </w:rPr>
        <w:t xml:space="preserve"> ietvertā tiesiskā regulējuma uzlabošanai un attiecīgi </w:t>
      </w:r>
      <w:r w:rsidR="00CB0F76" w:rsidRPr="00A75660">
        <w:rPr>
          <w:color w:val="000000"/>
          <w:sz w:val="28"/>
          <w:szCs w:val="28"/>
          <w:lang w:val="lv-LV"/>
        </w:rPr>
        <w:t>2012.</w:t>
      </w:r>
      <w:r w:rsidR="00B660FD">
        <w:rPr>
          <w:color w:val="000000"/>
          <w:sz w:val="28"/>
          <w:szCs w:val="28"/>
          <w:lang w:val="lv-LV"/>
        </w:rPr>
        <w:t> </w:t>
      </w:r>
      <w:r w:rsidR="00CB0F76" w:rsidRPr="00A75660">
        <w:rPr>
          <w:color w:val="000000"/>
          <w:sz w:val="28"/>
          <w:szCs w:val="28"/>
          <w:lang w:val="lv-LV"/>
        </w:rPr>
        <w:t>gadā veikta virkne pasākumu tiesiskās bāzes sakārtošanai.</w:t>
      </w:r>
      <w:r w:rsidR="003B7F3F">
        <w:rPr>
          <w:color w:val="000000"/>
          <w:sz w:val="28"/>
          <w:szCs w:val="28"/>
          <w:lang w:val="lv-LV"/>
        </w:rPr>
        <w:t xml:space="preserve"> </w:t>
      </w:r>
      <w:r>
        <w:rPr>
          <w:color w:val="000000"/>
          <w:sz w:val="28"/>
          <w:szCs w:val="28"/>
          <w:lang w:val="lv-LV"/>
        </w:rPr>
        <w:t>Vienlaikus</w:t>
      </w:r>
      <w:r w:rsidR="003D5C82">
        <w:rPr>
          <w:color w:val="000000"/>
          <w:sz w:val="28"/>
          <w:szCs w:val="28"/>
          <w:lang w:val="lv-LV"/>
        </w:rPr>
        <w:t>, veicot administratīvo procedūru analīzi citos spēkā esošajos un ar AER nozari piekritīgajos normatīvajos aktos, netika identificēta nepieciešamība tiesiskā regulējuma izmaiņām.</w:t>
      </w:r>
      <w:r>
        <w:rPr>
          <w:color w:val="000000"/>
          <w:sz w:val="28"/>
          <w:szCs w:val="28"/>
          <w:lang w:val="lv-LV"/>
        </w:rPr>
        <w:t xml:space="preserve"> </w:t>
      </w:r>
    </w:p>
    <w:p w14:paraId="382BDAD9" w14:textId="77777777" w:rsidR="006308BA" w:rsidRDefault="00CB0F76" w:rsidP="003B7F3F">
      <w:pPr>
        <w:spacing w:before="120"/>
        <w:ind w:firstLine="584"/>
        <w:jc w:val="both"/>
        <w:rPr>
          <w:color w:val="000000"/>
          <w:sz w:val="28"/>
          <w:szCs w:val="28"/>
          <w:lang w:val="lv-LV"/>
        </w:rPr>
      </w:pPr>
      <w:r w:rsidRPr="00A75660">
        <w:rPr>
          <w:color w:val="000000"/>
          <w:sz w:val="28"/>
          <w:szCs w:val="28"/>
          <w:lang w:val="lv-LV"/>
        </w:rPr>
        <w:t>Veicot grozījumus normatīvajos aktos</w:t>
      </w:r>
      <w:r>
        <w:rPr>
          <w:color w:val="000000"/>
          <w:sz w:val="28"/>
          <w:szCs w:val="28"/>
          <w:lang w:val="lv-LV"/>
        </w:rPr>
        <w:t xml:space="preserve"> (grozījumi </w:t>
      </w:r>
      <w:r w:rsidRPr="003B7F3F">
        <w:rPr>
          <w:sz w:val="28"/>
          <w:szCs w:val="28"/>
          <w:lang w:val="lv-LV"/>
        </w:rPr>
        <w:t>MK noteikumos Nr.221</w:t>
      </w:r>
      <w:r w:rsidR="00FB4615">
        <w:rPr>
          <w:sz w:val="28"/>
          <w:szCs w:val="28"/>
          <w:lang w:val="lv-LV"/>
        </w:rPr>
        <w:t xml:space="preserve"> </w:t>
      </w:r>
      <w:r w:rsidRPr="003B7F3F">
        <w:rPr>
          <w:sz w:val="28"/>
          <w:szCs w:val="28"/>
          <w:lang w:val="lv-LV"/>
        </w:rPr>
        <w:t>un MK noteikumos Nr.262</w:t>
      </w:r>
      <w:r>
        <w:rPr>
          <w:color w:val="000000"/>
          <w:sz w:val="28"/>
          <w:szCs w:val="28"/>
          <w:lang w:val="lv-LV"/>
        </w:rPr>
        <w:t>)</w:t>
      </w:r>
      <w:r w:rsidR="00DC59A5">
        <w:rPr>
          <w:color w:val="000000"/>
          <w:sz w:val="28"/>
          <w:szCs w:val="28"/>
          <w:lang w:val="lv-LV"/>
        </w:rPr>
        <w:t>:</w:t>
      </w:r>
    </w:p>
    <w:p w14:paraId="05778A88" w14:textId="6D6F9D83" w:rsidR="00660C45" w:rsidRPr="00620BF7" w:rsidRDefault="006308BA" w:rsidP="00620BF7">
      <w:pPr>
        <w:ind w:firstLine="584"/>
        <w:jc w:val="both"/>
        <w:rPr>
          <w:sz w:val="28"/>
          <w:szCs w:val="28"/>
          <w:lang w:val="lv-LV"/>
        </w:rPr>
      </w:pPr>
      <w:r w:rsidRPr="00F10D1A">
        <w:rPr>
          <w:color w:val="000000"/>
          <w:sz w:val="28"/>
          <w:szCs w:val="28"/>
          <w:lang w:val="lv-LV"/>
        </w:rPr>
        <w:t>1)</w:t>
      </w:r>
      <w:r w:rsidR="00CB0F76" w:rsidRPr="00F10D1A">
        <w:rPr>
          <w:color w:val="000000"/>
          <w:sz w:val="28"/>
          <w:szCs w:val="28"/>
          <w:lang w:val="lv-LV"/>
        </w:rPr>
        <w:t xml:space="preserve"> </w:t>
      </w:r>
      <w:r w:rsidR="000B499D">
        <w:rPr>
          <w:color w:val="000000"/>
          <w:sz w:val="28"/>
          <w:szCs w:val="28"/>
          <w:lang w:val="lv-LV"/>
        </w:rPr>
        <w:t>l</w:t>
      </w:r>
      <w:r w:rsidR="00F10D1A" w:rsidRPr="00F10D1A">
        <w:rPr>
          <w:color w:val="000000"/>
          <w:sz w:val="28"/>
          <w:szCs w:val="28"/>
          <w:lang w:val="lv-LV"/>
        </w:rPr>
        <w:t>ai pārliecinātos, ka obligātā iepirkuma ietvaros elektroenerģijas ražotājiem piešķirtie līdzekļi tiek izmantoti efektīvi un atbilstoši paredzētajiem mērķiem, MK noteikumos Nr.262 un MK noteikumos Nr.221 iekļauta prasība (spēkā stājās 2012. gada 8. septembrī) katru gadu obligāti iesniedzamajā (līdz kārtējā gada 1. martam) gada pārskatā par elektrostacijas darbību sniegtos datus par pārdoto lietderīgo (efektīvi izlietoto) siltumenerģiju apstiprināt pie akreditēta auditora.</w:t>
      </w:r>
      <w:r w:rsidR="00F10D1A" w:rsidRPr="00361C97">
        <w:rPr>
          <w:color w:val="000000"/>
          <w:sz w:val="28"/>
          <w:szCs w:val="28"/>
          <w:lang w:val="lv-LV"/>
        </w:rPr>
        <w:t xml:space="preserve"> </w:t>
      </w:r>
      <w:r w:rsidR="00F10D1A" w:rsidRPr="00F10D1A">
        <w:rPr>
          <w:color w:val="000000"/>
          <w:sz w:val="28"/>
          <w:szCs w:val="28"/>
          <w:lang w:val="lv-LV"/>
        </w:rPr>
        <w:t>Vienlaikus  abos Ministru kabineta noteikumos noteikts, ka auditors ir juridiska persona, kura ir akreditēta Latvijas Nacionālajā akreditācijas birojā un atbilst akreditācijas prasībām, ņemot vērā standartu LVS EN ISO/IEC 17020:2012 „Atbilstības novērtēšana. Prasības dažāda veida institūcijām, kas veic inspekciju”.</w:t>
      </w:r>
      <w:r w:rsidR="00F10D1A">
        <w:rPr>
          <w:color w:val="000000"/>
          <w:sz w:val="28"/>
          <w:szCs w:val="28"/>
          <w:lang w:val="lv-LV"/>
        </w:rPr>
        <w:t xml:space="preserve"> Šāda prasība nodrošinās auditoru veikto auditu neatkarību un objektivitāti.</w:t>
      </w:r>
      <w:r w:rsidR="00F10D1A" w:rsidRPr="00F10D1A">
        <w:rPr>
          <w:color w:val="000000"/>
          <w:sz w:val="28"/>
          <w:szCs w:val="28"/>
          <w:lang w:val="lv-LV"/>
        </w:rPr>
        <w:t xml:space="preserve"> </w:t>
      </w:r>
      <w:r w:rsidR="007D0B8F" w:rsidRPr="009E538B">
        <w:rPr>
          <w:highlight w:val="yellow"/>
          <w:lang w:val="lv-LV"/>
        </w:rPr>
        <w:t xml:space="preserve"> </w:t>
      </w:r>
    </w:p>
    <w:p w14:paraId="560A32C3" w14:textId="77777777" w:rsidR="006308BA" w:rsidRPr="00B25736" w:rsidRDefault="006308BA" w:rsidP="00620BF7">
      <w:pPr>
        <w:ind w:firstLine="584"/>
        <w:jc w:val="both"/>
        <w:rPr>
          <w:color w:val="000000"/>
          <w:sz w:val="28"/>
          <w:szCs w:val="28"/>
          <w:lang w:val="lv-LV"/>
        </w:rPr>
      </w:pPr>
      <w:r>
        <w:rPr>
          <w:color w:val="000000"/>
          <w:sz w:val="28"/>
          <w:szCs w:val="28"/>
          <w:lang w:val="lv-LV"/>
        </w:rPr>
        <w:t xml:space="preserve">2) </w:t>
      </w:r>
      <w:r w:rsidR="0074063A">
        <w:rPr>
          <w:color w:val="000000"/>
          <w:sz w:val="28"/>
          <w:szCs w:val="28"/>
          <w:lang w:val="lv-LV"/>
        </w:rPr>
        <w:t>i</w:t>
      </w:r>
      <w:r w:rsidR="00CB0F76" w:rsidRPr="00A75660">
        <w:rPr>
          <w:color w:val="000000"/>
          <w:sz w:val="28"/>
          <w:szCs w:val="28"/>
          <w:lang w:val="lv-LV"/>
        </w:rPr>
        <w:t>etvertas normas, lai komersants izpildītu savas nodokļu saistības pret valsti un darbiniekiem, kā arī nodrošinātu atbilstību būvniecību regulējošajiem normatīvajiem aktiem elektrostacijās.</w:t>
      </w:r>
    </w:p>
    <w:p w14:paraId="604A34E2" w14:textId="77777777" w:rsidR="006308BA" w:rsidRDefault="006308BA" w:rsidP="003B0637">
      <w:pPr>
        <w:ind w:firstLine="584"/>
        <w:jc w:val="both"/>
        <w:rPr>
          <w:bCs/>
          <w:sz w:val="28"/>
          <w:szCs w:val="28"/>
          <w:lang w:val="lv-LV"/>
        </w:rPr>
      </w:pPr>
      <w:r>
        <w:rPr>
          <w:sz w:val="28"/>
          <w:szCs w:val="28"/>
          <w:lang w:val="lv-LV"/>
        </w:rPr>
        <w:t xml:space="preserve">3) </w:t>
      </w:r>
      <w:r w:rsidR="0074063A">
        <w:rPr>
          <w:sz w:val="28"/>
          <w:szCs w:val="28"/>
          <w:lang w:val="lv-LV"/>
        </w:rPr>
        <w:t>k</w:t>
      </w:r>
      <w:r w:rsidRPr="00376EA9">
        <w:rPr>
          <w:sz w:val="28"/>
          <w:szCs w:val="28"/>
          <w:lang w:val="lv-LV"/>
        </w:rPr>
        <w:t>omersant</w:t>
      </w:r>
      <w:r>
        <w:rPr>
          <w:sz w:val="28"/>
          <w:szCs w:val="28"/>
          <w:lang w:val="lv-LV"/>
        </w:rPr>
        <w:t>iem</w:t>
      </w:r>
      <w:r w:rsidR="00CB0F76" w:rsidRPr="00376EA9">
        <w:rPr>
          <w:sz w:val="28"/>
          <w:szCs w:val="28"/>
          <w:lang w:val="lv-LV"/>
        </w:rPr>
        <w:t xml:space="preserve">, kas ražo elektroenerģiju </w:t>
      </w:r>
      <w:r w:rsidR="0074063A">
        <w:rPr>
          <w:sz w:val="28"/>
          <w:szCs w:val="28"/>
          <w:lang w:val="lv-LV"/>
        </w:rPr>
        <w:t xml:space="preserve">augstas efektivitātes </w:t>
      </w:r>
      <w:r w:rsidR="00CB0F76" w:rsidRPr="00376EA9">
        <w:rPr>
          <w:sz w:val="28"/>
          <w:szCs w:val="28"/>
          <w:lang w:val="lv-LV"/>
        </w:rPr>
        <w:t>koģenerācijā,</w:t>
      </w:r>
      <w:r>
        <w:rPr>
          <w:sz w:val="28"/>
          <w:szCs w:val="28"/>
          <w:lang w:val="lv-LV"/>
        </w:rPr>
        <w:t xml:space="preserve"> noteikts</w:t>
      </w:r>
      <w:r w:rsidR="00CB0F76" w:rsidRPr="00376EA9">
        <w:rPr>
          <w:sz w:val="28"/>
          <w:szCs w:val="28"/>
          <w:lang w:val="lv-LV"/>
        </w:rPr>
        <w:t xml:space="preserve"> atbalsta termiņa ierobežojums. Ja līdz šim atbalsts bija beztermiņa, tad līdz ar grozījumiem ir noteikts 10</w:t>
      </w:r>
      <w:r w:rsidR="00CB0F76" w:rsidRPr="00376EA9">
        <w:rPr>
          <w:b/>
          <w:sz w:val="28"/>
          <w:szCs w:val="28"/>
          <w:lang w:val="lv-LV"/>
        </w:rPr>
        <w:t xml:space="preserve"> </w:t>
      </w:r>
      <w:r w:rsidR="00CB0F76" w:rsidRPr="00376EA9">
        <w:rPr>
          <w:sz w:val="28"/>
          <w:szCs w:val="28"/>
          <w:lang w:val="lv-LV"/>
        </w:rPr>
        <w:t>gadu ierobežojums koģenerācijas elektrostacijām, kuru uzstādītā elektriskā jauda nepārsniedz 4 MW, un 15 gadu ierobežojums</w:t>
      </w:r>
      <w:r w:rsidR="00CB0F76" w:rsidRPr="00376EA9">
        <w:rPr>
          <w:b/>
          <w:sz w:val="28"/>
          <w:szCs w:val="28"/>
          <w:lang w:val="lv-LV"/>
        </w:rPr>
        <w:t xml:space="preserve"> </w:t>
      </w:r>
      <w:r w:rsidR="00CB0F76" w:rsidRPr="00376EA9">
        <w:rPr>
          <w:sz w:val="28"/>
          <w:szCs w:val="28"/>
          <w:lang w:val="lv-LV"/>
        </w:rPr>
        <w:t>koģenerācijas elektrostacijām, kuru uzstādītā elektriskā jauda ir lielāka par 4 MW. Iekārtām, kas tika nodotas ekspluatācijā pirms vairāk nekā 10 gadiem</w:t>
      </w:r>
      <w:r w:rsidR="008C6B0A">
        <w:rPr>
          <w:sz w:val="28"/>
          <w:szCs w:val="28"/>
          <w:lang w:val="lv-LV"/>
        </w:rPr>
        <w:t>,</w:t>
      </w:r>
      <w:r w:rsidR="00CB0F76" w:rsidRPr="00376EA9">
        <w:rPr>
          <w:sz w:val="28"/>
          <w:szCs w:val="28"/>
          <w:lang w:val="lv-LV"/>
        </w:rPr>
        <w:t xml:space="preserve"> paredzēts pārejas periods līdz 2017.</w:t>
      </w:r>
      <w:r w:rsidR="008C6B0A">
        <w:rPr>
          <w:sz w:val="28"/>
          <w:szCs w:val="28"/>
          <w:lang w:val="lv-LV"/>
        </w:rPr>
        <w:t> </w:t>
      </w:r>
      <w:r w:rsidR="00CB0F76" w:rsidRPr="00376EA9">
        <w:rPr>
          <w:bCs/>
          <w:sz w:val="28"/>
          <w:szCs w:val="28"/>
          <w:lang w:val="lv-LV"/>
        </w:rPr>
        <w:t xml:space="preserve">gada 1. jūlijam. </w:t>
      </w:r>
    </w:p>
    <w:p w14:paraId="19DBBE56" w14:textId="77777777" w:rsidR="006308BA" w:rsidRDefault="006308BA" w:rsidP="003B0637">
      <w:pPr>
        <w:ind w:firstLine="584"/>
        <w:jc w:val="both"/>
        <w:rPr>
          <w:b/>
          <w:sz w:val="28"/>
          <w:szCs w:val="28"/>
          <w:lang w:val="lv-LV"/>
        </w:rPr>
      </w:pPr>
      <w:r>
        <w:rPr>
          <w:bCs/>
          <w:sz w:val="28"/>
          <w:szCs w:val="28"/>
          <w:lang w:val="lv-LV"/>
        </w:rPr>
        <w:t xml:space="preserve">4) </w:t>
      </w:r>
      <w:r w:rsidR="0074063A">
        <w:rPr>
          <w:bCs/>
          <w:sz w:val="28"/>
          <w:szCs w:val="28"/>
          <w:lang w:val="lv-LV"/>
        </w:rPr>
        <w:t>t</w:t>
      </w:r>
      <w:r w:rsidR="00DC59A5">
        <w:rPr>
          <w:bCs/>
          <w:sz w:val="28"/>
          <w:szCs w:val="28"/>
          <w:lang w:val="lv-LV"/>
        </w:rPr>
        <w:t>āpat arī p</w:t>
      </w:r>
      <w:r w:rsidR="00CB0F76" w:rsidRPr="00376EA9">
        <w:rPr>
          <w:bCs/>
          <w:sz w:val="28"/>
          <w:szCs w:val="28"/>
          <w:lang w:val="lv-LV"/>
        </w:rPr>
        <w:t>ieņemtie grozījumi MK noteikumos Nr.221 arī paredz konkrētu laika periodu, kurā jāuzsāk ražošana</w:t>
      </w:r>
      <w:r w:rsidR="0074063A">
        <w:rPr>
          <w:bCs/>
          <w:sz w:val="28"/>
          <w:szCs w:val="28"/>
          <w:lang w:val="lv-LV"/>
        </w:rPr>
        <w:t xml:space="preserve"> augstas efektivitātes</w:t>
      </w:r>
      <w:r w:rsidR="00CB0F76" w:rsidRPr="00376EA9">
        <w:rPr>
          <w:bCs/>
          <w:sz w:val="28"/>
          <w:szCs w:val="28"/>
          <w:lang w:val="lv-LV"/>
        </w:rPr>
        <w:t xml:space="preserve"> koģenerācijā atkarībā no uzstādāmās jaudas. </w:t>
      </w:r>
    </w:p>
    <w:p w14:paraId="1E21A2DD" w14:textId="432E066A" w:rsidR="00CB0F76" w:rsidRDefault="006308BA" w:rsidP="003B0637">
      <w:pPr>
        <w:ind w:firstLine="584"/>
        <w:jc w:val="both"/>
        <w:rPr>
          <w:sz w:val="28"/>
          <w:szCs w:val="28"/>
          <w:lang w:val="lv-LV"/>
        </w:rPr>
      </w:pPr>
      <w:r w:rsidRPr="00DC59A5">
        <w:rPr>
          <w:sz w:val="28"/>
          <w:szCs w:val="28"/>
          <w:lang w:val="lv-LV"/>
        </w:rPr>
        <w:t xml:space="preserve">5) </w:t>
      </w:r>
      <w:r w:rsidR="0074063A">
        <w:rPr>
          <w:sz w:val="28"/>
          <w:szCs w:val="28"/>
          <w:lang w:val="lv-LV"/>
        </w:rPr>
        <w:t>n</w:t>
      </w:r>
      <w:r w:rsidR="00DC59A5" w:rsidRPr="00DC59A5">
        <w:rPr>
          <w:sz w:val="28"/>
          <w:szCs w:val="28"/>
          <w:lang w:val="lv-LV"/>
        </w:rPr>
        <w:t>oteikts, ka l</w:t>
      </w:r>
      <w:r w:rsidR="00CB0F76" w:rsidRPr="00DC59A5">
        <w:rPr>
          <w:sz w:val="28"/>
          <w:szCs w:val="28"/>
          <w:lang w:val="lv-LV"/>
        </w:rPr>
        <w:t xml:space="preserve">īdz 2016. gada 1. janvārim </w:t>
      </w:r>
      <w:r w:rsidR="000B499D">
        <w:rPr>
          <w:sz w:val="28"/>
          <w:szCs w:val="28"/>
          <w:lang w:val="lv-LV"/>
        </w:rPr>
        <w:t xml:space="preserve">jauni ražotāji </w:t>
      </w:r>
      <w:r w:rsidR="00CB0F76" w:rsidRPr="00DC59A5">
        <w:rPr>
          <w:sz w:val="28"/>
          <w:szCs w:val="28"/>
          <w:lang w:val="lv-LV"/>
        </w:rPr>
        <w:t>atbalst</w:t>
      </w:r>
      <w:r w:rsidR="000B499D">
        <w:rPr>
          <w:sz w:val="28"/>
          <w:szCs w:val="28"/>
          <w:lang w:val="lv-LV"/>
        </w:rPr>
        <w:t>a</w:t>
      </w:r>
      <w:r w:rsidR="00CB0F76" w:rsidRPr="00DC59A5">
        <w:rPr>
          <w:sz w:val="28"/>
          <w:szCs w:val="28"/>
          <w:lang w:val="lv-LV"/>
        </w:rPr>
        <w:t xml:space="preserve"> saņem</w:t>
      </w:r>
      <w:r w:rsidR="000B499D">
        <w:rPr>
          <w:sz w:val="28"/>
          <w:szCs w:val="28"/>
          <w:lang w:val="lv-LV"/>
        </w:rPr>
        <w:t>šanai (tiesību saņemšanai pārdot elektroenerģiju</w:t>
      </w:r>
      <w:r w:rsidR="000B499D" w:rsidRPr="000B499D">
        <w:rPr>
          <w:sz w:val="28"/>
          <w:szCs w:val="28"/>
          <w:lang w:val="lv-LV"/>
        </w:rPr>
        <w:t xml:space="preserve"> </w:t>
      </w:r>
      <w:r w:rsidR="000B499D" w:rsidRPr="00376EA9">
        <w:rPr>
          <w:sz w:val="28"/>
          <w:szCs w:val="28"/>
          <w:lang w:val="lv-LV"/>
        </w:rPr>
        <w:t xml:space="preserve">obligātā iepirkuma ietvaros un </w:t>
      </w:r>
      <w:r w:rsidR="000B499D">
        <w:rPr>
          <w:sz w:val="28"/>
          <w:szCs w:val="28"/>
          <w:lang w:val="lv-LV"/>
        </w:rPr>
        <w:t xml:space="preserve">tiesību </w:t>
      </w:r>
      <w:r w:rsidR="000B499D" w:rsidRPr="00376EA9">
        <w:rPr>
          <w:sz w:val="28"/>
          <w:szCs w:val="28"/>
          <w:lang w:val="lv-LV"/>
        </w:rPr>
        <w:t>garantēt</w:t>
      </w:r>
      <w:r w:rsidR="000B499D">
        <w:rPr>
          <w:sz w:val="28"/>
          <w:szCs w:val="28"/>
          <w:lang w:val="lv-LV"/>
        </w:rPr>
        <w:t>as</w:t>
      </w:r>
      <w:r w:rsidR="000B499D" w:rsidRPr="00376EA9">
        <w:rPr>
          <w:sz w:val="28"/>
          <w:szCs w:val="28"/>
          <w:lang w:val="lv-LV"/>
        </w:rPr>
        <w:t xml:space="preserve"> maks</w:t>
      </w:r>
      <w:r w:rsidR="000B499D">
        <w:rPr>
          <w:sz w:val="28"/>
          <w:szCs w:val="28"/>
          <w:lang w:val="lv-LV"/>
        </w:rPr>
        <w:t>as</w:t>
      </w:r>
      <w:r w:rsidR="000B499D" w:rsidRPr="00376EA9">
        <w:rPr>
          <w:sz w:val="28"/>
          <w:szCs w:val="28"/>
          <w:lang w:val="lv-LV"/>
        </w:rPr>
        <w:t xml:space="preserve"> par koģenerācijas elektrostacijā uzstādīto elektrisko jaudu</w:t>
      </w:r>
      <w:r w:rsidR="000B499D" w:rsidRPr="000B499D">
        <w:rPr>
          <w:sz w:val="28"/>
          <w:szCs w:val="28"/>
          <w:lang w:val="lv-LV"/>
        </w:rPr>
        <w:t xml:space="preserve"> </w:t>
      </w:r>
      <w:r w:rsidR="000B499D">
        <w:rPr>
          <w:sz w:val="28"/>
          <w:szCs w:val="28"/>
          <w:lang w:val="lv-LV"/>
        </w:rPr>
        <w:t>saņemšanai)  pieteikties nevar. Līdz ar to n</w:t>
      </w:r>
      <w:r w:rsidR="00CB0F76" w:rsidRPr="00376EA9">
        <w:rPr>
          <w:sz w:val="28"/>
          <w:szCs w:val="28"/>
          <w:lang w:val="lv-LV"/>
        </w:rPr>
        <w:t>etiek organizēti jauni konkursi jaunu tiesību iegūšanai pārdot biomasas, biogāzes, saules vai vēja elektrostacijās saražoto elektroenerģiju obligātā iepirkuma ietv</w:t>
      </w:r>
      <w:r w:rsidR="00CB0F76">
        <w:rPr>
          <w:sz w:val="28"/>
          <w:szCs w:val="28"/>
          <w:lang w:val="lv-LV"/>
        </w:rPr>
        <w:t>aros.</w:t>
      </w:r>
    </w:p>
    <w:p w14:paraId="0B71C5EA" w14:textId="77777777" w:rsidR="00CB0F76" w:rsidRDefault="0058257C" w:rsidP="00CB0F76">
      <w:pPr>
        <w:ind w:firstLine="720"/>
        <w:jc w:val="both"/>
        <w:rPr>
          <w:sz w:val="28"/>
          <w:szCs w:val="28"/>
          <w:lang w:val="lv-LV"/>
        </w:rPr>
      </w:pPr>
      <w:r w:rsidRPr="0058257C">
        <w:rPr>
          <w:sz w:val="28"/>
          <w:szCs w:val="28"/>
          <w:lang w:val="lv-LV"/>
        </w:rPr>
        <w:lastRenderedPageBreak/>
        <w:t xml:space="preserve">Ņemot vērā, ka viens </w:t>
      </w:r>
      <w:r w:rsidR="0074063A">
        <w:rPr>
          <w:sz w:val="28"/>
          <w:szCs w:val="28"/>
          <w:lang w:val="lv-LV"/>
        </w:rPr>
        <w:t xml:space="preserve">no </w:t>
      </w:r>
      <w:r w:rsidRPr="0058257C">
        <w:rPr>
          <w:sz w:val="28"/>
          <w:szCs w:val="28"/>
          <w:lang w:val="lv-LV"/>
        </w:rPr>
        <w:t xml:space="preserve">enerģētikas politikas mērķiem ir kliedētās atjaunojamās enerģijas ražošanas attīstība, </w:t>
      </w:r>
      <w:r>
        <w:rPr>
          <w:sz w:val="28"/>
          <w:szCs w:val="28"/>
          <w:lang w:val="lv-LV"/>
        </w:rPr>
        <w:t>e</w:t>
      </w:r>
      <w:r w:rsidR="00CB0F76">
        <w:rPr>
          <w:sz w:val="28"/>
          <w:szCs w:val="28"/>
          <w:lang w:val="lv-LV"/>
        </w:rPr>
        <w:t xml:space="preserve">nerģētikas politikas reformas ietvaros 2012. gadā uzsākta arī </w:t>
      </w:r>
      <w:r w:rsidR="00CB0F76" w:rsidRPr="00376EA9">
        <w:rPr>
          <w:sz w:val="28"/>
          <w:szCs w:val="28"/>
          <w:lang w:val="lv-LV"/>
        </w:rPr>
        <w:t>elektroenerģijas</w:t>
      </w:r>
      <w:r w:rsidR="00CB0F76">
        <w:rPr>
          <w:b/>
          <w:color w:val="003366"/>
          <w:sz w:val="28"/>
          <w:szCs w:val="28"/>
          <w:lang w:val="lv-LV"/>
        </w:rPr>
        <w:t xml:space="preserve"> </w:t>
      </w:r>
      <w:r w:rsidR="00CB0F76">
        <w:rPr>
          <w:sz w:val="28"/>
          <w:szCs w:val="28"/>
          <w:lang w:val="lv-LV"/>
        </w:rPr>
        <w:t xml:space="preserve">neto norēķinu sistēmas ieviešana </w:t>
      </w:r>
      <w:r w:rsidR="00CB0F76">
        <w:rPr>
          <w:color w:val="000000"/>
          <w:sz w:val="28"/>
          <w:szCs w:val="28"/>
          <w:lang w:val="lv-LV"/>
        </w:rPr>
        <w:t>Latvijā</w:t>
      </w:r>
      <w:r w:rsidR="00CB0F76">
        <w:rPr>
          <w:sz w:val="28"/>
          <w:szCs w:val="28"/>
          <w:lang w:val="lv-LV"/>
        </w:rPr>
        <w:t xml:space="preserve">. </w:t>
      </w:r>
      <w:r w:rsidR="008C6B0A">
        <w:rPr>
          <w:sz w:val="28"/>
          <w:szCs w:val="28"/>
          <w:lang w:val="lv-LV"/>
        </w:rPr>
        <w:t xml:space="preserve">Lai ieviestu neto norēķinu sistēmu, </w:t>
      </w:r>
      <w:r w:rsidR="0074063A">
        <w:rPr>
          <w:sz w:val="28"/>
          <w:szCs w:val="28"/>
          <w:lang w:val="lv-LV"/>
        </w:rPr>
        <w:t>veikti g</w:t>
      </w:r>
      <w:r w:rsidRPr="0058257C">
        <w:rPr>
          <w:sz w:val="28"/>
          <w:szCs w:val="28"/>
          <w:lang w:val="lv-LV"/>
        </w:rPr>
        <w:t>rozījumi Elektroenerģijas tirgus likumā</w:t>
      </w:r>
      <w:r w:rsidR="008C6B0A">
        <w:rPr>
          <w:sz w:val="28"/>
          <w:szCs w:val="28"/>
          <w:lang w:val="lv-LV"/>
        </w:rPr>
        <w:t xml:space="preserve">, kas </w:t>
      </w:r>
      <w:r w:rsidR="00CB0F76">
        <w:rPr>
          <w:sz w:val="28"/>
          <w:szCs w:val="28"/>
          <w:lang w:val="lv-LV"/>
        </w:rPr>
        <w:t xml:space="preserve">paredz </w:t>
      </w:r>
      <w:r w:rsidR="0074063A">
        <w:rPr>
          <w:sz w:val="28"/>
          <w:szCs w:val="28"/>
          <w:lang w:val="lv-LV"/>
        </w:rPr>
        <w:t>no 2014.</w:t>
      </w:r>
      <w:r w:rsidR="00C003AE">
        <w:rPr>
          <w:sz w:val="28"/>
          <w:szCs w:val="28"/>
          <w:lang w:val="lv-LV"/>
        </w:rPr>
        <w:t> </w:t>
      </w:r>
      <w:r w:rsidR="0074063A">
        <w:rPr>
          <w:sz w:val="28"/>
          <w:szCs w:val="28"/>
          <w:lang w:val="lv-LV"/>
        </w:rPr>
        <w:t>gada 1.</w:t>
      </w:r>
      <w:r w:rsidR="00C003AE">
        <w:rPr>
          <w:sz w:val="28"/>
          <w:szCs w:val="28"/>
          <w:lang w:val="lv-LV"/>
        </w:rPr>
        <w:t> </w:t>
      </w:r>
      <w:r w:rsidR="0074063A">
        <w:rPr>
          <w:sz w:val="28"/>
          <w:szCs w:val="28"/>
          <w:lang w:val="lv-LV"/>
        </w:rPr>
        <w:t xml:space="preserve">janvāra ieviest neto norēķinu sistēmu Latvijā, kā arī ietver </w:t>
      </w:r>
      <w:r w:rsidR="00CB0F76">
        <w:rPr>
          <w:sz w:val="28"/>
          <w:szCs w:val="28"/>
          <w:lang w:val="lv-LV"/>
        </w:rPr>
        <w:t>nosacījumus, kā nodrošināt mājsaimniecību no AER saražotās elektroenerģijas, galvenokārt, savam patēriņam, nodošanu elektroenerģijas tīklā un nepieciešamības gadījumā tāda p</w:t>
      </w:r>
      <w:r>
        <w:rPr>
          <w:sz w:val="28"/>
          <w:szCs w:val="28"/>
          <w:lang w:val="lv-LV"/>
        </w:rPr>
        <w:t>aša daudzuma saņemšanu atpakaļ.</w:t>
      </w:r>
      <w:r w:rsidR="00CB0F76">
        <w:rPr>
          <w:sz w:val="28"/>
          <w:szCs w:val="28"/>
          <w:lang w:val="lv-LV"/>
        </w:rPr>
        <w:t xml:space="preserve"> </w:t>
      </w:r>
    </w:p>
    <w:p w14:paraId="26C25C61" w14:textId="77777777" w:rsidR="00CB0F76" w:rsidRPr="00A75660" w:rsidRDefault="00646815" w:rsidP="00CB0F76">
      <w:pPr>
        <w:ind w:firstLine="584"/>
        <w:jc w:val="both"/>
        <w:rPr>
          <w:sz w:val="28"/>
          <w:szCs w:val="28"/>
          <w:lang w:val="lv-LV"/>
        </w:rPr>
      </w:pPr>
      <w:r>
        <w:rPr>
          <w:sz w:val="28"/>
          <w:szCs w:val="28"/>
          <w:lang w:val="lv-LV"/>
        </w:rPr>
        <w:t>EM</w:t>
      </w:r>
      <w:r w:rsidR="00CB0F76" w:rsidRPr="00A75660">
        <w:rPr>
          <w:sz w:val="28"/>
          <w:szCs w:val="28"/>
          <w:lang w:val="lv-LV"/>
        </w:rPr>
        <w:t xml:space="preserve"> ir </w:t>
      </w:r>
      <w:r w:rsidR="00CB0F76">
        <w:rPr>
          <w:sz w:val="28"/>
          <w:szCs w:val="28"/>
          <w:lang w:val="lv-LV"/>
        </w:rPr>
        <w:t xml:space="preserve">arī </w:t>
      </w:r>
      <w:r w:rsidR="00CB0F76" w:rsidRPr="00A75660">
        <w:rPr>
          <w:sz w:val="28"/>
          <w:szCs w:val="28"/>
          <w:lang w:val="lv-LV"/>
        </w:rPr>
        <w:t>izstrādājusi ilgtermiņa redzējumu Latvijas enerģētikas politikas attīstībā – „</w:t>
      </w:r>
      <w:r w:rsidR="00CB0F76" w:rsidRPr="00AA54D2">
        <w:rPr>
          <w:sz w:val="28"/>
          <w:szCs w:val="28"/>
          <w:lang w:val="lv-LV"/>
        </w:rPr>
        <w:t>Enerģētikas ilgtermiņa stratēģija 2030 – konkurētspējīga enerģētika sabiedrībai”</w:t>
      </w:r>
      <w:r w:rsidR="00CB0F76" w:rsidRPr="00AA54D2">
        <w:rPr>
          <w:rStyle w:val="FootnoteReference"/>
          <w:sz w:val="28"/>
          <w:szCs w:val="28"/>
          <w:lang w:val="lv-LV"/>
        </w:rPr>
        <w:footnoteReference w:id="28"/>
      </w:r>
      <w:r w:rsidR="00AA54D2">
        <w:rPr>
          <w:sz w:val="28"/>
          <w:szCs w:val="28"/>
          <w:lang w:val="lv-LV"/>
        </w:rPr>
        <w:t xml:space="preserve"> veidā, kurā par galveno mērķi ir</w:t>
      </w:r>
      <w:r w:rsidR="00CB0F76" w:rsidRPr="00A75660">
        <w:rPr>
          <w:sz w:val="28"/>
          <w:szCs w:val="28"/>
          <w:lang w:val="lv-LV"/>
        </w:rPr>
        <w:t xml:space="preserve"> noteikta Latvijas konkurētspējas rādītāju veicināšana, vienlaicīgi sekmējot tādus enerģētikas politikas attīstības pasākumus, kas veicinātu pakāpenisku, izmaksu ziņā efektīvu un videi draudzīgu vietējo energoresursu izmantošanas pieaugumu un klimata mērķu sasniegšanu.</w:t>
      </w:r>
    </w:p>
    <w:p w14:paraId="095EBBD3" w14:textId="77777777" w:rsidR="00CB0F76" w:rsidRPr="009E538B" w:rsidRDefault="00CB0F76">
      <w:pPr>
        <w:jc w:val="both"/>
        <w:rPr>
          <w:b/>
          <w:lang w:val="lv-LV"/>
        </w:rPr>
      </w:pPr>
    </w:p>
    <w:p w14:paraId="1258452D" w14:textId="77777777" w:rsidR="00820C75" w:rsidRPr="009E538B" w:rsidRDefault="00820C75" w:rsidP="00935562">
      <w:pPr>
        <w:pStyle w:val="Heading2"/>
        <w:numPr>
          <w:ilvl w:val="0"/>
          <w:numId w:val="0"/>
        </w:numPr>
        <w:jc w:val="center"/>
        <w:rPr>
          <w:sz w:val="28"/>
          <w:szCs w:val="32"/>
          <w:lang w:val="lv-LV"/>
        </w:rPr>
      </w:pPr>
      <w:bookmarkStart w:id="13" w:name="_Toc371357203"/>
      <w:bookmarkStart w:id="14" w:name="_Toc373229243"/>
      <w:r w:rsidRPr="009E538B">
        <w:rPr>
          <w:sz w:val="28"/>
          <w:szCs w:val="32"/>
          <w:lang w:val="lv-LV"/>
        </w:rPr>
        <w:t>2.b </w:t>
      </w:r>
      <w:r w:rsidR="00EB13C8" w:rsidRPr="009E538B">
        <w:rPr>
          <w:sz w:val="28"/>
          <w:szCs w:val="32"/>
          <w:lang w:val="lv-LV"/>
        </w:rPr>
        <w:t>P</w:t>
      </w:r>
      <w:r w:rsidRPr="009E538B">
        <w:rPr>
          <w:sz w:val="28"/>
          <w:szCs w:val="32"/>
          <w:lang w:val="lv-LV"/>
        </w:rPr>
        <w:t>asākum</w:t>
      </w:r>
      <w:r w:rsidR="00EB13C8" w:rsidRPr="009E538B">
        <w:rPr>
          <w:sz w:val="28"/>
          <w:szCs w:val="32"/>
          <w:lang w:val="lv-LV"/>
        </w:rPr>
        <w:t>i</w:t>
      </w:r>
      <w:r w:rsidRPr="009E538B">
        <w:rPr>
          <w:sz w:val="28"/>
          <w:szCs w:val="32"/>
          <w:lang w:val="lv-LV"/>
        </w:rPr>
        <w:t>, kas veikti, lai nodrošinātu no atjaunojamajiem energoresursiem saražotas elektroenerģijas pārvadi un sadali un lai uzlabotu sistēmu vai noteikumus, kā tiek segtas un sadalītas izmaksas, kas saistītas ar pieslēgšanos tīkla</w:t>
      </w:r>
      <w:r w:rsidR="009E650B" w:rsidRPr="009E538B">
        <w:rPr>
          <w:sz w:val="28"/>
          <w:szCs w:val="32"/>
          <w:lang w:val="lv-LV"/>
        </w:rPr>
        <w:t>m un tīkla jaudas palielinājumu</w:t>
      </w:r>
      <w:bookmarkEnd w:id="13"/>
      <w:bookmarkEnd w:id="14"/>
    </w:p>
    <w:p w14:paraId="5F6299AD" w14:textId="77777777" w:rsidR="00820C75" w:rsidRPr="009E538B" w:rsidRDefault="00820C75">
      <w:pPr>
        <w:jc w:val="both"/>
        <w:rPr>
          <w:b/>
          <w:lang w:val="lv-LV"/>
        </w:rPr>
      </w:pPr>
    </w:p>
    <w:p w14:paraId="64AE62E1" w14:textId="77777777" w:rsidR="00FA15C1" w:rsidRDefault="00FA15C1" w:rsidP="00FA15C1">
      <w:pPr>
        <w:ind w:firstLine="709"/>
        <w:jc w:val="both"/>
        <w:rPr>
          <w:snapToGrid/>
          <w:sz w:val="28"/>
          <w:szCs w:val="28"/>
          <w:lang w:val="lv-LV" w:eastAsia="lv-LV"/>
        </w:rPr>
      </w:pPr>
      <w:r w:rsidRPr="00A33606">
        <w:rPr>
          <w:snapToGrid/>
          <w:sz w:val="28"/>
          <w:szCs w:val="28"/>
          <w:lang w:val="lv-LV" w:eastAsia="lv-LV"/>
        </w:rPr>
        <w:t>Elektroenerģijas ražotāju pieslēgšanu tīklam regulē Elektroenerģijas tirgus likums. Elektroenerģijas tirgus likuma 8. pants nosaka sistēmas operatora darbību</w:t>
      </w:r>
      <w:r w:rsidR="00B25736">
        <w:rPr>
          <w:snapToGrid/>
          <w:sz w:val="28"/>
          <w:szCs w:val="28"/>
          <w:lang w:val="lv-LV" w:eastAsia="lv-LV"/>
        </w:rPr>
        <w:t>,</w:t>
      </w:r>
      <w:r w:rsidRPr="00A33606">
        <w:rPr>
          <w:snapToGrid/>
          <w:sz w:val="28"/>
          <w:szCs w:val="28"/>
          <w:lang w:val="lv-LV" w:eastAsia="lv-LV"/>
        </w:rPr>
        <w:t xml:space="preserve"> regulē </w:t>
      </w:r>
      <w:r w:rsidRPr="00A33606">
        <w:rPr>
          <w:bCs/>
          <w:snapToGrid/>
          <w:sz w:val="28"/>
          <w:szCs w:val="28"/>
          <w:lang w:val="lv-LV" w:eastAsia="lv-LV"/>
        </w:rPr>
        <w:t>elektroenerģijas sistēmas īpašnieka darbības</w:t>
      </w:r>
      <w:r w:rsidRPr="00A33606">
        <w:rPr>
          <w:snapToGrid/>
          <w:sz w:val="28"/>
          <w:szCs w:val="28"/>
          <w:lang w:val="lv-LV" w:eastAsia="lv-LV"/>
        </w:rPr>
        <w:t xml:space="preserve"> uzraudzību</w:t>
      </w:r>
      <w:r w:rsidRPr="00A33606">
        <w:rPr>
          <w:bCs/>
          <w:snapToGrid/>
          <w:sz w:val="28"/>
          <w:szCs w:val="28"/>
          <w:lang w:val="lv-LV" w:eastAsia="lv-LV"/>
        </w:rPr>
        <w:t>.</w:t>
      </w:r>
      <w:r w:rsidRPr="00A33606">
        <w:rPr>
          <w:snapToGrid/>
          <w:sz w:val="28"/>
          <w:szCs w:val="28"/>
          <w:lang w:val="lv-LV" w:eastAsia="lv-LV"/>
        </w:rPr>
        <w:t xml:space="preserve"> Atbilstoši </w:t>
      </w:r>
      <w:r w:rsidR="00B25736" w:rsidRPr="00A33606">
        <w:rPr>
          <w:snapToGrid/>
          <w:sz w:val="28"/>
          <w:szCs w:val="28"/>
          <w:lang w:val="lv-LV" w:eastAsia="lv-LV"/>
        </w:rPr>
        <w:t>Elektroenerģijas tirgus likuma 8. pant</w:t>
      </w:r>
      <w:r w:rsidR="00B25736">
        <w:rPr>
          <w:snapToGrid/>
          <w:sz w:val="28"/>
          <w:szCs w:val="28"/>
          <w:lang w:val="lv-LV" w:eastAsia="lv-LV"/>
        </w:rPr>
        <w:t>a</w:t>
      </w:r>
      <w:r w:rsidR="00B25736" w:rsidRPr="00A33606">
        <w:rPr>
          <w:snapToGrid/>
          <w:sz w:val="28"/>
          <w:szCs w:val="28"/>
          <w:lang w:val="lv-LV" w:eastAsia="lv-LV"/>
        </w:rPr>
        <w:t xml:space="preserve"> </w:t>
      </w:r>
      <w:r w:rsidRPr="00A33606">
        <w:rPr>
          <w:snapToGrid/>
          <w:sz w:val="28"/>
          <w:szCs w:val="28"/>
          <w:lang w:val="lv-LV" w:eastAsia="lv-LV"/>
        </w:rPr>
        <w:t>otrai daļai</w:t>
      </w:r>
      <w:r w:rsidR="00B25736">
        <w:rPr>
          <w:snapToGrid/>
          <w:sz w:val="28"/>
          <w:szCs w:val="28"/>
          <w:lang w:val="lv-LV" w:eastAsia="lv-LV"/>
        </w:rPr>
        <w:t xml:space="preserve"> </w:t>
      </w:r>
      <w:r w:rsidR="00B25736" w:rsidRPr="002A56C2">
        <w:rPr>
          <w:rFonts w:eastAsia="Calibri"/>
          <w:sz w:val="28"/>
          <w:szCs w:val="28"/>
          <w:lang w:val="lv-LV" w:eastAsia="en-US"/>
        </w:rPr>
        <w:t>Sabiedrisko pakalpojumu regulēšanas komisij</w:t>
      </w:r>
      <w:r w:rsidR="00125BCE">
        <w:rPr>
          <w:rFonts w:eastAsia="Calibri"/>
          <w:sz w:val="28"/>
          <w:szCs w:val="28"/>
          <w:lang w:val="lv-LV" w:eastAsia="en-US"/>
        </w:rPr>
        <w:t>a</w:t>
      </w:r>
      <w:r w:rsidRPr="00A33606">
        <w:rPr>
          <w:snapToGrid/>
          <w:sz w:val="28"/>
          <w:szCs w:val="28"/>
          <w:lang w:val="lv-LV" w:eastAsia="lv-LV"/>
        </w:rPr>
        <w:t xml:space="preserve"> </w:t>
      </w:r>
      <w:r w:rsidR="00125BCE">
        <w:rPr>
          <w:snapToGrid/>
          <w:sz w:val="28"/>
          <w:szCs w:val="28"/>
          <w:lang w:val="lv-LV" w:eastAsia="lv-LV"/>
        </w:rPr>
        <w:t>(</w:t>
      </w:r>
      <w:r w:rsidR="00646815">
        <w:rPr>
          <w:snapToGrid/>
          <w:sz w:val="28"/>
          <w:szCs w:val="28"/>
          <w:lang w:val="lv-LV" w:eastAsia="lv-LV"/>
        </w:rPr>
        <w:t>turpmāk - R</w:t>
      </w:r>
      <w:r w:rsidRPr="00A33606">
        <w:rPr>
          <w:snapToGrid/>
          <w:sz w:val="28"/>
          <w:szCs w:val="28"/>
          <w:lang w:val="lv-LV" w:eastAsia="lv-LV"/>
        </w:rPr>
        <w:t>egulators</w:t>
      </w:r>
      <w:r w:rsidR="00125BCE">
        <w:rPr>
          <w:snapToGrid/>
          <w:sz w:val="28"/>
          <w:szCs w:val="28"/>
          <w:lang w:val="lv-LV" w:eastAsia="lv-LV"/>
        </w:rPr>
        <w:t>)</w:t>
      </w:r>
      <w:r w:rsidRPr="00A33606">
        <w:rPr>
          <w:snapToGrid/>
          <w:sz w:val="28"/>
          <w:szCs w:val="28"/>
          <w:lang w:val="lv-LV" w:eastAsia="lv-LV"/>
        </w:rPr>
        <w:t xml:space="preserve"> nosaka vienotus sistēmas pieslēguma noteikumus ražotājiem un lietotājiem, kā arī pieslēguma maksas noteikšanas metodiku. </w:t>
      </w:r>
    </w:p>
    <w:p w14:paraId="11143432" w14:textId="77777777" w:rsidR="00A33606" w:rsidRPr="002A56C2" w:rsidRDefault="00A33606" w:rsidP="00A33606">
      <w:pPr>
        <w:spacing w:before="60" w:after="60"/>
        <w:ind w:firstLine="851"/>
        <w:jc w:val="both"/>
        <w:rPr>
          <w:rFonts w:eastAsia="Calibri"/>
          <w:sz w:val="28"/>
          <w:szCs w:val="28"/>
          <w:lang w:val="lv-LV" w:eastAsia="en-US"/>
        </w:rPr>
      </w:pPr>
      <w:r w:rsidRPr="002A56C2">
        <w:rPr>
          <w:rFonts w:eastAsia="Calibri"/>
          <w:sz w:val="28"/>
          <w:szCs w:val="28"/>
          <w:lang w:val="lv-LV" w:eastAsia="en-US"/>
        </w:rPr>
        <w:t>Elektroenerģijas tirgus likuma 9. panta otrajā daļā</w:t>
      </w:r>
      <w:r w:rsidRPr="002A56C2">
        <w:rPr>
          <w:rStyle w:val="FootnoteReference"/>
          <w:rFonts w:eastAsia="Calibri"/>
          <w:sz w:val="28"/>
          <w:szCs w:val="28"/>
          <w:lang w:val="lv-LV" w:eastAsia="en-US"/>
        </w:rPr>
        <w:footnoteReference w:id="29"/>
      </w:r>
      <w:r w:rsidRPr="002A56C2">
        <w:rPr>
          <w:rFonts w:eastAsia="Calibri"/>
          <w:sz w:val="28"/>
          <w:szCs w:val="28"/>
          <w:lang w:val="lv-LV" w:eastAsia="en-US"/>
        </w:rPr>
        <w:t xml:space="preserve"> ir paredzēts, ka sistēmas operatoram tā licences darbības zonā un termiņā ir pastāvīgas saistības nodrošināt sistēmas dalībniekiem nepieciešamo pieslēgumu attiecīgai sistēmai saskaņā ar regulatora noteiktajiem vienotiem sistēmas pieslēguma noteikumiem. Ar </w:t>
      </w:r>
      <w:r w:rsidR="00646815">
        <w:rPr>
          <w:rFonts w:eastAsia="Calibri"/>
          <w:sz w:val="28"/>
          <w:szCs w:val="28"/>
          <w:lang w:val="lv-LV" w:eastAsia="en-US"/>
        </w:rPr>
        <w:t>Regulatora</w:t>
      </w:r>
      <w:r w:rsidRPr="002A56C2">
        <w:rPr>
          <w:rFonts w:eastAsia="Calibri"/>
          <w:sz w:val="28"/>
          <w:szCs w:val="28"/>
          <w:lang w:val="lv-LV" w:eastAsia="en-US"/>
        </w:rPr>
        <w:t xml:space="preserve"> 2012. gada 22. februāra padomes lēmumu Nr.1/6 apstiprinātiem noteikumiem </w:t>
      </w:r>
      <w:r w:rsidRPr="002A56C2">
        <w:rPr>
          <w:color w:val="000000"/>
          <w:sz w:val="28"/>
          <w:szCs w:val="28"/>
          <w:lang w:val="lv-LV" w:eastAsia="en-US"/>
        </w:rPr>
        <w:t>"</w:t>
      </w:r>
      <w:r w:rsidRPr="002A56C2">
        <w:rPr>
          <w:rFonts w:eastAsia="Calibri"/>
          <w:sz w:val="28"/>
          <w:szCs w:val="28"/>
          <w:lang w:val="lv-LV" w:eastAsia="en-US"/>
        </w:rPr>
        <w:t>Sistēmas pieslēguma noteikumi elektroenerģijas ražotājiem</w:t>
      </w:r>
      <w:r w:rsidRPr="002A56C2">
        <w:rPr>
          <w:color w:val="000000"/>
          <w:sz w:val="28"/>
          <w:szCs w:val="28"/>
          <w:lang w:val="lv-LV" w:eastAsia="en-US"/>
        </w:rPr>
        <w:t>"</w:t>
      </w:r>
      <w:r w:rsidRPr="002A56C2">
        <w:rPr>
          <w:rFonts w:eastAsia="Calibri"/>
          <w:sz w:val="28"/>
          <w:szCs w:val="28"/>
          <w:lang w:val="lv-LV" w:eastAsia="en-US"/>
        </w:rPr>
        <w:t xml:space="preserve"> tiek </w:t>
      </w:r>
      <w:r w:rsidRPr="002A56C2">
        <w:rPr>
          <w:rFonts w:eastAsia="Calibri"/>
          <w:sz w:val="28"/>
          <w:szCs w:val="28"/>
          <w:lang w:val="lv-LV" w:eastAsia="en-US"/>
        </w:rPr>
        <w:lastRenderedPageBreak/>
        <w:t xml:space="preserve">paredzēti vienoti sistēmas pieslēguma noteikumi un pieslēguma maksas noteikšanas metodika elektroenerģijas ražotājiem. </w:t>
      </w:r>
      <w:r w:rsidR="00646815">
        <w:rPr>
          <w:rFonts w:eastAsia="Calibri"/>
          <w:sz w:val="28"/>
          <w:szCs w:val="28"/>
          <w:lang w:val="lv-LV" w:eastAsia="en-US"/>
        </w:rPr>
        <w:t>Regulatora</w:t>
      </w:r>
      <w:r w:rsidRPr="002A56C2">
        <w:rPr>
          <w:rFonts w:eastAsia="Calibri"/>
          <w:sz w:val="28"/>
          <w:szCs w:val="28"/>
          <w:lang w:val="lv-LV" w:eastAsia="en-US"/>
        </w:rPr>
        <w:t xml:space="preserve"> noteikumu 2.3.apakšpunkts</w:t>
      </w:r>
      <w:r w:rsidRPr="002A56C2">
        <w:rPr>
          <w:rStyle w:val="FootnoteReference"/>
          <w:rFonts w:eastAsia="Calibri"/>
          <w:sz w:val="28"/>
          <w:szCs w:val="28"/>
          <w:lang w:val="lv-LV" w:eastAsia="en-US"/>
        </w:rPr>
        <w:footnoteReference w:id="30"/>
      </w:r>
      <w:r w:rsidRPr="002A56C2">
        <w:rPr>
          <w:rFonts w:eastAsia="Calibri"/>
          <w:sz w:val="28"/>
          <w:szCs w:val="28"/>
          <w:lang w:val="lv-LV" w:eastAsia="en-US"/>
        </w:rPr>
        <w:t>, 7. punkts</w:t>
      </w:r>
      <w:r w:rsidRPr="002A56C2">
        <w:rPr>
          <w:rStyle w:val="FootnoteReference"/>
          <w:rFonts w:eastAsia="Calibri"/>
          <w:sz w:val="28"/>
          <w:szCs w:val="28"/>
          <w:lang w:val="lv-LV" w:eastAsia="en-US"/>
        </w:rPr>
        <w:footnoteReference w:id="31"/>
      </w:r>
      <w:r w:rsidRPr="002A56C2">
        <w:rPr>
          <w:rFonts w:eastAsia="Calibri"/>
          <w:sz w:val="28"/>
          <w:szCs w:val="28"/>
          <w:lang w:val="lv-LV" w:eastAsia="en-US"/>
        </w:rPr>
        <w:t xml:space="preserve"> un 10. punkts</w:t>
      </w:r>
      <w:r w:rsidRPr="002A56C2">
        <w:rPr>
          <w:rStyle w:val="FootnoteReference"/>
          <w:rFonts w:eastAsia="Calibri"/>
          <w:sz w:val="28"/>
          <w:szCs w:val="28"/>
          <w:lang w:val="lv-LV" w:eastAsia="en-US"/>
        </w:rPr>
        <w:footnoteReference w:id="32"/>
      </w:r>
      <w:r w:rsidRPr="002A56C2">
        <w:rPr>
          <w:rFonts w:eastAsia="Calibri"/>
          <w:sz w:val="28"/>
          <w:szCs w:val="28"/>
          <w:lang w:val="lv-LV" w:eastAsia="en-US"/>
        </w:rPr>
        <w:t xml:space="preserve"> nosaka, ka ražošanas iekārtām jābūt pieslēgtām atbilstoši pamatotām tehniskām prasībām un ekonomiski pamatotām izmaksām. Līdz ar to  ražotāju ietekme tiek novērtēta, izsniedzot tam tehniskos noteikumus</w:t>
      </w:r>
      <w:r w:rsidR="002E651C">
        <w:rPr>
          <w:rFonts w:eastAsia="Calibri"/>
          <w:sz w:val="28"/>
          <w:szCs w:val="28"/>
          <w:lang w:val="lv-LV" w:eastAsia="en-US"/>
        </w:rPr>
        <w:t>,</w:t>
      </w:r>
      <w:r w:rsidR="00C003AE">
        <w:rPr>
          <w:rFonts w:eastAsia="Calibri"/>
          <w:sz w:val="28"/>
          <w:szCs w:val="28"/>
          <w:lang w:val="lv-LV" w:eastAsia="en-US"/>
        </w:rPr>
        <w:t xml:space="preserve"> kas arī cita starpā atspoguļo </w:t>
      </w:r>
      <w:r w:rsidRPr="002A56C2">
        <w:rPr>
          <w:rFonts w:eastAsia="Calibri"/>
          <w:sz w:val="28"/>
          <w:szCs w:val="28"/>
          <w:lang w:val="lv-LV" w:eastAsia="en-US"/>
        </w:rPr>
        <w:t xml:space="preserve">arī pieslēguma izbūves izmaksās. Papildus iepriekšminētajam Latvijas lielākais sadales sistēmas operators AS </w:t>
      </w:r>
      <w:r w:rsidR="00646815">
        <w:rPr>
          <w:sz w:val="28"/>
          <w:szCs w:val="28"/>
          <w:lang w:val="lv-LV"/>
        </w:rPr>
        <w:t>„</w:t>
      </w:r>
      <w:r w:rsidRPr="002A56C2">
        <w:rPr>
          <w:rFonts w:eastAsia="Calibri"/>
          <w:sz w:val="28"/>
          <w:szCs w:val="28"/>
          <w:lang w:val="lv-LV" w:eastAsia="en-US"/>
        </w:rPr>
        <w:t>Sadales tīkls</w:t>
      </w:r>
      <w:r w:rsidR="00646815">
        <w:rPr>
          <w:sz w:val="28"/>
          <w:szCs w:val="28"/>
          <w:lang w:val="lv-LV"/>
        </w:rPr>
        <w:t>”</w:t>
      </w:r>
      <w:r w:rsidRPr="002A56C2">
        <w:rPr>
          <w:rFonts w:eastAsia="Calibri"/>
          <w:sz w:val="28"/>
          <w:szCs w:val="28"/>
          <w:lang w:val="lv-LV" w:eastAsia="en-US"/>
        </w:rPr>
        <w:t xml:space="preserve">, kas sniedz sadales sistēmas operatora pakalpojumus 99% no valsts teritorijas, piemēro jaunu pieslēguma un slodzes izmaiņu regulējumu </w:t>
      </w:r>
      <w:proofErr w:type="spellStart"/>
      <w:r w:rsidRPr="002A56C2">
        <w:rPr>
          <w:rFonts w:eastAsia="Calibri"/>
          <w:sz w:val="28"/>
          <w:szCs w:val="28"/>
          <w:lang w:val="lv-LV" w:eastAsia="en-US"/>
        </w:rPr>
        <w:t>mikroģeneratora</w:t>
      </w:r>
      <w:proofErr w:type="spellEnd"/>
      <w:r w:rsidRPr="002A56C2">
        <w:rPr>
          <w:rFonts w:eastAsia="Calibri"/>
          <w:sz w:val="28"/>
          <w:szCs w:val="28"/>
          <w:lang w:val="lv-LV" w:eastAsia="en-US"/>
        </w:rPr>
        <w:t xml:space="preserve"> pieslēgumiem, kas ļauj relatīvi vienkāršā veidā mājsaimniecību lietošanā ekspluatācijā ieviest ražošanas iekārtas, kas izmanto atjaunojamos energoresursus, piemēram, saules baterijas un nelielas jaudas vēja ģeneratorus. </w:t>
      </w:r>
    </w:p>
    <w:p w14:paraId="4F232F90" w14:textId="77777777" w:rsidR="0081456F" w:rsidRPr="0081456F" w:rsidRDefault="0081456F" w:rsidP="0081456F">
      <w:pPr>
        <w:ind w:firstLine="709"/>
        <w:jc w:val="both"/>
        <w:rPr>
          <w:snapToGrid/>
          <w:sz w:val="28"/>
          <w:szCs w:val="28"/>
          <w:lang w:val="lv-LV" w:eastAsia="lv-LV"/>
        </w:rPr>
      </w:pPr>
      <w:r w:rsidRPr="0081456F">
        <w:rPr>
          <w:snapToGrid/>
          <w:sz w:val="28"/>
          <w:szCs w:val="28"/>
          <w:lang w:val="lv-LV" w:eastAsia="lv-LV"/>
        </w:rPr>
        <w:t>Svarīgs priekšnoteikums jaunu AE ražotāju ienākšanai tirgū ir nacionālās enerģētikas infrastruktūras attīstība. Elektroenerģijas sadales tīklos pārskata periodā ievērojamu izmaiņu nav. Pārvades sistēmā turpinājās 2010. gadā uzsākta Latvijas rietumu reģiona pārvades tīkla stiprināšanas (Kurzemes loks) projekta īstenošana.</w:t>
      </w:r>
    </w:p>
    <w:p w14:paraId="13E49982" w14:textId="77777777" w:rsidR="0081456F" w:rsidRPr="00FE7EBC" w:rsidRDefault="000767CF" w:rsidP="0081456F">
      <w:pPr>
        <w:ind w:firstLine="709"/>
        <w:jc w:val="both"/>
        <w:rPr>
          <w:snapToGrid/>
          <w:sz w:val="28"/>
          <w:szCs w:val="28"/>
          <w:lang w:val="lv-LV" w:eastAsia="lv-LV"/>
        </w:rPr>
      </w:pPr>
      <w:r>
        <w:rPr>
          <w:snapToGrid/>
          <w:sz w:val="28"/>
          <w:szCs w:val="28"/>
          <w:lang w:val="lv-LV" w:eastAsia="lv-LV"/>
        </w:rPr>
        <w:t>Projekts „</w:t>
      </w:r>
      <w:r w:rsidR="0081456F" w:rsidRPr="00FE7EBC">
        <w:rPr>
          <w:snapToGrid/>
          <w:sz w:val="28"/>
          <w:szCs w:val="28"/>
          <w:lang w:val="lv-LV" w:eastAsia="lv-LV"/>
        </w:rPr>
        <w:t>Kurzemes loks</w:t>
      </w:r>
      <w:r>
        <w:rPr>
          <w:snapToGrid/>
          <w:sz w:val="28"/>
          <w:szCs w:val="28"/>
          <w:lang w:val="lv-LV" w:eastAsia="lv-LV"/>
        </w:rPr>
        <w:t>”</w:t>
      </w:r>
      <w:r w:rsidR="0081456F" w:rsidRPr="00FE7EBC">
        <w:rPr>
          <w:snapToGrid/>
          <w:sz w:val="28"/>
          <w:szCs w:val="28"/>
          <w:lang w:val="lv-LV" w:eastAsia="lv-LV"/>
        </w:rPr>
        <w:t xml:space="preserve"> sastāv no 3 etapiem: </w:t>
      </w:r>
    </w:p>
    <w:p w14:paraId="43E1BCCF" w14:textId="77777777" w:rsidR="0081456F" w:rsidRPr="00FE7EBC" w:rsidRDefault="0081456F" w:rsidP="0081456F">
      <w:pPr>
        <w:jc w:val="both"/>
        <w:rPr>
          <w:snapToGrid/>
          <w:sz w:val="28"/>
          <w:szCs w:val="28"/>
          <w:lang w:val="lv-LV" w:eastAsia="lv-LV"/>
        </w:rPr>
      </w:pPr>
      <w:r w:rsidRPr="00FE7EBC">
        <w:rPr>
          <w:snapToGrid/>
          <w:sz w:val="28"/>
          <w:szCs w:val="28"/>
          <w:lang w:val="lv-LV" w:eastAsia="lv-LV"/>
        </w:rPr>
        <w:t>•</w:t>
      </w:r>
      <w:r w:rsidRPr="00FE7EBC">
        <w:rPr>
          <w:snapToGrid/>
          <w:sz w:val="28"/>
          <w:szCs w:val="28"/>
          <w:lang w:val="lv-LV" w:eastAsia="lv-LV"/>
        </w:rPr>
        <w:tab/>
        <w:t>330kV kabeļa izbūve Rīgā starp Imantu un TEC1 paaugstinot Rīgas energoapgādes drošumu un nodrošinot nepieciešamo infrastruktūru Kurzemes loka 330kV līniju pieslēgšanai a</w:t>
      </w:r>
      <w:r>
        <w:rPr>
          <w:snapToGrid/>
          <w:sz w:val="28"/>
          <w:szCs w:val="28"/>
          <w:lang w:val="lv-LV" w:eastAsia="lv-LV"/>
        </w:rPr>
        <w:t>pakšstacijai</w:t>
      </w:r>
      <w:r w:rsidRPr="00FE7EBC">
        <w:rPr>
          <w:snapToGrid/>
          <w:sz w:val="28"/>
          <w:szCs w:val="28"/>
          <w:lang w:val="lv-LV" w:eastAsia="lv-LV"/>
        </w:rPr>
        <w:t xml:space="preserve"> Imanta. </w:t>
      </w:r>
    </w:p>
    <w:p w14:paraId="46152DF6" w14:textId="77777777" w:rsidR="0081456F" w:rsidRPr="00FE7EBC" w:rsidRDefault="0081456F" w:rsidP="0081456F">
      <w:pPr>
        <w:jc w:val="both"/>
        <w:rPr>
          <w:snapToGrid/>
          <w:sz w:val="28"/>
          <w:szCs w:val="28"/>
          <w:lang w:val="lv-LV" w:eastAsia="lv-LV"/>
        </w:rPr>
      </w:pPr>
      <w:r w:rsidRPr="00FE7EBC">
        <w:rPr>
          <w:snapToGrid/>
          <w:sz w:val="28"/>
          <w:szCs w:val="28"/>
          <w:lang w:val="lv-LV" w:eastAsia="lv-LV"/>
        </w:rPr>
        <w:t>•</w:t>
      </w:r>
      <w:r w:rsidRPr="00FE7EBC">
        <w:rPr>
          <w:snapToGrid/>
          <w:sz w:val="28"/>
          <w:szCs w:val="28"/>
          <w:lang w:val="lv-LV" w:eastAsia="lv-LV"/>
        </w:rPr>
        <w:tab/>
        <w:t>330kV līnijas izbūve Grobiņa (Liepāja)-Ventspils;</w:t>
      </w:r>
    </w:p>
    <w:p w14:paraId="35910B43" w14:textId="77777777" w:rsidR="0081456F" w:rsidRPr="00FE7EBC" w:rsidRDefault="0081456F" w:rsidP="0081456F">
      <w:pPr>
        <w:jc w:val="both"/>
        <w:rPr>
          <w:snapToGrid/>
          <w:sz w:val="28"/>
          <w:szCs w:val="28"/>
          <w:lang w:val="lv-LV" w:eastAsia="lv-LV"/>
        </w:rPr>
      </w:pPr>
      <w:r w:rsidRPr="00FE7EBC">
        <w:rPr>
          <w:snapToGrid/>
          <w:sz w:val="28"/>
          <w:szCs w:val="28"/>
          <w:lang w:val="lv-LV" w:eastAsia="lv-LV"/>
        </w:rPr>
        <w:t>•</w:t>
      </w:r>
      <w:r w:rsidRPr="00FE7EBC">
        <w:rPr>
          <w:snapToGrid/>
          <w:sz w:val="28"/>
          <w:szCs w:val="28"/>
          <w:lang w:val="lv-LV" w:eastAsia="lv-LV"/>
        </w:rPr>
        <w:tab/>
        <w:t>330kV līnijas izbūve Ventspils –Imanta (Rīga).</w:t>
      </w:r>
    </w:p>
    <w:p w14:paraId="1869DB77" w14:textId="77777777" w:rsidR="0081456F" w:rsidRPr="00FA15C1" w:rsidRDefault="002E651C" w:rsidP="0081456F">
      <w:pPr>
        <w:ind w:firstLine="709"/>
        <w:jc w:val="both"/>
        <w:rPr>
          <w:snapToGrid/>
          <w:sz w:val="28"/>
          <w:szCs w:val="28"/>
          <w:lang w:val="lv-LV" w:eastAsia="lv-LV"/>
        </w:rPr>
      </w:pPr>
      <w:r>
        <w:rPr>
          <w:snapToGrid/>
          <w:sz w:val="28"/>
          <w:szCs w:val="28"/>
          <w:lang w:val="lv-LV" w:eastAsia="lv-LV"/>
        </w:rPr>
        <w:t>A</w:t>
      </w:r>
      <w:r w:rsidR="0081456F" w:rsidRPr="00FE7EBC">
        <w:rPr>
          <w:snapToGrid/>
          <w:sz w:val="28"/>
          <w:szCs w:val="28"/>
          <w:lang w:val="lv-LV" w:eastAsia="lv-LV"/>
        </w:rPr>
        <w:t xml:space="preserve">r </w:t>
      </w:r>
      <w:r w:rsidR="00643C47">
        <w:rPr>
          <w:snapToGrid/>
          <w:sz w:val="28"/>
          <w:szCs w:val="28"/>
          <w:lang w:val="lv-LV" w:eastAsia="lv-LV"/>
        </w:rPr>
        <w:t>ES</w:t>
      </w:r>
      <w:r w:rsidR="0081456F" w:rsidRPr="00FE7EBC">
        <w:rPr>
          <w:snapToGrid/>
          <w:sz w:val="28"/>
          <w:szCs w:val="28"/>
          <w:lang w:val="lv-LV" w:eastAsia="lv-LV"/>
        </w:rPr>
        <w:t xml:space="preserve"> (50%) un AS „Latvenergo” (50%) līdzfinansējumu </w:t>
      </w:r>
      <w:r>
        <w:rPr>
          <w:snapToGrid/>
          <w:sz w:val="28"/>
          <w:szCs w:val="28"/>
          <w:lang w:val="lv-LV" w:eastAsia="lv-LV"/>
        </w:rPr>
        <w:t>2010.gadā uzsāktā</w:t>
      </w:r>
      <w:r w:rsidRPr="00FE7EBC">
        <w:rPr>
          <w:snapToGrid/>
          <w:sz w:val="28"/>
          <w:szCs w:val="28"/>
          <w:lang w:val="lv-LV" w:eastAsia="lv-LV"/>
        </w:rPr>
        <w:t xml:space="preserve"> </w:t>
      </w:r>
      <w:r>
        <w:rPr>
          <w:snapToGrid/>
          <w:sz w:val="28"/>
          <w:szCs w:val="28"/>
          <w:lang w:val="lv-LV" w:eastAsia="lv-LV"/>
        </w:rPr>
        <w:t xml:space="preserve">projekta </w:t>
      </w:r>
      <w:r w:rsidR="0081456F" w:rsidRPr="00FE7EBC">
        <w:rPr>
          <w:snapToGrid/>
          <w:sz w:val="28"/>
          <w:szCs w:val="28"/>
          <w:lang w:val="lv-LV" w:eastAsia="lv-LV"/>
        </w:rPr>
        <w:t xml:space="preserve">Kurzemes 330 </w:t>
      </w:r>
      <w:proofErr w:type="spellStart"/>
      <w:r w:rsidR="0081456F" w:rsidRPr="00FE7EBC">
        <w:rPr>
          <w:snapToGrid/>
          <w:sz w:val="28"/>
          <w:szCs w:val="28"/>
          <w:lang w:val="lv-LV" w:eastAsia="lv-LV"/>
        </w:rPr>
        <w:t>kV</w:t>
      </w:r>
      <w:proofErr w:type="spellEnd"/>
      <w:r w:rsidR="0081456F" w:rsidRPr="00FE7EBC">
        <w:rPr>
          <w:snapToGrid/>
          <w:sz w:val="28"/>
          <w:szCs w:val="28"/>
          <w:lang w:val="lv-LV" w:eastAsia="lv-LV"/>
        </w:rPr>
        <w:t xml:space="preserve"> loka </w:t>
      </w:r>
      <w:r w:rsidRPr="00FE7EBC">
        <w:rPr>
          <w:snapToGrid/>
          <w:sz w:val="28"/>
          <w:szCs w:val="28"/>
          <w:lang w:val="lv-LV" w:eastAsia="lv-LV"/>
        </w:rPr>
        <w:t>realizācij</w:t>
      </w:r>
      <w:r>
        <w:rPr>
          <w:snapToGrid/>
          <w:sz w:val="28"/>
          <w:szCs w:val="28"/>
          <w:lang w:val="lv-LV" w:eastAsia="lv-LV"/>
        </w:rPr>
        <w:t>ai</w:t>
      </w:r>
      <w:r w:rsidR="0081456F" w:rsidRPr="00FE7EBC">
        <w:rPr>
          <w:snapToGrid/>
          <w:sz w:val="28"/>
          <w:szCs w:val="28"/>
          <w:lang w:val="lv-LV" w:eastAsia="lv-LV"/>
        </w:rPr>
        <w:t xml:space="preserve"> 1. etapu plānots pabeigt 2013.</w:t>
      </w:r>
      <w:r w:rsidR="00046FE9">
        <w:rPr>
          <w:snapToGrid/>
          <w:sz w:val="28"/>
          <w:szCs w:val="28"/>
          <w:lang w:val="lv-LV" w:eastAsia="lv-LV"/>
        </w:rPr>
        <w:t>gadā</w:t>
      </w:r>
      <w:r>
        <w:rPr>
          <w:snapToGrid/>
          <w:sz w:val="28"/>
          <w:szCs w:val="28"/>
          <w:lang w:val="lv-LV" w:eastAsia="lv-LV"/>
        </w:rPr>
        <w:t>.</w:t>
      </w:r>
      <w:r w:rsidRPr="00FE7EBC">
        <w:rPr>
          <w:snapToGrid/>
          <w:sz w:val="28"/>
          <w:szCs w:val="28"/>
          <w:lang w:val="lv-LV" w:eastAsia="lv-LV"/>
        </w:rPr>
        <w:t xml:space="preserve"> Kurzemes 330 </w:t>
      </w:r>
      <w:proofErr w:type="spellStart"/>
      <w:r w:rsidRPr="00FE7EBC">
        <w:rPr>
          <w:snapToGrid/>
          <w:sz w:val="28"/>
          <w:szCs w:val="28"/>
          <w:lang w:val="lv-LV" w:eastAsia="lv-LV"/>
        </w:rPr>
        <w:t>kV</w:t>
      </w:r>
      <w:proofErr w:type="spellEnd"/>
      <w:r w:rsidRPr="00FE7EBC">
        <w:rPr>
          <w:snapToGrid/>
          <w:sz w:val="28"/>
          <w:szCs w:val="28"/>
          <w:lang w:val="lv-LV" w:eastAsia="lv-LV"/>
        </w:rPr>
        <w:t xml:space="preserve"> loka </w:t>
      </w:r>
      <w:r>
        <w:rPr>
          <w:snapToGrid/>
          <w:sz w:val="28"/>
          <w:szCs w:val="28"/>
          <w:lang w:val="lv-LV" w:eastAsia="lv-LV"/>
        </w:rPr>
        <w:t xml:space="preserve">projekta </w:t>
      </w:r>
      <w:r w:rsidR="0081456F" w:rsidRPr="00FE7EBC">
        <w:rPr>
          <w:snapToGrid/>
          <w:sz w:val="28"/>
          <w:szCs w:val="28"/>
          <w:lang w:val="lv-LV" w:eastAsia="lv-LV"/>
        </w:rPr>
        <w:t>2. etapam 2011.</w:t>
      </w:r>
      <w:r>
        <w:rPr>
          <w:snapToGrid/>
          <w:sz w:val="28"/>
          <w:szCs w:val="28"/>
          <w:lang w:val="lv-LV" w:eastAsia="lv-LV"/>
        </w:rPr>
        <w:t> </w:t>
      </w:r>
      <w:r w:rsidR="0081456F" w:rsidRPr="00FE7EBC">
        <w:rPr>
          <w:snapToGrid/>
          <w:sz w:val="28"/>
          <w:szCs w:val="28"/>
          <w:lang w:val="lv-LV" w:eastAsia="lv-LV"/>
        </w:rPr>
        <w:t>gadā tika veikts ietekmes uz vidi novērtējums (IVN) un 2012. gadā ir uzsākti līnijas būvniecības projektēšanas darbi un izbūves darbi, kas tiks pabeigti 2014.gadā</w:t>
      </w:r>
      <w:r w:rsidR="0081456F">
        <w:rPr>
          <w:snapToGrid/>
          <w:sz w:val="28"/>
          <w:szCs w:val="28"/>
          <w:lang w:val="lv-LV" w:eastAsia="lv-LV"/>
        </w:rPr>
        <w:t xml:space="preserve">. </w:t>
      </w:r>
      <w:r w:rsidRPr="00FE7EBC">
        <w:rPr>
          <w:snapToGrid/>
          <w:sz w:val="28"/>
          <w:szCs w:val="28"/>
          <w:lang w:val="lv-LV" w:eastAsia="lv-LV"/>
        </w:rPr>
        <w:t xml:space="preserve">Kurzemes 330 </w:t>
      </w:r>
      <w:proofErr w:type="spellStart"/>
      <w:r w:rsidRPr="00FE7EBC">
        <w:rPr>
          <w:snapToGrid/>
          <w:sz w:val="28"/>
          <w:szCs w:val="28"/>
          <w:lang w:val="lv-LV" w:eastAsia="lv-LV"/>
        </w:rPr>
        <w:t>kV</w:t>
      </w:r>
      <w:proofErr w:type="spellEnd"/>
      <w:r w:rsidRPr="00FE7EBC">
        <w:rPr>
          <w:snapToGrid/>
          <w:sz w:val="28"/>
          <w:szCs w:val="28"/>
          <w:lang w:val="lv-LV" w:eastAsia="lv-LV"/>
        </w:rPr>
        <w:t xml:space="preserve"> loka </w:t>
      </w:r>
      <w:r>
        <w:rPr>
          <w:snapToGrid/>
          <w:sz w:val="28"/>
          <w:szCs w:val="28"/>
          <w:lang w:val="lv-LV" w:eastAsia="lv-LV"/>
        </w:rPr>
        <w:t xml:space="preserve">projekta </w:t>
      </w:r>
      <w:r w:rsidR="0081456F" w:rsidRPr="00FE7EBC">
        <w:rPr>
          <w:snapToGrid/>
          <w:sz w:val="28"/>
          <w:szCs w:val="28"/>
          <w:lang w:val="lv-LV" w:eastAsia="lv-LV"/>
        </w:rPr>
        <w:t>3.etaps, kas i</w:t>
      </w:r>
      <w:r w:rsidR="0081456F">
        <w:rPr>
          <w:snapToGrid/>
          <w:sz w:val="28"/>
          <w:szCs w:val="28"/>
          <w:lang w:val="lv-LV" w:eastAsia="lv-LV"/>
        </w:rPr>
        <w:t>r ļoti svarīgs projekta etaps,</w:t>
      </w:r>
      <w:r w:rsidR="0081456F" w:rsidRPr="00FE7EBC">
        <w:rPr>
          <w:snapToGrid/>
          <w:sz w:val="28"/>
          <w:szCs w:val="28"/>
          <w:lang w:val="lv-LV" w:eastAsia="lv-LV"/>
        </w:rPr>
        <w:t xml:space="preserve"> jo </w:t>
      </w:r>
      <w:r>
        <w:rPr>
          <w:snapToGrid/>
          <w:sz w:val="28"/>
          <w:szCs w:val="28"/>
          <w:lang w:val="lv-LV" w:eastAsia="lv-LV"/>
        </w:rPr>
        <w:t xml:space="preserve">kopējais Kurzemes </w:t>
      </w:r>
      <w:r w:rsidRPr="00FE7EBC">
        <w:rPr>
          <w:snapToGrid/>
          <w:sz w:val="28"/>
          <w:szCs w:val="28"/>
          <w:lang w:val="lv-LV" w:eastAsia="lv-LV"/>
        </w:rPr>
        <w:t xml:space="preserve">330 </w:t>
      </w:r>
      <w:proofErr w:type="spellStart"/>
      <w:r w:rsidRPr="00FE7EBC">
        <w:rPr>
          <w:snapToGrid/>
          <w:sz w:val="28"/>
          <w:szCs w:val="28"/>
          <w:lang w:val="lv-LV" w:eastAsia="lv-LV"/>
        </w:rPr>
        <w:t>kV</w:t>
      </w:r>
      <w:proofErr w:type="spellEnd"/>
      <w:r w:rsidRPr="00FE7EBC">
        <w:rPr>
          <w:snapToGrid/>
          <w:sz w:val="28"/>
          <w:szCs w:val="28"/>
          <w:lang w:val="lv-LV" w:eastAsia="lv-LV"/>
        </w:rPr>
        <w:t xml:space="preserve"> </w:t>
      </w:r>
      <w:r>
        <w:rPr>
          <w:snapToGrid/>
          <w:sz w:val="28"/>
          <w:szCs w:val="28"/>
          <w:lang w:val="lv-LV" w:eastAsia="lv-LV"/>
        </w:rPr>
        <w:t xml:space="preserve">loka projekta </w:t>
      </w:r>
      <w:r w:rsidR="0081456F" w:rsidRPr="00FE7EBC">
        <w:rPr>
          <w:snapToGrid/>
          <w:sz w:val="28"/>
          <w:szCs w:val="28"/>
          <w:lang w:val="lv-LV" w:eastAsia="lv-LV"/>
        </w:rPr>
        <w:t xml:space="preserve">mērķis tiks sasniegts tikai ar tā izbūvi, </w:t>
      </w:r>
      <w:r>
        <w:rPr>
          <w:snapToGrid/>
          <w:sz w:val="28"/>
          <w:szCs w:val="28"/>
          <w:lang w:val="lv-LV" w:eastAsia="lv-LV"/>
        </w:rPr>
        <w:t xml:space="preserve">šobrīd </w:t>
      </w:r>
      <w:r w:rsidR="0081456F" w:rsidRPr="00FE7EBC">
        <w:rPr>
          <w:snapToGrid/>
          <w:sz w:val="28"/>
          <w:szCs w:val="28"/>
          <w:lang w:val="lv-LV" w:eastAsia="lv-LV"/>
        </w:rPr>
        <w:t xml:space="preserve">ir ieviešanas </w:t>
      </w:r>
      <w:r w:rsidR="0081456F" w:rsidRPr="00FE7EBC">
        <w:rPr>
          <w:snapToGrid/>
          <w:sz w:val="28"/>
          <w:szCs w:val="28"/>
          <w:lang w:val="lv-LV" w:eastAsia="lv-LV"/>
        </w:rPr>
        <w:lastRenderedPageBreak/>
        <w:t>stadijā. 2012.</w:t>
      </w:r>
      <w:r w:rsidR="00A55C84">
        <w:rPr>
          <w:snapToGrid/>
          <w:sz w:val="28"/>
          <w:szCs w:val="28"/>
          <w:lang w:val="lv-LV" w:eastAsia="lv-LV"/>
        </w:rPr>
        <w:t> </w:t>
      </w:r>
      <w:r w:rsidR="0081456F" w:rsidRPr="00FE7EBC">
        <w:rPr>
          <w:snapToGrid/>
          <w:sz w:val="28"/>
          <w:szCs w:val="28"/>
          <w:lang w:val="lv-LV" w:eastAsia="lv-LV"/>
        </w:rPr>
        <w:t xml:space="preserve">gadā ar Eiropas līdzfinansējuma palīdzību uzsāktas IVN un trases izpētes aktivitātes, </w:t>
      </w:r>
      <w:r w:rsidR="00A55C84">
        <w:rPr>
          <w:snapToGrid/>
          <w:sz w:val="28"/>
          <w:szCs w:val="28"/>
          <w:lang w:val="lv-LV" w:eastAsia="lv-LV"/>
        </w:rPr>
        <w:t>ko</w:t>
      </w:r>
      <w:r w:rsidR="00A55C84" w:rsidRPr="00FE7EBC">
        <w:rPr>
          <w:snapToGrid/>
          <w:sz w:val="28"/>
          <w:szCs w:val="28"/>
          <w:lang w:val="lv-LV" w:eastAsia="lv-LV"/>
        </w:rPr>
        <w:t xml:space="preserve"> </w:t>
      </w:r>
      <w:r w:rsidR="0081456F" w:rsidRPr="00FE7EBC">
        <w:rPr>
          <w:snapToGrid/>
          <w:sz w:val="28"/>
          <w:szCs w:val="28"/>
          <w:lang w:val="lv-LV" w:eastAsia="lv-LV"/>
        </w:rPr>
        <w:t>plānots pabeigt 2013.</w:t>
      </w:r>
      <w:r w:rsidR="00A55C84">
        <w:rPr>
          <w:snapToGrid/>
          <w:sz w:val="28"/>
          <w:szCs w:val="28"/>
          <w:lang w:val="lv-LV" w:eastAsia="lv-LV"/>
        </w:rPr>
        <w:t> </w:t>
      </w:r>
      <w:r w:rsidR="0081456F" w:rsidRPr="00FE7EBC">
        <w:rPr>
          <w:snapToGrid/>
          <w:sz w:val="28"/>
          <w:szCs w:val="28"/>
          <w:lang w:val="lv-LV" w:eastAsia="lv-LV"/>
        </w:rPr>
        <w:t>gada beigās.</w:t>
      </w:r>
    </w:p>
    <w:p w14:paraId="30151AB4" w14:textId="77777777" w:rsidR="00FA15C1" w:rsidRPr="00FA15C1" w:rsidRDefault="00DC59A5" w:rsidP="00FA15C1">
      <w:pPr>
        <w:ind w:firstLine="709"/>
        <w:jc w:val="both"/>
        <w:rPr>
          <w:snapToGrid/>
          <w:sz w:val="28"/>
          <w:szCs w:val="28"/>
          <w:lang w:val="lv-LV" w:eastAsia="lv-LV"/>
        </w:rPr>
      </w:pPr>
      <w:proofErr w:type="spellStart"/>
      <w:r w:rsidRPr="009E538B">
        <w:rPr>
          <w:sz w:val="28"/>
          <w:szCs w:val="28"/>
          <w:lang w:val="lv-LV"/>
        </w:rPr>
        <w:t>Energoinfrastruktūras</w:t>
      </w:r>
      <w:proofErr w:type="spellEnd"/>
      <w:r w:rsidRPr="009E538B">
        <w:rPr>
          <w:sz w:val="28"/>
          <w:szCs w:val="28"/>
          <w:lang w:val="lv-LV"/>
        </w:rPr>
        <w:t xml:space="preserve"> projekts</w:t>
      </w:r>
      <w:r w:rsidRPr="00DC59A5">
        <w:rPr>
          <w:snapToGrid/>
          <w:sz w:val="28"/>
          <w:szCs w:val="28"/>
          <w:lang w:val="lv-LV" w:eastAsia="lv-LV"/>
        </w:rPr>
        <w:t xml:space="preserve"> „</w:t>
      </w:r>
      <w:r w:rsidR="00FA15C1" w:rsidRPr="00DC59A5">
        <w:rPr>
          <w:snapToGrid/>
          <w:sz w:val="28"/>
          <w:szCs w:val="28"/>
          <w:lang w:val="lv-LV" w:eastAsia="lv-LV"/>
        </w:rPr>
        <w:t xml:space="preserve">Kurzemes </w:t>
      </w:r>
      <w:r w:rsidRPr="00D6066B">
        <w:rPr>
          <w:snapToGrid/>
          <w:sz w:val="28"/>
          <w:szCs w:val="28"/>
          <w:lang w:val="lv-LV" w:eastAsia="lv-LV"/>
        </w:rPr>
        <w:t xml:space="preserve">loks” </w:t>
      </w:r>
      <w:r w:rsidR="00FA15C1" w:rsidRPr="00DC59A5">
        <w:rPr>
          <w:snapToGrid/>
          <w:sz w:val="28"/>
          <w:szCs w:val="28"/>
          <w:lang w:val="lv-LV" w:eastAsia="lv-LV"/>
        </w:rPr>
        <w:t>ī</w:t>
      </w:r>
      <w:r w:rsidR="00FA15C1" w:rsidRPr="0081456F">
        <w:rPr>
          <w:snapToGrid/>
          <w:sz w:val="28"/>
          <w:szCs w:val="28"/>
          <w:lang w:val="lv-LV" w:eastAsia="lv-LV"/>
        </w:rPr>
        <w:t xml:space="preserve">stenošanas rezultātā paaugstināsies Kurzemes reģiona un </w:t>
      </w:r>
      <w:r>
        <w:rPr>
          <w:snapToGrid/>
          <w:sz w:val="28"/>
          <w:szCs w:val="28"/>
          <w:lang w:val="lv-LV" w:eastAsia="lv-LV"/>
        </w:rPr>
        <w:t xml:space="preserve">Kurzemes novada </w:t>
      </w:r>
      <w:r w:rsidRPr="0081456F">
        <w:rPr>
          <w:snapToGrid/>
          <w:sz w:val="28"/>
          <w:szCs w:val="28"/>
          <w:lang w:val="lv-LV" w:eastAsia="lv-LV"/>
        </w:rPr>
        <w:t>pilsēt</w:t>
      </w:r>
      <w:r>
        <w:rPr>
          <w:snapToGrid/>
          <w:sz w:val="28"/>
          <w:szCs w:val="28"/>
          <w:lang w:val="lv-LV" w:eastAsia="lv-LV"/>
        </w:rPr>
        <w:t>u</w:t>
      </w:r>
      <w:r w:rsidRPr="0081456F">
        <w:rPr>
          <w:snapToGrid/>
          <w:sz w:val="28"/>
          <w:szCs w:val="28"/>
          <w:lang w:val="lv-LV" w:eastAsia="lv-LV"/>
        </w:rPr>
        <w:t xml:space="preserve"> </w:t>
      </w:r>
      <w:r w:rsidR="00FA15C1" w:rsidRPr="0081456F">
        <w:rPr>
          <w:snapToGrid/>
          <w:sz w:val="28"/>
          <w:szCs w:val="28"/>
          <w:lang w:val="lv-LV" w:eastAsia="lv-LV"/>
        </w:rPr>
        <w:t>patērētāju elektroapgādes drošums, tiks nodrošināta infrastruktūra pieaugošajai elektriskajai slodzei Kurzemes reģionā, kā arī tiks nodrošināts jaunu elektroenerģijas lietotāju elektroietaišu pieslēgšanas potenciāls, kas dos iespēju pievienot jaunas vēja elektrostaciju jaudas sauszemē un jūrā, kas plānotas Kurzemes reģionā. Šī p</w:t>
      </w:r>
      <w:r w:rsidR="000767CF">
        <w:rPr>
          <w:snapToGrid/>
          <w:sz w:val="28"/>
          <w:szCs w:val="28"/>
          <w:lang w:val="lv-LV" w:eastAsia="lv-LV"/>
        </w:rPr>
        <w:t>rojekta īstenošana radīs pamatu</w:t>
      </w:r>
      <w:r w:rsidR="00FA15C1" w:rsidRPr="0081456F">
        <w:rPr>
          <w:snapToGrid/>
          <w:sz w:val="28"/>
          <w:szCs w:val="28"/>
          <w:lang w:val="lv-LV" w:eastAsia="lv-LV"/>
        </w:rPr>
        <w:t xml:space="preserve"> vēja parku attīstībai Kurzemes piekrastē. </w:t>
      </w:r>
    </w:p>
    <w:p w14:paraId="34AE4741" w14:textId="77777777" w:rsidR="00820C75" w:rsidRPr="00BB1948" w:rsidRDefault="006C05DE" w:rsidP="00935562">
      <w:pPr>
        <w:pStyle w:val="Heading1"/>
        <w:numPr>
          <w:ilvl w:val="0"/>
          <w:numId w:val="18"/>
        </w:numPr>
        <w:jc w:val="center"/>
        <w:rPr>
          <w:smallCaps w:val="0"/>
          <w:sz w:val="28"/>
          <w:lang w:val="lv-LV"/>
        </w:rPr>
      </w:pPr>
      <w:bookmarkStart w:id="15" w:name="_Toc367196055"/>
      <w:bookmarkStart w:id="16" w:name="_Toc373229244"/>
      <w:r>
        <w:rPr>
          <w:smallCaps w:val="0"/>
          <w:sz w:val="28"/>
          <w:lang w:val="lv-LV"/>
        </w:rPr>
        <w:t xml:space="preserve">Atbalsta </w:t>
      </w:r>
      <w:r w:rsidR="00A55C84">
        <w:rPr>
          <w:smallCaps w:val="0"/>
          <w:sz w:val="28"/>
          <w:lang w:val="lv-LV"/>
        </w:rPr>
        <w:t>mehānismi</w:t>
      </w:r>
      <w:r>
        <w:rPr>
          <w:smallCaps w:val="0"/>
          <w:sz w:val="28"/>
          <w:lang w:val="lv-LV"/>
        </w:rPr>
        <w:t>, to izmaiņas atjaunojamās enerģijas izmantošanas veicināšanai</w:t>
      </w:r>
      <w:bookmarkEnd w:id="15"/>
      <w:bookmarkEnd w:id="16"/>
    </w:p>
    <w:p w14:paraId="1CF0569E" w14:textId="77777777" w:rsidR="00B94508" w:rsidRDefault="00B94508">
      <w:pPr>
        <w:jc w:val="both"/>
        <w:rPr>
          <w:b/>
          <w:lang w:val="lv-LV"/>
        </w:rPr>
      </w:pPr>
    </w:p>
    <w:p w14:paraId="4B37A23F" w14:textId="77777777" w:rsidR="009E5B4B" w:rsidRPr="00252D11" w:rsidRDefault="009E5B4B" w:rsidP="00970055">
      <w:pPr>
        <w:tabs>
          <w:tab w:val="left" w:pos="0"/>
          <w:tab w:val="center" w:pos="4153"/>
          <w:tab w:val="right" w:pos="8306"/>
        </w:tabs>
        <w:jc w:val="both"/>
        <w:rPr>
          <w:rFonts w:eastAsia="Calibri" w:cs="Tahoma"/>
          <w:b/>
          <w:snapToGrid/>
          <w:u w:val="single"/>
          <w:lang w:val="lv-LV" w:eastAsia="en-US"/>
        </w:rPr>
      </w:pPr>
      <w:r w:rsidRPr="00252D11">
        <w:rPr>
          <w:rFonts w:eastAsia="Calibri" w:cs="Tahoma"/>
          <w:b/>
          <w:snapToGrid/>
          <w:u w:val="single"/>
          <w:lang w:val="lv-LV" w:eastAsia="en-US"/>
        </w:rPr>
        <w:t>Akcīzes nodokļa atvieglojums biodegvielai</w:t>
      </w:r>
    </w:p>
    <w:p w14:paraId="3058233A" w14:textId="77777777" w:rsidR="009E5B4B" w:rsidRDefault="009E5B4B" w:rsidP="00BB7DEA">
      <w:pPr>
        <w:tabs>
          <w:tab w:val="left" w:pos="0"/>
          <w:tab w:val="center" w:pos="4153"/>
          <w:tab w:val="right" w:pos="8306"/>
        </w:tabs>
        <w:ind w:firstLine="720"/>
        <w:jc w:val="both"/>
        <w:rPr>
          <w:rFonts w:eastAsia="Calibri" w:cs="Tahoma"/>
          <w:snapToGrid/>
          <w:sz w:val="28"/>
          <w:szCs w:val="28"/>
          <w:lang w:val="lv-LV" w:eastAsia="en-US"/>
        </w:rPr>
      </w:pPr>
    </w:p>
    <w:p w14:paraId="404C47D4" w14:textId="77777777" w:rsidR="00BB7DEA" w:rsidRDefault="00C56219" w:rsidP="00BB7DEA">
      <w:pPr>
        <w:tabs>
          <w:tab w:val="left" w:pos="0"/>
          <w:tab w:val="center" w:pos="4153"/>
          <w:tab w:val="right" w:pos="8306"/>
        </w:tabs>
        <w:ind w:firstLine="720"/>
        <w:jc w:val="both"/>
        <w:rPr>
          <w:sz w:val="28"/>
          <w:szCs w:val="28"/>
          <w:lang w:val="lv-LV"/>
        </w:rPr>
      </w:pPr>
      <w:r w:rsidRPr="00C56219">
        <w:rPr>
          <w:rFonts w:eastAsia="Calibri" w:cs="Tahoma"/>
          <w:snapToGrid/>
          <w:sz w:val="28"/>
          <w:szCs w:val="28"/>
          <w:lang w:val="lv-LV" w:eastAsia="en-US"/>
        </w:rPr>
        <w:t>Ņemot vērā, ka biodegvielu ražošanas izmaksas un tādejādi cenas mazumtirdzniecībā līdz šim bijušas augstākas kā fosilajai degvielai, saskaņā ar likumu „Par akcīzes nodokli” biodegvielai un tās maisījumiem ar fosilo degvielu atkarībā no biodegvielas daudzuma degvielā piemēro samazinātas akcīzes nodokļa likmes</w:t>
      </w:r>
      <w:r w:rsidRPr="00C56219">
        <w:rPr>
          <w:rFonts w:eastAsia="Calibri" w:cs="Tahoma"/>
          <w:i/>
          <w:snapToGrid/>
          <w:sz w:val="28"/>
          <w:szCs w:val="28"/>
          <w:lang w:val="lv-LV" w:eastAsia="en-US"/>
        </w:rPr>
        <w:t>.</w:t>
      </w:r>
      <w:r w:rsidRPr="00C56219">
        <w:rPr>
          <w:rFonts w:eastAsia="Calibri" w:cs="Tahoma"/>
          <w:snapToGrid/>
          <w:sz w:val="28"/>
          <w:szCs w:val="28"/>
          <w:lang w:val="lv-LV" w:eastAsia="en-US"/>
        </w:rPr>
        <w:t xml:space="preserve"> Samazinātās akcīzes nodokļa likmes vienādi tiek piemērotas kā iekšzemē saražotajai, tā arī no citām ES dalībvalstīm ievestajai biodegvielai un tās maisījumiem ar fosilo degvielu.</w:t>
      </w:r>
      <w:r w:rsidR="00815790" w:rsidRPr="00815790">
        <w:rPr>
          <w:sz w:val="28"/>
          <w:szCs w:val="28"/>
          <w:lang w:val="lv-LV"/>
        </w:rPr>
        <w:t xml:space="preserve"> </w:t>
      </w:r>
    </w:p>
    <w:p w14:paraId="496C6F19" w14:textId="77777777" w:rsidR="00BB7DEA" w:rsidRPr="00BB7DEA" w:rsidRDefault="00BB7DEA" w:rsidP="00BB7DEA">
      <w:pPr>
        <w:tabs>
          <w:tab w:val="left" w:pos="0"/>
          <w:tab w:val="center" w:pos="4153"/>
          <w:tab w:val="right" w:pos="8306"/>
        </w:tabs>
        <w:ind w:firstLine="720"/>
        <w:jc w:val="both"/>
        <w:rPr>
          <w:sz w:val="28"/>
          <w:szCs w:val="28"/>
          <w:lang w:val="lv-LV"/>
        </w:rPr>
      </w:pPr>
      <w:r w:rsidRPr="00BB7DEA">
        <w:rPr>
          <w:rFonts w:eastAsia="Calibri" w:cs="Tahoma"/>
          <w:snapToGrid/>
          <w:sz w:val="28"/>
          <w:szCs w:val="28"/>
          <w:lang w:val="lv-LV" w:eastAsia="en-US"/>
        </w:rPr>
        <w:t xml:space="preserve">Samazinātas akcīzes nodokļa likmes līdz 2011. gadam 1. janvārim tika piemērotas arī </w:t>
      </w:r>
      <w:r w:rsidRPr="00BB7DEA">
        <w:rPr>
          <w:rFonts w:cs="Tahoma"/>
          <w:snapToGrid/>
          <w:sz w:val="28"/>
          <w:szCs w:val="28"/>
          <w:lang w:val="lv-LV" w:eastAsia="lv-LV"/>
        </w:rPr>
        <w:t>degvielai ar 5% biodegvielas piejaukumu (E5 un B5). Ņemot vērā, ka ar 2009.</w:t>
      </w:r>
      <w:r w:rsidRPr="00BB7DEA">
        <w:rPr>
          <w:rFonts w:eastAsia="Calibri" w:cs="Tahoma"/>
          <w:snapToGrid/>
          <w:sz w:val="28"/>
          <w:szCs w:val="28"/>
          <w:lang w:val="lv-LV" w:eastAsia="en-US"/>
        </w:rPr>
        <w:t> </w:t>
      </w:r>
      <w:r w:rsidRPr="00BB7DEA">
        <w:rPr>
          <w:rFonts w:cs="Tahoma"/>
          <w:snapToGrid/>
          <w:sz w:val="28"/>
          <w:szCs w:val="28"/>
          <w:lang w:val="lv-LV" w:eastAsia="lv-LV"/>
        </w:rPr>
        <w:t>gada 1.</w:t>
      </w:r>
      <w:r w:rsidRPr="00BB7DEA">
        <w:rPr>
          <w:rFonts w:eastAsia="Calibri" w:cs="Tahoma"/>
          <w:snapToGrid/>
          <w:sz w:val="28"/>
          <w:szCs w:val="28"/>
          <w:lang w:val="lv-LV" w:eastAsia="en-US"/>
        </w:rPr>
        <w:t> </w:t>
      </w:r>
      <w:r w:rsidRPr="00BB7DEA">
        <w:rPr>
          <w:rFonts w:cs="Tahoma"/>
          <w:snapToGrid/>
          <w:sz w:val="28"/>
          <w:szCs w:val="28"/>
          <w:lang w:val="lv-LV" w:eastAsia="lv-LV"/>
        </w:rPr>
        <w:t xml:space="preserve">oktobri tika ieviests </w:t>
      </w:r>
      <w:r w:rsidRPr="00BB7DEA">
        <w:rPr>
          <w:rFonts w:eastAsia="Calibri" w:cs="Tahoma"/>
          <w:snapToGrid/>
          <w:sz w:val="28"/>
          <w:szCs w:val="28"/>
          <w:lang w:val="lv-LV" w:eastAsia="lv-LV"/>
        </w:rPr>
        <w:t>obligātais 5% biodegvielas piejaukums fosilajai degvielai,</w:t>
      </w:r>
      <w:r w:rsidRPr="00BB7DEA">
        <w:rPr>
          <w:rFonts w:cs="Tahoma"/>
          <w:snapToGrid/>
          <w:sz w:val="28"/>
          <w:szCs w:val="28"/>
          <w:lang w:val="lv-LV" w:eastAsia="lv-LV"/>
        </w:rPr>
        <w:t xml:space="preserve"> samazinātas akcīzes nodokļa likmes piemērošana degvielai ar 5% biodegvielas piejaukumu zaudēja savu nozīmi, jo vairs nedarbojās kā efektīvs stimuls biodegvielas ražošanai un tās patēriņam.</w:t>
      </w:r>
    </w:p>
    <w:p w14:paraId="5FEEFF2D" w14:textId="77777777" w:rsidR="00815790" w:rsidRDefault="00BB7DEA" w:rsidP="00815790">
      <w:pPr>
        <w:tabs>
          <w:tab w:val="left" w:pos="0"/>
          <w:tab w:val="center" w:pos="4153"/>
          <w:tab w:val="right" w:pos="8306"/>
        </w:tabs>
        <w:ind w:firstLine="720"/>
        <w:jc w:val="both"/>
        <w:rPr>
          <w:sz w:val="28"/>
          <w:szCs w:val="28"/>
          <w:lang w:val="lv-LV"/>
        </w:rPr>
      </w:pPr>
      <w:r w:rsidRPr="00BB7DEA">
        <w:rPr>
          <w:rFonts w:eastAsia="Calibri"/>
          <w:snapToGrid/>
          <w:sz w:val="28"/>
          <w:szCs w:val="28"/>
          <w:lang w:val="lv-LV" w:eastAsia="en-US"/>
        </w:rPr>
        <w:t>EK ar 2012. gada 18. jūnija lēmumu valsts atbalsta lietā Nr.SA.33517 (2011/N) – Akcīzes nodokļa samazināto likmju biodegvielai grozījumi un to darbības termiņa pagarināšana (N 540/2005 grozīts ar N 254/2007) ir atļāvusi Latvijai līdz 2013. gada 31. decembrim piemērot diferencētus nodokļus līmeņus biodegvielai un biodegvielas un fosilās degvielas maisījumiem ar augstu biodegvielas koncentrāciju (B100, E85 B30).</w:t>
      </w:r>
      <w:r>
        <w:rPr>
          <w:rFonts w:eastAsia="Calibri"/>
          <w:snapToGrid/>
          <w:sz w:val="28"/>
          <w:szCs w:val="28"/>
          <w:lang w:val="lv-LV" w:eastAsia="en-US"/>
        </w:rPr>
        <w:t xml:space="preserve"> Akcīzes nodokļa likmes u</w:t>
      </w:r>
      <w:r w:rsidR="00EC679A">
        <w:rPr>
          <w:rFonts w:eastAsia="Calibri"/>
          <w:snapToGrid/>
          <w:sz w:val="28"/>
          <w:szCs w:val="28"/>
          <w:lang w:val="lv-LV" w:eastAsia="en-US"/>
        </w:rPr>
        <w:t>n</w:t>
      </w:r>
      <w:r>
        <w:rPr>
          <w:rFonts w:eastAsia="Calibri"/>
          <w:snapToGrid/>
          <w:sz w:val="28"/>
          <w:szCs w:val="28"/>
          <w:lang w:val="lv-LV" w:eastAsia="en-US"/>
        </w:rPr>
        <w:t xml:space="preserve"> to izmaiņas ir parādītas </w:t>
      </w:r>
      <w:r w:rsidR="00EC679A">
        <w:rPr>
          <w:rFonts w:eastAsia="Calibri"/>
          <w:snapToGrid/>
          <w:sz w:val="28"/>
          <w:szCs w:val="28"/>
          <w:lang w:val="lv-LV" w:eastAsia="en-US"/>
        </w:rPr>
        <w:t xml:space="preserve">3.a </w:t>
      </w:r>
      <w:r w:rsidR="00C80170">
        <w:rPr>
          <w:rFonts w:eastAsia="Calibri"/>
          <w:snapToGrid/>
          <w:sz w:val="28"/>
          <w:szCs w:val="28"/>
          <w:lang w:val="lv-LV" w:eastAsia="en-US"/>
        </w:rPr>
        <w:t>tabulā.</w:t>
      </w:r>
    </w:p>
    <w:p w14:paraId="6EC04D2B" w14:textId="77777777" w:rsidR="00C80170" w:rsidRPr="00313023" w:rsidRDefault="00C80170" w:rsidP="00C80170">
      <w:pPr>
        <w:tabs>
          <w:tab w:val="left" w:pos="0"/>
          <w:tab w:val="center" w:pos="4153"/>
          <w:tab w:val="right" w:pos="8306"/>
        </w:tabs>
        <w:ind w:firstLine="720"/>
        <w:jc w:val="both"/>
        <w:rPr>
          <w:sz w:val="28"/>
          <w:szCs w:val="28"/>
          <w:lang w:val="lv-LV"/>
        </w:rPr>
      </w:pPr>
      <w:r w:rsidRPr="00313023">
        <w:rPr>
          <w:sz w:val="28"/>
          <w:szCs w:val="28"/>
          <w:lang w:val="lv-LV"/>
        </w:rPr>
        <w:t>Likuma „Par akcīzes nodokli” 14.panta otrā daļa nosaka ka, ja petroleja, dīzeļdegviela, gāzeļļa, to aizstājējprodukti un komponenti ir iezīmēti (marķēti) un tos izmanto par kurināmo siltuma ieguvei apkurē, sadedzināšanas iekārtās vai siltuma enerģijas ieguvei produkcijas ražošanas (pārstrādes) tehnoloģiskajā procesā, attiecīgiem produktiem (par 1000 litriem) akcīzes nodokli aprēķina:</w:t>
      </w:r>
    </w:p>
    <w:p w14:paraId="625D5312" w14:textId="77777777" w:rsidR="00C80170" w:rsidRPr="00313023" w:rsidRDefault="00C80170" w:rsidP="00C80170">
      <w:pPr>
        <w:numPr>
          <w:ilvl w:val="0"/>
          <w:numId w:val="3"/>
        </w:numPr>
        <w:tabs>
          <w:tab w:val="left" w:pos="0"/>
          <w:tab w:val="center" w:pos="1418"/>
          <w:tab w:val="right" w:pos="8306"/>
        </w:tabs>
        <w:ind w:firstLine="360"/>
        <w:jc w:val="both"/>
        <w:rPr>
          <w:sz w:val="28"/>
          <w:szCs w:val="28"/>
          <w:lang w:val="lv-LV"/>
        </w:rPr>
      </w:pPr>
      <w:r w:rsidRPr="00313023">
        <w:rPr>
          <w:sz w:val="28"/>
          <w:szCs w:val="28"/>
          <w:lang w:val="lv-LV"/>
        </w:rPr>
        <w:t xml:space="preserve">pēc likmes 40 </w:t>
      </w:r>
      <w:r>
        <w:rPr>
          <w:sz w:val="28"/>
          <w:szCs w:val="28"/>
          <w:lang w:val="lv-LV"/>
        </w:rPr>
        <w:t>LVL</w:t>
      </w:r>
      <w:r w:rsidRPr="00313023">
        <w:rPr>
          <w:sz w:val="28"/>
          <w:szCs w:val="28"/>
          <w:lang w:val="lv-LV"/>
        </w:rPr>
        <w:t>;</w:t>
      </w:r>
    </w:p>
    <w:p w14:paraId="3148BB79" w14:textId="77777777" w:rsidR="00C80170" w:rsidRPr="00313023" w:rsidRDefault="00C80170" w:rsidP="00C80170">
      <w:pPr>
        <w:numPr>
          <w:ilvl w:val="0"/>
          <w:numId w:val="3"/>
        </w:numPr>
        <w:tabs>
          <w:tab w:val="left" w:pos="0"/>
          <w:tab w:val="center" w:pos="1418"/>
          <w:tab w:val="right" w:pos="8306"/>
        </w:tabs>
        <w:ind w:left="0" w:firstLine="1069"/>
        <w:jc w:val="both"/>
        <w:rPr>
          <w:sz w:val="28"/>
          <w:szCs w:val="28"/>
          <w:lang w:val="lv-LV"/>
        </w:rPr>
      </w:pPr>
      <w:r w:rsidRPr="00313023">
        <w:rPr>
          <w:sz w:val="28"/>
          <w:szCs w:val="28"/>
          <w:lang w:val="lv-LV"/>
        </w:rPr>
        <w:lastRenderedPageBreak/>
        <w:t xml:space="preserve">pēc likmes 15 </w:t>
      </w:r>
      <w:r>
        <w:rPr>
          <w:sz w:val="28"/>
          <w:szCs w:val="28"/>
          <w:lang w:val="lv-LV"/>
        </w:rPr>
        <w:t>LVL</w:t>
      </w:r>
      <w:r w:rsidRPr="00313023">
        <w:rPr>
          <w:sz w:val="28"/>
          <w:szCs w:val="28"/>
          <w:lang w:val="lv-LV"/>
        </w:rPr>
        <w:t xml:space="preserve">, ja minēto naftas produktu sastāvā  vismaz 5% no kopējā produktu daudzuma veido rapšu sēklu eļļa vai no rapšu sēklu eļļas iegūtā biodīzeļdegviela. </w:t>
      </w:r>
    </w:p>
    <w:p w14:paraId="4E4CD3F1" w14:textId="77777777" w:rsidR="00C80170" w:rsidRDefault="00C80170" w:rsidP="00EC679A">
      <w:pPr>
        <w:tabs>
          <w:tab w:val="left" w:pos="0"/>
          <w:tab w:val="center" w:pos="4153"/>
          <w:tab w:val="right" w:pos="8306"/>
        </w:tabs>
        <w:ind w:firstLine="720"/>
        <w:jc w:val="right"/>
        <w:rPr>
          <w:b/>
          <w:i/>
          <w:sz w:val="20"/>
          <w:szCs w:val="20"/>
          <w:lang w:val="lv-LV"/>
        </w:rPr>
      </w:pPr>
    </w:p>
    <w:p w14:paraId="746BAD39" w14:textId="77777777" w:rsidR="00815790" w:rsidRPr="00C80170" w:rsidRDefault="00EC679A" w:rsidP="00EC679A">
      <w:pPr>
        <w:tabs>
          <w:tab w:val="left" w:pos="0"/>
          <w:tab w:val="center" w:pos="4153"/>
          <w:tab w:val="right" w:pos="8306"/>
        </w:tabs>
        <w:ind w:firstLine="720"/>
        <w:jc w:val="right"/>
        <w:rPr>
          <w:b/>
          <w:i/>
          <w:sz w:val="20"/>
          <w:szCs w:val="20"/>
          <w:lang w:val="lv-LV"/>
        </w:rPr>
      </w:pPr>
      <w:r w:rsidRPr="00C80170">
        <w:rPr>
          <w:b/>
          <w:i/>
          <w:sz w:val="20"/>
          <w:szCs w:val="20"/>
          <w:lang w:val="lv-LV"/>
        </w:rPr>
        <w:t>3.a tabula</w:t>
      </w:r>
    </w:p>
    <w:p w14:paraId="61E15A64" w14:textId="77777777" w:rsidR="00815790" w:rsidRPr="00C80170" w:rsidRDefault="00815790" w:rsidP="00815790">
      <w:pPr>
        <w:jc w:val="center"/>
        <w:rPr>
          <w:rFonts w:eastAsia="Calibri" w:cs="Tahoma"/>
          <w:b/>
          <w:snapToGrid/>
          <w:sz w:val="20"/>
          <w:szCs w:val="20"/>
          <w:lang w:val="lv-LV" w:eastAsia="en-US"/>
        </w:rPr>
      </w:pPr>
      <w:r w:rsidRPr="00C80170">
        <w:rPr>
          <w:rFonts w:eastAsia="Calibri" w:cs="Tahoma"/>
          <w:b/>
          <w:snapToGrid/>
          <w:sz w:val="20"/>
          <w:szCs w:val="20"/>
          <w:lang w:val="lv-LV" w:eastAsia="en-US"/>
        </w:rPr>
        <w:t>Akcīzes nodokļa likmes</w:t>
      </w:r>
      <w:r w:rsidR="00262582" w:rsidRPr="00C80170">
        <w:rPr>
          <w:rFonts w:eastAsia="Calibri" w:cs="Tahoma"/>
          <w:b/>
          <w:snapToGrid/>
          <w:sz w:val="20"/>
          <w:szCs w:val="20"/>
          <w:lang w:val="lv-LV" w:eastAsia="en-US"/>
        </w:rPr>
        <w:t xml:space="preserve"> un to</w:t>
      </w:r>
      <w:r w:rsidRPr="00C80170">
        <w:rPr>
          <w:rFonts w:eastAsia="Calibri" w:cs="Tahoma"/>
          <w:b/>
          <w:snapToGrid/>
          <w:sz w:val="20"/>
          <w:szCs w:val="20"/>
          <w:lang w:val="lv-LV" w:eastAsia="en-US"/>
        </w:rPr>
        <w:t xml:space="preserve"> </w:t>
      </w:r>
      <w:r w:rsidR="0089722B" w:rsidRPr="00C80170">
        <w:rPr>
          <w:rFonts w:eastAsia="Calibri" w:cs="Tahoma"/>
          <w:b/>
          <w:snapToGrid/>
          <w:sz w:val="20"/>
          <w:szCs w:val="20"/>
          <w:lang w:val="lv-LV" w:eastAsia="en-US"/>
        </w:rPr>
        <w:t xml:space="preserve">izmaiņas </w:t>
      </w:r>
      <w:r w:rsidR="00092ADC" w:rsidRPr="00C80170">
        <w:rPr>
          <w:rFonts w:eastAsia="Calibri" w:cs="Tahoma"/>
          <w:b/>
          <w:snapToGrid/>
          <w:sz w:val="20"/>
          <w:szCs w:val="20"/>
          <w:lang w:val="lv-LV" w:eastAsia="en-US"/>
        </w:rPr>
        <w:t>naftas produktiem</w:t>
      </w:r>
      <w:r w:rsidRPr="00C80170">
        <w:rPr>
          <w:rFonts w:eastAsia="Calibri" w:cs="Tahoma"/>
          <w:b/>
          <w:snapToGrid/>
          <w:sz w:val="20"/>
          <w:szCs w:val="20"/>
          <w:lang w:val="lv-LV" w:eastAsia="en-US"/>
        </w:rPr>
        <w:t xml:space="preserve"> Latvijā, LVL/1000</w:t>
      </w:r>
      <w:r w:rsidRPr="00C80170">
        <w:rPr>
          <w:rFonts w:eastAsia="Calibri" w:cs="Tahoma"/>
          <w:snapToGrid/>
          <w:sz w:val="20"/>
          <w:szCs w:val="20"/>
          <w:lang w:val="lv-LV" w:eastAsia="en-US"/>
        </w:rPr>
        <w:t> </w:t>
      </w:r>
      <w:r w:rsidRPr="00C80170">
        <w:rPr>
          <w:rFonts w:eastAsia="Calibri" w:cs="Tahoma"/>
          <w:b/>
          <w:snapToGrid/>
          <w:sz w:val="20"/>
          <w:szCs w:val="20"/>
          <w:lang w:val="lv-LV" w:eastAsia="en-US"/>
        </w:rPr>
        <w:t>litriem</w:t>
      </w:r>
    </w:p>
    <w:tbl>
      <w:tblPr>
        <w:tblW w:w="8907" w:type="dxa"/>
        <w:jc w:val="center"/>
        <w:tblInd w:w="-3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6"/>
        <w:gridCol w:w="1701"/>
        <w:gridCol w:w="1984"/>
        <w:gridCol w:w="1476"/>
      </w:tblGrid>
      <w:tr w:rsidR="00815790" w:rsidRPr="00815790" w14:paraId="270A3E8B" w14:textId="77777777" w:rsidTr="00AF2C2E">
        <w:trPr>
          <w:jc w:val="center"/>
        </w:trPr>
        <w:tc>
          <w:tcPr>
            <w:tcW w:w="3746" w:type="dxa"/>
            <w:tcBorders>
              <w:top w:val="single" w:sz="12" w:space="0" w:color="auto"/>
              <w:left w:val="single" w:sz="12" w:space="0" w:color="auto"/>
              <w:bottom w:val="single" w:sz="12" w:space="0" w:color="auto"/>
            </w:tcBorders>
            <w:shd w:val="clear" w:color="auto" w:fill="F2F2F2"/>
            <w:vAlign w:val="center"/>
          </w:tcPr>
          <w:p w14:paraId="1D55A3BE" w14:textId="77777777" w:rsidR="00815790" w:rsidRPr="00C80170" w:rsidRDefault="00092ADC" w:rsidP="00AF2C2E">
            <w:pPr>
              <w:jc w:val="center"/>
              <w:rPr>
                <w:rFonts w:eastAsia="Calibri"/>
                <w:b/>
                <w:snapToGrid/>
                <w:sz w:val="20"/>
                <w:lang w:val="lv-LV" w:eastAsia="en-US"/>
              </w:rPr>
            </w:pPr>
            <w:r w:rsidRPr="00C80170">
              <w:rPr>
                <w:rFonts w:eastAsia="Calibri"/>
                <w:b/>
                <w:snapToGrid/>
                <w:sz w:val="20"/>
                <w:lang w:val="lv-LV" w:eastAsia="en-US"/>
              </w:rPr>
              <w:t>Naftas produkta</w:t>
            </w:r>
            <w:r w:rsidR="00815790" w:rsidRPr="00C80170">
              <w:rPr>
                <w:rFonts w:eastAsia="Calibri"/>
                <w:b/>
                <w:snapToGrid/>
                <w:sz w:val="20"/>
                <w:lang w:val="lv-LV" w:eastAsia="en-US"/>
              </w:rPr>
              <w:t xml:space="preserve"> veids</w:t>
            </w:r>
          </w:p>
        </w:tc>
        <w:tc>
          <w:tcPr>
            <w:tcW w:w="1701" w:type="dxa"/>
            <w:tcBorders>
              <w:top w:val="single" w:sz="12" w:space="0" w:color="auto"/>
              <w:bottom w:val="single" w:sz="12" w:space="0" w:color="auto"/>
            </w:tcBorders>
            <w:shd w:val="clear" w:color="auto" w:fill="F2F2F2"/>
            <w:vAlign w:val="center"/>
          </w:tcPr>
          <w:p w14:paraId="79777BB3" w14:textId="77777777" w:rsidR="00815790" w:rsidRPr="00C80170" w:rsidRDefault="0089722B" w:rsidP="0089722B">
            <w:pPr>
              <w:jc w:val="center"/>
              <w:rPr>
                <w:rFonts w:eastAsia="Calibri"/>
                <w:b/>
                <w:snapToGrid/>
                <w:sz w:val="20"/>
                <w:lang w:val="lv-LV" w:eastAsia="en-US"/>
              </w:rPr>
            </w:pPr>
            <w:r w:rsidRPr="00C80170">
              <w:rPr>
                <w:rFonts w:eastAsia="Calibri" w:cs="Tahoma"/>
                <w:b/>
                <w:snapToGrid/>
                <w:sz w:val="20"/>
                <w:lang w:val="lv-LV" w:eastAsia="en-US"/>
              </w:rPr>
              <w:t>2011</w:t>
            </w:r>
            <w:r w:rsidR="00815790" w:rsidRPr="00C80170">
              <w:rPr>
                <w:rFonts w:eastAsia="Calibri" w:cs="Tahoma"/>
                <w:b/>
                <w:snapToGrid/>
                <w:sz w:val="20"/>
                <w:lang w:val="lv-LV" w:eastAsia="en-US"/>
              </w:rPr>
              <w:t>.</w:t>
            </w:r>
            <w:r w:rsidRPr="00C80170">
              <w:rPr>
                <w:rFonts w:eastAsia="Calibri" w:cs="Tahoma"/>
                <w:b/>
                <w:snapToGrid/>
                <w:sz w:val="20"/>
                <w:lang w:val="lv-LV" w:eastAsia="en-US"/>
              </w:rPr>
              <w:t>gada 1.janvāris</w:t>
            </w:r>
          </w:p>
        </w:tc>
        <w:tc>
          <w:tcPr>
            <w:tcW w:w="1984" w:type="dxa"/>
            <w:tcBorders>
              <w:top w:val="single" w:sz="12" w:space="0" w:color="auto"/>
              <w:bottom w:val="single" w:sz="12" w:space="0" w:color="auto"/>
            </w:tcBorders>
            <w:shd w:val="clear" w:color="auto" w:fill="F2F2F2"/>
            <w:vAlign w:val="center"/>
          </w:tcPr>
          <w:p w14:paraId="77D16D66" w14:textId="77777777" w:rsidR="00815790" w:rsidRPr="00C80170" w:rsidRDefault="0089722B" w:rsidP="0089722B">
            <w:pPr>
              <w:jc w:val="center"/>
              <w:rPr>
                <w:rFonts w:eastAsia="Calibri"/>
                <w:b/>
                <w:snapToGrid/>
                <w:sz w:val="20"/>
                <w:lang w:val="lv-LV" w:eastAsia="en-US"/>
              </w:rPr>
            </w:pPr>
            <w:r w:rsidRPr="00C80170">
              <w:rPr>
                <w:rFonts w:eastAsia="Calibri" w:cs="Tahoma"/>
                <w:b/>
                <w:snapToGrid/>
                <w:sz w:val="20"/>
                <w:lang w:val="lv-LV" w:eastAsia="en-US"/>
              </w:rPr>
              <w:t>2011.gada 1.jūnijs</w:t>
            </w:r>
          </w:p>
        </w:tc>
        <w:tc>
          <w:tcPr>
            <w:tcW w:w="1476" w:type="dxa"/>
            <w:tcBorders>
              <w:top w:val="single" w:sz="12" w:space="0" w:color="auto"/>
              <w:bottom w:val="single" w:sz="12" w:space="0" w:color="auto"/>
              <w:right w:val="single" w:sz="12" w:space="0" w:color="auto"/>
            </w:tcBorders>
            <w:shd w:val="clear" w:color="auto" w:fill="F2F2F2"/>
            <w:vAlign w:val="center"/>
          </w:tcPr>
          <w:p w14:paraId="385EC722" w14:textId="77777777" w:rsidR="00815790" w:rsidRPr="00C80170" w:rsidRDefault="0089722B" w:rsidP="00AF2C2E">
            <w:pPr>
              <w:jc w:val="center"/>
              <w:rPr>
                <w:rFonts w:eastAsia="Calibri"/>
                <w:b/>
                <w:snapToGrid/>
                <w:sz w:val="20"/>
                <w:lang w:val="lv-LV" w:eastAsia="en-US"/>
              </w:rPr>
            </w:pPr>
            <w:r w:rsidRPr="00C80170">
              <w:rPr>
                <w:rFonts w:eastAsia="Calibri" w:cs="Tahoma"/>
                <w:b/>
                <w:snapToGrid/>
                <w:sz w:val="20"/>
                <w:lang w:val="lv-LV" w:eastAsia="en-US"/>
              </w:rPr>
              <w:t>2012.gada 1.janvāris</w:t>
            </w:r>
          </w:p>
        </w:tc>
      </w:tr>
      <w:tr w:rsidR="0089722B" w:rsidRPr="00092ADC" w14:paraId="26454BB0" w14:textId="77777777" w:rsidTr="00AF2C2E">
        <w:trPr>
          <w:jc w:val="center"/>
        </w:trPr>
        <w:tc>
          <w:tcPr>
            <w:tcW w:w="3746" w:type="dxa"/>
            <w:tcBorders>
              <w:top w:val="single" w:sz="12" w:space="0" w:color="auto"/>
              <w:left w:val="single" w:sz="12" w:space="0" w:color="auto"/>
            </w:tcBorders>
            <w:shd w:val="clear" w:color="auto" w:fill="auto"/>
            <w:vAlign w:val="center"/>
          </w:tcPr>
          <w:p w14:paraId="4F0E1025" w14:textId="77777777" w:rsidR="0089722B" w:rsidRPr="00C80170" w:rsidRDefault="0089722B" w:rsidP="00AF2C2E">
            <w:pPr>
              <w:jc w:val="both"/>
              <w:rPr>
                <w:rFonts w:eastAsia="Calibri"/>
                <w:snapToGrid/>
                <w:sz w:val="20"/>
                <w:lang w:val="lv-LV" w:eastAsia="en-US"/>
              </w:rPr>
            </w:pPr>
            <w:r w:rsidRPr="00C80170">
              <w:rPr>
                <w:rFonts w:eastAsia="Calibri"/>
                <w:snapToGrid/>
                <w:sz w:val="20"/>
                <w:lang w:val="lv-LV" w:eastAsia="en-US"/>
              </w:rPr>
              <w:t>Svinu nesaturošs benzīns</w:t>
            </w:r>
          </w:p>
        </w:tc>
        <w:tc>
          <w:tcPr>
            <w:tcW w:w="1701" w:type="dxa"/>
            <w:tcBorders>
              <w:top w:val="single" w:sz="12" w:space="0" w:color="auto"/>
            </w:tcBorders>
            <w:vAlign w:val="center"/>
          </w:tcPr>
          <w:p w14:paraId="698E3760" w14:textId="77777777" w:rsidR="0089722B" w:rsidRPr="00C80170" w:rsidRDefault="0089722B" w:rsidP="00AF2C2E">
            <w:pPr>
              <w:jc w:val="center"/>
              <w:rPr>
                <w:rFonts w:eastAsia="Calibri"/>
                <w:snapToGrid/>
                <w:sz w:val="20"/>
                <w:lang w:val="lv-LV" w:eastAsia="en-US"/>
              </w:rPr>
            </w:pPr>
            <w:r w:rsidRPr="00C80170">
              <w:rPr>
                <w:rFonts w:eastAsia="Calibri"/>
                <w:snapToGrid/>
                <w:sz w:val="20"/>
                <w:lang w:val="lv-LV" w:eastAsia="en-US"/>
              </w:rPr>
              <w:t>269</w:t>
            </w:r>
          </w:p>
        </w:tc>
        <w:tc>
          <w:tcPr>
            <w:tcW w:w="1984" w:type="dxa"/>
            <w:tcBorders>
              <w:top w:val="single" w:sz="12" w:space="0" w:color="auto"/>
            </w:tcBorders>
            <w:vAlign w:val="center"/>
          </w:tcPr>
          <w:p w14:paraId="0FEF5936" w14:textId="77777777" w:rsidR="0089722B" w:rsidRPr="00C80170" w:rsidRDefault="00262582" w:rsidP="00AF2C2E">
            <w:pPr>
              <w:jc w:val="center"/>
              <w:rPr>
                <w:rFonts w:eastAsia="Calibri"/>
                <w:snapToGrid/>
                <w:sz w:val="20"/>
                <w:lang w:val="lv-LV" w:eastAsia="en-US"/>
              </w:rPr>
            </w:pPr>
            <w:r w:rsidRPr="00C80170">
              <w:rPr>
                <w:rFonts w:eastAsia="Calibri"/>
                <w:snapToGrid/>
                <w:sz w:val="20"/>
                <w:lang w:val="lv-LV" w:eastAsia="en-US"/>
              </w:rPr>
              <w:t>289</w:t>
            </w:r>
          </w:p>
        </w:tc>
        <w:tc>
          <w:tcPr>
            <w:tcW w:w="1476" w:type="dxa"/>
            <w:tcBorders>
              <w:top w:val="single" w:sz="12" w:space="0" w:color="auto"/>
              <w:right w:val="single" w:sz="12" w:space="0" w:color="auto"/>
            </w:tcBorders>
            <w:vAlign w:val="center"/>
          </w:tcPr>
          <w:p w14:paraId="6C3E1F57" w14:textId="77777777" w:rsidR="0089722B" w:rsidRPr="00C80170" w:rsidRDefault="0089722B" w:rsidP="00AF2C2E">
            <w:pPr>
              <w:jc w:val="center"/>
              <w:rPr>
                <w:rFonts w:eastAsia="Calibri"/>
                <w:snapToGrid/>
                <w:sz w:val="20"/>
                <w:lang w:val="lv-LV" w:eastAsia="en-US"/>
              </w:rPr>
            </w:pPr>
            <w:r w:rsidRPr="00C80170">
              <w:rPr>
                <w:rFonts w:eastAsia="Calibri"/>
                <w:snapToGrid/>
                <w:sz w:val="20"/>
                <w:lang w:val="lv-LV" w:eastAsia="en-US"/>
              </w:rPr>
              <w:t>289</w:t>
            </w:r>
          </w:p>
        </w:tc>
      </w:tr>
      <w:tr w:rsidR="0089722B" w:rsidRPr="00262582" w14:paraId="35A308EB" w14:textId="77777777" w:rsidTr="00AF2C2E">
        <w:trPr>
          <w:jc w:val="center"/>
        </w:trPr>
        <w:tc>
          <w:tcPr>
            <w:tcW w:w="3746" w:type="dxa"/>
            <w:tcBorders>
              <w:left w:val="single" w:sz="12" w:space="0" w:color="auto"/>
            </w:tcBorders>
            <w:vAlign w:val="center"/>
          </w:tcPr>
          <w:p w14:paraId="4B7554D0" w14:textId="77777777" w:rsidR="0089722B" w:rsidRPr="00C80170" w:rsidRDefault="0089722B" w:rsidP="00AF2C2E">
            <w:pPr>
              <w:autoSpaceDE w:val="0"/>
              <w:autoSpaceDN w:val="0"/>
              <w:adjustRightInd w:val="0"/>
              <w:jc w:val="both"/>
              <w:rPr>
                <w:rFonts w:eastAsia="Calibri"/>
                <w:snapToGrid/>
                <w:sz w:val="20"/>
                <w:lang w:val="lv-LV" w:eastAsia="lv-LV"/>
              </w:rPr>
            </w:pPr>
            <w:r w:rsidRPr="00C80170">
              <w:rPr>
                <w:rFonts w:eastAsia="Calibri"/>
                <w:bCs/>
                <w:snapToGrid/>
                <w:sz w:val="20"/>
                <w:lang w:val="lv-LV" w:eastAsia="lv-LV"/>
              </w:rPr>
              <w:t>Svinu nesaturošais benzīns, kuram tiek pievienots etilspirts (</w:t>
            </w:r>
            <w:proofErr w:type="spellStart"/>
            <w:r w:rsidRPr="00C80170">
              <w:rPr>
                <w:rFonts w:eastAsia="Calibri"/>
                <w:bCs/>
                <w:snapToGrid/>
                <w:sz w:val="20"/>
                <w:lang w:val="lv-LV" w:eastAsia="lv-LV"/>
              </w:rPr>
              <w:t>bio</w:t>
            </w:r>
            <w:proofErr w:type="spellEnd"/>
            <w:r w:rsidRPr="00C80170">
              <w:rPr>
                <w:rFonts w:eastAsia="Calibri"/>
                <w:bCs/>
                <w:snapToGrid/>
                <w:sz w:val="20"/>
                <w:lang w:val="lv-LV" w:eastAsia="lv-LV"/>
              </w:rPr>
              <w:t xml:space="preserve"> 5%) (E5)</w:t>
            </w:r>
          </w:p>
        </w:tc>
        <w:tc>
          <w:tcPr>
            <w:tcW w:w="1701" w:type="dxa"/>
            <w:vAlign w:val="center"/>
          </w:tcPr>
          <w:p w14:paraId="6F437A0A" w14:textId="77777777" w:rsidR="0089722B" w:rsidRPr="00C80170" w:rsidRDefault="0089722B" w:rsidP="00AF2C2E">
            <w:pPr>
              <w:jc w:val="center"/>
              <w:rPr>
                <w:rFonts w:eastAsia="Calibri"/>
                <w:snapToGrid/>
                <w:sz w:val="20"/>
                <w:lang w:val="lv-LV" w:eastAsia="en-US"/>
              </w:rPr>
            </w:pPr>
            <w:r w:rsidRPr="00C80170">
              <w:rPr>
                <w:rFonts w:eastAsia="Calibri"/>
                <w:snapToGrid/>
                <w:sz w:val="20"/>
                <w:lang w:val="lv-LV" w:eastAsia="en-US"/>
              </w:rPr>
              <w:t>269</w:t>
            </w:r>
          </w:p>
        </w:tc>
        <w:tc>
          <w:tcPr>
            <w:tcW w:w="1984" w:type="dxa"/>
            <w:vAlign w:val="center"/>
          </w:tcPr>
          <w:p w14:paraId="0AADC09B" w14:textId="77777777" w:rsidR="0089722B" w:rsidRPr="00C80170" w:rsidRDefault="00262582" w:rsidP="00AF2C2E">
            <w:pPr>
              <w:jc w:val="center"/>
              <w:rPr>
                <w:rFonts w:eastAsia="Calibri"/>
                <w:snapToGrid/>
                <w:sz w:val="20"/>
                <w:lang w:val="lv-LV" w:eastAsia="en-US"/>
              </w:rPr>
            </w:pPr>
            <w:r w:rsidRPr="00C80170">
              <w:rPr>
                <w:rFonts w:eastAsia="Calibri"/>
                <w:snapToGrid/>
                <w:sz w:val="20"/>
                <w:lang w:val="lv-LV" w:eastAsia="en-US"/>
              </w:rPr>
              <w:t>289</w:t>
            </w:r>
          </w:p>
        </w:tc>
        <w:tc>
          <w:tcPr>
            <w:tcW w:w="1476" w:type="dxa"/>
            <w:tcBorders>
              <w:right w:val="single" w:sz="12" w:space="0" w:color="auto"/>
            </w:tcBorders>
            <w:vAlign w:val="center"/>
          </w:tcPr>
          <w:p w14:paraId="46C2AE3C" w14:textId="77777777" w:rsidR="0089722B" w:rsidRPr="00C80170" w:rsidRDefault="0089722B" w:rsidP="00AF2C2E">
            <w:pPr>
              <w:jc w:val="center"/>
              <w:rPr>
                <w:rFonts w:eastAsia="Calibri"/>
                <w:snapToGrid/>
                <w:sz w:val="20"/>
                <w:lang w:val="lv-LV" w:eastAsia="en-US"/>
              </w:rPr>
            </w:pPr>
            <w:r w:rsidRPr="00C80170">
              <w:rPr>
                <w:rFonts w:eastAsia="Calibri"/>
                <w:snapToGrid/>
                <w:sz w:val="20"/>
                <w:lang w:val="lv-LV" w:eastAsia="en-US"/>
              </w:rPr>
              <w:t>289</w:t>
            </w:r>
          </w:p>
        </w:tc>
      </w:tr>
      <w:tr w:rsidR="0089722B" w:rsidRPr="002965DE" w14:paraId="19F2D1CE" w14:textId="77777777" w:rsidTr="00AF2C2E">
        <w:trPr>
          <w:jc w:val="center"/>
        </w:trPr>
        <w:tc>
          <w:tcPr>
            <w:tcW w:w="3746" w:type="dxa"/>
            <w:tcBorders>
              <w:left w:val="single" w:sz="12" w:space="0" w:color="auto"/>
            </w:tcBorders>
            <w:vAlign w:val="center"/>
          </w:tcPr>
          <w:p w14:paraId="4A99E009" w14:textId="77777777" w:rsidR="0089722B" w:rsidRPr="00C80170" w:rsidRDefault="0089722B" w:rsidP="00AF2C2E">
            <w:pPr>
              <w:autoSpaceDE w:val="0"/>
              <w:autoSpaceDN w:val="0"/>
              <w:adjustRightInd w:val="0"/>
              <w:jc w:val="both"/>
              <w:rPr>
                <w:rFonts w:eastAsia="Calibri"/>
                <w:snapToGrid/>
                <w:sz w:val="20"/>
                <w:lang w:val="lv-LV" w:eastAsia="lv-LV"/>
              </w:rPr>
            </w:pPr>
            <w:r w:rsidRPr="00C80170">
              <w:rPr>
                <w:rFonts w:eastAsia="Calibri"/>
                <w:bCs/>
                <w:snapToGrid/>
                <w:sz w:val="20"/>
                <w:lang w:val="lv-LV" w:eastAsia="lv-LV"/>
              </w:rPr>
              <w:t>Svinu nesaturošais benzīns, kuram tiek pievienots etilspirts (</w:t>
            </w:r>
            <w:proofErr w:type="spellStart"/>
            <w:r w:rsidRPr="00C80170">
              <w:rPr>
                <w:rFonts w:eastAsia="Calibri"/>
                <w:bCs/>
                <w:snapToGrid/>
                <w:sz w:val="20"/>
                <w:lang w:val="lv-LV" w:eastAsia="lv-LV"/>
              </w:rPr>
              <w:t>bio</w:t>
            </w:r>
            <w:proofErr w:type="spellEnd"/>
            <w:r w:rsidRPr="00C80170">
              <w:rPr>
                <w:rFonts w:eastAsia="Calibri"/>
                <w:bCs/>
                <w:snapToGrid/>
                <w:sz w:val="20"/>
                <w:lang w:val="lv-LV" w:eastAsia="lv-LV"/>
              </w:rPr>
              <w:t xml:space="preserve"> 85%) (E85)</w:t>
            </w:r>
          </w:p>
        </w:tc>
        <w:tc>
          <w:tcPr>
            <w:tcW w:w="1701" w:type="dxa"/>
            <w:vAlign w:val="center"/>
          </w:tcPr>
          <w:p w14:paraId="0C3489BF" w14:textId="77777777" w:rsidR="0089722B" w:rsidRPr="00C80170" w:rsidRDefault="0089722B" w:rsidP="00AF2C2E">
            <w:pPr>
              <w:jc w:val="center"/>
              <w:rPr>
                <w:rFonts w:eastAsia="Calibri"/>
                <w:snapToGrid/>
                <w:sz w:val="20"/>
                <w:lang w:val="lv-LV" w:eastAsia="en-US"/>
              </w:rPr>
            </w:pPr>
            <w:r w:rsidRPr="00C80170">
              <w:rPr>
                <w:rFonts w:eastAsia="Calibri"/>
                <w:snapToGrid/>
                <w:sz w:val="20"/>
                <w:lang w:val="lv-LV" w:eastAsia="en-US"/>
              </w:rPr>
              <w:t>80,7</w:t>
            </w:r>
          </w:p>
        </w:tc>
        <w:tc>
          <w:tcPr>
            <w:tcW w:w="1984" w:type="dxa"/>
            <w:vAlign w:val="center"/>
          </w:tcPr>
          <w:p w14:paraId="56951B02" w14:textId="77777777" w:rsidR="0089722B" w:rsidRPr="00C80170" w:rsidRDefault="00262582" w:rsidP="00AF2C2E">
            <w:pPr>
              <w:jc w:val="center"/>
              <w:rPr>
                <w:rFonts w:eastAsia="Calibri"/>
                <w:snapToGrid/>
                <w:sz w:val="20"/>
                <w:lang w:val="lv-LV" w:eastAsia="en-US"/>
              </w:rPr>
            </w:pPr>
            <w:r w:rsidRPr="00C80170">
              <w:rPr>
                <w:rFonts w:eastAsia="Calibri"/>
                <w:snapToGrid/>
                <w:sz w:val="20"/>
                <w:lang w:val="lv-LV" w:eastAsia="en-US"/>
              </w:rPr>
              <w:t>86,7</w:t>
            </w:r>
          </w:p>
        </w:tc>
        <w:tc>
          <w:tcPr>
            <w:tcW w:w="1476" w:type="dxa"/>
            <w:tcBorders>
              <w:right w:val="single" w:sz="12" w:space="0" w:color="auto"/>
            </w:tcBorders>
            <w:vAlign w:val="center"/>
          </w:tcPr>
          <w:p w14:paraId="313A0587" w14:textId="77777777" w:rsidR="0089722B" w:rsidRPr="00C80170" w:rsidRDefault="0089722B" w:rsidP="00AF2C2E">
            <w:pPr>
              <w:jc w:val="center"/>
              <w:rPr>
                <w:rFonts w:eastAsia="Calibri"/>
                <w:snapToGrid/>
                <w:sz w:val="20"/>
                <w:lang w:val="lv-LV" w:eastAsia="en-US"/>
              </w:rPr>
            </w:pPr>
            <w:r w:rsidRPr="00C80170">
              <w:rPr>
                <w:rFonts w:eastAsia="Calibri"/>
                <w:snapToGrid/>
                <w:sz w:val="20"/>
                <w:lang w:val="lv-LV" w:eastAsia="en-US"/>
              </w:rPr>
              <w:t>86,7</w:t>
            </w:r>
          </w:p>
        </w:tc>
      </w:tr>
      <w:tr w:rsidR="0089722B" w:rsidRPr="00092ADC" w14:paraId="1A9AB44F" w14:textId="77777777" w:rsidTr="00AF2C2E">
        <w:trPr>
          <w:jc w:val="center"/>
        </w:trPr>
        <w:tc>
          <w:tcPr>
            <w:tcW w:w="3746" w:type="dxa"/>
            <w:tcBorders>
              <w:left w:val="single" w:sz="12" w:space="0" w:color="auto"/>
              <w:bottom w:val="single" w:sz="18" w:space="0" w:color="auto"/>
            </w:tcBorders>
            <w:vAlign w:val="center"/>
          </w:tcPr>
          <w:p w14:paraId="13678370" w14:textId="77777777" w:rsidR="0089722B" w:rsidRPr="00C80170" w:rsidRDefault="0089722B" w:rsidP="00AF2C2E">
            <w:pPr>
              <w:jc w:val="both"/>
              <w:rPr>
                <w:rFonts w:eastAsia="Calibri"/>
                <w:snapToGrid/>
                <w:sz w:val="20"/>
                <w:lang w:val="lv-LV" w:eastAsia="en-US"/>
              </w:rPr>
            </w:pPr>
            <w:r w:rsidRPr="00C80170">
              <w:rPr>
                <w:rFonts w:eastAsia="Calibri"/>
                <w:snapToGrid/>
                <w:sz w:val="20"/>
                <w:lang w:val="lv-LV" w:eastAsia="en-US"/>
              </w:rPr>
              <w:t>Svinu saturošs benzīns</w:t>
            </w:r>
          </w:p>
        </w:tc>
        <w:tc>
          <w:tcPr>
            <w:tcW w:w="1701" w:type="dxa"/>
            <w:tcBorders>
              <w:bottom w:val="single" w:sz="18" w:space="0" w:color="auto"/>
            </w:tcBorders>
            <w:vAlign w:val="center"/>
          </w:tcPr>
          <w:p w14:paraId="052A0AA0" w14:textId="77777777" w:rsidR="0089722B" w:rsidRPr="00C80170" w:rsidRDefault="0089722B" w:rsidP="00AF2C2E">
            <w:pPr>
              <w:jc w:val="center"/>
              <w:rPr>
                <w:rFonts w:eastAsia="Calibri"/>
                <w:snapToGrid/>
                <w:sz w:val="20"/>
                <w:lang w:val="lv-LV" w:eastAsia="en-US"/>
              </w:rPr>
            </w:pPr>
            <w:r w:rsidRPr="00C80170">
              <w:rPr>
                <w:rFonts w:eastAsia="Calibri"/>
                <w:snapToGrid/>
                <w:sz w:val="20"/>
                <w:lang w:val="lv-LV" w:eastAsia="en-US"/>
              </w:rPr>
              <w:t>300</w:t>
            </w:r>
          </w:p>
        </w:tc>
        <w:tc>
          <w:tcPr>
            <w:tcW w:w="1984" w:type="dxa"/>
            <w:tcBorders>
              <w:bottom w:val="single" w:sz="18" w:space="0" w:color="auto"/>
            </w:tcBorders>
            <w:vAlign w:val="center"/>
          </w:tcPr>
          <w:p w14:paraId="38E652AC" w14:textId="77777777" w:rsidR="0089722B" w:rsidRPr="00C80170" w:rsidRDefault="00262582" w:rsidP="00AF2C2E">
            <w:pPr>
              <w:jc w:val="center"/>
              <w:rPr>
                <w:rFonts w:eastAsia="Calibri"/>
                <w:snapToGrid/>
                <w:sz w:val="20"/>
                <w:lang w:val="lv-LV" w:eastAsia="en-US"/>
              </w:rPr>
            </w:pPr>
            <w:r w:rsidRPr="00C80170">
              <w:rPr>
                <w:rFonts w:eastAsia="Calibri"/>
                <w:snapToGrid/>
                <w:sz w:val="20"/>
                <w:lang w:val="lv-LV" w:eastAsia="en-US"/>
              </w:rPr>
              <w:t>320</w:t>
            </w:r>
          </w:p>
        </w:tc>
        <w:tc>
          <w:tcPr>
            <w:tcW w:w="1476" w:type="dxa"/>
            <w:tcBorders>
              <w:bottom w:val="single" w:sz="18" w:space="0" w:color="auto"/>
              <w:right w:val="single" w:sz="12" w:space="0" w:color="auto"/>
            </w:tcBorders>
            <w:vAlign w:val="center"/>
          </w:tcPr>
          <w:p w14:paraId="76FE7350" w14:textId="77777777" w:rsidR="0089722B" w:rsidRPr="00C80170" w:rsidRDefault="0089722B" w:rsidP="00AF2C2E">
            <w:pPr>
              <w:jc w:val="center"/>
              <w:rPr>
                <w:rFonts w:eastAsia="Calibri"/>
                <w:snapToGrid/>
                <w:sz w:val="20"/>
                <w:lang w:val="lv-LV" w:eastAsia="en-US"/>
              </w:rPr>
            </w:pPr>
            <w:r w:rsidRPr="00C80170">
              <w:rPr>
                <w:rFonts w:eastAsia="Calibri"/>
                <w:snapToGrid/>
                <w:sz w:val="20"/>
                <w:lang w:val="lv-LV" w:eastAsia="en-US"/>
              </w:rPr>
              <w:t>320</w:t>
            </w:r>
          </w:p>
        </w:tc>
      </w:tr>
      <w:tr w:rsidR="00262582" w:rsidRPr="00092ADC" w14:paraId="212C7B7F" w14:textId="77777777" w:rsidTr="00AF2C2E">
        <w:trPr>
          <w:jc w:val="center"/>
        </w:trPr>
        <w:tc>
          <w:tcPr>
            <w:tcW w:w="3746" w:type="dxa"/>
            <w:tcBorders>
              <w:top w:val="single" w:sz="18" w:space="0" w:color="auto"/>
              <w:left w:val="single" w:sz="12" w:space="0" w:color="auto"/>
              <w:bottom w:val="single" w:sz="2" w:space="0" w:color="auto"/>
              <w:right w:val="single" w:sz="2" w:space="0" w:color="auto"/>
            </w:tcBorders>
            <w:vAlign w:val="center"/>
          </w:tcPr>
          <w:p w14:paraId="3C03F212" w14:textId="77777777" w:rsidR="00262582" w:rsidRPr="00C80170" w:rsidRDefault="00262582" w:rsidP="00AF2C2E">
            <w:pPr>
              <w:jc w:val="both"/>
              <w:rPr>
                <w:rFonts w:eastAsia="Calibri"/>
                <w:snapToGrid/>
                <w:sz w:val="20"/>
                <w:lang w:val="lv-LV" w:eastAsia="en-US"/>
              </w:rPr>
            </w:pPr>
            <w:r w:rsidRPr="00C80170">
              <w:rPr>
                <w:rFonts w:eastAsia="Calibri"/>
                <w:snapToGrid/>
                <w:sz w:val="20"/>
                <w:lang w:val="lv-LV" w:eastAsia="en-US"/>
              </w:rPr>
              <w:t>Dīzeļdegviela</w:t>
            </w:r>
          </w:p>
        </w:tc>
        <w:tc>
          <w:tcPr>
            <w:tcW w:w="1701" w:type="dxa"/>
            <w:tcBorders>
              <w:top w:val="single" w:sz="18" w:space="0" w:color="auto"/>
              <w:left w:val="single" w:sz="2" w:space="0" w:color="auto"/>
              <w:bottom w:val="single" w:sz="2" w:space="0" w:color="auto"/>
              <w:right w:val="single" w:sz="2" w:space="0" w:color="auto"/>
            </w:tcBorders>
            <w:vAlign w:val="center"/>
          </w:tcPr>
          <w:p w14:paraId="7E6A7F4B" w14:textId="77777777" w:rsidR="00262582" w:rsidRPr="00C80170" w:rsidRDefault="00262582" w:rsidP="00AF2C2E">
            <w:pPr>
              <w:jc w:val="center"/>
              <w:rPr>
                <w:rFonts w:eastAsia="Calibri"/>
                <w:snapToGrid/>
                <w:sz w:val="20"/>
                <w:lang w:val="lv-LV" w:eastAsia="en-US"/>
              </w:rPr>
            </w:pPr>
            <w:r w:rsidRPr="00C80170">
              <w:rPr>
                <w:rFonts w:eastAsia="Calibri"/>
                <w:snapToGrid/>
                <w:sz w:val="20"/>
                <w:lang w:val="lv-LV" w:eastAsia="en-US"/>
              </w:rPr>
              <w:t>234</w:t>
            </w:r>
          </w:p>
        </w:tc>
        <w:tc>
          <w:tcPr>
            <w:tcW w:w="1984" w:type="dxa"/>
            <w:tcBorders>
              <w:top w:val="single" w:sz="18" w:space="0" w:color="auto"/>
              <w:left w:val="single" w:sz="2" w:space="0" w:color="auto"/>
              <w:bottom w:val="single" w:sz="2" w:space="0" w:color="auto"/>
              <w:right w:val="single" w:sz="2" w:space="0" w:color="auto"/>
            </w:tcBorders>
            <w:vAlign w:val="center"/>
          </w:tcPr>
          <w:p w14:paraId="56A24985" w14:textId="77777777" w:rsidR="00262582" w:rsidRPr="00C80170" w:rsidRDefault="00262582" w:rsidP="00AF2C2E">
            <w:pPr>
              <w:jc w:val="center"/>
              <w:rPr>
                <w:rFonts w:eastAsia="Calibri"/>
                <w:snapToGrid/>
                <w:sz w:val="20"/>
                <w:lang w:val="lv-LV" w:eastAsia="en-US"/>
              </w:rPr>
            </w:pPr>
            <w:r w:rsidRPr="00C80170">
              <w:rPr>
                <w:rFonts w:eastAsia="Calibri"/>
                <w:snapToGrid/>
                <w:sz w:val="20"/>
                <w:lang w:val="lv-LV" w:eastAsia="en-US"/>
              </w:rPr>
              <w:t>234</w:t>
            </w:r>
          </w:p>
        </w:tc>
        <w:tc>
          <w:tcPr>
            <w:tcW w:w="1476" w:type="dxa"/>
            <w:tcBorders>
              <w:top w:val="single" w:sz="18" w:space="0" w:color="auto"/>
              <w:left w:val="single" w:sz="2" w:space="0" w:color="auto"/>
              <w:bottom w:val="single" w:sz="2" w:space="0" w:color="auto"/>
              <w:right w:val="single" w:sz="12" w:space="0" w:color="auto"/>
            </w:tcBorders>
            <w:vAlign w:val="center"/>
          </w:tcPr>
          <w:p w14:paraId="2AEB5519" w14:textId="77777777" w:rsidR="00262582" w:rsidRPr="00C80170" w:rsidRDefault="00262582" w:rsidP="00AF2C2E">
            <w:pPr>
              <w:jc w:val="center"/>
              <w:rPr>
                <w:rFonts w:eastAsia="Calibri"/>
                <w:snapToGrid/>
                <w:sz w:val="20"/>
                <w:lang w:val="lv-LV" w:eastAsia="en-US"/>
              </w:rPr>
            </w:pPr>
            <w:r w:rsidRPr="00C80170">
              <w:rPr>
                <w:rFonts w:eastAsia="Calibri"/>
                <w:snapToGrid/>
                <w:sz w:val="20"/>
                <w:lang w:val="lv-LV" w:eastAsia="en-US"/>
              </w:rPr>
              <w:t>234</w:t>
            </w:r>
          </w:p>
        </w:tc>
      </w:tr>
      <w:tr w:rsidR="00262582" w:rsidRPr="002965DE" w14:paraId="77DDA185" w14:textId="77777777" w:rsidTr="00AF2C2E">
        <w:trPr>
          <w:jc w:val="center"/>
        </w:trPr>
        <w:tc>
          <w:tcPr>
            <w:tcW w:w="3746" w:type="dxa"/>
            <w:tcBorders>
              <w:top w:val="single" w:sz="2" w:space="0" w:color="auto"/>
              <w:left w:val="single" w:sz="12" w:space="0" w:color="auto"/>
            </w:tcBorders>
            <w:vAlign w:val="center"/>
          </w:tcPr>
          <w:p w14:paraId="428A81B1" w14:textId="77777777" w:rsidR="00262582" w:rsidRPr="00C80170" w:rsidRDefault="00262582" w:rsidP="00AF2C2E">
            <w:pPr>
              <w:autoSpaceDE w:val="0"/>
              <w:autoSpaceDN w:val="0"/>
              <w:adjustRightInd w:val="0"/>
              <w:jc w:val="both"/>
              <w:rPr>
                <w:rFonts w:eastAsia="Calibri"/>
                <w:snapToGrid/>
                <w:sz w:val="20"/>
                <w:lang w:val="lv-LV" w:eastAsia="lv-LV"/>
              </w:rPr>
            </w:pPr>
            <w:r w:rsidRPr="00C80170">
              <w:rPr>
                <w:rFonts w:eastAsia="Calibri"/>
                <w:bCs/>
                <w:snapToGrid/>
                <w:sz w:val="20"/>
                <w:lang w:val="lv-LV" w:eastAsia="lv-LV"/>
              </w:rPr>
              <w:t>Dīzeļdegviela (</w:t>
            </w:r>
            <w:proofErr w:type="spellStart"/>
            <w:r w:rsidRPr="00C80170">
              <w:rPr>
                <w:rFonts w:eastAsia="Calibri"/>
                <w:bCs/>
                <w:snapToGrid/>
                <w:sz w:val="20"/>
                <w:lang w:val="lv-LV" w:eastAsia="lv-LV"/>
              </w:rPr>
              <w:t>bio</w:t>
            </w:r>
            <w:proofErr w:type="spellEnd"/>
            <w:r w:rsidRPr="00C80170">
              <w:rPr>
                <w:rFonts w:eastAsia="Calibri"/>
                <w:bCs/>
                <w:snapToGrid/>
                <w:sz w:val="20"/>
                <w:lang w:val="lv-LV" w:eastAsia="lv-LV"/>
              </w:rPr>
              <w:t xml:space="preserve"> 5-30%) (B5)</w:t>
            </w:r>
          </w:p>
        </w:tc>
        <w:tc>
          <w:tcPr>
            <w:tcW w:w="1701" w:type="dxa"/>
            <w:tcBorders>
              <w:top w:val="single" w:sz="2" w:space="0" w:color="auto"/>
            </w:tcBorders>
            <w:vAlign w:val="center"/>
          </w:tcPr>
          <w:p w14:paraId="569E32E0" w14:textId="77777777" w:rsidR="00262582" w:rsidRPr="00C80170" w:rsidRDefault="00262582" w:rsidP="00AF2C2E">
            <w:pPr>
              <w:jc w:val="center"/>
              <w:rPr>
                <w:rFonts w:eastAsia="Calibri"/>
                <w:snapToGrid/>
                <w:sz w:val="20"/>
                <w:lang w:val="lv-LV" w:eastAsia="en-US"/>
              </w:rPr>
            </w:pPr>
            <w:r w:rsidRPr="00C80170">
              <w:rPr>
                <w:rFonts w:eastAsia="Calibri"/>
                <w:snapToGrid/>
                <w:sz w:val="20"/>
                <w:lang w:val="lv-LV" w:eastAsia="en-US"/>
              </w:rPr>
              <w:t>234</w:t>
            </w:r>
          </w:p>
        </w:tc>
        <w:tc>
          <w:tcPr>
            <w:tcW w:w="1984" w:type="dxa"/>
            <w:tcBorders>
              <w:top w:val="single" w:sz="2" w:space="0" w:color="auto"/>
            </w:tcBorders>
            <w:vAlign w:val="center"/>
          </w:tcPr>
          <w:p w14:paraId="0E129179" w14:textId="77777777" w:rsidR="00262582" w:rsidRPr="00C80170" w:rsidRDefault="00262582" w:rsidP="00AF2C2E">
            <w:pPr>
              <w:jc w:val="center"/>
              <w:rPr>
                <w:rFonts w:eastAsia="Calibri"/>
                <w:snapToGrid/>
                <w:sz w:val="20"/>
                <w:lang w:val="lv-LV" w:eastAsia="en-US"/>
              </w:rPr>
            </w:pPr>
            <w:r w:rsidRPr="00C80170">
              <w:rPr>
                <w:rFonts w:eastAsia="Calibri"/>
                <w:snapToGrid/>
                <w:sz w:val="20"/>
                <w:lang w:val="lv-LV" w:eastAsia="en-US"/>
              </w:rPr>
              <w:t>234</w:t>
            </w:r>
          </w:p>
        </w:tc>
        <w:tc>
          <w:tcPr>
            <w:tcW w:w="1476" w:type="dxa"/>
            <w:tcBorders>
              <w:top w:val="single" w:sz="2" w:space="0" w:color="auto"/>
              <w:right w:val="single" w:sz="12" w:space="0" w:color="auto"/>
            </w:tcBorders>
            <w:vAlign w:val="center"/>
          </w:tcPr>
          <w:p w14:paraId="7963771E" w14:textId="77777777" w:rsidR="00262582" w:rsidRPr="00C80170" w:rsidRDefault="00262582" w:rsidP="00AF2C2E">
            <w:pPr>
              <w:jc w:val="center"/>
              <w:rPr>
                <w:rFonts w:eastAsia="Calibri"/>
                <w:snapToGrid/>
                <w:sz w:val="20"/>
                <w:lang w:val="lv-LV" w:eastAsia="en-US"/>
              </w:rPr>
            </w:pPr>
            <w:r w:rsidRPr="00C80170">
              <w:rPr>
                <w:rFonts w:eastAsia="Calibri"/>
                <w:snapToGrid/>
                <w:sz w:val="20"/>
                <w:lang w:val="lv-LV" w:eastAsia="en-US"/>
              </w:rPr>
              <w:t>234</w:t>
            </w:r>
          </w:p>
        </w:tc>
      </w:tr>
      <w:tr w:rsidR="00262582" w:rsidRPr="002965DE" w14:paraId="08DFC556" w14:textId="77777777" w:rsidTr="0089722B">
        <w:trPr>
          <w:jc w:val="center"/>
        </w:trPr>
        <w:tc>
          <w:tcPr>
            <w:tcW w:w="3746" w:type="dxa"/>
            <w:tcBorders>
              <w:left w:val="single" w:sz="12" w:space="0" w:color="auto"/>
              <w:bottom w:val="single" w:sz="4" w:space="0" w:color="auto"/>
            </w:tcBorders>
            <w:vAlign w:val="center"/>
          </w:tcPr>
          <w:p w14:paraId="0C8A739D" w14:textId="77777777" w:rsidR="00262582" w:rsidRPr="00C80170" w:rsidRDefault="00262582" w:rsidP="00AF2C2E">
            <w:pPr>
              <w:autoSpaceDE w:val="0"/>
              <w:autoSpaceDN w:val="0"/>
              <w:adjustRightInd w:val="0"/>
              <w:jc w:val="both"/>
              <w:rPr>
                <w:rFonts w:eastAsia="Calibri"/>
                <w:snapToGrid/>
                <w:sz w:val="20"/>
                <w:lang w:val="lv-LV" w:eastAsia="lv-LV"/>
              </w:rPr>
            </w:pPr>
            <w:r w:rsidRPr="00C80170">
              <w:rPr>
                <w:rFonts w:eastAsia="Calibri"/>
                <w:bCs/>
                <w:snapToGrid/>
                <w:sz w:val="20"/>
                <w:lang w:val="lv-LV" w:eastAsia="lv-LV"/>
              </w:rPr>
              <w:t>Dīzeļdegviela (</w:t>
            </w:r>
            <w:proofErr w:type="spellStart"/>
            <w:r w:rsidRPr="00C80170">
              <w:rPr>
                <w:rFonts w:eastAsia="Calibri"/>
                <w:bCs/>
                <w:snapToGrid/>
                <w:sz w:val="20"/>
                <w:lang w:val="lv-LV" w:eastAsia="lv-LV"/>
              </w:rPr>
              <w:t>bio</w:t>
            </w:r>
            <w:proofErr w:type="spellEnd"/>
            <w:r w:rsidRPr="00C80170">
              <w:rPr>
                <w:rFonts w:eastAsia="Calibri"/>
                <w:bCs/>
                <w:snapToGrid/>
                <w:sz w:val="20"/>
                <w:lang w:val="lv-LV" w:eastAsia="lv-LV"/>
              </w:rPr>
              <w:t xml:space="preserve"> vismaz 30%) (</w:t>
            </w:r>
            <w:r w:rsidRPr="00C80170">
              <w:rPr>
                <w:rFonts w:eastAsia="Calibri"/>
                <w:snapToGrid/>
                <w:sz w:val="20"/>
                <w:lang w:val="lv-LV" w:eastAsia="lv-LV"/>
              </w:rPr>
              <w:t>B30)</w:t>
            </w:r>
          </w:p>
        </w:tc>
        <w:tc>
          <w:tcPr>
            <w:tcW w:w="1701" w:type="dxa"/>
            <w:tcBorders>
              <w:bottom w:val="single" w:sz="4" w:space="0" w:color="auto"/>
            </w:tcBorders>
            <w:vAlign w:val="center"/>
          </w:tcPr>
          <w:p w14:paraId="36821119" w14:textId="77777777" w:rsidR="00262582" w:rsidRPr="00C80170" w:rsidRDefault="00262582" w:rsidP="00AF2C2E">
            <w:pPr>
              <w:jc w:val="center"/>
              <w:rPr>
                <w:rFonts w:eastAsia="Calibri"/>
                <w:snapToGrid/>
                <w:sz w:val="20"/>
                <w:lang w:val="lv-LV" w:eastAsia="en-US"/>
              </w:rPr>
            </w:pPr>
            <w:r w:rsidRPr="00C80170">
              <w:rPr>
                <w:rFonts w:eastAsia="Calibri"/>
                <w:snapToGrid/>
                <w:sz w:val="20"/>
                <w:lang w:val="lv-LV" w:eastAsia="en-US"/>
              </w:rPr>
              <w:t>164</w:t>
            </w:r>
          </w:p>
        </w:tc>
        <w:tc>
          <w:tcPr>
            <w:tcW w:w="1984" w:type="dxa"/>
            <w:tcBorders>
              <w:bottom w:val="single" w:sz="4" w:space="0" w:color="auto"/>
            </w:tcBorders>
            <w:vAlign w:val="center"/>
          </w:tcPr>
          <w:p w14:paraId="36D6B55D" w14:textId="77777777" w:rsidR="00262582" w:rsidRPr="00C80170" w:rsidRDefault="00262582" w:rsidP="00AF2C2E">
            <w:pPr>
              <w:jc w:val="center"/>
              <w:rPr>
                <w:rFonts w:eastAsia="Calibri"/>
                <w:snapToGrid/>
                <w:sz w:val="20"/>
                <w:lang w:val="lv-LV" w:eastAsia="en-US"/>
              </w:rPr>
            </w:pPr>
            <w:r w:rsidRPr="00C80170">
              <w:rPr>
                <w:rFonts w:eastAsia="Calibri"/>
                <w:snapToGrid/>
                <w:sz w:val="20"/>
                <w:lang w:val="lv-LV" w:eastAsia="en-US"/>
              </w:rPr>
              <w:t>164</w:t>
            </w:r>
          </w:p>
        </w:tc>
        <w:tc>
          <w:tcPr>
            <w:tcW w:w="1476" w:type="dxa"/>
            <w:tcBorders>
              <w:bottom w:val="single" w:sz="4" w:space="0" w:color="auto"/>
              <w:right w:val="single" w:sz="12" w:space="0" w:color="auto"/>
            </w:tcBorders>
            <w:vAlign w:val="center"/>
          </w:tcPr>
          <w:p w14:paraId="65F87CFC" w14:textId="77777777" w:rsidR="00262582" w:rsidRPr="00C80170" w:rsidRDefault="00262582" w:rsidP="00AF2C2E">
            <w:pPr>
              <w:jc w:val="center"/>
              <w:rPr>
                <w:rFonts w:eastAsia="Calibri"/>
                <w:snapToGrid/>
                <w:sz w:val="20"/>
                <w:lang w:val="lv-LV" w:eastAsia="en-US"/>
              </w:rPr>
            </w:pPr>
            <w:r w:rsidRPr="00C80170">
              <w:rPr>
                <w:rFonts w:eastAsia="Calibri"/>
                <w:snapToGrid/>
                <w:sz w:val="20"/>
                <w:lang w:val="lv-LV" w:eastAsia="en-US"/>
              </w:rPr>
              <w:t>164</w:t>
            </w:r>
          </w:p>
        </w:tc>
      </w:tr>
      <w:tr w:rsidR="00262582" w:rsidRPr="002965DE" w14:paraId="1619F5C3" w14:textId="77777777" w:rsidTr="0089722B">
        <w:trPr>
          <w:jc w:val="center"/>
        </w:trPr>
        <w:tc>
          <w:tcPr>
            <w:tcW w:w="3746" w:type="dxa"/>
            <w:tcBorders>
              <w:left w:val="single" w:sz="12" w:space="0" w:color="auto"/>
              <w:bottom w:val="single" w:sz="18" w:space="0" w:color="auto"/>
            </w:tcBorders>
            <w:vAlign w:val="center"/>
          </w:tcPr>
          <w:p w14:paraId="0BA23C67" w14:textId="77777777" w:rsidR="00262582" w:rsidRPr="00C80170" w:rsidRDefault="00262582" w:rsidP="00AF2C2E">
            <w:pPr>
              <w:autoSpaceDE w:val="0"/>
              <w:autoSpaceDN w:val="0"/>
              <w:adjustRightInd w:val="0"/>
              <w:jc w:val="both"/>
              <w:rPr>
                <w:rFonts w:eastAsia="Calibri"/>
                <w:snapToGrid/>
                <w:sz w:val="20"/>
                <w:lang w:val="lv-LV" w:eastAsia="lv-LV"/>
              </w:rPr>
            </w:pPr>
            <w:r w:rsidRPr="00C80170">
              <w:rPr>
                <w:rFonts w:eastAsia="Calibri"/>
                <w:bCs/>
                <w:snapToGrid/>
                <w:sz w:val="20"/>
                <w:lang w:val="lv-LV" w:eastAsia="lv-LV"/>
              </w:rPr>
              <w:t xml:space="preserve">Biodīzeļdegviela </w:t>
            </w:r>
            <w:r w:rsidRPr="00C80170">
              <w:rPr>
                <w:rFonts w:eastAsia="Calibri"/>
                <w:snapToGrid/>
                <w:sz w:val="20"/>
                <w:lang w:val="lv-LV" w:eastAsia="lv-LV"/>
              </w:rPr>
              <w:t>(B100)</w:t>
            </w:r>
          </w:p>
        </w:tc>
        <w:tc>
          <w:tcPr>
            <w:tcW w:w="1701" w:type="dxa"/>
            <w:tcBorders>
              <w:bottom w:val="single" w:sz="18" w:space="0" w:color="auto"/>
            </w:tcBorders>
            <w:vAlign w:val="center"/>
          </w:tcPr>
          <w:p w14:paraId="69F3EBD2" w14:textId="77777777" w:rsidR="00262582" w:rsidRPr="00C80170" w:rsidRDefault="00262582" w:rsidP="00AF2C2E">
            <w:pPr>
              <w:jc w:val="center"/>
              <w:rPr>
                <w:rFonts w:eastAsia="Calibri"/>
                <w:snapToGrid/>
                <w:sz w:val="20"/>
                <w:lang w:val="lv-LV" w:eastAsia="en-US"/>
              </w:rPr>
            </w:pPr>
            <w:r w:rsidRPr="00C80170">
              <w:rPr>
                <w:rFonts w:eastAsia="Calibri"/>
                <w:snapToGrid/>
                <w:sz w:val="20"/>
                <w:lang w:val="lv-LV" w:eastAsia="en-US"/>
              </w:rPr>
              <w:t>0</w:t>
            </w:r>
          </w:p>
        </w:tc>
        <w:tc>
          <w:tcPr>
            <w:tcW w:w="1984" w:type="dxa"/>
            <w:tcBorders>
              <w:bottom w:val="single" w:sz="18" w:space="0" w:color="auto"/>
            </w:tcBorders>
            <w:vAlign w:val="center"/>
          </w:tcPr>
          <w:p w14:paraId="4DAABE2A" w14:textId="77777777" w:rsidR="00262582" w:rsidRPr="00C80170" w:rsidRDefault="00262582" w:rsidP="00AF2C2E">
            <w:pPr>
              <w:jc w:val="center"/>
              <w:rPr>
                <w:rFonts w:eastAsia="Calibri"/>
                <w:snapToGrid/>
                <w:sz w:val="20"/>
                <w:lang w:val="lv-LV" w:eastAsia="en-US"/>
              </w:rPr>
            </w:pPr>
            <w:r w:rsidRPr="00C80170">
              <w:rPr>
                <w:rFonts w:eastAsia="Calibri"/>
                <w:snapToGrid/>
                <w:sz w:val="20"/>
                <w:lang w:val="lv-LV" w:eastAsia="en-US"/>
              </w:rPr>
              <w:t>0</w:t>
            </w:r>
          </w:p>
        </w:tc>
        <w:tc>
          <w:tcPr>
            <w:tcW w:w="1476" w:type="dxa"/>
            <w:tcBorders>
              <w:bottom w:val="single" w:sz="18" w:space="0" w:color="auto"/>
              <w:right w:val="single" w:sz="12" w:space="0" w:color="auto"/>
            </w:tcBorders>
            <w:vAlign w:val="center"/>
          </w:tcPr>
          <w:p w14:paraId="2A4E3A29" w14:textId="77777777" w:rsidR="00262582" w:rsidRPr="00C80170" w:rsidRDefault="00262582" w:rsidP="00AF2C2E">
            <w:pPr>
              <w:jc w:val="center"/>
              <w:rPr>
                <w:rFonts w:eastAsia="Calibri"/>
                <w:snapToGrid/>
                <w:sz w:val="20"/>
                <w:lang w:val="lv-LV" w:eastAsia="en-US"/>
              </w:rPr>
            </w:pPr>
            <w:r w:rsidRPr="00C80170">
              <w:rPr>
                <w:rFonts w:eastAsia="Calibri"/>
                <w:snapToGrid/>
                <w:sz w:val="20"/>
                <w:lang w:val="lv-LV" w:eastAsia="en-US"/>
              </w:rPr>
              <w:t>0</w:t>
            </w:r>
          </w:p>
        </w:tc>
      </w:tr>
      <w:tr w:rsidR="00262582" w:rsidRPr="003A1995" w14:paraId="3207D6A0" w14:textId="77777777" w:rsidTr="0089722B">
        <w:trPr>
          <w:jc w:val="center"/>
        </w:trPr>
        <w:tc>
          <w:tcPr>
            <w:tcW w:w="3746" w:type="dxa"/>
            <w:tcBorders>
              <w:top w:val="single" w:sz="18" w:space="0" w:color="auto"/>
              <w:left w:val="single" w:sz="12" w:space="0" w:color="auto"/>
            </w:tcBorders>
            <w:vAlign w:val="center"/>
          </w:tcPr>
          <w:p w14:paraId="7CF5FC86" w14:textId="77777777" w:rsidR="00262582" w:rsidRPr="00C80170" w:rsidRDefault="00262582" w:rsidP="00AF2C2E">
            <w:pPr>
              <w:autoSpaceDE w:val="0"/>
              <w:autoSpaceDN w:val="0"/>
              <w:adjustRightInd w:val="0"/>
              <w:jc w:val="both"/>
              <w:rPr>
                <w:rFonts w:eastAsia="Calibri"/>
                <w:bCs/>
                <w:snapToGrid/>
                <w:sz w:val="20"/>
                <w:lang w:val="lv-LV" w:eastAsia="lv-LV"/>
              </w:rPr>
            </w:pPr>
            <w:r w:rsidRPr="00C80170">
              <w:rPr>
                <w:rFonts w:eastAsia="Calibri"/>
                <w:bCs/>
                <w:snapToGrid/>
                <w:sz w:val="20"/>
                <w:lang w:val="lv-LV" w:eastAsia="lv-LV"/>
              </w:rPr>
              <w:t>Marķētā degviela</w:t>
            </w:r>
          </w:p>
        </w:tc>
        <w:tc>
          <w:tcPr>
            <w:tcW w:w="1701" w:type="dxa"/>
            <w:tcBorders>
              <w:top w:val="single" w:sz="18" w:space="0" w:color="auto"/>
            </w:tcBorders>
            <w:vAlign w:val="center"/>
          </w:tcPr>
          <w:p w14:paraId="03E593D9" w14:textId="77777777" w:rsidR="00262582" w:rsidRPr="00C80170" w:rsidRDefault="00262582" w:rsidP="00AF2C2E">
            <w:pPr>
              <w:jc w:val="center"/>
              <w:rPr>
                <w:rFonts w:eastAsia="Calibri"/>
                <w:snapToGrid/>
                <w:sz w:val="20"/>
                <w:lang w:val="lv-LV" w:eastAsia="en-US"/>
              </w:rPr>
            </w:pPr>
            <w:r w:rsidRPr="00C80170">
              <w:rPr>
                <w:rFonts w:eastAsia="Calibri"/>
                <w:snapToGrid/>
                <w:sz w:val="20"/>
                <w:lang w:val="lv-LV" w:eastAsia="en-US"/>
              </w:rPr>
              <w:t>40</w:t>
            </w:r>
          </w:p>
        </w:tc>
        <w:tc>
          <w:tcPr>
            <w:tcW w:w="1984" w:type="dxa"/>
            <w:tcBorders>
              <w:top w:val="single" w:sz="18" w:space="0" w:color="auto"/>
            </w:tcBorders>
            <w:vAlign w:val="center"/>
          </w:tcPr>
          <w:p w14:paraId="1965A65B" w14:textId="77777777" w:rsidR="00262582" w:rsidRPr="00C80170" w:rsidRDefault="00262582" w:rsidP="00AF2C2E">
            <w:pPr>
              <w:jc w:val="center"/>
              <w:rPr>
                <w:rFonts w:eastAsia="Calibri"/>
                <w:snapToGrid/>
                <w:sz w:val="20"/>
                <w:lang w:val="lv-LV" w:eastAsia="en-US"/>
              </w:rPr>
            </w:pPr>
            <w:r w:rsidRPr="00C80170">
              <w:rPr>
                <w:rFonts w:eastAsia="Calibri"/>
                <w:snapToGrid/>
                <w:sz w:val="20"/>
                <w:lang w:val="lv-LV" w:eastAsia="en-US"/>
              </w:rPr>
              <w:t>40</w:t>
            </w:r>
          </w:p>
        </w:tc>
        <w:tc>
          <w:tcPr>
            <w:tcW w:w="1476" w:type="dxa"/>
            <w:tcBorders>
              <w:top w:val="single" w:sz="18" w:space="0" w:color="auto"/>
              <w:right w:val="single" w:sz="12" w:space="0" w:color="auto"/>
            </w:tcBorders>
            <w:vAlign w:val="center"/>
          </w:tcPr>
          <w:p w14:paraId="6BAB9F36" w14:textId="77777777" w:rsidR="00262582" w:rsidRPr="00C80170" w:rsidRDefault="00262582" w:rsidP="00AF2C2E">
            <w:pPr>
              <w:jc w:val="center"/>
              <w:rPr>
                <w:rFonts w:eastAsia="Calibri"/>
                <w:snapToGrid/>
                <w:sz w:val="20"/>
                <w:lang w:val="lv-LV" w:eastAsia="en-US"/>
              </w:rPr>
            </w:pPr>
            <w:r w:rsidRPr="00C80170">
              <w:rPr>
                <w:rFonts w:eastAsia="Calibri"/>
                <w:snapToGrid/>
                <w:sz w:val="20"/>
                <w:lang w:val="lv-LV" w:eastAsia="en-US"/>
              </w:rPr>
              <w:t>40</w:t>
            </w:r>
          </w:p>
        </w:tc>
      </w:tr>
      <w:tr w:rsidR="00262582" w:rsidRPr="003A1995" w14:paraId="0CDEC9D0" w14:textId="77777777" w:rsidTr="00AF2C2E">
        <w:trPr>
          <w:jc w:val="center"/>
        </w:trPr>
        <w:tc>
          <w:tcPr>
            <w:tcW w:w="3746" w:type="dxa"/>
            <w:tcBorders>
              <w:left w:val="single" w:sz="12" w:space="0" w:color="auto"/>
              <w:bottom w:val="single" w:sz="12" w:space="0" w:color="auto"/>
            </w:tcBorders>
            <w:vAlign w:val="center"/>
          </w:tcPr>
          <w:p w14:paraId="71C18346" w14:textId="77777777" w:rsidR="00262582" w:rsidRPr="00C80170" w:rsidRDefault="00262582" w:rsidP="00AF2C2E">
            <w:pPr>
              <w:autoSpaceDE w:val="0"/>
              <w:autoSpaceDN w:val="0"/>
              <w:adjustRightInd w:val="0"/>
              <w:jc w:val="both"/>
              <w:rPr>
                <w:rFonts w:eastAsia="Calibri"/>
                <w:bCs/>
                <w:snapToGrid/>
                <w:sz w:val="20"/>
                <w:lang w:val="lv-LV" w:eastAsia="lv-LV"/>
              </w:rPr>
            </w:pPr>
            <w:r w:rsidRPr="00C80170">
              <w:rPr>
                <w:rFonts w:eastAsia="Calibri"/>
                <w:bCs/>
                <w:snapToGrid/>
                <w:sz w:val="20"/>
                <w:lang w:val="lv-LV" w:eastAsia="lv-LV"/>
              </w:rPr>
              <w:t>Marķētā degviela (</w:t>
            </w:r>
            <w:proofErr w:type="spellStart"/>
            <w:r w:rsidRPr="00C80170">
              <w:rPr>
                <w:rFonts w:eastAsia="Calibri"/>
                <w:bCs/>
                <w:snapToGrid/>
                <w:sz w:val="20"/>
                <w:lang w:val="lv-LV" w:eastAsia="lv-LV"/>
              </w:rPr>
              <w:t>bio</w:t>
            </w:r>
            <w:proofErr w:type="spellEnd"/>
            <w:r w:rsidRPr="00C80170">
              <w:rPr>
                <w:rFonts w:eastAsia="Calibri"/>
                <w:bCs/>
                <w:snapToGrid/>
                <w:sz w:val="20"/>
                <w:lang w:val="lv-LV" w:eastAsia="lv-LV"/>
              </w:rPr>
              <w:t xml:space="preserve"> 5%)</w:t>
            </w:r>
          </w:p>
        </w:tc>
        <w:tc>
          <w:tcPr>
            <w:tcW w:w="1701" w:type="dxa"/>
            <w:tcBorders>
              <w:bottom w:val="single" w:sz="12" w:space="0" w:color="auto"/>
            </w:tcBorders>
            <w:vAlign w:val="center"/>
          </w:tcPr>
          <w:p w14:paraId="27D61BC1" w14:textId="77777777" w:rsidR="00262582" w:rsidRPr="00C80170" w:rsidRDefault="00262582" w:rsidP="00AF2C2E">
            <w:pPr>
              <w:jc w:val="center"/>
              <w:rPr>
                <w:rFonts w:eastAsia="Calibri"/>
                <w:snapToGrid/>
                <w:sz w:val="20"/>
                <w:lang w:val="lv-LV" w:eastAsia="en-US"/>
              </w:rPr>
            </w:pPr>
            <w:r w:rsidRPr="00C80170">
              <w:rPr>
                <w:rFonts w:eastAsia="Calibri"/>
                <w:snapToGrid/>
                <w:sz w:val="20"/>
                <w:lang w:val="lv-LV" w:eastAsia="en-US"/>
              </w:rPr>
              <w:t>15</w:t>
            </w:r>
          </w:p>
        </w:tc>
        <w:tc>
          <w:tcPr>
            <w:tcW w:w="1984" w:type="dxa"/>
            <w:tcBorders>
              <w:bottom w:val="single" w:sz="12" w:space="0" w:color="auto"/>
            </w:tcBorders>
            <w:vAlign w:val="center"/>
          </w:tcPr>
          <w:p w14:paraId="5BF37063" w14:textId="77777777" w:rsidR="00262582" w:rsidRPr="00C80170" w:rsidRDefault="00262582" w:rsidP="00AF2C2E">
            <w:pPr>
              <w:jc w:val="center"/>
              <w:rPr>
                <w:rFonts w:eastAsia="Calibri"/>
                <w:snapToGrid/>
                <w:sz w:val="20"/>
                <w:lang w:val="lv-LV" w:eastAsia="en-US"/>
              </w:rPr>
            </w:pPr>
            <w:r w:rsidRPr="00C80170">
              <w:rPr>
                <w:rFonts w:eastAsia="Calibri"/>
                <w:snapToGrid/>
                <w:sz w:val="20"/>
                <w:lang w:val="lv-LV" w:eastAsia="en-US"/>
              </w:rPr>
              <w:t>15</w:t>
            </w:r>
          </w:p>
        </w:tc>
        <w:tc>
          <w:tcPr>
            <w:tcW w:w="1476" w:type="dxa"/>
            <w:tcBorders>
              <w:bottom w:val="single" w:sz="12" w:space="0" w:color="auto"/>
              <w:right w:val="single" w:sz="12" w:space="0" w:color="auto"/>
            </w:tcBorders>
            <w:vAlign w:val="center"/>
          </w:tcPr>
          <w:p w14:paraId="252B656D" w14:textId="77777777" w:rsidR="00262582" w:rsidRPr="00C80170" w:rsidRDefault="00262582" w:rsidP="00AF2C2E">
            <w:pPr>
              <w:jc w:val="center"/>
              <w:rPr>
                <w:rFonts w:eastAsia="Calibri"/>
                <w:snapToGrid/>
                <w:sz w:val="20"/>
                <w:lang w:val="lv-LV" w:eastAsia="en-US"/>
              </w:rPr>
            </w:pPr>
            <w:r w:rsidRPr="00C80170">
              <w:rPr>
                <w:rFonts w:eastAsia="Calibri"/>
                <w:snapToGrid/>
                <w:sz w:val="20"/>
                <w:lang w:val="lv-LV" w:eastAsia="en-US"/>
              </w:rPr>
              <w:t>15</w:t>
            </w:r>
          </w:p>
        </w:tc>
      </w:tr>
    </w:tbl>
    <w:p w14:paraId="59F0E16A" w14:textId="77777777" w:rsidR="00C80170" w:rsidRDefault="00262582" w:rsidP="00C80170">
      <w:pPr>
        <w:tabs>
          <w:tab w:val="left" w:pos="0"/>
          <w:tab w:val="center" w:pos="4153"/>
          <w:tab w:val="right" w:pos="8306"/>
        </w:tabs>
        <w:jc w:val="both"/>
        <w:rPr>
          <w:i/>
          <w:sz w:val="20"/>
          <w:szCs w:val="20"/>
          <w:lang w:val="lv-LV"/>
        </w:rPr>
      </w:pPr>
      <w:r w:rsidRPr="00262582">
        <w:rPr>
          <w:i/>
          <w:sz w:val="20"/>
          <w:szCs w:val="20"/>
          <w:lang w:val="lv-LV"/>
        </w:rPr>
        <w:t>Avots: VID</w:t>
      </w:r>
    </w:p>
    <w:p w14:paraId="090489D6" w14:textId="77777777" w:rsidR="00C80170" w:rsidRPr="00C80170" w:rsidRDefault="00C80170" w:rsidP="00C80170">
      <w:pPr>
        <w:tabs>
          <w:tab w:val="left" w:pos="0"/>
          <w:tab w:val="center" w:pos="4153"/>
          <w:tab w:val="right" w:pos="8306"/>
        </w:tabs>
        <w:jc w:val="both"/>
        <w:rPr>
          <w:i/>
          <w:sz w:val="20"/>
          <w:szCs w:val="20"/>
          <w:lang w:val="lv-LV"/>
        </w:rPr>
      </w:pPr>
    </w:p>
    <w:p w14:paraId="0E28808E" w14:textId="77777777" w:rsidR="00815790" w:rsidRPr="00313023" w:rsidRDefault="00815790" w:rsidP="00815790">
      <w:pPr>
        <w:tabs>
          <w:tab w:val="left" w:pos="0"/>
          <w:tab w:val="center" w:pos="4153"/>
          <w:tab w:val="right" w:pos="8306"/>
        </w:tabs>
        <w:ind w:firstLine="720"/>
        <w:jc w:val="both"/>
        <w:rPr>
          <w:sz w:val="28"/>
          <w:szCs w:val="28"/>
          <w:lang w:val="lv-LV"/>
        </w:rPr>
      </w:pPr>
      <w:r w:rsidRPr="00313023">
        <w:rPr>
          <w:sz w:val="28"/>
          <w:szCs w:val="28"/>
          <w:lang w:val="lv-LV"/>
        </w:rPr>
        <w:t xml:space="preserve">Savukārt likuma „Par akcīzes nodokli”  14.panta trešā daļa nosaka, ka, ja </w:t>
      </w:r>
      <w:r w:rsidR="00313023" w:rsidRPr="00313023">
        <w:rPr>
          <w:sz w:val="28"/>
          <w:szCs w:val="28"/>
          <w:lang w:val="lv-LV"/>
        </w:rPr>
        <w:t xml:space="preserve">svinu nesaturošam benzīnam, tā aizstājējproduktiem un komponentiem </w:t>
      </w:r>
      <w:r w:rsidRPr="00313023">
        <w:rPr>
          <w:sz w:val="28"/>
          <w:szCs w:val="28"/>
          <w:lang w:val="lv-LV"/>
        </w:rPr>
        <w:t xml:space="preserve">ir pievienots etilspirts, kas iegūts no lauksaimniecības izejvielām un ir dehidratēts (ar spirta saturu vismaz 99,5 </w:t>
      </w:r>
      <w:proofErr w:type="spellStart"/>
      <w:r w:rsidRPr="00313023">
        <w:rPr>
          <w:sz w:val="28"/>
          <w:szCs w:val="28"/>
          <w:lang w:val="lv-LV"/>
        </w:rPr>
        <w:t>tilpumprocenti</w:t>
      </w:r>
      <w:proofErr w:type="spellEnd"/>
      <w:r w:rsidRPr="00313023">
        <w:rPr>
          <w:sz w:val="28"/>
          <w:szCs w:val="28"/>
          <w:lang w:val="lv-LV"/>
        </w:rPr>
        <w:t>), attiecīgajiem produktiem (par 1000 litriem) akcīzes nodokli aprēķina:</w:t>
      </w:r>
    </w:p>
    <w:p w14:paraId="42D888B3" w14:textId="77777777" w:rsidR="00815790" w:rsidRPr="00313023" w:rsidRDefault="00815790" w:rsidP="00815790">
      <w:pPr>
        <w:pStyle w:val="ListParagraph"/>
        <w:numPr>
          <w:ilvl w:val="0"/>
          <w:numId w:val="3"/>
        </w:numPr>
        <w:tabs>
          <w:tab w:val="left" w:pos="-142"/>
          <w:tab w:val="left" w:pos="0"/>
          <w:tab w:val="center" w:pos="851"/>
          <w:tab w:val="right" w:pos="1418"/>
        </w:tabs>
        <w:ind w:left="0" w:firstLine="1134"/>
        <w:rPr>
          <w:sz w:val="28"/>
          <w:szCs w:val="28"/>
        </w:rPr>
      </w:pPr>
      <w:r w:rsidRPr="00313023">
        <w:rPr>
          <w:sz w:val="28"/>
          <w:szCs w:val="28"/>
        </w:rPr>
        <w:t xml:space="preserve">pēc likmes 86,7 </w:t>
      </w:r>
      <w:r w:rsidR="00643C47">
        <w:rPr>
          <w:sz w:val="28"/>
          <w:szCs w:val="28"/>
        </w:rPr>
        <w:t>LVL</w:t>
      </w:r>
      <w:r w:rsidRPr="00313023">
        <w:rPr>
          <w:sz w:val="28"/>
          <w:szCs w:val="28"/>
        </w:rPr>
        <w:t xml:space="preserve">, ja pievienotā absolūtā spirta saturs veido no 70 līdz 85 </w:t>
      </w:r>
      <w:proofErr w:type="spellStart"/>
      <w:r w:rsidRPr="00313023">
        <w:rPr>
          <w:sz w:val="28"/>
          <w:szCs w:val="28"/>
        </w:rPr>
        <w:t>tilpumprocentiem</w:t>
      </w:r>
      <w:proofErr w:type="spellEnd"/>
      <w:r w:rsidRPr="00313023">
        <w:rPr>
          <w:sz w:val="28"/>
          <w:szCs w:val="28"/>
        </w:rPr>
        <w:t xml:space="preserve"> (ieskaitot) no kopējā produktu daudzuma.</w:t>
      </w:r>
    </w:p>
    <w:p w14:paraId="08010EF3" w14:textId="77777777" w:rsidR="00815790" w:rsidRPr="00313023" w:rsidRDefault="00815790" w:rsidP="00815790">
      <w:pPr>
        <w:tabs>
          <w:tab w:val="left" w:pos="709"/>
          <w:tab w:val="center" w:pos="4153"/>
          <w:tab w:val="right" w:pos="8306"/>
        </w:tabs>
        <w:ind w:firstLine="720"/>
        <w:jc w:val="both"/>
        <w:rPr>
          <w:sz w:val="28"/>
          <w:szCs w:val="28"/>
          <w:lang w:val="lv-LV"/>
        </w:rPr>
      </w:pPr>
      <w:r w:rsidRPr="00313023">
        <w:rPr>
          <w:sz w:val="28"/>
          <w:szCs w:val="28"/>
          <w:lang w:val="lv-LV"/>
        </w:rPr>
        <w:t xml:space="preserve">Likuma „Par akcīzes nodokli” 14.panta ceturtā daļa nosaka, ka, </w:t>
      </w:r>
      <w:r w:rsidR="00313023" w:rsidRPr="00313023">
        <w:rPr>
          <w:sz w:val="28"/>
          <w:szCs w:val="28"/>
          <w:lang w:val="lv-LV"/>
        </w:rPr>
        <w:t xml:space="preserve">ja dīzeļdegvielai (gāzeļļai), tās aizstājējproduktiem un komponentiem </w:t>
      </w:r>
      <w:r w:rsidRPr="00313023">
        <w:rPr>
          <w:sz w:val="28"/>
          <w:szCs w:val="28"/>
          <w:lang w:val="lv-LV"/>
        </w:rPr>
        <w:t xml:space="preserve">ir pievienota no rapšu sēklu eļļas iegūta biodīzeļdegviela, attiecīgajiem naftas produktiem akcīzes nodokli aprēķina: </w:t>
      </w:r>
    </w:p>
    <w:p w14:paraId="2BA7448A" w14:textId="77777777" w:rsidR="00815790" w:rsidRPr="00313023" w:rsidRDefault="00815790" w:rsidP="00815790">
      <w:pPr>
        <w:numPr>
          <w:ilvl w:val="0"/>
          <w:numId w:val="4"/>
        </w:numPr>
        <w:tabs>
          <w:tab w:val="left" w:pos="284"/>
          <w:tab w:val="left" w:pos="1418"/>
          <w:tab w:val="right" w:pos="8306"/>
        </w:tabs>
        <w:ind w:left="0" w:firstLine="1080"/>
        <w:jc w:val="both"/>
        <w:rPr>
          <w:sz w:val="28"/>
          <w:szCs w:val="28"/>
          <w:lang w:val="lv-LV"/>
        </w:rPr>
      </w:pPr>
      <w:r w:rsidRPr="00313023">
        <w:rPr>
          <w:sz w:val="28"/>
          <w:szCs w:val="28"/>
          <w:lang w:val="lv-LV"/>
        </w:rPr>
        <w:t xml:space="preserve">pēc likmes 164 </w:t>
      </w:r>
      <w:r w:rsidR="00643C47">
        <w:rPr>
          <w:sz w:val="28"/>
          <w:szCs w:val="28"/>
          <w:lang w:val="lv-LV"/>
        </w:rPr>
        <w:t>LVL</w:t>
      </w:r>
      <w:r w:rsidRPr="00313023">
        <w:rPr>
          <w:sz w:val="28"/>
          <w:szCs w:val="28"/>
          <w:lang w:val="lv-LV"/>
        </w:rPr>
        <w:t xml:space="preserve"> par 1000 litriem, ja biodīzeļdegviela veido vismaz 30 </w:t>
      </w:r>
      <w:proofErr w:type="spellStart"/>
      <w:r w:rsidRPr="00313023">
        <w:rPr>
          <w:sz w:val="28"/>
          <w:szCs w:val="28"/>
          <w:lang w:val="lv-LV"/>
        </w:rPr>
        <w:t>tilpumprocentus</w:t>
      </w:r>
      <w:proofErr w:type="spellEnd"/>
      <w:r w:rsidRPr="00313023">
        <w:rPr>
          <w:sz w:val="28"/>
          <w:szCs w:val="28"/>
          <w:lang w:val="lv-LV"/>
        </w:rPr>
        <w:t xml:space="preserve"> no kopējā naftas produktu daudzuma.</w:t>
      </w:r>
    </w:p>
    <w:p w14:paraId="4AFD27D1" w14:textId="77777777" w:rsidR="00C56219" w:rsidRDefault="00987661" w:rsidP="00987661">
      <w:pPr>
        <w:ind w:firstLine="720"/>
        <w:jc w:val="both"/>
        <w:rPr>
          <w:sz w:val="28"/>
          <w:szCs w:val="28"/>
          <w:lang w:val="lv-LV"/>
        </w:rPr>
      </w:pPr>
      <w:r>
        <w:rPr>
          <w:sz w:val="28"/>
          <w:szCs w:val="28"/>
          <w:lang w:val="lv-LV"/>
        </w:rPr>
        <w:t>L</w:t>
      </w:r>
      <w:r w:rsidR="00815790" w:rsidRPr="00B2349D">
        <w:rPr>
          <w:sz w:val="28"/>
          <w:szCs w:val="28"/>
          <w:lang w:val="lv-LV"/>
        </w:rPr>
        <w:t>ikuma „Par akcīzes nodokli”</w:t>
      </w:r>
      <w:r w:rsidR="00815790">
        <w:rPr>
          <w:sz w:val="28"/>
          <w:szCs w:val="28"/>
          <w:lang w:val="lv-LV"/>
        </w:rPr>
        <w:t xml:space="preserve"> </w:t>
      </w:r>
      <w:r w:rsidR="00815790" w:rsidRPr="00B2349D">
        <w:rPr>
          <w:sz w:val="28"/>
          <w:szCs w:val="28"/>
          <w:lang w:val="lv-LV"/>
        </w:rPr>
        <w:t xml:space="preserve">14.panta piektajā daļā minētai rapšu sēklu eļļai, kuru realizē vai izmanto par kurināmo vai degvielu, un biodīzeļdegvielai, kas pilnībā iegūta no rapšu sēklu eļļas, akcīzes nodokli aprēķina pēc likmes 0 </w:t>
      </w:r>
      <w:r w:rsidR="00643C47">
        <w:rPr>
          <w:sz w:val="28"/>
          <w:szCs w:val="28"/>
          <w:lang w:val="lv-LV"/>
        </w:rPr>
        <w:t>LVL</w:t>
      </w:r>
      <w:r w:rsidR="00815790" w:rsidRPr="00B2349D">
        <w:rPr>
          <w:sz w:val="28"/>
          <w:szCs w:val="28"/>
          <w:lang w:val="lv-LV"/>
        </w:rPr>
        <w:t xml:space="preserve"> par 1000 litriem.</w:t>
      </w:r>
    </w:p>
    <w:p w14:paraId="18CBBA14" w14:textId="77777777" w:rsidR="0025399B" w:rsidRDefault="0025399B" w:rsidP="0025399B">
      <w:pPr>
        <w:jc w:val="both"/>
        <w:rPr>
          <w:b/>
          <w:iCs/>
          <w:u w:val="single"/>
          <w:lang w:val="lv-LV"/>
        </w:rPr>
      </w:pPr>
    </w:p>
    <w:p w14:paraId="5AAE5932" w14:textId="0C1B52A6" w:rsidR="0025399B" w:rsidRPr="00252D11" w:rsidRDefault="0025399B" w:rsidP="0025399B">
      <w:pPr>
        <w:tabs>
          <w:tab w:val="left" w:pos="709"/>
          <w:tab w:val="center" w:pos="4153"/>
          <w:tab w:val="right" w:pos="8306"/>
        </w:tabs>
        <w:rPr>
          <w:b/>
          <w:u w:val="single"/>
          <w:lang w:val="lv-LV"/>
        </w:rPr>
      </w:pPr>
      <w:r w:rsidRPr="00252D11">
        <w:rPr>
          <w:b/>
          <w:u w:val="single"/>
          <w:lang w:val="lv-LV"/>
        </w:rPr>
        <w:t xml:space="preserve">Elektroenerģijas nodokļa atbrīvojums </w:t>
      </w:r>
      <w:r w:rsidR="0039420A">
        <w:rPr>
          <w:b/>
          <w:u w:val="single"/>
          <w:lang w:val="lv-LV"/>
        </w:rPr>
        <w:t xml:space="preserve">no AER ražotai </w:t>
      </w:r>
      <w:r w:rsidRPr="00252D11">
        <w:rPr>
          <w:b/>
          <w:u w:val="single"/>
          <w:lang w:val="lv-LV"/>
        </w:rPr>
        <w:t>elektroenerģijai</w:t>
      </w:r>
    </w:p>
    <w:p w14:paraId="6DA0BB63" w14:textId="77777777" w:rsidR="0025399B" w:rsidRDefault="0025399B" w:rsidP="0025399B">
      <w:pPr>
        <w:tabs>
          <w:tab w:val="left" w:pos="709"/>
          <w:tab w:val="center" w:pos="4153"/>
          <w:tab w:val="right" w:pos="8306"/>
        </w:tabs>
        <w:ind w:firstLine="709"/>
        <w:jc w:val="both"/>
        <w:rPr>
          <w:sz w:val="28"/>
          <w:szCs w:val="28"/>
          <w:lang w:val="lv-LV"/>
        </w:rPr>
      </w:pPr>
    </w:p>
    <w:p w14:paraId="4A41B834" w14:textId="77777777" w:rsidR="0025399B" w:rsidRPr="00B2349D" w:rsidRDefault="0025399B" w:rsidP="0025399B">
      <w:pPr>
        <w:tabs>
          <w:tab w:val="left" w:pos="709"/>
          <w:tab w:val="center" w:pos="4153"/>
          <w:tab w:val="right" w:pos="8306"/>
        </w:tabs>
        <w:ind w:firstLine="709"/>
        <w:jc w:val="both"/>
        <w:rPr>
          <w:sz w:val="28"/>
          <w:szCs w:val="28"/>
          <w:lang w:val="lv-LV"/>
        </w:rPr>
      </w:pPr>
      <w:r w:rsidRPr="00B2349D">
        <w:rPr>
          <w:sz w:val="28"/>
          <w:szCs w:val="28"/>
          <w:lang w:val="lv-LV"/>
        </w:rPr>
        <w:t>Saskaņā ar Elektroenerģijas nodokļa likuma 5.</w:t>
      </w:r>
      <w:r>
        <w:rPr>
          <w:sz w:val="28"/>
          <w:szCs w:val="28"/>
          <w:lang w:val="lv-LV"/>
        </w:rPr>
        <w:t> </w:t>
      </w:r>
      <w:r w:rsidRPr="00B2349D">
        <w:rPr>
          <w:sz w:val="28"/>
          <w:szCs w:val="28"/>
          <w:lang w:val="lv-LV"/>
        </w:rPr>
        <w:t xml:space="preserve">pantu galalietotājam piegādātai elektroenerģija elektroenerģijas nodokli aprēķina pēc likmes 0,71 </w:t>
      </w:r>
      <w:r>
        <w:rPr>
          <w:sz w:val="28"/>
          <w:szCs w:val="28"/>
          <w:lang w:val="lv-LV"/>
        </w:rPr>
        <w:t>LVL</w:t>
      </w:r>
      <w:r w:rsidRPr="00B2349D">
        <w:rPr>
          <w:sz w:val="28"/>
          <w:szCs w:val="28"/>
          <w:lang w:val="lv-LV"/>
        </w:rPr>
        <w:t xml:space="preserve"> par megavatstundu.</w:t>
      </w:r>
    </w:p>
    <w:p w14:paraId="56448AD1" w14:textId="77777777" w:rsidR="0025399B" w:rsidRPr="00B2349D" w:rsidRDefault="0025399B" w:rsidP="0025399B">
      <w:pPr>
        <w:tabs>
          <w:tab w:val="left" w:pos="709"/>
          <w:tab w:val="center" w:pos="4153"/>
          <w:tab w:val="right" w:pos="8306"/>
        </w:tabs>
        <w:ind w:firstLine="709"/>
        <w:jc w:val="both"/>
        <w:rPr>
          <w:bCs/>
          <w:sz w:val="28"/>
          <w:szCs w:val="28"/>
          <w:lang w:val="lv-LV" w:eastAsia="lv-LV"/>
        </w:rPr>
      </w:pPr>
      <w:r w:rsidRPr="00B2349D">
        <w:rPr>
          <w:sz w:val="28"/>
          <w:szCs w:val="28"/>
          <w:lang w:val="lv-LV"/>
        </w:rPr>
        <w:t xml:space="preserve">Elektroenerģijas nodokļa likuma 6.panta pirmajā daļā </w:t>
      </w:r>
      <w:r w:rsidRPr="00B2349D">
        <w:rPr>
          <w:bCs/>
          <w:sz w:val="28"/>
          <w:szCs w:val="28"/>
          <w:lang w:val="lv-LV" w:eastAsia="lv-LV"/>
        </w:rPr>
        <w:t>ir noteikti elektroenerģijas nodokļa atbrīvojumi elektroenerģijai, kas ir iegūta:</w:t>
      </w:r>
    </w:p>
    <w:p w14:paraId="1E8E4B4B" w14:textId="77777777" w:rsidR="0025399B" w:rsidRPr="00B2349D" w:rsidRDefault="0025399B" w:rsidP="0025399B">
      <w:pPr>
        <w:numPr>
          <w:ilvl w:val="0"/>
          <w:numId w:val="4"/>
        </w:numPr>
        <w:tabs>
          <w:tab w:val="left" w:pos="709"/>
          <w:tab w:val="center" w:pos="4153"/>
          <w:tab w:val="right" w:pos="8306"/>
        </w:tabs>
        <w:jc w:val="both"/>
        <w:rPr>
          <w:sz w:val="28"/>
          <w:szCs w:val="28"/>
          <w:lang w:val="lv-LV"/>
        </w:rPr>
      </w:pPr>
      <w:r w:rsidRPr="00B2349D">
        <w:rPr>
          <w:sz w:val="28"/>
          <w:szCs w:val="28"/>
          <w:lang w:val="lv-LV"/>
        </w:rPr>
        <w:t>no atjaunojamiem energoresursiem (saules, vēja, biomasas);</w:t>
      </w:r>
    </w:p>
    <w:p w14:paraId="53EB4E24" w14:textId="77777777" w:rsidR="0025399B" w:rsidRPr="00B2349D" w:rsidRDefault="0025399B" w:rsidP="0025399B">
      <w:pPr>
        <w:numPr>
          <w:ilvl w:val="0"/>
          <w:numId w:val="4"/>
        </w:numPr>
        <w:tabs>
          <w:tab w:val="left" w:pos="709"/>
          <w:tab w:val="center" w:pos="4153"/>
          <w:tab w:val="right" w:pos="8306"/>
        </w:tabs>
        <w:jc w:val="both"/>
        <w:rPr>
          <w:sz w:val="28"/>
          <w:szCs w:val="28"/>
          <w:lang w:val="lv-LV"/>
        </w:rPr>
      </w:pPr>
      <w:r>
        <w:rPr>
          <w:sz w:val="28"/>
          <w:szCs w:val="28"/>
          <w:lang w:val="lv-LV"/>
        </w:rPr>
        <w:lastRenderedPageBreak/>
        <w:t>HES</w:t>
      </w:r>
      <w:r w:rsidRPr="00B2349D">
        <w:rPr>
          <w:sz w:val="28"/>
          <w:szCs w:val="28"/>
          <w:lang w:val="lv-LV"/>
        </w:rPr>
        <w:t>;</w:t>
      </w:r>
    </w:p>
    <w:p w14:paraId="0521A960" w14:textId="77777777" w:rsidR="0025399B" w:rsidRPr="00B2349D" w:rsidRDefault="0025399B" w:rsidP="0025399B">
      <w:pPr>
        <w:numPr>
          <w:ilvl w:val="0"/>
          <w:numId w:val="4"/>
        </w:numPr>
        <w:tabs>
          <w:tab w:val="left" w:pos="709"/>
          <w:tab w:val="center" w:pos="4153"/>
          <w:tab w:val="right" w:pos="8306"/>
        </w:tabs>
        <w:jc w:val="both"/>
        <w:rPr>
          <w:sz w:val="28"/>
          <w:szCs w:val="28"/>
          <w:lang w:val="lv-LV"/>
        </w:rPr>
      </w:pPr>
      <w:r w:rsidRPr="00B2349D">
        <w:rPr>
          <w:sz w:val="28"/>
          <w:szCs w:val="28"/>
          <w:lang w:val="lv-LV"/>
        </w:rPr>
        <w:t>koģenerācijas elektrostacijās.</w:t>
      </w:r>
    </w:p>
    <w:p w14:paraId="776B89BC" w14:textId="77777777" w:rsidR="0025399B" w:rsidRPr="00B2349D" w:rsidRDefault="0025399B" w:rsidP="0025399B">
      <w:pPr>
        <w:tabs>
          <w:tab w:val="left" w:pos="567"/>
          <w:tab w:val="center" w:pos="4153"/>
          <w:tab w:val="right" w:pos="8306"/>
        </w:tabs>
        <w:ind w:firstLine="709"/>
        <w:jc w:val="both"/>
        <w:rPr>
          <w:sz w:val="28"/>
          <w:szCs w:val="28"/>
          <w:lang w:val="lv-LV"/>
        </w:rPr>
      </w:pPr>
      <w:r w:rsidRPr="00B2349D">
        <w:rPr>
          <w:sz w:val="28"/>
          <w:szCs w:val="28"/>
          <w:lang w:val="lv-LV"/>
        </w:rPr>
        <w:t>Savukārt Elektroenerģijas nodokļa likuma 6.panta otrajā daļā ir noteikts, ka no elektroenerģijas nodokļa atbrīvo elektroenerģiju, ko izmanto:</w:t>
      </w:r>
    </w:p>
    <w:p w14:paraId="738FE489" w14:textId="77777777" w:rsidR="0025399B" w:rsidRPr="00B2349D" w:rsidRDefault="0025399B" w:rsidP="0025399B">
      <w:pPr>
        <w:numPr>
          <w:ilvl w:val="0"/>
          <w:numId w:val="4"/>
        </w:numPr>
        <w:tabs>
          <w:tab w:val="left" w:pos="567"/>
          <w:tab w:val="center" w:pos="4153"/>
          <w:tab w:val="right" w:pos="8306"/>
        </w:tabs>
        <w:jc w:val="both"/>
        <w:rPr>
          <w:sz w:val="28"/>
          <w:szCs w:val="28"/>
          <w:lang w:val="lv-LV"/>
        </w:rPr>
      </w:pPr>
      <w:r w:rsidRPr="00B2349D">
        <w:rPr>
          <w:sz w:val="28"/>
          <w:szCs w:val="28"/>
          <w:lang w:val="lv-LV"/>
        </w:rPr>
        <w:t>elektroenerģijas ražošanai;</w:t>
      </w:r>
    </w:p>
    <w:p w14:paraId="723F43B1" w14:textId="77777777" w:rsidR="0025399B" w:rsidRPr="00B2349D" w:rsidRDefault="0025399B" w:rsidP="0025399B">
      <w:pPr>
        <w:numPr>
          <w:ilvl w:val="0"/>
          <w:numId w:val="4"/>
        </w:numPr>
        <w:tabs>
          <w:tab w:val="left" w:pos="567"/>
          <w:tab w:val="center" w:pos="4153"/>
          <w:tab w:val="right" w:pos="8306"/>
        </w:tabs>
        <w:jc w:val="both"/>
        <w:rPr>
          <w:sz w:val="28"/>
          <w:szCs w:val="28"/>
          <w:lang w:val="lv-LV"/>
        </w:rPr>
      </w:pPr>
      <w:r w:rsidRPr="00B2349D">
        <w:rPr>
          <w:sz w:val="28"/>
          <w:szCs w:val="28"/>
          <w:lang w:val="lv-LV"/>
        </w:rPr>
        <w:t>siltumenerģijas un elektroenerģijas ražošanai koģenerācijā;</w:t>
      </w:r>
    </w:p>
    <w:p w14:paraId="0014DB1C" w14:textId="77777777" w:rsidR="0025399B" w:rsidRPr="00B2349D" w:rsidRDefault="0025399B" w:rsidP="0025399B">
      <w:pPr>
        <w:pStyle w:val="ListParagraph"/>
        <w:numPr>
          <w:ilvl w:val="0"/>
          <w:numId w:val="4"/>
        </w:numPr>
        <w:tabs>
          <w:tab w:val="left" w:pos="284"/>
          <w:tab w:val="center" w:pos="567"/>
          <w:tab w:val="right" w:pos="8306"/>
        </w:tabs>
        <w:ind w:left="0" w:firstLine="360"/>
        <w:rPr>
          <w:sz w:val="28"/>
          <w:szCs w:val="28"/>
        </w:rPr>
      </w:pPr>
      <w:r w:rsidRPr="00B2349D">
        <w:rPr>
          <w:sz w:val="28"/>
          <w:szCs w:val="28"/>
        </w:rPr>
        <w:t>preču pārvadājumiem un sabiedriskajiem pasažieru pārvadājumiem, tajā skaitā dzelzceļa transportā un pilsētu sabiedriskajos pasažieru pārvadājumos;</w:t>
      </w:r>
    </w:p>
    <w:p w14:paraId="3B2673C0" w14:textId="77777777" w:rsidR="0025399B" w:rsidRPr="00B2349D" w:rsidRDefault="0025399B" w:rsidP="0025399B">
      <w:pPr>
        <w:numPr>
          <w:ilvl w:val="0"/>
          <w:numId w:val="4"/>
        </w:numPr>
        <w:tabs>
          <w:tab w:val="left" w:pos="567"/>
          <w:tab w:val="center" w:pos="4153"/>
          <w:tab w:val="right" w:pos="8306"/>
        </w:tabs>
        <w:jc w:val="both"/>
        <w:rPr>
          <w:sz w:val="28"/>
          <w:szCs w:val="28"/>
          <w:lang w:val="lv-LV"/>
        </w:rPr>
      </w:pPr>
      <w:r w:rsidRPr="00B2349D">
        <w:rPr>
          <w:sz w:val="28"/>
          <w:szCs w:val="28"/>
          <w:lang w:val="lv-LV"/>
        </w:rPr>
        <w:t>mājsaimniecību lietotāji.</w:t>
      </w:r>
    </w:p>
    <w:p w14:paraId="2091EA06" w14:textId="77777777" w:rsidR="0025399B" w:rsidRDefault="0025399B" w:rsidP="00987661">
      <w:pPr>
        <w:ind w:firstLine="720"/>
        <w:jc w:val="both"/>
        <w:rPr>
          <w:rFonts w:eastAsia="+mn-ea" w:cs="Tahoma"/>
          <w:b/>
          <w:bCs/>
          <w:snapToGrid/>
          <w:sz w:val="28"/>
          <w:szCs w:val="28"/>
          <w:lang w:val="lv-LV" w:eastAsia="en-US"/>
        </w:rPr>
      </w:pPr>
    </w:p>
    <w:p w14:paraId="414E2F01" w14:textId="0F3E5CF6" w:rsidR="0039420A" w:rsidRPr="00252D11" w:rsidRDefault="0039420A" w:rsidP="0039420A">
      <w:pPr>
        <w:tabs>
          <w:tab w:val="left" w:pos="709"/>
          <w:tab w:val="center" w:pos="4153"/>
          <w:tab w:val="right" w:pos="8306"/>
        </w:tabs>
        <w:rPr>
          <w:b/>
          <w:u w:val="single"/>
          <w:lang w:val="lv-LV"/>
        </w:rPr>
      </w:pPr>
      <w:r w:rsidRPr="00252D11">
        <w:rPr>
          <w:b/>
          <w:u w:val="single"/>
          <w:lang w:val="lv-LV"/>
        </w:rPr>
        <w:t xml:space="preserve">Elektroenerģijas </w:t>
      </w:r>
      <w:r>
        <w:rPr>
          <w:b/>
          <w:u w:val="single"/>
          <w:lang w:val="lv-LV"/>
        </w:rPr>
        <w:t>obligātais iepirkums</w:t>
      </w:r>
    </w:p>
    <w:p w14:paraId="6F6E221C" w14:textId="77777777" w:rsidR="0039420A" w:rsidRDefault="0039420A" w:rsidP="000477FA">
      <w:pPr>
        <w:tabs>
          <w:tab w:val="left" w:pos="709"/>
          <w:tab w:val="center" w:pos="4153"/>
          <w:tab w:val="right" w:pos="8306"/>
        </w:tabs>
        <w:ind w:firstLine="709"/>
        <w:jc w:val="both"/>
        <w:rPr>
          <w:sz w:val="28"/>
          <w:szCs w:val="28"/>
          <w:lang w:val="lv-LV"/>
        </w:rPr>
      </w:pPr>
    </w:p>
    <w:p w14:paraId="2B37D7D3" w14:textId="252BC5CB" w:rsidR="000477FA" w:rsidRDefault="000477FA" w:rsidP="006911BA">
      <w:pPr>
        <w:pStyle w:val="PlainText"/>
        <w:spacing w:before="0"/>
        <w:rPr>
          <w:rFonts w:ascii="Times New Roman" w:eastAsia="Times New Roman" w:hAnsi="Times New Roman"/>
          <w:color w:val="000000"/>
          <w:szCs w:val="28"/>
          <w:lang w:eastAsia="lv-LV"/>
        </w:rPr>
      </w:pPr>
      <w:r>
        <w:rPr>
          <w:rFonts w:ascii="Times New Roman" w:hAnsi="Times New Roman"/>
          <w:szCs w:val="28"/>
        </w:rPr>
        <w:t>A</w:t>
      </w:r>
      <w:r w:rsidRPr="00C67574">
        <w:rPr>
          <w:rFonts w:ascii="Times New Roman" w:hAnsi="Times New Roman"/>
          <w:szCs w:val="28"/>
        </w:rPr>
        <w:t>tbalsts elektroenerģijas ražošanai no AER Latvijā tiek īstenots jau vairāk kā 10 gadus</w:t>
      </w:r>
      <w:r>
        <w:rPr>
          <w:rFonts w:ascii="Times New Roman" w:hAnsi="Times New Roman"/>
          <w:szCs w:val="28"/>
        </w:rPr>
        <w:t>. R</w:t>
      </w:r>
      <w:r w:rsidRPr="00C67574">
        <w:rPr>
          <w:rFonts w:ascii="Times New Roman" w:hAnsi="Times New Roman"/>
          <w:szCs w:val="28"/>
        </w:rPr>
        <w:t xml:space="preserve">ažotājiem, kuri </w:t>
      </w:r>
      <w:r>
        <w:rPr>
          <w:rFonts w:ascii="Times New Roman" w:hAnsi="Times New Roman"/>
          <w:szCs w:val="28"/>
        </w:rPr>
        <w:t xml:space="preserve">elektroenerģijas ražošanai izmanto AER, tika piešķirtas </w:t>
      </w:r>
      <w:r w:rsidRPr="00C67574">
        <w:rPr>
          <w:rFonts w:ascii="Times New Roman" w:hAnsi="Times New Roman"/>
          <w:szCs w:val="28"/>
        </w:rPr>
        <w:t xml:space="preserve">tiesības pārdot saražoto elektroenerģiju obligātā iepirkuma ietvaros </w:t>
      </w:r>
      <w:r>
        <w:rPr>
          <w:rFonts w:ascii="Times New Roman" w:hAnsi="Times New Roman"/>
          <w:szCs w:val="28"/>
        </w:rPr>
        <w:t xml:space="preserve">par </w:t>
      </w:r>
      <w:r w:rsidR="00AE7E62">
        <w:rPr>
          <w:rFonts w:ascii="Times New Roman" w:hAnsi="Times New Roman"/>
          <w:szCs w:val="28"/>
        </w:rPr>
        <w:t>noteiktu</w:t>
      </w:r>
      <w:r>
        <w:rPr>
          <w:rFonts w:ascii="Times New Roman" w:hAnsi="Times New Roman"/>
          <w:szCs w:val="28"/>
        </w:rPr>
        <w:t xml:space="preserve"> iepirkuma cenu </w:t>
      </w:r>
      <w:r w:rsidRPr="00C92E8C">
        <w:rPr>
          <w:rFonts w:ascii="Times New Roman" w:hAnsi="Times New Roman"/>
          <w:i/>
          <w:szCs w:val="28"/>
        </w:rPr>
        <w:t>(</w:t>
      </w:r>
      <w:proofErr w:type="spellStart"/>
      <w:r w:rsidRPr="00C92E8C">
        <w:rPr>
          <w:rFonts w:ascii="Times New Roman" w:hAnsi="Times New Roman"/>
          <w:i/>
          <w:szCs w:val="28"/>
        </w:rPr>
        <w:t>feed-in</w:t>
      </w:r>
      <w:proofErr w:type="spellEnd"/>
      <w:r>
        <w:rPr>
          <w:rFonts w:ascii="Times New Roman" w:hAnsi="Times New Roman"/>
          <w:i/>
          <w:szCs w:val="28"/>
        </w:rPr>
        <w:t xml:space="preserve"> </w:t>
      </w:r>
      <w:proofErr w:type="spellStart"/>
      <w:r w:rsidRPr="00C92E8C">
        <w:rPr>
          <w:rFonts w:ascii="Times New Roman" w:hAnsi="Times New Roman"/>
          <w:i/>
          <w:szCs w:val="28"/>
        </w:rPr>
        <w:t>tariff</w:t>
      </w:r>
      <w:proofErr w:type="spellEnd"/>
      <w:r w:rsidRPr="00C92E8C">
        <w:rPr>
          <w:rFonts w:ascii="Times New Roman" w:hAnsi="Times New Roman"/>
          <w:i/>
          <w:szCs w:val="28"/>
        </w:rPr>
        <w:t>)</w:t>
      </w:r>
      <w:r w:rsidRPr="00C67574">
        <w:rPr>
          <w:rFonts w:ascii="Times New Roman" w:hAnsi="Times New Roman"/>
          <w:szCs w:val="28"/>
        </w:rPr>
        <w:t xml:space="preserve">. Obligātā iepirkuma ietvaros iepirktās elektroenerģijas cenas ir </w:t>
      </w:r>
      <w:r>
        <w:rPr>
          <w:rFonts w:ascii="Times New Roman" w:hAnsi="Times New Roman"/>
          <w:szCs w:val="28"/>
        </w:rPr>
        <w:t xml:space="preserve">atkarīgas no </w:t>
      </w:r>
      <w:r w:rsidRPr="00AC5BC4">
        <w:rPr>
          <w:rFonts w:ascii="Times New Roman" w:hAnsi="Times New Roman"/>
          <w:color w:val="000000"/>
          <w:szCs w:val="28"/>
        </w:rPr>
        <w:t xml:space="preserve">izmantotā energoresursa veida, uzstādītās jaudas, stacijas nostrādāto stundu skaita kā arī dabasgāzes tirdzniecības cenas. </w:t>
      </w:r>
      <w:r w:rsidRPr="00AC5BC4">
        <w:rPr>
          <w:rFonts w:ascii="Times New Roman" w:eastAsia="Times New Roman" w:hAnsi="Times New Roman"/>
          <w:color w:val="000000"/>
          <w:szCs w:val="28"/>
          <w:lang w:eastAsia="lv-LV"/>
        </w:rPr>
        <w:t xml:space="preserve">Ņemot vērā, ka elektroenerģijai konkrētajā ražošanas brīdī ir sava tirgus vērtība, kompensēta </w:t>
      </w:r>
      <w:r w:rsidR="00AE7E62">
        <w:rPr>
          <w:rFonts w:ascii="Times New Roman" w:eastAsia="Times New Roman" w:hAnsi="Times New Roman"/>
          <w:color w:val="000000"/>
          <w:szCs w:val="28"/>
          <w:lang w:eastAsia="lv-LV"/>
        </w:rPr>
        <w:t xml:space="preserve">no lietotāju puses </w:t>
      </w:r>
      <w:r w:rsidRPr="00AC5BC4">
        <w:rPr>
          <w:rFonts w:ascii="Times New Roman" w:eastAsia="Times New Roman" w:hAnsi="Times New Roman"/>
          <w:color w:val="000000"/>
          <w:szCs w:val="28"/>
          <w:lang w:eastAsia="lv-LV"/>
        </w:rPr>
        <w:t xml:space="preserve">jeb subsidēta tiek starpība starp saražotās elektroenerģijas obligātā iepirkuma cenu un tirgus cenu. </w:t>
      </w:r>
      <w:r w:rsidR="00AE7E62">
        <w:rPr>
          <w:rFonts w:ascii="Times New Roman" w:eastAsia="Times New Roman" w:hAnsi="Times New Roman"/>
          <w:color w:val="000000"/>
          <w:szCs w:val="28"/>
          <w:lang w:eastAsia="lv-LV"/>
        </w:rPr>
        <w:t>Savukārt,</w:t>
      </w:r>
      <w:r w:rsidRPr="00AC5BC4">
        <w:rPr>
          <w:rFonts w:ascii="Times New Roman" w:eastAsia="Times New Roman" w:hAnsi="Times New Roman"/>
          <w:color w:val="000000"/>
          <w:szCs w:val="28"/>
          <w:lang w:eastAsia="lv-LV"/>
        </w:rPr>
        <w:t xml:space="preserve"> elektroenerģijas ražotājam </w:t>
      </w:r>
      <w:r w:rsidR="00AE7E62">
        <w:rPr>
          <w:rFonts w:ascii="Times New Roman" w:eastAsia="Times New Roman" w:hAnsi="Times New Roman"/>
          <w:color w:val="000000"/>
          <w:szCs w:val="28"/>
          <w:lang w:eastAsia="lv-LV"/>
        </w:rPr>
        <w:t xml:space="preserve">tiek nodrošināta </w:t>
      </w:r>
      <w:r w:rsidRPr="00AC5BC4">
        <w:rPr>
          <w:rFonts w:ascii="Times New Roman" w:eastAsia="Times New Roman" w:hAnsi="Times New Roman"/>
          <w:color w:val="000000"/>
          <w:szCs w:val="28"/>
          <w:lang w:eastAsia="lv-LV"/>
        </w:rPr>
        <w:t>konkrēt</w:t>
      </w:r>
      <w:r w:rsidR="00AE7E62">
        <w:rPr>
          <w:rFonts w:ascii="Times New Roman" w:eastAsia="Times New Roman" w:hAnsi="Times New Roman"/>
          <w:color w:val="000000"/>
          <w:szCs w:val="28"/>
          <w:lang w:eastAsia="lv-LV"/>
        </w:rPr>
        <w:t>a</w:t>
      </w:r>
      <w:r w:rsidRPr="00AC5BC4">
        <w:rPr>
          <w:rFonts w:ascii="Times New Roman" w:eastAsia="Times New Roman" w:hAnsi="Times New Roman"/>
          <w:color w:val="000000"/>
          <w:szCs w:val="28"/>
          <w:lang w:eastAsia="lv-LV"/>
        </w:rPr>
        <w:t xml:space="preserve"> iepirkuma cen</w:t>
      </w:r>
      <w:r w:rsidR="00AE7E62">
        <w:rPr>
          <w:rFonts w:ascii="Times New Roman" w:eastAsia="Times New Roman" w:hAnsi="Times New Roman"/>
          <w:color w:val="000000"/>
          <w:szCs w:val="28"/>
          <w:lang w:eastAsia="lv-LV"/>
        </w:rPr>
        <w:t>a, kas nav</w:t>
      </w:r>
      <w:r w:rsidRPr="00AC5BC4">
        <w:rPr>
          <w:rFonts w:ascii="Times New Roman" w:eastAsia="Times New Roman" w:hAnsi="Times New Roman"/>
          <w:color w:val="000000"/>
          <w:szCs w:val="28"/>
          <w:lang w:eastAsia="lv-LV"/>
        </w:rPr>
        <w:t xml:space="preserve"> atkarīg</w:t>
      </w:r>
      <w:r w:rsidR="00AE7E62">
        <w:rPr>
          <w:rFonts w:ascii="Times New Roman" w:eastAsia="Times New Roman" w:hAnsi="Times New Roman"/>
          <w:color w:val="000000"/>
          <w:szCs w:val="28"/>
          <w:lang w:eastAsia="lv-LV"/>
        </w:rPr>
        <w:t>a</w:t>
      </w:r>
      <w:r w:rsidRPr="00AC5BC4">
        <w:rPr>
          <w:rFonts w:ascii="Times New Roman" w:eastAsia="Times New Roman" w:hAnsi="Times New Roman"/>
          <w:color w:val="000000"/>
          <w:szCs w:val="28"/>
          <w:lang w:eastAsia="lv-LV"/>
        </w:rPr>
        <w:t xml:space="preserve"> no tirgus cenas.</w:t>
      </w:r>
    </w:p>
    <w:p w14:paraId="7EDF35D1" w14:textId="27743D16" w:rsidR="000477FA" w:rsidRDefault="000477FA" w:rsidP="006911BA">
      <w:pPr>
        <w:pStyle w:val="PlainText"/>
        <w:spacing w:before="0"/>
        <w:rPr>
          <w:rFonts w:ascii="Times New Roman" w:eastAsia="Times New Roman" w:hAnsi="Times New Roman"/>
          <w:color w:val="000000"/>
          <w:szCs w:val="28"/>
          <w:lang w:eastAsia="lv-LV"/>
        </w:rPr>
      </w:pPr>
      <w:r>
        <w:rPr>
          <w:rFonts w:ascii="Times New Roman" w:eastAsia="Times New Roman" w:hAnsi="Times New Roman"/>
          <w:color w:val="000000"/>
          <w:szCs w:val="28"/>
          <w:lang w:eastAsia="lv-LV"/>
        </w:rPr>
        <w:t>V</w:t>
      </w:r>
      <w:r w:rsidRPr="000477FA">
        <w:rPr>
          <w:rFonts w:ascii="Times New Roman" w:eastAsia="Times New Roman" w:hAnsi="Times New Roman"/>
          <w:color w:val="000000"/>
          <w:szCs w:val="28"/>
          <w:lang w:eastAsia="lv-LV"/>
        </w:rPr>
        <w:t xml:space="preserve">isas obligātā elektroenerģijas iepirkuma izmaksas sedz </w:t>
      </w:r>
      <w:r w:rsidR="00AE7E62">
        <w:rPr>
          <w:rFonts w:ascii="Times New Roman" w:eastAsia="Times New Roman" w:hAnsi="Times New Roman"/>
          <w:color w:val="000000"/>
          <w:szCs w:val="28"/>
          <w:lang w:eastAsia="lv-LV"/>
        </w:rPr>
        <w:t xml:space="preserve">elektroenerģijas </w:t>
      </w:r>
      <w:r w:rsidRPr="000477FA">
        <w:rPr>
          <w:rFonts w:ascii="Times New Roman" w:eastAsia="Times New Roman" w:hAnsi="Times New Roman"/>
          <w:color w:val="000000"/>
          <w:szCs w:val="28"/>
          <w:lang w:eastAsia="lv-LV"/>
        </w:rPr>
        <w:t>gala</w:t>
      </w:r>
      <w:r w:rsidR="00AE7E62">
        <w:rPr>
          <w:rFonts w:ascii="Times New Roman" w:eastAsia="Times New Roman" w:hAnsi="Times New Roman"/>
          <w:color w:val="000000"/>
          <w:szCs w:val="28"/>
          <w:lang w:eastAsia="lv-LV"/>
        </w:rPr>
        <w:t>lietotāji</w:t>
      </w:r>
      <w:r w:rsidRPr="000477FA">
        <w:rPr>
          <w:rFonts w:ascii="Times New Roman" w:eastAsia="Times New Roman" w:hAnsi="Times New Roman"/>
          <w:color w:val="000000"/>
          <w:szCs w:val="28"/>
          <w:lang w:eastAsia="lv-LV"/>
        </w:rPr>
        <w:t xml:space="preserve"> proporcionāli </w:t>
      </w:r>
      <w:r w:rsidR="00AE7E62">
        <w:rPr>
          <w:rFonts w:ascii="Times New Roman" w:eastAsia="Times New Roman" w:hAnsi="Times New Roman"/>
          <w:color w:val="000000"/>
          <w:szCs w:val="28"/>
          <w:lang w:eastAsia="lv-LV"/>
        </w:rPr>
        <w:t>savam</w:t>
      </w:r>
      <w:r w:rsidRPr="000477FA">
        <w:rPr>
          <w:rFonts w:ascii="Times New Roman" w:eastAsia="Times New Roman" w:hAnsi="Times New Roman"/>
          <w:color w:val="000000"/>
          <w:szCs w:val="28"/>
          <w:lang w:eastAsia="lv-LV"/>
        </w:rPr>
        <w:t xml:space="preserve"> patēriņam un šo izmaksu iekasēšanu no elektroenerģijas galalietotājiem Latvijā īsteno elektroenerģijas tirgū darbojošās kapitālsabiedrības, neiesaistot valsts finansējumu.</w:t>
      </w:r>
    </w:p>
    <w:p w14:paraId="517B6EA1" w14:textId="64B944FF" w:rsidR="000477FA" w:rsidRDefault="000477FA" w:rsidP="006911BA">
      <w:pPr>
        <w:pStyle w:val="PlainText"/>
        <w:spacing w:before="0"/>
        <w:rPr>
          <w:rFonts w:ascii="Times New Roman" w:eastAsia="Times New Roman" w:hAnsi="Times New Roman"/>
          <w:color w:val="000000"/>
          <w:szCs w:val="28"/>
          <w:lang w:eastAsia="lv-LV"/>
        </w:rPr>
      </w:pPr>
      <w:r>
        <w:rPr>
          <w:rFonts w:ascii="Times New Roman" w:eastAsia="Times New Roman" w:hAnsi="Times New Roman"/>
          <w:color w:val="000000"/>
          <w:szCs w:val="28"/>
          <w:lang w:eastAsia="lv-LV"/>
        </w:rPr>
        <w:t>Ņemot vērā</w:t>
      </w:r>
      <w:r w:rsidR="00EB716E">
        <w:rPr>
          <w:rFonts w:ascii="Times New Roman" w:eastAsia="Times New Roman" w:hAnsi="Times New Roman"/>
          <w:color w:val="000000"/>
          <w:szCs w:val="28"/>
          <w:lang w:eastAsia="lv-LV"/>
        </w:rPr>
        <w:t>, ka</w:t>
      </w:r>
      <w:r>
        <w:rPr>
          <w:rFonts w:ascii="Times New Roman" w:eastAsia="Times New Roman" w:hAnsi="Times New Roman"/>
          <w:color w:val="000000"/>
          <w:szCs w:val="28"/>
          <w:lang w:eastAsia="lv-LV"/>
        </w:rPr>
        <w:t xml:space="preserve"> </w:t>
      </w:r>
      <w:r w:rsidR="00EB716E">
        <w:rPr>
          <w:rFonts w:ascii="Times New Roman" w:eastAsia="Times New Roman" w:hAnsi="Times New Roman"/>
          <w:color w:val="000000"/>
          <w:szCs w:val="28"/>
          <w:lang w:eastAsia="lv-LV"/>
        </w:rPr>
        <w:t xml:space="preserve">elektroenerģijas ražotājiem, kas izmanto AER, </w:t>
      </w:r>
      <w:r>
        <w:rPr>
          <w:rFonts w:ascii="Times New Roman" w:eastAsia="Times New Roman" w:hAnsi="Times New Roman"/>
          <w:color w:val="000000"/>
          <w:szCs w:val="28"/>
          <w:lang w:eastAsia="lv-LV"/>
        </w:rPr>
        <w:t>piešķirt</w:t>
      </w:r>
      <w:r w:rsidR="00EB716E">
        <w:rPr>
          <w:rFonts w:ascii="Times New Roman" w:eastAsia="Times New Roman" w:hAnsi="Times New Roman"/>
          <w:color w:val="000000"/>
          <w:szCs w:val="28"/>
          <w:lang w:eastAsia="lv-LV"/>
        </w:rPr>
        <w:t>ajās</w:t>
      </w:r>
      <w:r>
        <w:rPr>
          <w:rFonts w:ascii="Times New Roman" w:eastAsia="Times New Roman" w:hAnsi="Times New Roman"/>
          <w:color w:val="000000"/>
          <w:szCs w:val="28"/>
          <w:lang w:eastAsia="lv-LV"/>
        </w:rPr>
        <w:t xml:space="preserve"> obligātā iepirkuma tiesībās </w:t>
      </w:r>
      <w:r w:rsidR="00EB716E">
        <w:rPr>
          <w:rFonts w:ascii="Times New Roman" w:eastAsia="Times New Roman" w:hAnsi="Times New Roman"/>
          <w:color w:val="000000"/>
          <w:szCs w:val="28"/>
          <w:lang w:eastAsia="lv-LV"/>
        </w:rPr>
        <w:t xml:space="preserve">noteiktais iepērkamais elektroenerģijas apjoms pārsniedz Latvijai rīcības plānā paredzēto papildus AE apjomu elektroenerģijas sektorā 2020. gadā, obligātā iepirkuma tiesību piešķiršana jauniem ražotājiem ir apturēta līdz 2016. gada 1. janvārim. </w:t>
      </w:r>
    </w:p>
    <w:p w14:paraId="6CED53EA" w14:textId="77777777" w:rsidR="00B94508" w:rsidRPr="00C80170" w:rsidRDefault="00C80170" w:rsidP="00D037EB">
      <w:pPr>
        <w:jc w:val="right"/>
        <w:rPr>
          <w:b/>
          <w:i/>
          <w:sz w:val="20"/>
          <w:szCs w:val="20"/>
          <w:lang w:val="lv-LV"/>
        </w:rPr>
      </w:pPr>
      <w:r>
        <w:rPr>
          <w:b/>
          <w:i/>
          <w:sz w:val="20"/>
          <w:szCs w:val="20"/>
          <w:lang w:val="lv-LV"/>
        </w:rPr>
        <w:t>3. tabula</w:t>
      </w:r>
    </w:p>
    <w:p w14:paraId="67B933CA" w14:textId="77777777" w:rsidR="00043B9A" w:rsidRPr="00D037EB" w:rsidRDefault="00043B9A" w:rsidP="00D037EB">
      <w:pPr>
        <w:jc w:val="center"/>
        <w:rPr>
          <w:b/>
          <w:sz w:val="20"/>
          <w:szCs w:val="20"/>
        </w:rPr>
      </w:pPr>
      <w:r w:rsidRPr="00D037EB">
        <w:rPr>
          <w:b/>
          <w:sz w:val="20"/>
          <w:szCs w:val="20"/>
          <w:lang w:val="lv-LV"/>
        </w:rPr>
        <w:t xml:space="preserve">Atjaunojamās enerģijas atbalsta </w:t>
      </w:r>
      <w:r w:rsidR="00A55C84">
        <w:rPr>
          <w:b/>
          <w:sz w:val="20"/>
          <w:szCs w:val="20"/>
          <w:lang w:val="lv-LV"/>
        </w:rPr>
        <w:t>mehānismi</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4"/>
        <w:gridCol w:w="3956"/>
        <w:gridCol w:w="810"/>
        <w:gridCol w:w="1046"/>
        <w:gridCol w:w="992"/>
        <w:gridCol w:w="1081"/>
      </w:tblGrid>
      <w:tr w:rsidR="001C743B" w14:paraId="28DB1C7C" w14:textId="77777777" w:rsidTr="001C743B">
        <w:trPr>
          <w:trHeight w:val="418"/>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E6E6E6"/>
            <w:noWrap/>
            <w:hideMark/>
          </w:tcPr>
          <w:p w14:paraId="4704A8EB" w14:textId="77777777" w:rsidR="001C743B" w:rsidRDefault="001C743B" w:rsidP="00A55C84">
            <w:pPr>
              <w:snapToGrid w:val="0"/>
            </w:pPr>
            <w:r>
              <w:rPr>
                <w:b/>
                <w:sz w:val="16"/>
                <w:lang w:val="lv-LV"/>
              </w:rPr>
              <w:t xml:space="preserve">AE atbalsta </w:t>
            </w:r>
            <w:r w:rsidR="00A55C84">
              <w:rPr>
                <w:b/>
                <w:sz w:val="16"/>
                <w:lang w:val="lv-LV"/>
              </w:rPr>
              <w:t xml:space="preserve">mehānismi </w:t>
            </w:r>
          </w:p>
        </w:tc>
        <w:tc>
          <w:tcPr>
            <w:tcW w:w="810" w:type="dxa"/>
            <w:tcBorders>
              <w:top w:val="single" w:sz="4" w:space="0" w:color="auto"/>
              <w:left w:val="single" w:sz="4" w:space="0" w:color="auto"/>
              <w:bottom w:val="single" w:sz="4" w:space="0" w:color="auto"/>
              <w:right w:val="single" w:sz="4" w:space="0" w:color="auto"/>
            </w:tcBorders>
            <w:shd w:val="clear" w:color="auto" w:fill="E6E6E6"/>
            <w:noWrap/>
            <w:hideMark/>
          </w:tcPr>
          <w:p w14:paraId="18D125BA" w14:textId="77777777" w:rsidR="001C743B" w:rsidRDefault="001C743B">
            <w:pPr>
              <w:snapToGrid w:val="0"/>
            </w:pPr>
            <w:r>
              <w:rPr>
                <w:b/>
                <w:sz w:val="16"/>
                <w:lang w:val="lv-LV"/>
              </w:rPr>
              <w:t>Atbalsts par vienību</w:t>
            </w:r>
          </w:p>
        </w:tc>
        <w:tc>
          <w:tcPr>
            <w:tcW w:w="1046" w:type="dxa"/>
            <w:tcBorders>
              <w:top w:val="single" w:sz="4" w:space="0" w:color="auto"/>
              <w:left w:val="single" w:sz="4" w:space="0" w:color="auto"/>
              <w:bottom w:val="single" w:sz="4" w:space="0" w:color="auto"/>
              <w:right w:val="single" w:sz="4" w:space="0" w:color="auto"/>
            </w:tcBorders>
            <w:shd w:val="clear" w:color="auto" w:fill="E6E6E6"/>
            <w:hideMark/>
          </w:tcPr>
          <w:p w14:paraId="2AA108B1" w14:textId="77777777" w:rsidR="001C743B" w:rsidRDefault="001C743B" w:rsidP="001C743B">
            <w:pPr>
              <w:snapToGrid w:val="0"/>
              <w:jc w:val="both"/>
              <w:rPr>
                <w:b/>
                <w:sz w:val="16"/>
                <w:lang w:val="lv-LV"/>
              </w:rPr>
            </w:pPr>
            <w:r>
              <w:rPr>
                <w:b/>
                <w:sz w:val="16"/>
                <w:lang w:val="lv-LV"/>
              </w:rPr>
              <w:t>2011</w:t>
            </w:r>
            <w:r w:rsidR="00A45113">
              <w:rPr>
                <w:b/>
                <w:sz w:val="16"/>
                <w:lang w:val="lv-LV"/>
              </w:rPr>
              <w:t>.</w:t>
            </w:r>
            <w:r>
              <w:rPr>
                <w:b/>
                <w:sz w:val="16"/>
                <w:lang w:val="lv-LV"/>
              </w:rPr>
              <w:t xml:space="preserve"> gads (</w:t>
            </w:r>
            <w:proofErr w:type="spellStart"/>
            <w:r>
              <w:rPr>
                <w:b/>
                <w:sz w:val="16"/>
                <w:lang w:val="lv-LV"/>
              </w:rPr>
              <w:t>milj</w:t>
            </w:r>
            <w:proofErr w:type="spellEnd"/>
            <w:r>
              <w:rPr>
                <w:b/>
                <w:sz w:val="16"/>
                <w:lang w:val="lv-LV"/>
              </w:rPr>
              <w:t>. LVL)*</w:t>
            </w:r>
          </w:p>
        </w:tc>
        <w:tc>
          <w:tcPr>
            <w:tcW w:w="992" w:type="dxa"/>
            <w:tcBorders>
              <w:top w:val="single" w:sz="4" w:space="0" w:color="auto"/>
              <w:left w:val="single" w:sz="4" w:space="0" w:color="auto"/>
              <w:bottom w:val="single" w:sz="4" w:space="0" w:color="auto"/>
              <w:right w:val="single" w:sz="4" w:space="0" w:color="auto"/>
            </w:tcBorders>
            <w:shd w:val="clear" w:color="auto" w:fill="E6E6E6"/>
          </w:tcPr>
          <w:p w14:paraId="7ED74A02" w14:textId="77777777" w:rsidR="001C743B" w:rsidRDefault="001C743B" w:rsidP="001C743B">
            <w:pPr>
              <w:snapToGrid w:val="0"/>
              <w:jc w:val="both"/>
              <w:rPr>
                <w:b/>
                <w:sz w:val="16"/>
                <w:lang w:val="lv-LV"/>
              </w:rPr>
            </w:pPr>
            <w:r>
              <w:rPr>
                <w:b/>
                <w:sz w:val="16"/>
                <w:lang w:val="lv-LV"/>
              </w:rPr>
              <w:t>2012.gads</w:t>
            </w:r>
            <w:r w:rsidR="00A45113">
              <w:rPr>
                <w:b/>
                <w:sz w:val="16"/>
                <w:lang w:val="lv-LV"/>
              </w:rPr>
              <w:t xml:space="preserve"> </w:t>
            </w:r>
            <w:r>
              <w:rPr>
                <w:b/>
                <w:sz w:val="16"/>
                <w:lang w:val="lv-LV"/>
              </w:rPr>
              <w:t>(</w:t>
            </w:r>
            <w:proofErr w:type="spellStart"/>
            <w:r>
              <w:rPr>
                <w:b/>
                <w:sz w:val="16"/>
                <w:lang w:val="lv-LV"/>
              </w:rPr>
              <w:t>milj</w:t>
            </w:r>
            <w:proofErr w:type="spellEnd"/>
            <w:r>
              <w:rPr>
                <w:b/>
                <w:sz w:val="16"/>
                <w:lang w:val="lv-LV"/>
              </w:rPr>
              <w:t>. LVL)*</w:t>
            </w:r>
          </w:p>
        </w:tc>
        <w:tc>
          <w:tcPr>
            <w:tcW w:w="1081" w:type="dxa"/>
            <w:tcBorders>
              <w:top w:val="single" w:sz="4" w:space="0" w:color="auto"/>
              <w:left w:val="single" w:sz="4" w:space="0" w:color="auto"/>
              <w:bottom w:val="single" w:sz="4" w:space="0" w:color="auto"/>
              <w:right w:val="single" w:sz="4" w:space="0" w:color="auto"/>
            </w:tcBorders>
            <w:shd w:val="clear" w:color="auto" w:fill="E6E6E6"/>
            <w:noWrap/>
            <w:hideMark/>
          </w:tcPr>
          <w:p w14:paraId="243F3B85" w14:textId="77777777" w:rsidR="001C743B" w:rsidRPr="00F26DD1" w:rsidRDefault="001C743B">
            <w:pPr>
              <w:snapToGrid w:val="0"/>
              <w:jc w:val="right"/>
            </w:pPr>
            <w:r>
              <w:rPr>
                <w:b/>
                <w:sz w:val="16"/>
                <w:lang w:val="lv-LV"/>
              </w:rPr>
              <w:t xml:space="preserve">Kopā </w:t>
            </w:r>
            <w:r w:rsidR="00A45113">
              <w:rPr>
                <w:b/>
                <w:sz w:val="16"/>
                <w:lang w:val="lv-LV"/>
              </w:rPr>
              <w:t xml:space="preserve">2011.  un 2012.gads </w:t>
            </w:r>
            <w:r>
              <w:rPr>
                <w:b/>
                <w:sz w:val="16"/>
                <w:lang w:val="lv-LV"/>
              </w:rPr>
              <w:t>(</w:t>
            </w:r>
            <w:proofErr w:type="spellStart"/>
            <w:r>
              <w:rPr>
                <w:b/>
                <w:sz w:val="16"/>
                <w:lang w:val="lv-LV"/>
              </w:rPr>
              <w:t>milj</w:t>
            </w:r>
            <w:proofErr w:type="spellEnd"/>
            <w:r>
              <w:rPr>
                <w:b/>
                <w:sz w:val="16"/>
                <w:lang w:val="lv-LV"/>
              </w:rPr>
              <w:t>. EUR)*</w:t>
            </w:r>
          </w:p>
        </w:tc>
      </w:tr>
      <w:tr w:rsidR="001C743B" w14:paraId="2845045F" w14:textId="77777777" w:rsidTr="001C743B">
        <w:trPr>
          <w:trHeight w:val="217"/>
          <w:jc w:val="center"/>
        </w:trPr>
        <w:tc>
          <w:tcPr>
            <w:tcW w:w="5040" w:type="dxa"/>
            <w:gridSpan w:val="2"/>
            <w:tcBorders>
              <w:top w:val="single" w:sz="4" w:space="0" w:color="auto"/>
              <w:left w:val="single" w:sz="4" w:space="0" w:color="auto"/>
              <w:bottom w:val="single" w:sz="4" w:space="0" w:color="auto"/>
              <w:right w:val="single" w:sz="4" w:space="0" w:color="auto"/>
            </w:tcBorders>
            <w:noWrap/>
            <w:hideMark/>
          </w:tcPr>
          <w:p w14:paraId="78E0793D" w14:textId="77777777" w:rsidR="001C743B" w:rsidRDefault="001C743B">
            <w:pPr>
              <w:snapToGrid w:val="0"/>
            </w:pPr>
            <w:r>
              <w:rPr>
                <w:sz w:val="16"/>
                <w:lang w:val="lv-LV"/>
              </w:rPr>
              <w:t>Nodokļa atvieglojumi</w:t>
            </w:r>
            <w:r w:rsidR="006A4741">
              <w:rPr>
                <w:sz w:val="16"/>
                <w:lang w:val="lv-LV"/>
              </w:rPr>
              <w:t>/ atbrīvojumi</w:t>
            </w:r>
          </w:p>
        </w:tc>
        <w:tc>
          <w:tcPr>
            <w:tcW w:w="810" w:type="dxa"/>
            <w:tcBorders>
              <w:top w:val="single" w:sz="4" w:space="0" w:color="auto"/>
              <w:left w:val="single" w:sz="4" w:space="0" w:color="auto"/>
              <w:bottom w:val="single" w:sz="4" w:space="0" w:color="auto"/>
              <w:right w:val="single" w:sz="4" w:space="0" w:color="auto"/>
            </w:tcBorders>
            <w:noWrap/>
          </w:tcPr>
          <w:p w14:paraId="56982234" w14:textId="77777777" w:rsidR="001C743B" w:rsidRDefault="001C743B">
            <w:pPr>
              <w:snapToGrid w:val="0"/>
              <w:rPr>
                <w:b/>
                <w:sz w:val="16"/>
              </w:rPr>
            </w:pPr>
          </w:p>
        </w:tc>
        <w:tc>
          <w:tcPr>
            <w:tcW w:w="1046" w:type="dxa"/>
            <w:tcBorders>
              <w:top w:val="single" w:sz="4" w:space="0" w:color="auto"/>
              <w:left w:val="single" w:sz="4" w:space="0" w:color="auto"/>
              <w:bottom w:val="single" w:sz="4" w:space="0" w:color="auto"/>
              <w:right w:val="single" w:sz="4" w:space="0" w:color="auto"/>
            </w:tcBorders>
          </w:tcPr>
          <w:p w14:paraId="25650746" w14:textId="77777777" w:rsidR="001C743B" w:rsidRDefault="001C743B">
            <w:pPr>
              <w:snapToGrid w:val="0"/>
              <w:jc w:val="right"/>
              <w:rPr>
                <w:b/>
                <w:sz w:val="16"/>
              </w:rPr>
            </w:pPr>
          </w:p>
        </w:tc>
        <w:tc>
          <w:tcPr>
            <w:tcW w:w="992" w:type="dxa"/>
            <w:tcBorders>
              <w:top w:val="single" w:sz="4" w:space="0" w:color="auto"/>
              <w:left w:val="single" w:sz="4" w:space="0" w:color="auto"/>
              <w:bottom w:val="single" w:sz="4" w:space="0" w:color="auto"/>
              <w:right w:val="single" w:sz="4" w:space="0" w:color="auto"/>
            </w:tcBorders>
          </w:tcPr>
          <w:p w14:paraId="2FD4CEDD" w14:textId="77777777" w:rsidR="001C743B" w:rsidRDefault="001C743B">
            <w:pPr>
              <w:snapToGrid w:val="0"/>
              <w:jc w:val="right"/>
              <w:rPr>
                <w:b/>
                <w:sz w:val="16"/>
              </w:rPr>
            </w:pPr>
          </w:p>
        </w:tc>
        <w:tc>
          <w:tcPr>
            <w:tcW w:w="1081" w:type="dxa"/>
            <w:tcBorders>
              <w:top w:val="single" w:sz="4" w:space="0" w:color="auto"/>
              <w:left w:val="single" w:sz="4" w:space="0" w:color="auto"/>
              <w:bottom w:val="single" w:sz="4" w:space="0" w:color="auto"/>
              <w:right w:val="single" w:sz="4" w:space="0" w:color="auto"/>
            </w:tcBorders>
            <w:noWrap/>
          </w:tcPr>
          <w:p w14:paraId="1210C43D" w14:textId="77777777" w:rsidR="001C743B" w:rsidRDefault="001C743B">
            <w:pPr>
              <w:snapToGrid w:val="0"/>
              <w:jc w:val="right"/>
              <w:rPr>
                <w:b/>
                <w:sz w:val="16"/>
              </w:rPr>
            </w:pPr>
          </w:p>
        </w:tc>
      </w:tr>
      <w:tr w:rsidR="0039420A" w14:paraId="0B80C811" w14:textId="77777777" w:rsidTr="006F42E0">
        <w:trPr>
          <w:trHeight w:val="202"/>
          <w:jc w:val="center"/>
        </w:trPr>
        <w:tc>
          <w:tcPr>
            <w:tcW w:w="1084" w:type="dxa"/>
            <w:vMerge w:val="restart"/>
            <w:tcBorders>
              <w:top w:val="single" w:sz="4" w:space="0" w:color="auto"/>
              <w:left w:val="single" w:sz="4" w:space="0" w:color="auto"/>
              <w:right w:val="single" w:sz="4" w:space="0" w:color="auto"/>
            </w:tcBorders>
            <w:noWrap/>
            <w:hideMark/>
          </w:tcPr>
          <w:p w14:paraId="7AC56A6E" w14:textId="77777777" w:rsidR="0039420A" w:rsidRDefault="0039420A">
            <w:pPr>
              <w:rPr>
                <w:sz w:val="16"/>
                <w:lang w:val="pt-PT"/>
              </w:rPr>
            </w:pPr>
            <w:r>
              <w:rPr>
                <w:sz w:val="16"/>
                <w:lang w:val="lv-LV"/>
              </w:rPr>
              <w:t>Instruments</w:t>
            </w:r>
          </w:p>
          <w:p w14:paraId="0290E777" w14:textId="77777777" w:rsidR="0039420A" w:rsidRDefault="0039420A">
            <w:pPr>
              <w:snapToGrid w:val="0"/>
            </w:pPr>
          </w:p>
        </w:tc>
        <w:tc>
          <w:tcPr>
            <w:tcW w:w="3956" w:type="dxa"/>
            <w:tcBorders>
              <w:top w:val="single" w:sz="4" w:space="0" w:color="auto"/>
              <w:left w:val="single" w:sz="4" w:space="0" w:color="auto"/>
              <w:bottom w:val="single" w:sz="4" w:space="0" w:color="auto"/>
              <w:right w:val="single" w:sz="4" w:space="0" w:color="auto"/>
            </w:tcBorders>
          </w:tcPr>
          <w:p w14:paraId="0C0C6A1E" w14:textId="77777777" w:rsidR="0039420A" w:rsidRPr="006A4741" w:rsidRDefault="0039420A" w:rsidP="006A4741">
            <w:pPr>
              <w:snapToGrid w:val="0"/>
              <w:jc w:val="both"/>
              <w:rPr>
                <w:sz w:val="16"/>
                <w:szCs w:val="16"/>
                <w:lang w:val="lv-LV"/>
              </w:rPr>
            </w:pPr>
            <w:r w:rsidRPr="006A4741">
              <w:rPr>
                <w:sz w:val="16"/>
                <w:szCs w:val="16"/>
                <w:lang w:val="lv-LV"/>
              </w:rPr>
              <w:t>Akcīzes nodokļa atvieglojums:</w:t>
            </w:r>
          </w:p>
        </w:tc>
        <w:tc>
          <w:tcPr>
            <w:tcW w:w="810" w:type="dxa"/>
            <w:tcBorders>
              <w:top w:val="single" w:sz="4" w:space="0" w:color="auto"/>
              <w:left w:val="single" w:sz="4" w:space="0" w:color="auto"/>
              <w:bottom w:val="single" w:sz="4" w:space="0" w:color="auto"/>
              <w:right w:val="single" w:sz="4" w:space="0" w:color="auto"/>
            </w:tcBorders>
            <w:noWrap/>
          </w:tcPr>
          <w:p w14:paraId="534FC8FB" w14:textId="77777777" w:rsidR="0039420A" w:rsidRDefault="0039420A">
            <w:pPr>
              <w:snapToGrid w:val="0"/>
              <w:jc w:val="right"/>
              <w:rPr>
                <w:sz w:val="16"/>
              </w:rPr>
            </w:pPr>
          </w:p>
        </w:tc>
        <w:tc>
          <w:tcPr>
            <w:tcW w:w="1046" w:type="dxa"/>
            <w:tcBorders>
              <w:top w:val="single" w:sz="4" w:space="0" w:color="auto"/>
              <w:left w:val="single" w:sz="4" w:space="0" w:color="auto"/>
              <w:bottom w:val="single" w:sz="4" w:space="0" w:color="auto"/>
              <w:right w:val="single" w:sz="4" w:space="0" w:color="auto"/>
            </w:tcBorders>
          </w:tcPr>
          <w:p w14:paraId="36DE2BFA" w14:textId="77777777" w:rsidR="0039420A" w:rsidRDefault="0039420A">
            <w:pPr>
              <w:snapToGrid w:val="0"/>
              <w:jc w:val="right"/>
              <w:rPr>
                <w:sz w:val="16"/>
              </w:rPr>
            </w:pPr>
          </w:p>
        </w:tc>
        <w:tc>
          <w:tcPr>
            <w:tcW w:w="992" w:type="dxa"/>
            <w:tcBorders>
              <w:top w:val="single" w:sz="4" w:space="0" w:color="auto"/>
              <w:left w:val="single" w:sz="4" w:space="0" w:color="auto"/>
              <w:bottom w:val="single" w:sz="4" w:space="0" w:color="auto"/>
              <w:right w:val="single" w:sz="4" w:space="0" w:color="auto"/>
            </w:tcBorders>
          </w:tcPr>
          <w:p w14:paraId="0449E878" w14:textId="77777777" w:rsidR="0039420A" w:rsidRDefault="0039420A">
            <w:pPr>
              <w:snapToGrid w:val="0"/>
              <w:jc w:val="right"/>
              <w:rPr>
                <w:sz w:val="16"/>
              </w:rPr>
            </w:pPr>
          </w:p>
        </w:tc>
        <w:tc>
          <w:tcPr>
            <w:tcW w:w="1081" w:type="dxa"/>
            <w:tcBorders>
              <w:top w:val="single" w:sz="4" w:space="0" w:color="auto"/>
              <w:left w:val="single" w:sz="4" w:space="0" w:color="auto"/>
              <w:bottom w:val="single" w:sz="4" w:space="0" w:color="auto"/>
              <w:right w:val="single" w:sz="4" w:space="0" w:color="auto"/>
            </w:tcBorders>
            <w:noWrap/>
          </w:tcPr>
          <w:p w14:paraId="2268047C" w14:textId="77777777" w:rsidR="0039420A" w:rsidRDefault="0039420A">
            <w:pPr>
              <w:snapToGrid w:val="0"/>
              <w:jc w:val="right"/>
              <w:rPr>
                <w:sz w:val="16"/>
              </w:rPr>
            </w:pPr>
          </w:p>
        </w:tc>
      </w:tr>
      <w:tr w:rsidR="0039420A" w14:paraId="6086DFEA" w14:textId="77777777" w:rsidTr="006F42E0">
        <w:trPr>
          <w:trHeight w:val="166"/>
          <w:jc w:val="center"/>
        </w:trPr>
        <w:tc>
          <w:tcPr>
            <w:tcW w:w="1084" w:type="dxa"/>
            <w:vMerge/>
            <w:tcBorders>
              <w:left w:val="single" w:sz="4" w:space="0" w:color="auto"/>
              <w:right w:val="single" w:sz="4" w:space="0" w:color="auto"/>
            </w:tcBorders>
            <w:vAlign w:val="center"/>
            <w:hideMark/>
          </w:tcPr>
          <w:p w14:paraId="358AA190" w14:textId="77777777" w:rsidR="0039420A" w:rsidRDefault="0039420A"/>
        </w:tc>
        <w:tc>
          <w:tcPr>
            <w:tcW w:w="3956" w:type="dxa"/>
            <w:tcBorders>
              <w:top w:val="single" w:sz="4" w:space="0" w:color="auto"/>
              <w:left w:val="single" w:sz="4" w:space="0" w:color="auto"/>
              <w:bottom w:val="single" w:sz="4" w:space="0" w:color="auto"/>
              <w:right w:val="single" w:sz="4" w:space="0" w:color="auto"/>
            </w:tcBorders>
          </w:tcPr>
          <w:p w14:paraId="2264F352" w14:textId="77777777" w:rsidR="0039420A" w:rsidRPr="006A4741" w:rsidRDefault="0039420A" w:rsidP="006A4741">
            <w:pPr>
              <w:snapToGrid w:val="0"/>
              <w:ind w:left="601"/>
              <w:rPr>
                <w:i/>
                <w:sz w:val="16"/>
                <w:szCs w:val="16"/>
                <w:lang w:val="lv-LV"/>
              </w:rPr>
            </w:pPr>
            <w:r w:rsidRPr="006A4741">
              <w:rPr>
                <w:rFonts w:eastAsia="Calibri"/>
                <w:bCs/>
                <w:i/>
                <w:snapToGrid/>
                <w:sz w:val="16"/>
                <w:szCs w:val="16"/>
                <w:lang w:val="lv-LV" w:eastAsia="lv-LV"/>
              </w:rPr>
              <w:t>Marķētā degviela (</w:t>
            </w:r>
            <w:proofErr w:type="spellStart"/>
            <w:r w:rsidRPr="006A4741">
              <w:rPr>
                <w:rFonts w:eastAsia="Calibri"/>
                <w:bCs/>
                <w:i/>
                <w:snapToGrid/>
                <w:sz w:val="16"/>
                <w:szCs w:val="16"/>
                <w:lang w:val="lv-LV" w:eastAsia="lv-LV"/>
              </w:rPr>
              <w:t>bio</w:t>
            </w:r>
            <w:proofErr w:type="spellEnd"/>
            <w:r w:rsidRPr="006A4741">
              <w:rPr>
                <w:rFonts w:eastAsia="Calibri"/>
                <w:bCs/>
                <w:i/>
                <w:snapToGrid/>
                <w:sz w:val="16"/>
                <w:szCs w:val="16"/>
                <w:lang w:val="lv-LV" w:eastAsia="lv-LV"/>
              </w:rPr>
              <w:t xml:space="preserve"> 5%)</w:t>
            </w:r>
          </w:p>
        </w:tc>
        <w:tc>
          <w:tcPr>
            <w:tcW w:w="810" w:type="dxa"/>
            <w:tcBorders>
              <w:top w:val="single" w:sz="4" w:space="0" w:color="auto"/>
              <w:left w:val="single" w:sz="4" w:space="0" w:color="auto"/>
              <w:bottom w:val="single" w:sz="4" w:space="0" w:color="auto"/>
              <w:right w:val="single" w:sz="4" w:space="0" w:color="auto"/>
            </w:tcBorders>
            <w:noWrap/>
          </w:tcPr>
          <w:p w14:paraId="15D75ABF" w14:textId="77777777" w:rsidR="0039420A" w:rsidRPr="009D600D" w:rsidRDefault="0039420A" w:rsidP="009D600D">
            <w:pPr>
              <w:snapToGrid w:val="0"/>
              <w:jc w:val="center"/>
              <w:rPr>
                <w:sz w:val="16"/>
              </w:rPr>
            </w:pPr>
            <w:r w:rsidRPr="009D600D">
              <w:rPr>
                <w:sz w:val="16"/>
              </w:rPr>
              <w:t>-</w:t>
            </w:r>
          </w:p>
        </w:tc>
        <w:tc>
          <w:tcPr>
            <w:tcW w:w="1046" w:type="dxa"/>
            <w:tcBorders>
              <w:top w:val="single" w:sz="4" w:space="0" w:color="auto"/>
              <w:left w:val="single" w:sz="4" w:space="0" w:color="auto"/>
              <w:bottom w:val="single" w:sz="4" w:space="0" w:color="auto"/>
              <w:right w:val="single" w:sz="4" w:space="0" w:color="auto"/>
            </w:tcBorders>
          </w:tcPr>
          <w:p w14:paraId="01C10F95" w14:textId="77777777" w:rsidR="0039420A" w:rsidRDefault="0039420A">
            <w:pPr>
              <w:snapToGrid w:val="0"/>
              <w:jc w:val="right"/>
              <w:rPr>
                <w:sz w:val="16"/>
              </w:rPr>
            </w:pPr>
            <w:r>
              <w:rPr>
                <w:sz w:val="16"/>
              </w:rPr>
              <w:t>5,838</w:t>
            </w:r>
          </w:p>
        </w:tc>
        <w:tc>
          <w:tcPr>
            <w:tcW w:w="992" w:type="dxa"/>
            <w:tcBorders>
              <w:top w:val="single" w:sz="4" w:space="0" w:color="auto"/>
              <w:left w:val="single" w:sz="4" w:space="0" w:color="auto"/>
              <w:bottom w:val="single" w:sz="4" w:space="0" w:color="auto"/>
              <w:right w:val="single" w:sz="4" w:space="0" w:color="auto"/>
            </w:tcBorders>
          </w:tcPr>
          <w:p w14:paraId="667F7176" w14:textId="77777777" w:rsidR="0039420A" w:rsidRDefault="0039420A">
            <w:pPr>
              <w:snapToGrid w:val="0"/>
              <w:jc w:val="right"/>
              <w:rPr>
                <w:sz w:val="16"/>
              </w:rPr>
            </w:pPr>
            <w:r>
              <w:rPr>
                <w:sz w:val="16"/>
              </w:rPr>
              <w:t>7,981</w:t>
            </w:r>
          </w:p>
        </w:tc>
        <w:tc>
          <w:tcPr>
            <w:tcW w:w="1081" w:type="dxa"/>
            <w:tcBorders>
              <w:top w:val="single" w:sz="4" w:space="0" w:color="auto"/>
              <w:left w:val="single" w:sz="4" w:space="0" w:color="auto"/>
              <w:bottom w:val="single" w:sz="4" w:space="0" w:color="auto"/>
              <w:right w:val="single" w:sz="4" w:space="0" w:color="auto"/>
            </w:tcBorders>
            <w:noWrap/>
          </w:tcPr>
          <w:p w14:paraId="4230ADC3" w14:textId="77777777" w:rsidR="0039420A" w:rsidRDefault="0039420A">
            <w:pPr>
              <w:snapToGrid w:val="0"/>
              <w:jc w:val="right"/>
              <w:rPr>
                <w:sz w:val="16"/>
              </w:rPr>
            </w:pPr>
            <w:r>
              <w:rPr>
                <w:sz w:val="16"/>
              </w:rPr>
              <w:t>19,662</w:t>
            </w:r>
          </w:p>
        </w:tc>
      </w:tr>
      <w:tr w:rsidR="0039420A" w14:paraId="141F27C1" w14:textId="77777777" w:rsidTr="006F42E0">
        <w:trPr>
          <w:trHeight w:val="166"/>
          <w:jc w:val="center"/>
        </w:trPr>
        <w:tc>
          <w:tcPr>
            <w:tcW w:w="1084" w:type="dxa"/>
            <w:vMerge/>
            <w:tcBorders>
              <w:left w:val="single" w:sz="4" w:space="0" w:color="auto"/>
              <w:right w:val="single" w:sz="4" w:space="0" w:color="auto"/>
            </w:tcBorders>
            <w:vAlign w:val="center"/>
            <w:hideMark/>
          </w:tcPr>
          <w:p w14:paraId="3148F830" w14:textId="77777777" w:rsidR="0039420A" w:rsidRDefault="0039420A"/>
        </w:tc>
        <w:tc>
          <w:tcPr>
            <w:tcW w:w="3956" w:type="dxa"/>
            <w:tcBorders>
              <w:top w:val="single" w:sz="4" w:space="0" w:color="auto"/>
              <w:left w:val="single" w:sz="4" w:space="0" w:color="auto"/>
              <w:bottom w:val="single" w:sz="4" w:space="0" w:color="auto"/>
              <w:right w:val="single" w:sz="4" w:space="0" w:color="auto"/>
            </w:tcBorders>
          </w:tcPr>
          <w:p w14:paraId="57661DA8" w14:textId="77777777" w:rsidR="0039420A" w:rsidRPr="006A4741" w:rsidRDefault="0039420A" w:rsidP="006A4741">
            <w:pPr>
              <w:snapToGrid w:val="0"/>
              <w:ind w:left="601"/>
              <w:rPr>
                <w:i/>
                <w:sz w:val="16"/>
                <w:szCs w:val="16"/>
                <w:lang w:val="lv-LV"/>
              </w:rPr>
            </w:pPr>
            <w:r w:rsidRPr="006A4741">
              <w:rPr>
                <w:rFonts w:eastAsia="Calibri"/>
                <w:bCs/>
                <w:i/>
                <w:snapToGrid/>
                <w:sz w:val="16"/>
                <w:szCs w:val="16"/>
                <w:lang w:val="lv-LV" w:eastAsia="lv-LV"/>
              </w:rPr>
              <w:t>Svinu nesaturošais benzīns, kuram tiek pievienots etilspirts (</w:t>
            </w:r>
            <w:proofErr w:type="spellStart"/>
            <w:r w:rsidRPr="006A4741">
              <w:rPr>
                <w:rFonts w:eastAsia="Calibri"/>
                <w:bCs/>
                <w:i/>
                <w:snapToGrid/>
                <w:sz w:val="16"/>
                <w:szCs w:val="16"/>
                <w:lang w:val="lv-LV" w:eastAsia="lv-LV"/>
              </w:rPr>
              <w:t>bio</w:t>
            </w:r>
            <w:proofErr w:type="spellEnd"/>
            <w:r w:rsidRPr="006A4741">
              <w:rPr>
                <w:rFonts w:eastAsia="Calibri"/>
                <w:bCs/>
                <w:i/>
                <w:snapToGrid/>
                <w:sz w:val="16"/>
                <w:szCs w:val="16"/>
                <w:lang w:val="lv-LV" w:eastAsia="lv-LV"/>
              </w:rPr>
              <w:t xml:space="preserve"> 85%) (E85)</w:t>
            </w:r>
          </w:p>
        </w:tc>
        <w:tc>
          <w:tcPr>
            <w:tcW w:w="810" w:type="dxa"/>
            <w:tcBorders>
              <w:top w:val="single" w:sz="4" w:space="0" w:color="auto"/>
              <w:left w:val="single" w:sz="4" w:space="0" w:color="auto"/>
              <w:bottom w:val="single" w:sz="4" w:space="0" w:color="auto"/>
              <w:right w:val="single" w:sz="4" w:space="0" w:color="auto"/>
            </w:tcBorders>
            <w:noWrap/>
          </w:tcPr>
          <w:p w14:paraId="038C962B" w14:textId="77777777" w:rsidR="0039420A" w:rsidRPr="009D600D" w:rsidRDefault="0039420A" w:rsidP="009D600D">
            <w:pPr>
              <w:snapToGrid w:val="0"/>
              <w:jc w:val="center"/>
              <w:rPr>
                <w:sz w:val="16"/>
                <w:szCs w:val="16"/>
              </w:rPr>
            </w:pPr>
            <w:r w:rsidRPr="009D600D">
              <w:rPr>
                <w:sz w:val="16"/>
                <w:szCs w:val="16"/>
              </w:rPr>
              <w:t>-</w:t>
            </w:r>
          </w:p>
        </w:tc>
        <w:tc>
          <w:tcPr>
            <w:tcW w:w="1046" w:type="dxa"/>
            <w:tcBorders>
              <w:top w:val="single" w:sz="4" w:space="0" w:color="auto"/>
              <w:left w:val="single" w:sz="4" w:space="0" w:color="auto"/>
              <w:bottom w:val="single" w:sz="4" w:space="0" w:color="auto"/>
              <w:right w:val="single" w:sz="4" w:space="0" w:color="auto"/>
            </w:tcBorders>
          </w:tcPr>
          <w:p w14:paraId="4369A4D2" w14:textId="77777777" w:rsidR="0039420A" w:rsidRPr="001C743B" w:rsidRDefault="0039420A">
            <w:pPr>
              <w:snapToGrid w:val="0"/>
              <w:jc w:val="right"/>
              <w:rPr>
                <w:sz w:val="16"/>
                <w:szCs w:val="16"/>
              </w:rPr>
            </w:pPr>
            <w:r>
              <w:rPr>
                <w:sz w:val="16"/>
                <w:szCs w:val="16"/>
              </w:rPr>
              <w:t>0,030</w:t>
            </w:r>
          </w:p>
        </w:tc>
        <w:tc>
          <w:tcPr>
            <w:tcW w:w="992" w:type="dxa"/>
            <w:tcBorders>
              <w:top w:val="single" w:sz="4" w:space="0" w:color="auto"/>
              <w:left w:val="single" w:sz="4" w:space="0" w:color="auto"/>
              <w:bottom w:val="single" w:sz="4" w:space="0" w:color="auto"/>
              <w:right w:val="single" w:sz="4" w:space="0" w:color="auto"/>
            </w:tcBorders>
          </w:tcPr>
          <w:p w14:paraId="46E4E4C7" w14:textId="77777777" w:rsidR="0039420A" w:rsidRPr="001C743B" w:rsidRDefault="0039420A">
            <w:pPr>
              <w:snapToGrid w:val="0"/>
              <w:jc w:val="right"/>
              <w:rPr>
                <w:sz w:val="16"/>
                <w:szCs w:val="16"/>
              </w:rPr>
            </w:pPr>
            <w:r>
              <w:rPr>
                <w:sz w:val="16"/>
                <w:szCs w:val="16"/>
              </w:rPr>
              <w:t>0,028</w:t>
            </w:r>
          </w:p>
        </w:tc>
        <w:tc>
          <w:tcPr>
            <w:tcW w:w="1081" w:type="dxa"/>
            <w:tcBorders>
              <w:top w:val="single" w:sz="4" w:space="0" w:color="auto"/>
              <w:left w:val="single" w:sz="4" w:space="0" w:color="auto"/>
              <w:bottom w:val="single" w:sz="4" w:space="0" w:color="auto"/>
              <w:right w:val="single" w:sz="4" w:space="0" w:color="auto"/>
            </w:tcBorders>
            <w:noWrap/>
          </w:tcPr>
          <w:p w14:paraId="562993FD" w14:textId="77777777" w:rsidR="0039420A" w:rsidRPr="00A45113" w:rsidRDefault="0039420A">
            <w:pPr>
              <w:snapToGrid w:val="0"/>
              <w:jc w:val="right"/>
              <w:rPr>
                <w:sz w:val="16"/>
                <w:szCs w:val="16"/>
              </w:rPr>
            </w:pPr>
            <w:r>
              <w:rPr>
                <w:sz w:val="16"/>
                <w:szCs w:val="16"/>
              </w:rPr>
              <w:t>0,082</w:t>
            </w:r>
          </w:p>
        </w:tc>
      </w:tr>
      <w:tr w:rsidR="0039420A" w14:paraId="043CEA3C" w14:textId="77777777" w:rsidTr="006F42E0">
        <w:trPr>
          <w:trHeight w:val="166"/>
          <w:jc w:val="center"/>
        </w:trPr>
        <w:tc>
          <w:tcPr>
            <w:tcW w:w="1084" w:type="dxa"/>
            <w:vMerge/>
            <w:tcBorders>
              <w:left w:val="single" w:sz="4" w:space="0" w:color="auto"/>
              <w:right w:val="single" w:sz="4" w:space="0" w:color="auto"/>
            </w:tcBorders>
            <w:vAlign w:val="center"/>
          </w:tcPr>
          <w:p w14:paraId="0A44DE99" w14:textId="77777777" w:rsidR="0039420A" w:rsidRDefault="0039420A"/>
        </w:tc>
        <w:tc>
          <w:tcPr>
            <w:tcW w:w="3956" w:type="dxa"/>
            <w:tcBorders>
              <w:top w:val="single" w:sz="4" w:space="0" w:color="auto"/>
              <w:left w:val="single" w:sz="4" w:space="0" w:color="auto"/>
              <w:bottom w:val="single" w:sz="4" w:space="0" w:color="auto"/>
              <w:right w:val="single" w:sz="4" w:space="0" w:color="auto"/>
            </w:tcBorders>
          </w:tcPr>
          <w:p w14:paraId="0F1C5200" w14:textId="77777777" w:rsidR="0039420A" w:rsidRPr="006A4741" w:rsidRDefault="0039420A" w:rsidP="006A4741">
            <w:pPr>
              <w:snapToGrid w:val="0"/>
              <w:ind w:left="601"/>
              <w:rPr>
                <w:i/>
                <w:sz w:val="16"/>
                <w:szCs w:val="16"/>
                <w:lang w:val="lv-LV"/>
              </w:rPr>
            </w:pPr>
            <w:r w:rsidRPr="006A4741">
              <w:rPr>
                <w:rFonts w:eastAsia="Calibri"/>
                <w:bCs/>
                <w:i/>
                <w:snapToGrid/>
                <w:sz w:val="16"/>
                <w:szCs w:val="16"/>
                <w:lang w:val="lv-LV" w:eastAsia="lv-LV"/>
              </w:rPr>
              <w:t>Dīzeļdegviela (</w:t>
            </w:r>
            <w:proofErr w:type="spellStart"/>
            <w:r w:rsidRPr="006A4741">
              <w:rPr>
                <w:rFonts w:eastAsia="Calibri"/>
                <w:bCs/>
                <w:i/>
                <w:snapToGrid/>
                <w:sz w:val="16"/>
                <w:szCs w:val="16"/>
                <w:lang w:val="lv-LV" w:eastAsia="lv-LV"/>
              </w:rPr>
              <w:t>bio</w:t>
            </w:r>
            <w:proofErr w:type="spellEnd"/>
            <w:r w:rsidRPr="006A4741">
              <w:rPr>
                <w:rFonts w:eastAsia="Calibri"/>
                <w:bCs/>
                <w:i/>
                <w:snapToGrid/>
                <w:sz w:val="16"/>
                <w:szCs w:val="16"/>
                <w:lang w:val="lv-LV" w:eastAsia="lv-LV"/>
              </w:rPr>
              <w:t xml:space="preserve"> vismaz 30%) (</w:t>
            </w:r>
            <w:r w:rsidRPr="006A4741">
              <w:rPr>
                <w:rFonts w:eastAsia="Calibri"/>
                <w:i/>
                <w:snapToGrid/>
                <w:sz w:val="16"/>
                <w:szCs w:val="16"/>
                <w:lang w:val="lv-LV" w:eastAsia="lv-LV"/>
              </w:rPr>
              <w:t>B30)</w:t>
            </w:r>
          </w:p>
        </w:tc>
        <w:tc>
          <w:tcPr>
            <w:tcW w:w="810" w:type="dxa"/>
            <w:tcBorders>
              <w:top w:val="single" w:sz="4" w:space="0" w:color="auto"/>
              <w:left w:val="single" w:sz="4" w:space="0" w:color="auto"/>
              <w:bottom w:val="single" w:sz="4" w:space="0" w:color="auto"/>
              <w:right w:val="single" w:sz="4" w:space="0" w:color="auto"/>
            </w:tcBorders>
            <w:noWrap/>
          </w:tcPr>
          <w:p w14:paraId="4C82893D" w14:textId="77777777" w:rsidR="0039420A" w:rsidRPr="009D600D" w:rsidRDefault="0039420A" w:rsidP="009D600D">
            <w:pPr>
              <w:snapToGrid w:val="0"/>
              <w:jc w:val="center"/>
              <w:rPr>
                <w:sz w:val="16"/>
                <w:szCs w:val="16"/>
              </w:rPr>
            </w:pPr>
            <w:r w:rsidRPr="009D600D">
              <w:rPr>
                <w:sz w:val="16"/>
                <w:szCs w:val="16"/>
              </w:rPr>
              <w:t>-</w:t>
            </w:r>
          </w:p>
        </w:tc>
        <w:tc>
          <w:tcPr>
            <w:tcW w:w="1046" w:type="dxa"/>
            <w:tcBorders>
              <w:top w:val="single" w:sz="4" w:space="0" w:color="auto"/>
              <w:left w:val="single" w:sz="4" w:space="0" w:color="auto"/>
              <w:bottom w:val="single" w:sz="4" w:space="0" w:color="auto"/>
              <w:right w:val="single" w:sz="4" w:space="0" w:color="auto"/>
            </w:tcBorders>
          </w:tcPr>
          <w:p w14:paraId="46D7CEB0" w14:textId="77777777" w:rsidR="0039420A" w:rsidRPr="001C743B" w:rsidRDefault="0039420A">
            <w:pPr>
              <w:snapToGrid w:val="0"/>
              <w:jc w:val="right"/>
              <w:rPr>
                <w:sz w:val="16"/>
                <w:szCs w:val="16"/>
              </w:rPr>
            </w:pPr>
            <w:r>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14:paraId="6021147F" w14:textId="77777777" w:rsidR="0039420A" w:rsidRPr="001C743B" w:rsidRDefault="0039420A">
            <w:pPr>
              <w:snapToGrid w:val="0"/>
              <w:jc w:val="right"/>
              <w:rPr>
                <w:sz w:val="16"/>
                <w:szCs w:val="16"/>
              </w:rPr>
            </w:pPr>
            <w:r>
              <w:rPr>
                <w:sz w:val="16"/>
                <w:szCs w:val="16"/>
              </w:rPr>
              <w:t>0,0</w:t>
            </w:r>
          </w:p>
        </w:tc>
        <w:tc>
          <w:tcPr>
            <w:tcW w:w="1081" w:type="dxa"/>
            <w:tcBorders>
              <w:top w:val="single" w:sz="4" w:space="0" w:color="auto"/>
              <w:left w:val="single" w:sz="4" w:space="0" w:color="auto"/>
              <w:bottom w:val="single" w:sz="4" w:space="0" w:color="auto"/>
              <w:right w:val="single" w:sz="4" w:space="0" w:color="auto"/>
            </w:tcBorders>
            <w:noWrap/>
          </w:tcPr>
          <w:p w14:paraId="701C2ED1" w14:textId="77777777" w:rsidR="0039420A" w:rsidRPr="00A45113" w:rsidRDefault="0039420A">
            <w:pPr>
              <w:snapToGrid w:val="0"/>
              <w:jc w:val="right"/>
              <w:rPr>
                <w:sz w:val="16"/>
                <w:szCs w:val="16"/>
              </w:rPr>
            </w:pPr>
            <w:r>
              <w:rPr>
                <w:sz w:val="16"/>
                <w:szCs w:val="16"/>
              </w:rPr>
              <w:t>0,0</w:t>
            </w:r>
          </w:p>
        </w:tc>
      </w:tr>
      <w:tr w:rsidR="0039420A" w14:paraId="648862AA" w14:textId="77777777" w:rsidTr="006F42E0">
        <w:trPr>
          <w:trHeight w:val="166"/>
          <w:jc w:val="center"/>
        </w:trPr>
        <w:tc>
          <w:tcPr>
            <w:tcW w:w="1084" w:type="dxa"/>
            <w:vMerge/>
            <w:tcBorders>
              <w:left w:val="single" w:sz="4" w:space="0" w:color="auto"/>
              <w:right w:val="single" w:sz="4" w:space="0" w:color="auto"/>
            </w:tcBorders>
            <w:vAlign w:val="center"/>
            <w:hideMark/>
          </w:tcPr>
          <w:p w14:paraId="2FF2BF43" w14:textId="77777777" w:rsidR="0039420A" w:rsidRDefault="0039420A"/>
        </w:tc>
        <w:tc>
          <w:tcPr>
            <w:tcW w:w="3956" w:type="dxa"/>
            <w:tcBorders>
              <w:top w:val="single" w:sz="4" w:space="0" w:color="auto"/>
              <w:left w:val="single" w:sz="4" w:space="0" w:color="auto"/>
              <w:bottom w:val="single" w:sz="4" w:space="0" w:color="auto"/>
              <w:right w:val="single" w:sz="4" w:space="0" w:color="auto"/>
            </w:tcBorders>
          </w:tcPr>
          <w:p w14:paraId="0EA0416A" w14:textId="77777777" w:rsidR="0039420A" w:rsidRPr="006A4741" w:rsidRDefault="0039420A" w:rsidP="006A4741">
            <w:pPr>
              <w:snapToGrid w:val="0"/>
              <w:ind w:left="601"/>
              <w:rPr>
                <w:i/>
                <w:sz w:val="16"/>
                <w:szCs w:val="16"/>
                <w:lang w:val="lv-LV"/>
              </w:rPr>
            </w:pPr>
            <w:r w:rsidRPr="006A4741">
              <w:rPr>
                <w:i/>
                <w:sz w:val="16"/>
                <w:szCs w:val="16"/>
                <w:lang w:val="lv-LV"/>
              </w:rPr>
              <w:t>Biodīzeļdegviela (100%)</w:t>
            </w:r>
          </w:p>
        </w:tc>
        <w:tc>
          <w:tcPr>
            <w:tcW w:w="810" w:type="dxa"/>
            <w:tcBorders>
              <w:top w:val="single" w:sz="4" w:space="0" w:color="auto"/>
              <w:left w:val="single" w:sz="4" w:space="0" w:color="auto"/>
              <w:bottom w:val="single" w:sz="4" w:space="0" w:color="auto"/>
              <w:right w:val="single" w:sz="4" w:space="0" w:color="auto"/>
            </w:tcBorders>
            <w:noWrap/>
          </w:tcPr>
          <w:p w14:paraId="34FA2B58" w14:textId="77777777" w:rsidR="0039420A" w:rsidRPr="009D600D" w:rsidRDefault="0039420A" w:rsidP="009D600D">
            <w:pPr>
              <w:snapToGrid w:val="0"/>
              <w:jc w:val="center"/>
              <w:rPr>
                <w:sz w:val="16"/>
              </w:rPr>
            </w:pPr>
            <w:r w:rsidRPr="009D600D">
              <w:rPr>
                <w:sz w:val="16"/>
              </w:rPr>
              <w:t>-</w:t>
            </w:r>
          </w:p>
        </w:tc>
        <w:tc>
          <w:tcPr>
            <w:tcW w:w="1046" w:type="dxa"/>
            <w:tcBorders>
              <w:top w:val="single" w:sz="4" w:space="0" w:color="auto"/>
              <w:left w:val="single" w:sz="4" w:space="0" w:color="auto"/>
              <w:bottom w:val="single" w:sz="4" w:space="0" w:color="auto"/>
              <w:right w:val="single" w:sz="4" w:space="0" w:color="auto"/>
            </w:tcBorders>
          </w:tcPr>
          <w:p w14:paraId="7C5D8C68" w14:textId="77777777" w:rsidR="0039420A" w:rsidRDefault="0039420A">
            <w:pPr>
              <w:snapToGrid w:val="0"/>
              <w:jc w:val="right"/>
              <w:rPr>
                <w:sz w:val="16"/>
              </w:rPr>
            </w:pPr>
            <w:r>
              <w:rPr>
                <w:sz w:val="16"/>
              </w:rPr>
              <w:t>0,294</w:t>
            </w:r>
          </w:p>
        </w:tc>
        <w:tc>
          <w:tcPr>
            <w:tcW w:w="992" w:type="dxa"/>
            <w:tcBorders>
              <w:top w:val="single" w:sz="4" w:space="0" w:color="auto"/>
              <w:left w:val="single" w:sz="4" w:space="0" w:color="auto"/>
              <w:bottom w:val="single" w:sz="4" w:space="0" w:color="auto"/>
              <w:right w:val="single" w:sz="4" w:space="0" w:color="auto"/>
            </w:tcBorders>
          </w:tcPr>
          <w:p w14:paraId="2BE06FE3" w14:textId="77777777" w:rsidR="0039420A" w:rsidRDefault="0039420A">
            <w:pPr>
              <w:snapToGrid w:val="0"/>
              <w:jc w:val="right"/>
              <w:rPr>
                <w:sz w:val="16"/>
              </w:rPr>
            </w:pPr>
            <w:r>
              <w:rPr>
                <w:sz w:val="16"/>
              </w:rPr>
              <w:t>0,203</w:t>
            </w:r>
          </w:p>
        </w:tc>
        <w:tc>
          <w:tcPr>
            <w:tcW w:w="1081" w:type="dxa"/>
            <w:tcBorders>
              <w:top w:val="single" w:sz="4" w:space="0" w:color="auto"/>
              <w:left w:val="single" w:sz="4" w:space="0" w:color="auto"/>
              <w:bottom w:val="single" w:sz="4" w:space="0" w:color="auto"/>
              <w:right w:val="single" w:sz="4" w:space="0" w:color="auto"/>
            </w:tcBorders>
            <w:noWrap/>
          </w:tcPr>
          <w:p w14:paraId="5C3125EA" w14:textId="77777777" w:rsidR="0039420A" w:rsidRDefault="0039420A">
            <w:pPr>
              <w:snapToGrid w:val="0"/>
              <w:jc w:val="right"/>
              <w:rPr>
                <w:sz w:val="16"/>
              </w:rPr>
            </w:pPr>
            <w:r>
              <w:rPr>
                <w:sz w:val="16"/>
              </w:rPr>
              <w:t>0,707</w:t>
            </w:r>
          </w:p>
        </w:tc>
      </w:tr>
      <w:tr w:rsidR="0039420A" w14:paraId="098A2536" w14:textId="77777777" w:rsidTr="006F42E0">
        <w:trPr>
          <w:trHeight w:val="166"/>
          <w:jc w:val="center"/>
        </w:trPr>
        <w:tc>
          <w:tcPr>
            <w:tcW w:w="1084" w:type="dxa"/>
            <w:vMerge/>
            <w:tcBorders>
              <w:left w:val="single" w:sz="4" w:space="0" w:color="auto"/>
              <w:right w:val="single" w:sz="4" w:space="0" w:color="auto"/>
            </w:tcBorders>
            <w:vAlign w:val="center"/>
          </w:tcPr>
          <w:p w14:paraId="5F3DF9BC" w14:textId="77777777" w:rsidR="0039420A" w:rsidRDefault="0039420A"/>
        </w:tc>
        <w:tc>
          <w:tcPr>
            <w:tcW w:w="3956" w:type="dxa"/>
            <w:tcBorders>
              <w:top w:val="single" w:sz="4" w:space="0" w:color="auto"/>
              <w:left w:val="single" w:sz="4" w:space="0" w:color="auto"/>
              <w:bottom w:val="single" w:sz="4" w:space="0" w:color="auto"/>
              <w:right w:val="single" w:sz="4" w:space="0" w:color="auto"/>
            </w:tcBorders>
          </w:tcPr>
          <w:p w14:paraId="67A2834D" w14:textId="77777777" w:rsidR="0039420A" w:rsidRPr="006A4741" w:rsidRDefault="0039420A" w:rsidP="009D600D">
            <w:pPr>
              <w:snapToGrid w:val="0"/>
              <w:ind w:left="601"/>
              <w:jc w:val="right"/>
              <w:rPr>
                <w:i/>
                <w:sz w:val="16"/>
                <w:szCs w:val="16"/>
                <w:lang w:val="lv-LV"/>
              </w:rPr>
            </w:pPr>
            <w:r>
              <w:rPr>
                <w:i/>
                <w:sz w:val="16"/>
                <w:szCs w:val="16"/>
                <w:lang w:val="lv-LV"/>
              </w:rPr>
              <w:t>KOPĀ:</w:t>
            </w:r>
          </w:p>
        </w:tc>
        <w:tc>
          <w:tcPr>
            <w:tcW w:w="810" w:type="dxa"/>
            <w:tcBorders>
              <w:top w:val="single" w:sz="4" w:space="0" w:color="auto"/>
              <w:left w:val="single" w:sz="4" w:space="0" w:color="auto"/>
              <w:bottom w:val="single" w:sz="4" w:space="0" w:color="auto"/>
              <w:right w:val="single" w:sz="4" w:space="0" w:color="auto"/>
            </w:tcBorders>
            <w:noWrap/>
          </w:tcPr>
          <w:p w14:paraId="6094114A" w14:textId="77777777" w:rsidR="0039420A" w:rsidRPr="009D600D" w:rsidRDefault="0039420A" w:rsidP="009D600D">
            <w:pPr>
              <w:snapToGrid w:val="0"/>
              <w:jc w:val="center"/>
              <w:rPr>
                <w:sz w:val="16"/>
              </w:rPr>
            </w:pPr>
          </w:p>
        </w:tc>
        <w:tc>
          <w:tcPr>
            <w:tcW w:w="1046" w:type="dxa"/>
            <w:tcBorders>
              <w:top w:val="single" w:sz="4" w:space="0" w:color="auto"/>
              <w:left w:val="single" w:sz="4" w:space="0" w:color="auto"/>
              <w:bottom w:val="single" w:sz="4" w:space="0" w:color="auto"/>
              <w:right w:val="single" w:sz="4" w:space="0" w:color="auto"/>
            </w:tcBorders>
          </w:tcPr>
          <w:p w14:paraId="2B682870" w14:textId="6B1D22AC" w:rsidR="0039420A" w:rsidRPr="005E3E9A" w:rsidRDefault="006F42E0" w:rsidP="006F42E0">
            <w:pPr>
              <w:snapToGrid w:val="0"/>
              <w:jc w:val="right"/>
              <w:rPr>
                <w:b/>
                <w:sz w:val="16"/>
              </w:rPr>
            </w:pPr>
            <w:r>
              <w:rPr>
                <w:b/>
                <w:sz w:val="16"/>
              </w:rPr>
              <w:t>6</w:t>
            </w:r>
            <w:r w:rsidR="0039420A" w:rsidRPr="005E3E9A">
              <w:rPr>
                <w:b/>
                <w:sz w:val="16"/>
              </w:rPr>
              <w:t>,</w:t>
            </w:r>
            <w:r>
              <w:rPr>
                <w:b/>
                <w:sz w:val="16"/>
              </w:rPr>
              <w:t>161</w:t>
            </w:r>
          </w:p>
        </w:tc>
        <w:tc>
          <w:tcPr>
            <w:tcW w:w="992" w:type="dxa"/>
            <w:tcBorders>
              <w:top w:val="single" w:sz="4" w:space="0" w:color="auto"/>
              <w:left w:val="single" w:sz="4" w:space="0" w:color="auto"/>
              <w:bottom w:val="single" w:sz="4" w:space="0" w:color="auto"/>
              <w:right w:val="single" w:sz="4" w:space="0" w:color="auto"/>
            </w:tcBorders>
          </w:tcPr>
          <w:p w14:paraId="55E42162" w14:textId="3ABACC2C" w:rsidR="0039420A" w:rsidRPr="005E3E9A" w:rsidRDefault="006F42E0" w:rsidP="006F42E0">
            <w:pPr>
              <w:snapToGrid w:val="0"/>
              <w:jc w:val="right"/>
              <w:rPr>
                <w:b/>
                <w:sz w:val="16"/>
              </w:rPr>
            </w:pPr>
            <w:r>
              <w:rPr>
                <w:b/>
                <w:sz w:val="16"/>
              </w:rPr>
              <w:t>8</w:t>
            </w:r>
            <w:r w:rsidR="0039420A" w:rsidRPr="005E3E9A">
              <w:rPr>
                <w:b/>
                <w:sz w:val="16"/>
              </w:rPr>
              <w:t>,</w:t>
            </w:r>
            <w:r>
              <w:rPr>
                <w:b/>
                <w:sz w:val="16"/>
              </w:rPr>
              <w:t>212</w:t>
            </w:r>
          </w:p>
        </w:tc>
        <w:tc>
          <w:tcPr>
            <w:tcW w:w="1081" w:type="dxa"/>
            <w:tcBorders>
              <w:top w:val="single" w:sz="4" w:space="0" w:color="auto"/>
              <w:left w:val="single" w:sz="4" w:space="0" w:color="auto"/>
              <w:bottom w:val="single" w:sz="4" w:space="0" w:color="auto"/>
              <w:right w:val="single" w:sz="4" w:space="0" w:color="auto"/>
            </w:tcBorders>
            <w:noWrap/>
          </w:tcPr>
          <w:p w14:paraId="2BE19E7E" w14:textId="4FE87804" w:rsidR="0039420A" w:rsidRPr="005E3E9A" w:rsidRDefault="00370E48" w:rsidP="00370E48">
            <w:pPr>
              <w:snapToGrid w:val="0"/>
              <w:jc w:val="right"/>
              <w:rPr>
                <w:b/>
                <w:sz w:val="16"/>
              </w:rPr>
            </w:pPr>
            <w:r>
              <w:rPr>
                <w:b/>
                <w:sz w:val="16"/>
              </w:rPr>
              <w:t>20</w:t>
            </w:r>
            <w:r w:rsidR="0039420A" w:rsidRPr="005E3E9A">
              <w:rPr>
                <w:b/>
                <w:sz w:val="16"/>
              </w:rPr>
              <w:t>,</w:t>
            </w:r>
            <w:r>
              <w:rPr>
                <w:b/>
                <w:sz w:val="16"/>
              </w:rPr>
              <w:t>451</w:t>
            </w:r>
          </w:p>
        </w:tc>
      </w:tr>
      <w:tr w:rsidR="0039420A" w14:paraId="491A8E69" w14:textId="77777777" w:rsidTr="006F42E0">
        <w:trPr>
          <w:trHeight w:val="166"/>
          <w:jc w:val="center"/>
        </w:trPr>
        <w:tc>
          <w:tcPr>
            <w:tcW w:w="1084" w:type="dxa"/>
            <w:vMerge/>
            <w:tcBorders>
              <w:left w:val="single" w:sz="4" w:space="0" w:color="auto"/>
              <w:right w:val="single" w:sz="4" w:space="0" w:color="auto"/>
            </w:tcBorders>
            <w:vAlign w:val="center"/>
            <w:hideMark/>
          </w:tcPr>
          <w:p w14:paraId="13C24F81" w14:textId="77777777" w:rsidR="0039420A" w:rsidRDefault="0039420A"/>
        </w:tc>
        <w:tc>
          <w:tcPr>
            <w:tcW w:w="3956" w:type="dxa"/>
            <w:tcBorders>
              <w:top w:val="single" w:sz="4" w:space="0" w:color="auto"/>
              <w:left w:val="single" w:sz="4" w:space="0" w:color="auto"/>
              <w:bottom w:val="single" w:sz="4" w:space="0" w:color="auto"/>
              <w:right w:val="single" w:sz="4" w:space="0" w:color="auto"/>
            </w:tcBorders>
          </w:tcPr>
          <w:p w14:paraId="2070B4E6" w14:textId="77777777" w:rsidR="0039420A" w:rsidRPr="006A4741" w:rsidRDefault="0039420A">
            <w:pPr>
              <w:snapToGrid w:val="0"/>
              <w:rPr>
                <w:sz w:val="16"/>
                <w:szCs w:val="16"/>
                <w:lang w:val="lv-LV"/>
              </w:rPr>
            </w:pPr>
            <w:r w:rsidRPr="006A4741">
              <w:rPr>
                <w:sz w:val="16"/>
                <w:szCs w:val="16"/>
                <w:lang w:val="lv-LV"/>
              </w:rPr>
              <w:t>Elektroenerģijas nodokļa atbrīvojums</w:t>
            </w:r>
          </w:p>
        </w:tc>
        <w:tc>
          <w:tcPr>
            <w:tcW w:w="810" w:type="dxa"/>
            <w:tcBorders>
              <w:top w:val="single" w:sz="4" w:space="0" w:color="auto"/>
              <w:left w:val="single" w:sz="4" w:space="0" w:color="auto"/>
              <w:bottom w:val="single" w:sz="4" w:space="0" w:color="auto"/>
              <w:right w:val="single" w:sz="4" w:space="0" w:color="auto"/>
            </w:tcBorders>
            <w:noWrap/>
          </w:tcPr>
          <w:p w14:paraId="1ED89567" w14:textId="77777777" w:rsidR="0039420A" w:rsidRPr="009D600D" w:rsidRDefault="0039420A" w:rsidP="009D600D">
            <w:pPr>
              <w:snapToGrid w:val="0"/>
              <w:jc w:val="center"/>
              <w:rPr>
                <w:sz w:val="16"/>
                <w:szCs w:val="16"/>
              </w:rPr>
            </w:pPr>
          </w:p>
        </w:tc>
        <w:tc>
          <w:tcPr>
            <w:tcW w:w="1046" w:type="dxa"/>
            <w:tcBorders>
              <w:top w:val="single" w:sz="4" w:space="0" w:color="auto"/>
              <w:left w:val="single" w:sz="4" w:space="0" w:color="auto"/>
              <w:bottom w:val="single" w:sz="4" w:space="0" w:color="auto"/>
              <w:right w:val="single" w:sz="4" w:space="0" w:color="auto"/>
            </w:tcBorders>
          </w:tcPr>
          <w:p w14:paraId="75E84C95" w14:textId="77777777" w:rsidR="0039420A" w:rsidRPr="006A4741" w:rsidRDefault="0039420A">
            <w:pPr>
              <w:snapToGrid w:val="0"/>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6BCEEADC" w14:textId="77777777" w:rsidR="0039420A" w:rsidRPr="006A4741" w:rsidRDefault="0039420A">
            <w:pPr>
              <w:snapToGrid w:val="0"/>
              <w:jc w:val="right"/>
              <w:rPr>
                <w:sz w:val="16"/>
                <w:szCs w:val="16"/>
              </w:rPr>
            </w:pPr>
          </w:p>
        </w:tc>
        <w:tc>
          <w:tcPr>
            <w:tcW w:w="1081" w:type="dxa"/>
            <w:tcBorders>
              <w:top w:val="single" w:sz="4" w:space="0" w:color="auto"/>
              <w:left w:val="single" w:sz="4" w:space="0" w:color="auto"/>
              <w:bottom w:val="single" w:sz="4" w:space="0" w:color="auto"/>
              <w:right w:val="single" w:sz="4" w:space="0" w:color="auto"/>
            </w:tcBorders>
            <w:noWrap/>
          </w:tcPr>
          <w:p w14:paraId="7C14E823" w14:textId="77777777" w:rsidR="0039420A" w:rsidRDefault="0039420A">
            <w:pPr>
              <w:snapToGrid w:val="0"/>
              <w:jc w:val="right"/>
              <w:rPr>
                <w:sz w:val="16"/>
              </w:rPr>
            </w:pPr>
          </w:p>
        </w:tc>
      </w:tr>
      <w:tr w:rsidR="0039420A" w14:paraId="6E76F004" w14:textId="77777777" w:rsidTr="006F42E0">
        <w:trPr>
          <w:trHeight w:val="166"/>
          <w:jc w:val="center"/>
        </w:trPr>
        <w:tc>
          <w:tcPr>
            <w:tcW w:w="1084" w:type="dxa"/>
            <w:vMerge/>
            <w:tcBorders>
              <w:left w:val="single" w:sz="4" w:space="0" w:color="auto"/>
              <w:right w:val="single" w:sz="4" w:space="0" w:color="auto"/>
            </w:tcBorders>
            <w:vAlign w:val="center"/>
            <w:hideMark/>
          </w:tcPr>
          <w:p w14:paraId="1AD62A30" w14:textId="77777777" w:rsidR="0039420A" w:rsidRDefault="0039420A"/>
        </w:tc>
        <w:tc>
          <w:tcPr>
            <w:tcW w:w="3956" w:type="dxa"/>
            <w:tcBorders>
              <w:top w:val="single" w:sz="4" w:space="0" w:color="auto"/>
              <w:left w:val="single" w:sz="4" w:space="0" w:color="auto"/>
              <w:bottom w:val="single" w:sz="4" w:space="0" w:color="auto"/>
              <w:right w:val="single" w:sz="4" w:space="0" w:color="auto"/>
            </w:tcBorders>
          </w:tcPr>
          <w:p w14:paraId="251D3753" w14:textId="77777777" w:rsidR="0039420A" w:rsidRPr="006A4741" w:rsidRDefault="0039420A" w:rsidP="006A4741">
            <w:pPr>
              <w:snapToGrid w:val="0"/>
              <w:ind w:left="601"/>
              <w:rPr>
                <w:i/>
                <w:sz w:val="16"/>
                <w:szCs w:val="16"/>
                <w:lang w:val="lv-LV"/>
              </w:rPr>
            </w:pPr>
            <w:r w:rsidRPr="006A4741">
              <w:rPr>
                <w:i/>
                <w:sz w:val="16"/>
                <w:szCs w:val="16"/>
                <w:lang w:val="lv-LV"/>
              </w:rPr>
              <w:t xml:space="preserve">Elektroenerģija, kas atbrīvota no nodokļa saskaņā ar Elektroenerģijas nodokļa likuma </w:t>
            </w:r>
            <w:r w:rsidRPr="006A4741">
              <w:rPr>
                <w:i/>
                <w:sz w:val="16"/>
                <w:szCs w:val="16"/>
                <w:lang w:val="lv-LV"/>
              </w:rPr>
              <w:lastRenderedPageBreak/>
              <w:t>6.panta pirmo daļu</w:t>
            </w:r>
          </w:p>
        </w:tc>
        <w:tc>
          <w:tcPr>
            <w:tcW w:w="810" w:type="dxa"/>
            <w:tcBorders>
              <w:top w:val="single" w:sz="4" w:space="0" w:color="auto"/>
              <w:left w:val="single" w:sz="4" w:space="0" w:color="auto"/>
              <w:bottom w:val="single" w:sz="4" w:space="0" w:color="auto"/>
              <w:right w:val="single" w:sz="4" w:space="0" w:color="auto"/>
            </w:tcBorders>
            <w:noWrap/>
          </w:tcPr>
          <w:p w14:paraId="6CE0345B" w14:textId="77777777" w:rsidR="0039420A" w:rsidRPr="009D600D" w:rsidRDefault="0039420A" w:rsidP="009D600D">
            <w:pPr>
              <w:snapToGrid w:val="0"/>
              <w:jc w:val="center"/>
              <w:rPr>
                <w:sz w:val="16"/>
                <w:szCs w:val="16"/>
              </w:rPr>
            </w:pPr>
            <w:r w:rsidRPr="009D600D">
              <w:rPr>
                <w:sz w:val="16"/>
                <w:szCs w:val="16"/>
              </w:rPr>
              <w:lastRenderedPageBreak/>
              <w:t>-</w:t>
            </w:r>
          </w:p>
        </w:tc>
        <w:tc>
          <w:tcPr>
            <w:tcW w:w="1046" w:type="dxa"/>
            <w:tcBorders>
              <w:top w:val="single" w:sz="4" w:space="0" w:color="auto"/>
              <w:left w:val="single" w:sz="4" w:space="0" w:color="auto"/>
              <w:bottom w:val="single" w:sz="4" w:space="0" w:color="auto"/>
              <w:right w:val="single" w:sz="4" w:space="0" w:color="auto"/>
            </w:tcBorders>
          </w:tcPr>
          <w:p w14:paraId="704572A7" w14:textId="77777777" w:rsidR="0039420A" w:rsidRPr="006A4741" w:rsidRDefault="0039420A">
            <w:pPr>
              <w:snapToGrid w:val="0"/>
              <w:jc w:val="right"/>
              <w:rPr>
                <w:sz w:val="16"/>
                <w:szCs w:val="16"/>
              </w:rPr>
            </w:pPr>
            <w:r>
              <w:rPr>
                <w:sz w:val="16"/>
                <w:szCs w:val="16"/>
              </w:rPr>
              <w:t>4,131</w:t>
            </w:r>
          </w:p>
        </w:tc>
        <w:tc>
          <w:tcPr>
            <w:tcW w:w="992" w:type="dxa"/>
            <w:tcBorders>
              <w:top w:val="single" w:sz="4" w:space="0" w:color="auto"/>
              <w:left w:val="single" w:sz="4" w:space="0" w:color="auto"/>
              <w:bottom w:val="single" w:sz="4" w:space="0" w:color="auto"/>
              <w:right w:val="single" w:sz="4" w:space="0" w:color="auto"/>
            </w:tcBorders>
          </w:tcPr>
          <w:p w14:paraId="334C6A94" w14:textId="77777777" w:rsidR="0039420A" w:rsidRPr="006A4741" w:rsidRDefault="0039420A">
            <w:pPr>
              <w:snapToGrid w:val="0"/>
              <w:jc w:val="right"/>
              <w:rPr>
                <w:sz w:val="16"/>
                <w:szCs w:val="16"/>
              </w:rPr>
            </w:pPr>
            <w:r>
              <w:rPr>
                <w:sz w:val="16"/>
                <w:szCs w:val="16"/>
              </w:rPr>
              <w:t>4,728</w:t>
            </w:r>
          </w:p>
        </w:tc>
        <w:tc>
          <w:tcPr>
            <w:tcW w:w="1081" w:type="dxa"/>
            <w:tcBorders>
              <w:top w:val="single" w:sz="4" w:space="0" w:color="auto"/>
              <w:left w:val="single" w:sz="4" w:space="0" w:color="auto"/>
              <w:bottom w:val="single" w:sz="4" w:space="0" w:color="auto"/>
              <w:right w:val="single" w:sz="4" w:space="0" w:color="auto"/>
            </w:tcBorders>
            <w:noWrap/>
          </w:tcPr>
          <w:p w14:paraId="15A177A0" w14:textId="77777777" w:rsidR="0039420A" w:rsidRDefault="0039420A">
            <w:pPr>
              <w:snapToGrid w:val="0"/>
              <w:jc w:val="right"/>
              <w:rPr>
                <w:sz w:val="16"/>
              </w:rPr>
            </w:pPr>
            <w:r>
              <w:rPr>
                <w:sz w:val="16"/>
              </w:rPr>
              <w:t>12,605</w:t>
            </w:r>
          </w:p>
        </w:tc>
      </w:tr>
      <w:tr w:rsidR="0039420A" w14:paraId="61F4AA12" w14:textId="77777777" w:rsidTr="006F42E0">
        <w:trPr>
          <w:trHeight w:val="166"/>
          <w:jc w:val="center"/>
        </w:trPr>
        <w:tc>
          <w:tcPr>
            <w:tcW w:w="1084" w:type="dxa"/>
            <w:vMerge/>
            <w:tcBorders>
              <w:left w:val="single" w:sz="4" w:space="0" w:color="auto"/>
              <w:right w:val="single" w:sz="4" w:space="0" w:color="auto"/>
            </w:tcBorders>
            <w:vAlign w:val="center"/>
            <w:hideMark/>
          </w:tcPr>
          <w:p w14:paraId="63E2C0D0" w14:textId="77777777" w:rsidR="0039420A" w:rsidRDefault="0039420A"/>
        </w:tc>
        <w:tc>
          <w:tcPr>
            <w:tcW w:w="3956" w:type="dxa"/>
            <w:tcBorders>
              <w:top w:val="single" w:sz="4" w:space="0" w:color="auto"/>
              <w:left w:val="single" w:sz="4" w:space="0" w:color="auto"/>
              <w:bottom w:val="single" w:sz="4" w:space="0" w:color="auto"/>
              <w:right w:val="single" w:sz="4" w:space="0" w:color="auto"/>
            </w:tcBorders>
          </w:tcPr>
          <w:p w14:paraId="0D0BD30B" w14:textId="77777777" w:rsidR="0039420A" w:rsidRPr="006A4741" w:rsidRDefault="0039420A" w:rsidP="006A4741">
            <w:pPr>
              <w:snapToGrid w:val="0"/>
              <w:ind w:left="601"/>
              <w:rPr>
                <w:i/>
                <w:sz w:val="16"/>
                <w:szCs w:val="16"/>
                <w:lang w:val="lv-LV"/>
              </w:rPr>
            </w:pPr>
            <w:r w:rsidRPr="006A4741">
              <w:rPr>
                <w:i/>
                <w:sz w:val="16"/>
                <w:szCs w:val="16"/>
                <w:lang w:val="lv-LV"/>
              </w:rPr>
              <w:t>Elektroenerģijas daudzums, kas atbrīvots no nodokļa saskaņā ar Elektroenerģijas nodokļa likuma 6.panta otro daļu</w:t>
            </w:r>
          </w:p>
        </w:tc>
        <w:tc>
          <w:tcPr>
            <w:tcW w:w="810" w:type="dxa"/>
            <w:tcBorders>
              <w:top w:val="single" w:sz="4" w:space="0" w:color="auto"/>
              <w:left w:val="single" w:sz="4" w:space="0" w:color="auto"/>
              <w:bottom w:val="single" w:sz="4" w:space="0" w:color="auto"/>
              <w:right w:val="single" w:sz="4" w:space="0" w:color="auto"/>
            </w:tcBorders>
            <w:noWrap/>
          </w:tcPr>
          <w:p w14:paraId="19ABFA8E" w14:textId="77777777" w:rsidR="0039420A" w:rsidRPr="009D600D" w:rsidRDefault="0039420A" w:rsidP="009D600D">
            <w:pPr>
              <w:snapToGrid w:val="0"/>
              <w:jc w:val="center"/>
              <w:rPr>
                <w:sz w:val="16"/>
                <w:szCs w:val="16"/>
              </w:rPr>
            </w:pPr>
            <w:r w:rsidRPr="009D600D">
              <w:rPr>
                <w:sz w:val="16"/>
                <w:szCs w:val="16"/>
              </w:rPr>
              <w:t>-</w:t>
            </w:r>
          </w:p>
        </w:tc>
        <w:tc>
          <w:tcPr>
            <w:tcW w:w="1046" w:type="dxa"/>
            <w:tcBorders>
              <w:top w:val="single" w:sz="4" w:space="0" w:color="auto"/>
              <w:left w:val="single" w:sz="4" w:space="0" w:color="auto"/>
              <w:bottom w:val="single" w:sz="4" w:space="0" w:color="auto"/>
              <w:right w:val="single" w:sz="4" w:space="0" w:color="auto"/>
            </w:tcBorders>
          </w:tcPr>
          <w:p w14:paraId="75B7DDD8" w14:textId="77777777" w:rsidR="0039420A" w:rsidRPr="006A4741" w:rsidRDefault="0039420A">
            <w:pPr>
              <w:snapToGrid w:val="0"/>
              <w:jc w:val="right"/>
              <w:rPr>
                <w:sz w:val="16"/>
                <w:szCs w:val="16"/>
              </w:rPr>
            </w:pPr>
            <w:r>
              <w:rPr>
                <w:sz w:val="16"/>
                <w:szCs w:val="16"/>
              </w:rPr>
              <w:t>1,383</w:t>
            </w:r>
          </w:p>
        </w:tc>
        <w:tc>
          <w:tcPr>
            <w:tcW w:w="992" w:type="dxa"/>
            <w:tcBorders>
              <w:top w:val="single" w:sz="4" w:space="0" w:color="auto"/>
              <w:left w:val="single" w:sz="4" w:space="0" w:color="auto"/>
              <w:bottom w:val="single" w:sz="4" w:space="0" w:color="auto"/>
              <w:right w:val="single" w:sz="4" w:space="0" w:color="auto"/>
            </w:tcBorders>
          </w:tcPr>
          <w:p w14:paraId="29C69384" w14:textId="77777777" w:rsidR="0039420A" w:rsidRPr="006A4741" w:rsidRDefault="0039420A">
            <w:pPr>
              <w:snapToGrid w:val="0"/>
              <w:jc w:val="right"/>
              <w:rPr>
                <w:sz w:val="16"/>
                <w:szCs w:val="16"/>
              </w:rPr>
            </w:pPr>
            <w:r>
              <w:rPr>
                <w:sz w:val="16"/>
                <w:szCs w:val="16"/>
              </w:rPr>
              <w:t>1,885</w:t>
            </w:r>
          </w:p>
        </w:tc>
        <w:tc>
          <w:tcPr>
            <w:tcW w:w="1081" w:type="dxa"/>
            <w:tcBorders>
              <w:top w:val="single" w:sz="4" w:space="0" w:color="auto"/>
              <w:left w:val="single" w:sz="4" w:space="0" w:color="auto"/>
              <w:bottom w:val="single" w:sz="4" w:space="0" w:color="auto"/>
              <w:right w:val="single" w:sz="4" w:space="0" w:color="auto"/>
            </w:tcBorders>
            <w:noWrap/>
          </w:tcPr>
          <w:p w14:paraId="42160618" w14:textId="77777777" w:rsidR="0039420A" w:rsidRDefault="0039420A">
            <w:pPr>
              <w:snapToGrid w:val="0"/>
              <w:jc w:val="right"/>
              <w:rPr>
                <w:sz w:val="16"/>
              </w:rPr>
            </w:pPr>
            <w:r>
              <w:rPr>
                <w:sz w:val="16"/>
              </w:rPr>
              <w:t>4,651</w:t>
            </w:r>
          </w:p>
        </w:tc>
      </w:tr>
      <w:tr w:rsidR="0039420A" w14:paraId="4058719F" w14:textId="77777777" w:rsidTr="006F42E0">
        <w:trPr>
          <w:trHeight w:val="166"/>
          <w:jc w:val="center"/>
        </w:trPr>
        <w:tc>
          <w:tcPr>
            <w:tcW w:w="1084" w:type="dxa"/>
            <w:vMerge/>
            <w:tcBorders>
              <w:left w:val="single" w:sz="4" w:space="0" w:color="auto"/>
              <w:right w:val="single" w:sz="4" w:space="0" w:color="auto"/>
            </w:tcBorders>
            <w:vAlign w:val="center"/>
            <w:hideMark/>
          </w:tcPr>
          <w:p w14:paraId="022D6F33" w14:textId="77777777" w:rsidR="0039420A" w:rsidRDefault="0039420A"/>
        </w:tc>
        <w:tc>
          <w:tcPr>
            <w:tcW w:w="3956" w:type="dxa"/>
            <w:tcBorders>
              <w:top w:val="single" w:sz="4" w:space="0" w:color="auto"/>
              <w:left w:val="single" w:sz="4" w:space="0" w:color="auto"/>
              <w:bottom w:val="single" w:sz="4" w:space="0" w:color="auto"/>
              <w:right w:val="single" w:sz="4" w:space="0" w:color="auto"/>
            </w:tcBorders>
          </w:tcPr>
          <w:p w14:paraId="240FB844" w14:textId="77777777" w:rsidR="0039420A" w:rsidRPr="006A4741" w:rsidRDefault="0039420A" w:rsidP="006A4741">
            <w:pPr>
              <w:snapToGrid w:val="0"/>
              <w:ind w:left="601"/>
              <w:rPr>
                <w:i/>
                <w:sz w:val="16"/>
                <w:szCs w:val="16"/>
                <w:lang w:val="lv-LV"/>
              </w:rPr>
            </w:pPr>
            <w:r w:rsidRPr="006A4741">
              <w:rPr>
                <w:i/>
                <w:sz w:val="16"/>
                <w:szCs w:val="16"/>
                <w:lang w:val="lv-LV"/>
              </w:rPr>
              <w:t xml:space="preserve">Elektroenerģijas daudzums, kas atbrīvots no nodokļa saskaņā ar Elektroenerģijas nodokļa likuma 6.panta trešo daļu    </w:t>
            </w:r>
          </w:p>
        </w:tc>
        <w:tc>
          <w:tcPr>
            <w:tcW w:w="810" w:type="dxa"/>
            <w:tcBorders>
              <w:top w:val="single" w:sz="4" w:space="0" w:color="auto"/>
              <w:left w:val="single" w:sz="4" w:space="0" w:color="auto"/>
              <w:bottom w:val="single" w:sz="4" w:space="0" w:color="auto"/>
              <w:right w:val="single" w:sz="4" w:space="0" w:color="auto"/>
            </w:tcBorders>
            <w:noWrap/>
          </w:tcPr>
          <w:p w14:paraId="0A1CE027" w14:textId="77777777" w:rsidR="0039420A" w:rsidRPr="009D600D" w:rsidRDefault="0039420A" w:rsidP="009D600D">
            <w:pPr>
              <w:snapToGrid w:val="0"/>
              <w:jc w:val="center"/>
              <w:rPr>
                <w:sz w:val="16"/>
                <w:szCs w:val="16"/>
              </w:rPr>
            </w:pPr>
            <w:r w:rsidRPr="009D600D">
              <w:rPr>
                <w:sz w:val="16"/>
                <w:szCs w:val="16"/>
              </w:rPr>
              <w:t>-</w:t>
            </w:r>
          </w:p>
        </w:tc>
        <w:tc>
          <w:tcPr>
            <w:tcW w:w="1046" w:type="dxa"/>
            <w:tcBorders>
              <w:top w:val="single" w:sz="4" w:space="0" w:color="auto"/>
              <w:left w:val="single" w:sz="4" w:space="0" w:color="auto"/>
              <w:bottom w:val="single" w:sz="4" w:space="0" w:color="auto"/>
              <w:right w:val="single" w:sz="4" w:space="0" w:color="auto"/>
            </w:tcBorders>
          </w:tcPr>
          <w:p w14:paraId="10CFDB50" w14:textId="77777777" w:rsidR="0039420A" w:rsidRPr="006A4741" w:rsidRDefault="0039420A">
            <w:pPr>
              <w:snapToGrid w:val="0"/>
              <w:jc w:val="right"/>
              <w:rPr>
                <w:sz w:val="16"/>
                <w:szCs w:val="16"/>
              </w:rPr>
            </w:pPr>
            <w:r>
              <w:rPr>
                <w:sz w:val="16"/>
                <w:szCs w:val="16"/>
              </w:rPr>
              <w:t>0,010</w:t>
            </w:r>
          </w:p>
        </w:tc>
        <w:tc>
          <w:tcPr>
            <w:tcW w:w="992" w:type="dxa"/>
            <w:tcBorders>
              <w:top w:val="single" w:sz="4" w:space="0" w:color="auto"/>
              <w:left w:val="single" w:sz="4" w:space="0" w:color="auto"/>
              <w:bottom w:val="single" w:sz="4" w:space="0" w:color="auto"/>
              <w:right w:val="single" w:sz="4" w:space="0" w:color="auto"/>
            </w:tcBorders>
          </w:tcPr>
          <w:p w14:paraId="111D46CF" w14:textId="77777777" w:rsidR="0039420A" w:rsidRPr="006A4741" w:rsidRDefault="0039420A">
            <w:pPr>
              <w:snapToGrid w:val="0"/>
              <w:jc w:val="right"/>
              <w:rPr>
                <w:sz w:val="16"/>
                <w:szCs w:val="16"/>
              </w:rPr>
            </w:pPr>
            <w:r>
              <w:rPr>
                <w:sz w:val="16"/>
                <w:szCs w:val="16"/>
              </w:rPr>
              <w:t>0,015</w:t>
            </w:r>
          </w:p>
        </w:tc>
        <w:tc>
          <w:tcPr>
            <w:tcW w:w="1081" w:type="dxa"/>
            <w:tcBorders>
              <w:top w:val="single" w:sz="4" w:space="0" w:color="auto"/>
              <w:left w:val="single" w:sz="4" w:space="0" w:color="auto"/>
              <w:bottom w:val="single" w:sz="4" w:space="0" w:color="auto"/>
              <w:right w:val="single" w:sz="4" w:space="0" w:color="auto"/>
            </w:tcBorders>
            <w:noWrap/>
          </w:tcPr>
          <w:p w14:paraId="2B323643" w14:textId="77777777" w:rsidR="0039420A" w:rsidRDefault="0039420A">
            <w:pPr>
              <w:snapToGrid w:val="0"/>
              <w:jc w:val="right"/>
              <w:rPr>
                <w:sz w:val="16"/>
              </w:rPr>
            </w:pPr>
            <w:r>
              <w:rPr>
                <w:sz w:val="16"/>
              </w:rPr>
              <w:t>0,036</w:t>
            </w:r>
          </w:p>
        </w:tc>
      </w:tr>
      <w:tr w:rsidR="00EB716E" w14:paraId="1C8AA38E" w14:textId="77777777" w:rsidTr="006F42E0">
        <w:trPr>
          <w:trHeight w:val="166"/>
          <w:jc w:val="center"/>
        </w:trPr>
        <w:tc>
          <w:tcPr>
            <w:tcW w:w="1084" w:type="dxa"/>
            <w:vMerge/>
            <w:tcBorders>
              <w:left w:val="single" w:sz="4" w:space="0" w:color="auto"/>
              <w:bottom w:val="single" w:sz="4" w:space="0" w:color="auto"/>
              <w:right w:val="single" w:sz="4" w:space="0" w:color="auto"/>
            </w:tcBorders>
            <w:vAlign w:val="center"/>
          </w:tcPr>
          <w:p w14:paraId="6E1EFB36" w14:textId="77777777" w:rsidR="00EB716E" w:rsidRDefault="00EB716E"/>
        </w:tc>
        <w:tc>
          <w:tcPr>
            <w:tcW w:w="3956" w:type="dxa"/>
            <w:tcBorders>
              <w:top w:val="single" w:sz="4" w:space="0" w:color="auto"/>
              <w:left w:val="single" w:sz="4" w:space="0" w:color="auto"/>
              <w:bottom w:val="single" w:sz="4" w:space="0" w:color="auto"/>
              <w:right w:val="single" w:sz="4" w:space="0" w:color="auto"/>
            </w:tcBorders>
          </w:tcPr>
          <w:p w14:paraId="35983DE7" w14:textId="16DEFECD" w:rsidR="00EB716E" w:rsidRDefault="00EB716E" w:rsidP="009D600D">
            <w:pPr>
              <w:snapToGrid w:val="0"/>
              <w:ind w:left="601"/>
              <w:jc w:val="right"/>
              <w:rPr>
                <w:i/>
                <w:sz w:val="16"/>
                <w:szCs w:val="16"/>
                <w:lang w:val="lv-LV"/>
              </w:rPr>
            </w:pPr>
            <w:r>
              <w:rPr>
                <w:i/>
                <w:sz w:val="16"/>
                <w:szCs w:val="16"/>
                <w:lang w:val="lv-LV"/>
              </w:rPr>
              <w:t>KOPĀ:</w:t>
            </w:r>
          </w:p>
        </w:tc>
        <w:tc>
          <w:tcPr>
            <w:tcW w:w="810" w:type="dxa"/>
            <w:tcBorders>
              <w:top w:val="single" w:sz="4" w:space="0" w:color="auto"/>
              <w:left w:val="single" w:sz="4" w:space="0" w:color="auto"/>
              <w:bottom w:val="single" w:sz="4" w:space="0" w:color="auto"/>
              <w:right w:val="single" w:sz="4" w:space="0" w:color="auto"/>
            </w:tcBorders>
            <w:noWrap/>
          </w:tcPr>
          <w:p w14:paraId="2C8BA75A" w14:textId="77777777" w:rsidR="00EB716E" w:rsidRPr="006A4741" w:rsidRDefault="00EB716E">
            <w:pPr>
              <w:snapToGrid w:val="0"/>
              <w:jc w:val="right"/>
              <w:rPr>
                <w:sz w:val="16"/>
                <w:szCs w:val="16"/>
              </w:rPr>
            </w:pPr>
          </w:p>
        </w:tc>
        <w:tc>
          <w:tcPr>
            <w:tcW w:w="1046" w:type="dxa"/>
            <w:tcBorders>
              <w:top w:val="single" w:sz="4" w:space="0" w:color="auto"/>
              <w:left w:val="single" w:sz="4" w:space="0" w:color="auto"/>
              <w:bottom w:val="single" w:sz="4" w:space="0" w:color="auto"/>
              <w:right w:val="single" w:sz="4" w:space="0" w:color="auto"/>
            </w:tcBorders>
          </w:tcPr>
          <w:p w14:paraId="049FF8C6" w14:textId="03E1B733" w:rsidR="00EB716E" w:rsidRPr="005E3E9A" w:rsidRDefault="00EB716E">
            <w:pPr>
              <w:snapToGrid w:val="0"/>
              <w:jc w:val="right"/>
              <w:rPr>
                <w:b/>
                <w:sz w:val="16"/>
                <w:szCs w:val="16"/>
              </w:rPr>
            </w:pPr>
            <w:r w:rsidRPr="005E3E9A">
              <w:rPr>
                <w:b/>
                <w:sz w:val="16"/>
                <w:szCs w:val="16"/>
              </w:rPr>
              <w:t>5,525</w:t>
            </w:r>
          </w:p>
        </w:tc>
        <w:tc>
          <w:tcPr>
            <w:tcW w:w="992" w:type="dxa"/>
            <w:tcBorders>
              <w:top w:val="single" w:sz="4" w:space="0" w:color="auto"/>
              <w:left w:val="single" w:sz="4" w:space="0" w:color="auto"/>
              <w:bottom w:val="single" w:sz="4" w:space="0" w:color="auto"/>
              <w:right w:val="single" w:sz="4" w:space="0" w:color="auto"/>
            </w:tcBorders>
          </w:tcPr>
          <w:p w14:paraId="08176594" w14:textId="053DBFE6" w:rsidR="00EB716E" w:rsidRPr="005E3E9A" w:rsidRDefault="00EB716E">
            <w:pPr>
              <w:snapToGrid w:val="0"/>
              <w:jc w:val="right"/>
              <w:rPr>
                <w:b/>
                <w:sz w:val="16"/>
                <w:szCs w:val="16"/>
              </w:rPr>
            </w:pPr>
            <w:r w:rsidRPr="005E3E9A">
              <w:rPr>
                <w:b/>
                <w:sz w:val="16"/>
                <w:szCs w:val="16"/>
              </w:rPr>
              <w:t>6,628</w:t>
            </w:r>
          </w:p>
        </w:tc>
        <w:tc>
          <w:tcPr>
            <w:tcW w:w="1081" w:type="dxa"/>
            <w:tcBorders>
              <w:top w:val="single" w:sz="4" w:space="0" w:color="auto"/>
              <w:left w:val="single" w:sz="4" w:space="0" w:color="auto"/>
              <w:bottom w:val="single" w:sz="4" w:space="0" w:color="auto"/>
              <w:right w:val="single" w:sz="4" w:space="0" w:color="auto"/>
            </w:tcBorders>
            <w:noWrap/>
          </w:tcPr>
          <w:p w14:paraId="04A0813D" w14:textId="2CF7A004" w:rsidR="00EB716E" w:rsidRPr="005E3E9A" w:rsidRDefault="00EB716E">
            <w:pPr>
              <w:snapToGrid w:val="0"/>
              <w:jc w:val="right"/>
              <w:rPr>
                <w:b/>
                <w:sz w:val="16"/>
              </w:rPr>
            </w:pPr>
            <w:r w:rsidRPr="005E3E9A">
              <w:rPr>
                <w:b/>
                <w:sz w:val="16"/>
              </w:rPr>
              <w:t>17,293</w:t>
            </w:r>
          </w:p>
        </w:tc>
      </w:tr>
      <w:tr w:rsidR="00EB716E" w14:paraId="11996051" w14:textId="77777777" w:rsidTr="006F42E0">
        <w:trPr>
          <w:trHeight w:val="166"/>
          <w:jc w:val="center"/>
        </w:trPr>
        <w:tc>
          <w:tcPr>
            <w:tcW w:w="1084" w:type="dxa"/>
            <w:vMerge/>
            <w:tcBorders>
              <w:left w:val="single" w:sz="4" w:space="0" w:color="auto"/>
              <w:bottom w:val="single" w:sz="4" w:space="0" w:color="auto"/>
              <w:right w:val="single" w:sz="4" w:space="0" w:color="auto"/>
            </w:tcBorders>
            <w:vAlign w:val="center"/>
          </w:tcPr>
          <w:p w14:paraId="0DB14060" w14:textId="77777777" w:rsidR="00EB716E" w:rsidRDefault="00EB716E" w:rsidP="00EB716E"/>
        </w:tc>
        <w:tc>
          <w:tcPr>
            <w:tcW w:w="3956" w:type="dxa"/>
            <w:tcBorders>
              <w:top w:val="single" w:sz="4" w:space="0" w:color="auto"/>
              <w:left w:val="single" w:sz="4" w:space="0" w:color="auto"/>
              <w:bottom w:val="single" w:sz="4" w:space="0" w:color="auto"/>
              <w:right w:val="single" w:sz="4" w:space="0" w:color="auto"/>
            </w:tcBorders>
          </w:tcPr>
          <w:p w14:paraId="63FF68C8" w14:textId="4FAE15D9" w:rsidR="00EB716E" w:rsidRPr="00EB716E" w:rsidRDefault="00EB716E" w:rsidP="009B585F">
            <w:pPr>
              <w:snapToGrid w:val="0"/>
              <w:rPr>
                <w:sz w:val="16"/>
                <w:szCs w:val="16"/>
                <w:lang w:val="lv-LV"/>
              </w:rPr>
            </w:pPr>
            <w:r w:rsidRPr="00EB716E">
              <w:rPr>
                <w:sz w:val="16"/>
                <w:szCs w:val="16"/>
                <w:lang w:val="lv-LV"/>
              </w:rPr>
              <w:t xml:space="preserve">Elektroenerģijas </w:t>
            </w:r>
            <w:r w:rsidR="009B585F">
              <w:rPr>
                <w:sz w:val="16"/>
                <w:szCs w:val="16"/>
                <w:lang w:val="lv-LV"/>
              </w:rPr>
              <w:t>no AER</w:t>
            </w:r>
            <w:r w:rsidR="009B585F" w:rsidRPr="00EB716E">
              <w:rPr>
                <w:sz w:val="16"/>
                <w:szCs w:val="16"/>
                <w:lang w:val="lv-LV"/>
              </w:rPr>
              <w:t xml:space="preserve"> </w:t>
            </w:r>
            <w:r w:rsidRPr="00EB716E">
              <w:rPr>
                <w:sz w:val="16"/>
                <w:szCs w:val="16"/>
                <w:lang w:val="lv-LV"/>
              </w:rPr>
              <w:t>obligātais iepirkums</w:t>
            </w:r>
            <w:r w:rsidR="009B585F">
              <w:rPr>
                <w:sz w:val="16"/>
                <w:szCs w:val="16"/>
                <w:lang w:val="lv-LV"/>
              </w:rPr>
              <w:t xml:space="preserve"> </w:t>
            </w:r>
          </w:p>
        </w:tc>
        <w:tc>
          <w:tcPr>
            <w:tcW w:w="810" w:type="dxa"/>
            <w:tcBorders>
              <w:top w:val="single" w:sz="4" w:space="0" w:color="auto"/>
              <w:left w:val="single" w:sz="4" w:space="0" w:color="auto"/>
              <w:bottom w:val="single" w:sz="4" w:space="0" w:color="auto"/>
              <w:right w:val="single" w:sz="4" w:space="0" w:color="auto"/>
            </w:tcBorders>
            <w:noWrap/>
          </w:tcPr>
          <w:p w14:paraId="5863AC8D" w14:textId="77777777" w:rsidR="00EB716E" w:rsidRPr="006A4741" w:rsidRDefault="00EB716E" w:rsidP="00EB716E">
            <w:pPr>
              <w:snapToGrid w:val="0"/>
              <w:rPr>
                <w:sz w:val="16"/>
                <w:szCs w:val="16"/>
              </w:rPr>
            </w:pPr>
          </w:p>
        </w:tc>
        <w:tc>
          <w:tcPr>
            <w:tcW w:w="1046" w:type="dxa"/>
            <w:tcBorders>
              <w:top w:val="single" w:sz="4" w:space="0" w:color="auto"/>
              <w:left w:val="single" w:sz="4" w:space="0" w:color="auto"/>
              <w:bottom w:val="single" w:sz="4" w:space="0" w:color="auto"/>
              <w:right w:val="single" w:sz="4" w:space="0" w:color="auto"/>
            </w:tcBorders>
          </w:tcPr>
          <w:p w14:paraId="02DF8CA5" w14:textId="77777777" w:rsidR="00EB716E" w:rsidRDefault="00EB716E" w:rsidP="00EB716E">
            <w:pPr>
              <w:snapToGrid w:val="0"/>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55234D3D" w14:textId="77777777" w:rsidR="00EB716E" w:rsidRDefault="00EB716E" w:rsidP="00EB716E">
            <w:pPr>
              <w:snapToGrid w:val="0"/>
              <w:rPr>
                <w:sz w:val="16"/>
                <w:szCs w:val="16"/>
              </w:rPr>
            </w:pPr>
          </w:p>
        </w:tc>
        <w:tc>
          <w:tcPr>
            <w:tcW w:w="1081" w:type="dxa"/>
            <w:tcBorders>
              <w:top w:val="single" w:sz="4" w:space="0" w:color="auto"/>
              <w:left w:val="single" w:sz="4" w:space="0" w:color="auto"/>
              <w:bottom w:val="single" w:sz="4" w:space="0" w:color="auto"/>
              <w:right w:val="single" w:sz="4" w:space="0" w:color="auto"/>
            </w:tcBorders>
            <w:noWrap/>
          </w:tcPr>
          <w:p w14:paraId="4656F8F3" w14:textId="77777777" w:rsidR="00EB716E" w:rsidRDefault="00EB716E" w:rsidP="00EB716E">
            <w:pPr>
              <w:snapToGrid w:val="0"/>
              <w:rPr>
                <w:sz w:val="16"/>
              </w:rPr>
            </w:pPr>
          </w:p>
        </w:tc>
      </w:tr>
      <w:tr w:rsidR="005E3E9A" w14:paraId="675FD18F" w14:textId="77777777" w:rsidTr="006911BA">
        <w:trPr>
          <w:trHeight w:val="166"/>
          <w:jc w:val="center"/>
        </w:trPr>
        <w:tc>
          <w:tcPr>
            <w:tcW w:w="1084" w:type="dxa"/>
            <w:vMerge/>
            <w:tcBorders>
              <w:left w:val="single" w:sz="4" w:space="0" w:color="auto"/>
              <w:bottom w:val="single" w:sz="4" w:space="0" w:color="auto"/>
              <w:right w:val="single" w:sz="4" w:space="0" w:color="auto"/>
            </w:tcBorders>
            <w:vAlign w:val="center"/>
          </w:tcPr>
          <w:p w14:paraId="4410B554" w14:textId="77777777" w:rsidR="005E3E9A" w:rsidRDefault="005E3E9A"/>
        </w:tc>
        <w:tc>
          <w:tcPr>
            <w:tcW w:w="3956" w:type="dxa"/>
            <w:tcBorders>
              <w:top w:val="single" w:sz="4" w:space="0" w:color="auto"/>
              <w:left w:val="single" w:sz="4" w:space="0" w:color="auto"/>
              <w:bottom w:val="single" w:sz="4" w:space="0" w:color="auto"/>
              <w:right w:val="single" w:sz="4" w:space="0" w:color="auto"/>
            </w:tcBorders>
          </w:tcPr>
          <w:p w14:paraId="5009304E" w14:textId="39B9C58C" w:rsidR="005E3E9A" w:rsidRPr="009B585F" w:rsidRDefault="005E3E9A" w:rsidP="009B585F">
            <w:pPr>
              <w:snapToGrid w:val="0"/>
              <w:ind w:left="601"/>
              <w:jc w:val="center"/>
              <w:rPr>
                <w:i/>
                <w:sz w:val="16"/>
                <w:szCs w:val="16"/>
                <w:lang w:val="lv-LV"/>
              </w:rPr>
            </w:pPr>
            <w:r w:rsidRPr="009B585F">
              <w:rPr>
                <w:i/>
                <w:sz w:val="16"/>
                <w:szCs w:val="16"/>
                <w:lang w:val="lv-LV"/>
              </w:rPr>
              <w:t>Atbalsts virs tirgus cenas hidroelektrostacijām</w:t>
            </w:r>
          </w:p>
        </w:tc>
        <w:tc>
          <w:tcPr>
            <w:tcW w:w="810" w:type="dxa"/>
            <w:tcBorders>
              <w:top w:val="single" w:sz="4" w:space="0" w:color="auto"/>
              <w:left w:val="single" w:sz="4" w:space="0" w:color="auto"/>
              <w:bottom w:val="single" w:sz="4" w:space="0" w:color="auto"/>
              <w:right w:val="single" w:sz="4" w:space="0" w:color="auto"/>
            </w:tcBorders>
            <w:noWrap/>
          </w:tcPr>
          <w:p w14:paraId="0B8F038B" w14:textId="5447F2E3" w:rsidR="005E3E9A" w:rsidRPr="006A4741" w:rsidRDefault="005E3E9A">
            <w:pPr>
              <w:snapToGrid w:val="0"/>
              <w:jc w:val="right"/>
              <w:rPr>
                <w:sz w:val="16"/>
                <w:szCs w:val="16"/>
              </w:rPr>
            </w:pPr>
          </w:p>
        </w:tc>
        <w:tc>
          <w:tcPr>
            <w:tcW w:w="1046" w:type="dxa"/>
            <w:tcBorders>
              <w:top w:val="single" w:sz="4" w:space="0" w:color="auto"/>
              <w:left w:val="single" w:sz="4" w:space="0" w:color="auto"/>
              <w:bottom w:val="single" w:sz="4" w:space="0" w:color="auto"/>
              <w:right w:val="single" w:sz="4" w:space="0" w:color="auto"/>
            </w:tcBorders>
          </w:tcPr>
          <w:p w14:paraId="0887B1DC" w14:textId="21EFCB1E" w:rsidR="005E3E9A" w:rsidRDefault="005E3E9A">
            <w:pPr>
              <w:snapToGrid w:val="0"/>
              <w:jc w:val="right"/>
              <w:rPr>
                <w:sz w:val="16"/>
                <w:szCs w:val="16"/>
              </w:rPr>
            </w:pPr>
            <w:r w:rsidRPr="005E3E9A">
              <w:rPr>
                <w:sz w:val="16"/>
                <w:szCs w:val="16"/>
              </w:rPr>
              <w:t>5,87</w:t>
            </w:r>
            <w:r>
              <w:rPr>
                <w:sz w:val="16"/>
                <w:szCs w:val="16"/>
              </w:rPr>
              <w:t>3</w:t>
            </w:r>
          </w:p>
        </w:tc>
        <w:tc>
          <w:tcPr>
            <w:tcW w:w="992" w:type="dxa"/>
            <w:tcBorders>
              <w:top w:val="single" w:sz="4" w:space="0" w:color="auto"/>
              <w:left w:val="single" w:sz="4" w:space="0" w:color="auto"/>
              <w:bottom w:val="single" w:sz="4" w:space="0" w:color="auto"/>
              <w:right w:val="single" w:sz="4" w:space="0" w:color="auto"/>
            </w:tcBorders>
            <w:vAlign w:val="bottom"/>
          </w:tcPr>
          <w:p w14:paraId="58BEE78A" w14:textId="551FD654" w:rsidR="005E3E9A" w:rsidRDefault="005E3E9A">
            <w:pPr>
              <w:snapToGrid w:val="0"/>
              <w:jc w:val="right"/>
              <w:rPr>
                <w:sz w:val="16"/>
                <w:szCs w:val="16"/>
              </w:rPr>
            </w:pPr>
            <w:r w:rsidRPr="005E3E9A">
              <w:rPr>
                <w:sz w:val="16"/>
                <w:szCs w:val="16"/>
              </w:rPr>
              <w:t>7,325</w:t>
            </w:r>
          </w:p>
        </w:tc>
        <w:tc>
          <w:tcPr>
            <w:tcW w:w="1081" w:type="dxa"/>
            <w:tcBorders>
              <w:top w:val="single" w:sz="4" w:space="0" w:color="auto"/>
              <w:left w:val="single" w:sz="4" w:space="0" w:color="auto"/>
              <w:bottom w:val="single" w:sz="4" w:space="0" w:color="auto"/>
              <w:right w:val="single" w:sz="4" w:space="0" w:color="auto"/>
            </w:tcBorders>
            <w:noWrap/>
            <w:vAlign w:val="bottom"/>
          </w:tcPr>
          <w:p w14:paraId="2EC56FD4" w14:textId="0BDC028C" w:rsidR="005E3E9A" w:rsidRPr="005E3E9A" w:rsidRDefault="005E3E9A">
            <w:pPr>
              <w:snapToGrid w:val="0"/>
              <w:jc w:val="right"/>
              <w:rPr>
                <w:sz w:val="16"/>
                <w:szCs w:val="16"/>
              </w:rPr>
            </w:pPr>
            <w:r w:rsidRPr="005E3E9A">
              <w:rPr>
                <w:sz w:val="16"/>
                <w:szCs w:val="16"/>
              </w:rPr>
              <w:t>13,198</w:t>
            </w:r>
          </w:p>
        </w:tc>
      </w:tr>
      <w:tr w:rsidR="005E3E9A" w14:paraId="7062C72A" w14:textId="77777777" w:rsidTr="006911BA">
        <w:trPr>
          <w:trHeight w:val="166"/>
          <w:jc w:val="center"/>
        </w:trPr>
        <w:tc>
          <w:tcPr>
            <w:tcW w:w="1084" w:type="dxa"/>
            <w:vMerge/>
            <w:tcBorders>
              <w:left w:val="single" w:sz="4" w:space="0" w:color="auto"/>
              <w:bottom w:val="single" w:sz="4" w:space="0" w:color="auto"/>
              <w:right w:val="single" w:sz="4" w:space="0" w:color="auto"/>
            </w:tcBorders>
            <w:vAlign w:val="center"/>
          </w:tcPr>
          <w:p w14:paraId="05BB748B" w14:textId="77777777" w:rsidR="005E3E9A" w:rsidRDefault="005E3E9A"/>
        </w:tc>
        <w:tc>
          <w:tcPr>
            <w:tcW w:w="3956" w:type="dxa"/>
            <w:tcBorders>
              <w:top w:val="single" w:sz="4" w:space="0" w:color="auto"/>
              <w:left w:val="single" w:sz="4" w:space="0" w:color="auto"/>
              <w:bottom w:val="single" w:sz="4" w:space="0" w:color="auto"/>
              <w:right w:val="single" w:sz="4" w:space="0" w:color="auto"/>
            </w:tcBorders>
          </w:tcPr>
          <w:p w14:paraId="037299D8" w14:textId="7E406279" w:rsidR="005E3E9A" w:rsidRDefault="005E3E9A" w:rsidP="009B585F">
            <w:pPr>
              <w:snapToGrid w:val="0"/>
              <w:ind w:left="601"/>
              <w:jc w:val="right"/>
              <w:rPr>
                <w:i/>
                <w:sz w:val="16"/>
                <w:szCs w:val="16"/>
                <w:lang w:val="lv-LV"/>
              </w:rPr>
            </w:pPr>
            <w:r w:rsidRPr="009B585F">
              <w:rPr>
                <w:i/>
                <w:sz w:val="16"/>
                <w:szCs w:val="16"/>
                <w:lang w:val="lv-LV"/>
              </w:rPr>
              <w:t xml:space="preserve">Atbalsts virs tirgus cenas </w:t>
            </w:r>
            <w:r>
              <w:rPr>
                <w:i/>
                <w:sz w:val="16"/>
                <w:szCs w:val="16"/>
                <w:lang w:val="lv-LV"/>
              </w:rPr>
              <w:t xml:space="preserve">vēja </w:t>
            </w:r>
            <w:proofErr w:type="spellStart"/>
            <w:r w:rsidRPr="009B585F">
              <w:rPr>
                <w:i/>
                <w:sz w:val="16"/>
                <w:szCs w:val="16"/>
                <w:lang w:val="lv-LV"/>
              </w:rPr>
              <w:t>ektrostacijām</w:t>
            </w:r>
            <w:proofErr w:type="spellEnd"/>
          </w:p>
        </w:tc>
        <w:tc>
          <w:tcPr>
            <w:tcW w:w="810" w:type="dxa"/>
            <w:tcBorders>
              <w:top w:val="single" w:sz="4" w:space="0" w:color="auto"/>
              <w:left w:val="single" w:sz="4" w:space="0" w:color="auto"/>
              <w:bottom w:val="single" w:sz="4" w:space="0" w:color="auto"/>
              <w:right w:val="single" w:sz="4" w:space="0" w:color="auto"/>
            </w:tcBorders>
            <w:noWrap/>
          </w:tcPr>
          <w:p w14:paraId="5E84A06D" w14:textId="77777777" w:rsidR="005E3E9A" w:rsidRPr="006A4741" w:rsidRDefault="005E3E9A">
            <w:pPr>
              <w:snapToGrid w:val="0"/>
              <w:jc w:val="right"/>
              <w:rPr>
                <w:sz w:val="16"/>
                <w:szCs w:val="16"/>
              </w:rPr>
            </w:pPr>
          </w:p>
        </w:tc>
        <w:tc>
          <w:tcPr>
            <w:tcW w:w="1046" w:type="dxa"/>
            <w:tcBorders>
              <w:top w:val="single" w:sz="4" w:space="0" w:color="auto"/>
              <w:left w:val="single" w:sz="4" w:space="0" w:color="auto"/>
              <w:bottom w:val="single" w:sz="4" w:space="0" w:color="auto"/>
              <w:right w:val="single" w:sz="4" w:space="0" w:color="auto"/>
            </w:tcBorders>
          </w:tcPr>
          <w:p w14:paraId="210B4ED7" w14:textId="074FF07B" w:rsidR="005E3E9A" w:rsidRDefault="005E3E9A">
            <w:pPr>
              <w:snapToGrid w:val="0"/>
              <w:jc w:val="right"/>
              <w:rPr>
                <w:sz w:val="16"/>
                <w:szCs w:val="16"/>
              </w:rPr>
            </w:pPr>
            <w:r w:rsidRPr="005E3E9A">
              <w:rPr>
                <w:sz w:val="16"/>
                <w:szCs w:val="16"/>
              </w:rPr>
              <w:t>2,59</w:t>
            </w:r>
            <w:r>
              <w:rPr>
                <w:sz w:val="16"/>
                <w:szCs w:val="16"/>
              </w:rPr>
              <w:t>0</w:t>
            </w:r>
          </w:p>
        </w:tc>
        <w:tc>
          <w:tcPr>
            <w:tcW w:w="992" w:type="dxa"/>
            <w:tcBorders>
              <w:top w:val="single" w:sz="4" w:space="0" w:color="auto"/>
              <w:left w:val="single" w:sz="4" w:space="0" w:color="auto"/>
              <w:bottom w:val="single" w:sz="4" w:space="0" w:color="auto"/>
              <w:right w:val="single" w:sz="4" w:space="0" w:color="auto"/>
            </w:tcBorders>
            <w:vAlign w:val="bottom"/>
          </w:tcPr>
          <w:p w14:paraId="49DC4E65" w14:textId="416E468F" w:rsidR="005E3E9A" w:rsidRDefault="005E3E9A">
            <w:pPr>
              <w:snapToGrid w:val="0"/>
              <w:jc w:val="right"/>
              <w:rPr>
                <w:sz w:val="16"/>
                <w:szCs w:val="16"/>
              </w:rPr>
            </w:pPr>
            <w:r w:rsidRPr="005E3E9A">
              <w:rPr>
                <w:sz w:val="16"/>
                <w:szCs w:val="16"/>
              </w:rPr>
              <w:t>4,263</w:t>
            </w:r>
          </w:p>
        </w:tc>
        <w:tc>
          <w:tcPr>
            <w:tcW w:w="1081" w:type="dxa"/>
            <w:tcBorders>
              <w:top w:val="single" w:sz="4" w:space="0" w:color="auto"/>
              <w:left w:val="single" w:sz="4" w:space="0" w:color="auto"/>
              <w:bottom w:val="single" w:sz="4" w:space="0" w:color="auto"/>
              <w:right w:val="single" w:sz="4" w:space="0" w:color="auto"/>
            </w:tcBorders>
            <w:noWrap/>
            <w:vAlign w:val="bottom"/>
          </w:tcPr>
          <w:p w14:paraId="23B84CB0" w14:textId="125A6B56" w:rsidR="005E3E9A" w:rsidRPr="005E3E9A" w:rsidRDefault="005E3E9A">
            <w:pPr>
              <w:snapToGrid w:val="0"/>
              <w:jc w:val="right"/>
              <w:rPr>
                <w:sz w:val="16"/>
                <w:szCs w:val="16"/>
              </w:rPr>
            </w:pPr>
            <w:r w:rsidRPr="005E3E9A">
              <w:rPr>
                <w:sz w:val="16"/>
                <w:szCs w:val="16"/>
              </w:rPr>
              <w:t>6,853</w:t>
            </w:r>
          </w:p>
        </w:tc>
      </w:tr>
      <w:tr w:rsidR="005E3E9A" w14:paraId="76924B09" w14:textId="77777777" w:rsidTr="006911BA">
        <w:trPr>
          <w:trHeight w:val="166"/>
          <w:jc w:val="center"/>
        </w:trPr>
        <w:tc>
          <w:tcPr>
            <w:tcW w:w="1084" w:type="dxa"/>
            <w:vMerge/>
            <w:tcBorders>
              <w:left w:val="single" w:sz="4" w:space="0" w:color="auto"/>
              <w:bottom w:val="single" w:sz="4" w:space="0" w:color="auto"/>
              <w:right w:val="single" w:sz="4" w:space="0" w:color="auto"/>
            </w:tcBorders>
            <w:vAlign w:val="center"/>
          </w:tcPr>
          <w:p w14:paraId="187F7E30" w14:textId="77777777" w:rsidR="005E3E9A" w:rsidRDefault="005E3E9A"/>
        </w:tc>
        <w:tc>
          <w:tcPr>
            <w:tcW w:w="3956" w:type="dxa"/>
            <w:tcBorders>
              <w:top w:val="single" w:sz="4" w:space="0" w:color="auto"/>
              <w:left w:val="single" w:sz="4" w:space="0" w:color="auto"/>
              <w:bottom w:val="single" w:sz="4" w:space="0" w:color="auto"/>
              <w:right w:val="single" w:sz="4" w:space="0" w:color="auto"/>
            </w:tcBorders>
          </w:tcPr>
          <w:p w14:paraId="6E18A883" w14:textId="0399AF43" w:rsidR="005E3E9A" w:rsidRDefault="005E3E9A" w:rsidP="009B585F">
            <w:pPr>
              <w:snapToGrid w:val="0"/>
              <w:ind w:left="601"/>
              <w:jc w:val="right"/>
              <w:rPr>
                <w:i/>
                <w:sz w:val="16"/>
                <w:szCs w:val="16"/>
                <w:lang w:val="lv-LV"/>
              </w:rPr>
            </w:pPr>
            <w:r w:rsidRPr="009B585F">
              <w:rPr>
                <w:i/>
                <w:sz w:val="16"/>
                <w:szCs w:val="16"/>
                <w:lang w:val="lv-LV"/>
              </w:rPr>
              <w:t xml:space="preserve">Atbalsts virs tirgus cenas </w:t>
            </w:r>
            <w:r>
              <w:rPr>
                <w:i/>
                <w:sz w:val="16"/>
                <w:szCs w:val="16"/>
                <w:lang w:val="lv-LV"/>
              </w:rPr>
              <w:t xml:space="preserve">biomasas </w:t>
            </w:r>
            <w:r w:rsidRPr="009B585F">
              <w:rPr>
                <w:i/>
                <w:sz w:val="16"/>
                <w:szCs w:val="16"/>
                <w:lang w:val="lv-LV"/>
              </w:rPr>
              <w:t>stacijām</w:t>
            </w:r>
          </w:p>
        </w:tc>
        <w:tc>
          <w:tcPr>
            <w:tcW w:w="810" w:type="dxa"/>
            <w:tcBorders>
              <w:top w:val="single" w:sz="4" w:space="0" w:color="auto"/>
              <w:left w:val="single" w:sz="4" w:space="0" w:color="auto"/>
              <w:bottom w:val="single" w:sz="4" w:space="0" w:color="auto"/>
              <w:right w:val="single" w:sz="4" w:space="0" w:color="auto"/>
            </w:tcBorders>
            <w:noWrap/>
          </w:tcPr>
          <w:p w14:paraId="4305A8D1" w14:textId="77777777" w:rsidR="005E3E9A" w:rsidRPr="006A4741" w:rsidRDefault="005E3E9A">
            <w:pPr>
              <w:snapToGrid w:val="0"/>
              <w:jc w:val="right"/>
              <w:rPr>
                <w:sz w:val="16"/>
                <w:szCs w:val="16"/>
              </w:rPr>
            </w:pPr>
          </w:p>
        </w:tc>
        <w:tc>
          <w:tcPr>
            <w:tcW w:w="1046" w:type="dxa"/>
            <w:tcBorders>
              <w:top w:val="single" w:sz="4" w:space="0" w:color="auto"/>
              <w:left w:val="single" w:sz="4" w:space="0" w:color="auto"/>
              <w:bottom w:val="single" w:sz="4" w:space="0" w:color="auto"/>
              <w:right w:val="single" w:sz="4" w:space="0" w:color="auto"/>
            </w:tcBorders>
          </w:tcPr>
          <w:p w14:paraId="4B2A4440" w14:textId="20C9431A" w:rsidR="005E3E9A" w:rsidRDefault="005E3E9A">
            <w:pPr>
              <w:snapToGrid w:val="0"/>
              <w:jc w:val="right"/>
              <w:rPr>
                <w:sz w:val="16"/>
                <w:szCs w:val="16"/>
              </w:rPr>
            </w:pPr>
            <w:r w:rsidRPr="005E3E9A">
              <w:rPr>
                <w:sz w:val="16"/>
                <w:szCs w:val="16"/>
              </w:rPr>
              <w:t>0,78</w:t>
            </w:r>
            <w:r>
              <w:rPr>
                <w:sz w:val="16"/>
                <w:szCs w:val="16"/>
              </w:rPr>
              <w:t>4</w:t>
            </w:r>
          </w:p>
        </w:tc>
        <w:tc>
          <w:tcPr>
            <w:tcW w:w="992" w:type="dxa"/>
            <w:tcBorders>
              <w:top w:val="single" w:sz="4" w:space="0" w:color="auto"/>
              <w:left w:val="single" w:sz="4" w:space="0" w:color="auto"/>
              <w:bottom w:val="single" w:sz="4" w:space="0" w:color="auto"/>
              <w:right w:val="single" w:sz="4" w:space="0" w:color="auto"/>
            </w:tcBorders>
            <w:vAlign w:val="bottom"/>
          </w:tcPr>
          <w:p w14:paraId="2F891B6D" w14:textId="3E95A0F5" w:rsidR="005E3E9A" w:rsidRDefault="005E3E9A">
            <w:pPr>
              <w:snapToGrid w:val="0"/>
              <w:jc w:val="right"/>
              <w:rPr>
                <w:sz w:val="16"/>
                <w:szCs w:val="16"/>
              </w:rPr>
            </w:pPr>
            <w:r w:rsidRPr="005E3E9A">
              <w:rPr>
                <w:sz w:val="16"/>
                <w:szCs w:val="16"/>
              </w:rPr>
              <w:t>5,618</w:t>
            </w:r>
          </w:p>
        </w:tc>
        <w:tc>
          <w:tcPr>
            <w:tcW w:w="1081" w:type="dxa"/>
            <w:tcBorders>
              <w:top w:val="single" w:sz="4" w:space="0" w:color="auto"/>
              <w:left w:val="single" w:sz="4" w:space="0" w:color="auto"/>
              <w:bottom w:val="single" w:sz="4" w:space="0" w:color="auto"/>
              <w:right w:val="single" w:sz="4" w:space="0" w:color="auto"/>
            </w:tcBorders>
            <w:noWrap/>
            <w:vAlign w:val="bottom"/>
          </w:tcPr>
          <w:p w14:paraId="39EDE5B6" w14:textId="31D477BE" w:rsidR="005E3E9A" w:rsidRPr="005E3E9A" w:rsidRDefault="005E3E9A">
            <w:pPr>
              <w:snapToGrid w:val="0"/>
              <w:jc w:val="right"/>
              <w:rPr>
                <w:sz w:val="16"/>
                <w:szCs w:val="16"/>
              </w:rPr>
            </w:pPr>
            <w:r w:rsidRPr="005E3E9A">
              <w:rPr>
                <w:sz w:val="16"/>
                <w:szCs w:val="16"/>
              </w:rPr>
              <w:t>6,402</w:t>
            </w:r>
          </w:p>
        </w:tc>
      </w:tr>
      <w:tr w:rsidR="005E3E9A" w14:paraId="10FC5290" w14:textId="77777777" w:rsidTr="006911BA">
        <w:trPr>
          <w:trHeight w:val="166"/>
          <w:jc w:val="center"/>
        </w:trPr>
        <w:tc>
          <w:tcPr>
            <w:tcW w:w="1084" w:type="dxa"/>
            <w:vMerge/>
            <w:tcBorders>
              <w:left w:val="single" w:sz="4" w:space="0" w:color="auto"/>
              <w:bottom w:val="single" w:sz="4" w:space="0" w:color="auto"/>
              <w:right w:val="single" w:sz="4" w:space="0" w:color="auto"/>
            </w:tcBorders>
            <w:vAlign w:val="center"/>
          </w:tcPr>
          <w:p w14:paraId="655582E4" w14:textId="77777777" w:rsidR="005E3E9A" w:rsidRDefault="005E3E9A"/>
        </w:tc>
        <w:tc>
          <w:tcPr>
            <w:tcW w:w="3956" w:type="dxa"/>
            <w:tcBorders>
              <w:top w:val="single" w:sz="4" w:space="0" w:color="auto"/>
              <w:left w:val="single" w:sz="4" w:space="0" w:color="auto"/>
              <w:bottom w:val="single" w:sz="4" w:space="0" w:color="auto"/>
              <w:right w:val="single" w:sz="4" w:space="0" w:color="auto"/>
            </w:tcBorders>
          </w:tcPr>
          <w:p w14:paraId="1C8B50F4" w14:textId="5624CE31" w:rsidR="005E3E9A" w:rsidRDefault="005E3E9A" w:rsidP="009B585F">
            <w:pPr>
              <w:snapToGrid w:val="0"/>
              <w:ind w:left="601"/>
              <w:jc w:val="right"/>
              <w:rPr>
                <w:i/>
                <w:sz w:val="16"/>
                <w:szCs w:val="16"/>
                <w:lang w:val="lv-LV"/>
              </w:rPr>
            </w:pPr>
            <w:r w:rsidRPr="009B585F">
              <w:rPr>
                <w:i/>
                <w:sz w:val="16"/>
                <w:szCs w:val="16"/>
                <w:lang w:val="lv-LV"/>
              </w:rPr>
              <w:t xml:space="preserve">Atbalsts virs tirgus cenas </w:t>
            </w:r>
            <w:proofErr w:type="spellStart"/>
            <w:r>
              <w:rPr>
                <w:i/>
                <w:sz w:val="16"/>
                <w:szCs w:val="16"/>
                <w:lang w:val="lv-LV"/>
              </w:rPr>
              <w:t>biogāzess</w:t>
            </w:r>
            <w:proofErr w:type="spellEnd"/>
            <w:r>
              <w:rPr>
                <w:i/>
                <w:sz w:val="16"/>
                <w:szCs w:val="16"/>
                <w:lang w:val="lv-LV"/>
              </w:rPr>
              <w:t xml:space="preserve"> </w:t>
            </w:r>
            <w:r w:rsidRPr="009B585F">
              <w:rPr>
                <w:i/>
                <w:sz w:val="16"/>
                <w:szCs w:val="16"/>
                <w:lang w:val="lv-LV"/>
              </w:rPr>
              <w:t>stacijām</w:t>
            </w:r>
          </w:p>
        </w:tc>
        <w:tc>
          <w:tcPr>
            <w:tcW w:w="810" w:type="dxa"/>
            <w:tcBorders>
              <w:top w:val="single" w:sz="4" w:space="0" w:color="auto"/>
              <w:left w:val="single" w:sz="4" w:space="0" w:color="auto"/>
              <w:bottom w:val="single" w:sz="4" w:space="0" w:color="auto"/>
              <w:right w:val="single" w:sz="4" w:space="0" w:color="auto"/>
            </w:tcBorders>
            <w:noWrap/>
          </w:tcPr>
          <w:p w14:paraId="27AD583D" w14:textId="77777777" w:rsidR="005E3E9A" w:rsidRPr="006A4741" w:rsidRDefault="005E3E9A">
            <w:pPr>
              <w:snapToGrid w:val="0"/>
              <w:jc w:val="right"/>
              <w:rPr>
                <w:sz w:val="16"/>
                <w:szCs w:val="16"/>
              </w:rPr>
            </w:pPr>
          </w:p>
        </w:tc>
        <w:tc>
          <w:tcPr>
            <w:tcW w:w="1046" w:type="dxa"/>
            <w:tcBorders>
              <w:top w:val="single" w:sz="4" w:space="0" w:color="auto"/>
              <w:left w:val="single" w:sz="4" w:space="0" w:color="auto"/>
              <w:bottom w:val="single" w:sz="4" w:space="0" w:color="auto"/>
              <w:right w:val="single" w:sz="4" w:space="0" w:color="auto"/>
            </w:tcBorders>
          </w:tcPr>
          <w:p w14:paraId="401EED75" w14:textId="641FFA8F" w:rsidR="005E3E9A" w:rsidRDefault="005E3E9A">
            <w:pPr>
              <w:snapToGrid w:val="0"/>
              <w:jc w:val="right"/>
              <w:rPr>
                <w:sz w:val="16"/>
                <w:szCs w:val="16"/>
              </w:rPr>
            </w:pPr>
            <w:r w:rsidRPr="005E3E9A">
              <w:rPr>
                <w:sz w:val="16"/>
                <w:szCs w:val="16"/>
              </w:rPr>
              <w:t>9,5</w:t>
            </w:r>
            <w:r>
              <w:rPr>
                <w:sz w:val="16"/>
                <w:szCs w:val="16"/>
              </w:rPr>
              <w:t>7</w:t>
            </w:r>
            <w:r w:rsidRPr="005E3E9A">
              <w:rPr>
                <w:sz w:val="16"/>
                <w:szCs w:val="16"/>
              </w:rPr>
              <w:t>8</w:t>
            </w:r>
          </w:p>
        </w:tc>
        <w:tc>
          <w:tcPr>
            <w:tcW w:w="992" w:type="dxa"/>
            <w:tcBorders>
              <w:top w:val="single" w:sz="4" w:space="0" w:color="auto"/>
              <w:left w:val="single" w:sz="4" w:space="0" w:color="auto"/>
              <w:bottom w:val="single" w:sz="4" w:space="0" w:color="auto"/>
              <w:right w:val="single" w:sz="4" w:space="0" w:color="auto"/>
            </w:tcBorders>
            <w:vAlign w:val="bottom"/>
          </w:tcPr>
          <w:p w14:paraId="7D887E69" w14:textId="0D4CBC03" w:rsidR="005E3E9A" w:rsidRDefault="005E3E9A">
            <w:pPr>
              <w:snapToGrid w:val="0"/>
              <w:jc w:val="right"/>
              <w:rPr>
                <w:sz w:val="16"/>
                <w:szCs w:val="16"/>
              </w:rPr>
            </w:pPr>
            <w:r w:rsidRPr="005E3E9A">
              <w:rPr>
                <w:sz w:val="16"/>
                <w:szCs w:val="16"/>
              </w:rPr>
              <w:t>22,298</w:t>
            </w:r>
          </w:p>
        </w:tc>
        <w:tc>
          <w:tcPr>
            <w:tcW w:w="1081" w:type="dxa"/>
            <w:tcBorders>
              <w:top w:val="single" w:sz="4" w:space="0" w:color="auto"/>
              <w:left w:val="single" w:sz="4" w:space="0" w:color="auto"/>
              <w:bottom w:val="single" w:sz="4" w:space="0" w:color="auto"/>
              <w:right w:val="single" w:sz="4" w:space="0" w:color="auto"/>
            </w:tcBorders>
            <w:noWrap/>
            <w:vAlign w:val="bottom"/>
          </w:tcPr>
          <w:p w14:paraId="78668B56" w14:textId="3F028206" w:rsidR="005E3E9A" w:rsidRPr="005E3E9A" w:rsidRDefault="005E3E9A">
            <w:pPr>
              <w:snapToGrid w:val="0"/>
              <w:jc w:val="right"/>
              <w:rPr>
                <w:sz w:val="16"/>
                <w:szCs w:val="16"/>
              </w:rPr>
            </w:pPr>
            <w:r w:rsidRPr="005E3E9A">
              <w:rPr>
                <w:sz w:val="16"/>
                <w:szCs w:val="16"/>
              </w:rPr>
              <w:t>31,876</w:t>
            </w:r>
          </w:p>
        </w:tc>
      </w:tr>
      <w:tr w:rsidR="005E3E9A" w14:paraId="4F11A8E1" w14:textId="77777777" w:rsidTr="006911BA">
        <w:trPr>
          <w:trHeight w:val="166"/>
          <w:jc w:val="center"/>
        </w:trPr>
        <w:tc>
          <w:tcPr>
            <w:tcW w:w="1084" w:type="dxa"/>
            <w:vMerge/>
            <w:tcBorders>
              <w:left w:val="single" w:sz="4" w:space="0" w:color="auto"/>
              <w:bottom w:val="single" w:sz="4" w:space="0" w:color="auto"/>
              <w:right w:val="single" w:sz="4" w:space="0" w:color="auto"/>
            </w:tcBorders>
            <w:vAlign w:val="center"/>
          </w:tcPr>
          <w:p w14:paraId="47B43A6E" w14:textId="77777777" w:rsidR="005E3E9A" w:rsidRDefault="005E3E9A"/>
        </w:tc>
        <w:tc>
          <w:tcPr>
            <w:tcW w:w="3956" w:type="dxa"/>
            <w:tcBorders>
              <w:top w:val="single" w:sz="4" w:space="0" w:color="auto"/>
              <w:left w:val="single" w:sz="4" w:space="0" w:color="auto"/>
              <w:bottom w:val="single" w:sz="4" w:space="0" w:color="auto"/>
              <w:right w:val="single" w:sz="4" w:space="0" w:color="auto"/>
            </w:tcBorders>
          </w:tcPr>
          <w:p w14:paraId="68325CA2" w14:textId="6391C0AB" w:rsidR="005E3E9A" w:rsidRDefault="005E3E9A" w:rsidP="009D600D">
            <w:pPr>
              <w:snapToGrid w:val="0"/>
              <w:ind w:left="601"/>
              <w:jc w:val="right"/>
              <w:rPr>
                <w:i/>
                <w:sz w:val="16"/>
                <w:szCs w:val="16"/>
                <w:lang w:val="lv-LV"/>
              </w:rPr>
            </w:pPr>
            <w:r>
              <w:rPr>
                <w:i/>
                <w:sz w:val="16"/>
                <w:szCs w:val="16"/>
                <w:lang w:val="lv-LV"/>
              </w:rPr>
              <w:t>KOPĀ:</w:t>
            </w:r>
          </w:p>
        </w:tc>
        <w:tc>
          <w:tcPr>
            <w:tcW w:w="810" w:type="dxa"/>
            <w:tcBorders>
              <w:top w:val="single" w:sz="4" w:space="0" w:color="auto"/>
              <w:left w:val="single" w:sz="4" w:space="0" w:color="auto"/>
              <w:bottom w:val="single" w:sz="4" w:space="0" w:color="auto"/>
              <w:right w:val="single" w:sz="4" w:space="0" w:color="auto"/>
            </w:tcBorders>
            <w:noWrap/>
          </w:tcPr>
          <w:p w14:paraId="6F18A869" w14:textId="77777777" w:rsidR="005E3E9A" w:rsidRPr="006A4741" w:rsidRDefault="005E3E9A">
            <w:pPr>
              <w:snapToGrid w:val="0"/>
              <w:jc w:val="right"/>
              <w:rPr>
                <w:sz w:val="16"/>
                <w:szCs w:val="16"/>
              </w:rPr>
            </w:pPr>
          </w:p>
        </w:tc>
        <w:tc>
          <w:tcPr>
            <w:tcW w:w="1046" w:type="dxa"/>
            <w:tcBorders>
              <w:top w:val="single" w:sz="4" w:space="0" w:color="auto"/>
              <w:left w:val="single" w:sz="4" w:space="0" w:color="auto"/>
              <w:bottom w:val="single" w:sz="4" w:space="0" w:color="auto"/>
              <w:right w:val="single" w:sz="4" w:space="0" w:color="auto"/>
            </w:tcBorders>
          </w:tcPr>
          <w:p w14:paraId="2001C420" w14:textId="4F2BE5A5" w:rsidR="005E3E9A" w:rsidRPr="005E3E9A" w:rsidRDefault="005E3E9A" w:rsidP="005E3E9A">
            <w:pPr>
              <w:snapToGrid w:val="0"/>
              <w:jc w:val="right"/>
              <w:rPr>
                <w:b/>
                <w:sz w:val="16"/>
                <w:szCs w:val="16"/>
              </w:rPr>
            </w:pPr>
            <w:r w:rsidRPr="005E3E9A">
              <w:rPr>
                <w:b/>
                <w:sz w:val="16"/>
                <w:szCs w:val="16"/>
              </w:rPr>
              <w:t>18,8</w:t>
            </w:r>
            <w:r>
              <w:rPr>
                <w:b/>
                <w:sz w:val="16"/>
                <w:szCs w:val="16"/>
              </w:rPr>
              <w:t>26</w:t>
            </w:r>
          </w:p>
        </w:tc>
        <w:tc>
          <w:tcPr>
            <w:tcW w:w="992" w:type="dxa"/>
            <w:tcBorders>
              <w:top w:val="single" w:sz="4" w:space="0" w:color="auto"/>
              <w:left w:val="single" w:sz="4" w:space="0" w:color="auto"/>
              <w:bottom w:val="single" w:sz="4" w:space="0" w:color="auto"/>
              <w:right w:val="single" w:sz="4" w:space="0" w:color="auto"/>
            </w:tcBorders>
            <w:vAlign w:val="bottom"/>
          </w:tcPr>
          <w:p w14:paraId="7ECDBC63" w14:textId="6B4BA46D" w:rsidR="005E3E9A" w:rsidRPr="005E3E9A" w:rsidRDefault="005E3E9A">
            <w:pPr>
              <w:snapToGrid w:val="0"/>
              <w:jc w:val="right"/>
              <w:rPr>
                <w:b/>
                <w:sz w:val="16"/>
                <w:szCs w:val="16"/>
              </w:rPr>
            </w:pPr>
            <w:r w:rsidRPr="005E3E9A">
              <w:rPr>
                <w:b/>
                <w:sz w:val="16"/>
                <w:szCs w:val="16"/>
              </w:rPr>
              <w:t>39,504</w:t>
            </w:r>
          </w:p>
        </w:tc>
        <w:tc>
          <w:tcPr>
            <w:tcW w:w="1081" w:type="dxa"/>
            <w:tcBorders>
              <w:top w:val="single" w:sz="4" w:space="0" w:color="auto"/>
              <w:left w:val="single" w:sz="4" w:space="0" w:color="auto"/>
              <w:bottom w:val="single" w:sz="4" w:space="0" w:color="auto"/>
              <w:right w:val="single" w:sz="4" w:space="0" w:color="auto"/>
            </w:tcBorders>
            <w:noWrap/>
            <w:vAlign w:val="bottom"/>
          </w:tcPr>
          <w:p w14:paraId="35C12E15" w14:textId="5E42FD64" w:rsidR="005E3E9A" w:rsidRPr="005E3E9A" w:rsidRDefault="005E3E9A">
            <w:pPr>
              <w:snapToGrid w:val="0"/>
              <w:jc w:val="right"/>
              <w:rPr>
                <w:b/>
                <w:sz w:val="16"/>
                <w:szCs w:val="16"/>
              </w:rPr>
            </w:pPr>
            <w:r w:rsidRPr="005E3E9A">
              <w:rPr>
                <w:b/>
                <w:sz w:val="16"/>
                <w:szCs w:val="16"/>
              </w:rPr>
              <w:t>58,330</w:t>
            </w:r>
          </w:p>
        </w:tc>
      </w:tr>
      <w:tr w:rsidR="009B585F" w14:paraId="6E7D945A" w14:textId="77777777" w:rsidTr="001C743B">
        <w:trPr>
          <w:trHeight w:val="202"/>
          <w:jc w:val="center"/>
        </w:trPr>
        <w:tc>
          <w:tcPr>
            <w:tcW w:w="5040" w:type="dxa"/>
            <w:gridSpan w:val="2"/>
            <w:tcBorders>
              <w:top w:val="single" w:sz="4" w:space="0" w:color="auto"/>
              <w:left w:val="single" w:sz="4" w:space="0" w:color="auto"/>
              <w:bottom w:val="single" w:sz="4" w:space="0" w:color="auto"/>
              <w:right w:val="single" w:sz="4" w:space="0" w:color="auto"/>
            </w:tcBorders>
            <w:noWrap/>
            <w:hideMark/>
          </w:tcPr>
          <w:p w14:paraId="5F571208" w14:textId="77777777" w:rsidR="009B585F" w:rsidRPr="009E538B" w:rsidRDefault="009B585F">
            <w:pPr>
              <w:snapToGrid w:val="0"/>
              <w:rPr>
                <w:lang w:val="lv-LV"/>
              </w:rPr>
            </w:pPr>
            <w:r>
              <w:rPr>
                <w:sz w:val="16"/>
                <w:lang w:val="lv-LV"/>
              </w:rPr>
              <w:t>Kopējais aprēķinātais atbalsts elektroenerģijas sektorā gadā</w:t>
            </w:r>
          </w:p>
        </w:tc>
        <w:tc>
          <w:tcPr>
            <w:tcW w:w="810" w:type="dxa"/>
            <w:tcBorders>
              <w:top w:val="single" w:sz="4" w:space="0" w:color="auto"/>
              <w:left w:val="single" w:sz="4" w:space="0" w:color="auto"/>
              <w:bottom w:val="single" w:sz="4" w:space="0" w:color="auto"/>
              <w:right w:val="single" w:sz="4" w:space="0" w:color="auto"/>
            </w:tcBorders>
            <w:noWrap/>
          </w:tcPr>
          <w:p w14:paraId="2A5BB013" w14:textId="77777777" w:rsidR="009B585F" w:rsidRPr="009E538B" w:rsidRDefault="009B585F">
            <w:pPr>
              <w:snapToGrid w:val="0"/>
              <w:jc w:val="right"/>
              <w:rPr>
                <w:i/>
                <w:sz w:val="16"/>
                <w:lang w:val="lv-LV"/>
              </w:rPr>
            </w:pPr>
          </w:p>
        </w:tc>
        <w:tc>
          <w:tcPr>
            <w:tcW w:w="1046" w:type="dxa"/>
            <w:tcBorders>
              <w:top w:val="single" w:sz="4" w:space="0" w:color="auto"/>
              <w:left w:val="single" w:sz="4" w:space="0" w:color="auto"/>
              <w:bottom w:val="single" w:sz="4" w:space="0" w:color="auto"/>
              <w:right w:val="single" w:sz="4" w:space="0" w:color="auto"/>
            </w:tcBorders>
          </w:tcPr>
          <w:p w14:paraId="1A7E8359" w14:textId="77777777" w:rsidR="009B585F" w:rsidRPr="009E538B" w:rsidRDefault="009B585F">
            <w:pPr>
              <w:snapToGrid w:val="0"/>
              <w:rPr>
                <w:sz w:val="16"/>
                <w:lang w:val="lv-LV"/>
              </w:rPr>
            </w:pPr>
          </w:p>
        </w:tc>
        <w:tc>
          <w:tcPr>
            <w:tcW w:w="992" w:type="dxa"/>
            <w:tcBorders>
              <w:top w:val="single" w:sz="4" w:space="0" w:color="auto"/>
              <w:left w:val="single" w:sz="4" w:space="0" w:color="auto"/>
              <w:bottom w:val="single" w:sz="4" w:space="0" w:color="auto"/>
              <w:right w:val="single" w:sz="4" w:space="0" w:color="auto"/>
            </w:tcBorders>
          </w:tcPr>
          <w:p w14:paraId="0281BAE3" w14:textId="77777777" w:rsidR="009B585F" w:rsidRPr="009E538B" w:rsidRDefault="009B585F">
            <w:pPr>
              <w:snapToGrid w:val="0"/>
              <w:rPr>
                <w:sz w:val="16"/>
                <w:lang w:val="lv-LV"/>
              </w:rPr>
            </w:pPr>
          </w:p>
        </w:tc>
        <w:tc>
          <w:tcPr>
            <w:tcW w:w="1081" w:type="dxa"/>
            <w:tcBorders>
              <w:top w:val="single" w:sz="4" w:space="0" w:color="auto"/>
              <w:left w:val="single" w:sz="4" w:space="0" w:color="auto"/>
              <w:bottom w:val="single" w:sz="4" w:space="0" w:color="auto"/>
              <w:right w:val="single" w:sz="4" w:space="0" w:color="auto"/>
            </w:tcBorders>
            <w:noWrap/>
          </w:tcPr>
          <w:p w14:paraId="45EB49DE" w14:textId="77777777" w:rsidR="009B585F" w:rsidRPr="009E538B" w:rsidRDefault="009B585F">
            <w:pPr>
              <w:snapToGrid w:val="0"/>
              <w:rPr>
                <w:sz w:val="16"/>
                <w:lang w:val="lv-LV"/>
              </w:rPr>
            </w:pPr>
          </w:p>
        </w:tc>
      </w:tr>
      <w:tr w:rsidR="009B585F" w14:paraId="51C203E6" w14:textId="77777777" w:rsidTr="001C743B">
        <w:trPr>
          <w:trHeight w:val="217"/>
          <w:jc w:val="center"/>
        </w:trPr>
        <w:tc>
          <w:tcPr>
            <w:tcW w:w="5040" w:type="dxa"/>
            <w:gridSpan w:val="2"/>
            <w:tcBorders>
              <w:top w:val="single" w:sz="4" w:space="0" w:color="auto"/>
              <w:left w:val="single" w:sz="4" w:space="0" w:color="auto"/>
              <w:bottom w:val="single" w:sz="4" w:space="0" w:color="auto"/>
              <w:right w:val="single" w:sz="4" w:space="0" w:color="auto"/>
            </w:tcBorders>
            <w:noWrap/>
            <w:hideMark/>
          </w:tcPr>
          <w:p w14:paraId="62B13535" w14:textId="77777777" w:rsidR="009B585F" w:rsidRPr="00F26DD1" w:rsidRDefault="009B585F">
            <w:pPr>
              <w:snapToGrid w:val="0"/>
              <w:rPr>
                <w:lang w:val="lv-LV"/>
              </w:rPr>
            </w:pPr>
            <w:r>
              <w:rPr>
                <w:sz w:val="16"/>
                <w:lang w:val="lv-LV"/>
              </w:rPr>
              <w:t>Kopējais aprēķinātais atbalsts siltumapgādes sektorā gadā</w:t>
            </w:r>
          </w:p>
        </w:tc>
        <w:tc>
          <w:tcPr>
            <w:tcW w:w="810" w:type="dxa"/>
            <w:tcBorders>
              <w:top w:val="single" w:sz="4" w:space="0" w:color="auto"/>
              <w:left w:val="single" w:sz="4" w:space="0" w:color="auto"/>
              <w:bottom w:val="single" w:sz="4" w:space="0" w:color="auto"/>
              <w:right w:val="single" w:sz="4" w:space="0" w:color="auto"/>
            </w:tcBorders>
            <w:noWrap/>
          </w:tcPr>
          <w:p w14:paraId="43531D7A" w14:textId="77777777" w:rsidR="009B585F" w:rsidRPr="00F26DD1" w:rsidRDefault="009B585F">
            <w:pPr>
              <w:snapToGrid w:val="0"/>
              <w:rPr>
                <w:sz w:val="16"/>
                <w:lang w:val="lv-LV"/>
              </w:rPr>
            </w:pPr>
          </w:p>
        </w:tc>
        <w:tc>
          <w:tcPr>
            <w:tcW w:w="1046" w:type="dxa"/>
            <w:tcBorders>
              <w:top w:val="single" w:sz="4" w:space="0" w:color="auto"/>
              <w:left w:val="single" w:sz="4" w:space="0" w:color="auto"/>
              <w:bottom w:val="single" w:sz="4" w:space="0" w:color="auto"/>
              <w:right w:val="single" w:sz="4" w:space="0" w:color="auto"/>
            </w:tcBorders>
          </w:tcPr>
          <w:p w14:paraId="669EA863" w14:textId="77777777" w:rsidR="009B585F" w:rsidRPr="00F26DD1" w:rsidRDefault="009B585F">
            <w:pPr>
              <w:snapToGrid w:val="0"/>
              <w:rPr>
                <w:sz w:val="16"/>
                <w:lang w:val="lv-LV"/>
              </w:rPr>
            </w:pPr>
          </w:p>
        </w:tc>
        <w:tc>
          <w:tcPr>
            <w:tcW w:w="992" w:type="dxa"/>
            <w:tcBorders>
              <w:top w:val="single" w:sz="4" w:space="0" w:color="auto"/>
              <w:left w:val="single" w:sz="4" w:space="0" w:color="auto"/>
              <w:bottom w:val="single" w:sz="4" w:space="0" w:color="auto"/>
              <w:right w:val="single" w:sz="4" w:space="0" w:color="auto"/>
            </w:tcBorders>
          </w:tcPr>
          <w:p w14:paraId="6FAEBA59" w14:textId="77777777" w:rsidR="009B585F" w:rsidRPr="00F26DD1" w:rsidRDefault="009B585F">
            <w:pPr>
              <w:snapToGrid w:val="0"/>
              <w:rPr>
                <w:sz w:val="16"/>
                <w:lang w:val="lv-LV"/>
              </w:rPr>
            </w:pPr>
          </w:p>
        </w:tc>
        <w:tc>
          <w:tcPr>
            <w:tcW w:w="1081" w:type="dxa"/>
            <w:tcBorders>
              <w:top w:val="single" w:sz="4" w:space="0" w:color="auto"/>
              <w:left w:val="single" w:sz="4" w:space="0" w:color="auto"/>
              <w:bottom w:val="single" w:sz="4" w:space="0" w:color="auto"/>
              <w:right w:val="single" w:sz="4" w:space="0" w:color="auto"/>
            </w:tcBorders>
            <w:noWrap/>
          </w:tcPr>
          <w:p w14:paraId="1D2FE71D" w14:textId="77777777" w:rsidR="009B585F" w:rsidRPr="00F26DD1" w:rsidRDefault="009B585F">
            <w:pPr>
              <w:snapToGrid w:val="0"/>
              <w:rPr>
                <w:sz w:val="16"/>
                <w:lang w:val="lv-LV"/>
              </w:rPr>
            </w:pPr>
          </w:p>
        </w:tc>
      </w:tr>
      <w:tr w:rsidR="009B585F" w14:paraId="2AF6B21B" w14:textId="77777777" w:rsidTr="001C743B">
        <w:trPr>
          <w:trHeight w:val="202"/>
          <w:jc w:val="center"/>
        </w:trPr>
        <w:tc>
          <w:tcPr>
            <w:tcW w:w="5040" w:type="dxa"/>
            <w:gridSpan w:val="2"/>
            <w:tcBorders>
              <w:top w:val="single" w:sz="4" w:space="0" w:color="auto"/>
              <w:left w:val="single" w:sz="4" w:space="0" w:color="auto"/>
              <w:bottom w:val="single" w:sz="4" w:space="0" w:color="auto"/>
              <w:right w:val="single" w:sz="4" w:space="0" w:color="auto"/>
            </w:tcBorders>
            <w:noWrap/>
            <w:hideMark/>
          </w:tcPr>
          <w:p w14:paraId="1B1C6985" w14:textId="77777777" w:rsidR="009B585F" w:rsidRDefault="009B585F">
            <w:pPr>
              <w:snapToGrid w:val="0"/>
              <w:rPr>
                <w:lang w:val="fr-FR"/>
              </w:rPr>
            </w:pPr>
            <w:r>
              <w:rPr>
                <w:sz w:val="16"/>
                <w:lang w:val="lv-LV"/>
              </w:rPr>
              <w:t>Kopējais aprēķinātais atbalsts transporta sektorā gadā</w:t>
            </w:r>
          </w:p>
        </w:tc>
        <w:tc>
          <w:tcPr>
            <w:tcW w:w="810" w:type="dxa"/>
            <w:tcBorders>
              <w:top w:val="single" w:sz="4" w:space="0" w:color="auto"/>
              <w:left w:val="single" w:sz="4" w:space="0" w:color="auto"/>
              <w:bottom w:val="single" w:sz="4" w:space="0" w:color="auto"/>
              <w:right w:val="single" w:sz="4" w:space="0" w:color="auto"/>
            </w:tcBorders>
            <w:noWrap/>
          </w:tcPr>
          <w:p w14:paraId="2C08DA6D" w14:textId="77777777" w:rsidR="009B585F" w:rsidRDefault="009B585F">
            <w:pPr>
              <w:snapToGrid w:val="0"/>
              <w:jc w:val="right"/>
              <w:rPr>
                <w:i/>
                <w:sz w:val="16"/>
                <w:lang w:val="fr-FR"/>
              </w:rPr>
            </w:pPr>
          </w:p>
        </w:tc>
        <w:tc>
          <w:tcPr>
            <w:tcW w:w="1046" w:type="dxa"/>
            <w:tcBorders>
              <w:top w:val="single" w:sz="4" w:space="0" w:color="auto"/>
              <w:left w:val="single" w:sz="4" w:space="0" w:color="auto"/>
              <w:bottom w:val="single" w:sz="4" w:space="0" w:color="auto"/>
              <w:right w:val="single" w:sz="4" w:space="0" w:color="auto"/>
            </w:tcBorders>
          </w:tcPr>
          <w:p w14:paraId="6AB04988" w14:textId="77777777" w:rsidR="009B585F" w:rsidRDefault="009B585F">
            <w:pPr>
              <w:snapToGrid w:val="0"/>
              <w:rPr>
                <w:sz w:val="16"/>
                <w:lang w:val="fr-FR"/>
              </w:rPr>
            </w:pPr>
          </w:p>
        </w:tc>
        <w:tc>
          <w:tcPr>
            <w:tcW w:w="992" w:type="dxa"/>
            <w:tcBorders>
              <w:top w:val="single" w:sz="4" w:space="0" w:color="auto"/>
              <w:left w:val="single" w:sz="4" w:space="0" w:color="auto"/>
              <w:bottom w:val="single" w:sz="4" w:space="0" w:color="auto"/>
              <w:right w:val="single" w:sz="4" w:space="0" w:color="auto"/>
            </w:tcBorders>
          </w:tcPr>
          <w:p w14:paraId="0801E09E" w14:textId="77777777" w:rsidR="009B585F" w:rsidRDefault="009B585F">
            <w:pPr>
              <w:snapToGrid w:val="0"/>
              <w:rPr>
                <w:sz w:val="16"/>
                <w:lang w:val="fr-FR"/>
              </w:rPr>
            </w:pPr>
          </w:p>
        </w:tc>
        <w:tc>
          <w:tcPr>
            <w:tcW w:w="1081" w:type="dxa"/>
            <w:tcBorders>
              <w:top w:val="single" w:sz="4" w:space="0" w:color="auto"/>
              <w:left w:val="single" w:sz="4" w:space="0" w:color="auto"/>
              <w:bottom w:val="single" w:sz="4" w:space="0" w:color="auto"/>
              <w:right w:val="single" w:sz="4" w:space="0" w:color="auto"/>
            </w:tcBorders>
            <w:noWrap/>
          </w:tcPr>
          <w:p w14:paraId="4B12CAB0" w14:textId="77777777" w:rsidR="009B585F" w:rsidRDefault="009B585F">
            <w:pPr>
              <w:snapToGrid w:val="0"/>
              <w:rPr>
                <w:sz w:val="16"/>
                <w:lang w:val="fr-FR"/>
              </w:rPr>
            </w:pPr>
          </w:p>
        </w:tc>
      </w:tr>
    </w:tbl>
    <w:p w14:paraId="551B8C6D" w14:textId="76FE5294" w:rsidR="006B6FFA" w:rsidRPr="009E538B" w:rsidRDefault="006B6FFA" w:rsidP="006B6FFA">
      <w:pPr>
        <w:rPr>
          <w:i/>
          <w:sz w:val="20"/>
          <w:szCs w:val="20"/>
          <w:lang w:val="lv-LV"/>
        </w:rPr>
      </w:pPr>
      <w:r w:rsidRPr="009E538B">
        <w:rPr>
          <w:i/>
          <w:sz w:val="20"/>
          <w:szCs w:val="20"/>
          <w:lang w:val="lv-LV"/>
        </w:rPr>
        <w:t>Avots: F</w:t>
      </w:r>
      <w:r w:rsidR="00643C47" w:rsidRPr="009E538B">
        <w:rPr>
          <w:i/>
          <w:sz w:val="20"/>
          <w:szCs w:val="20"/>
          <w:lang w:val="lv-LV"/>
        </w:rPr>
        <w:t>inanšu ministrija</w:t>
      </w:r>
      <w:r w:rsidR="00A92C3A">
        <w:rPr>
          <w:i/>
          <w:sz w:val="20"/>
          <w:szCs w:val="20"/>
          <w:lang w:val="lv-LV"/>
        </w:rPr>
        <w:t>, Ekonomikas ministrija</w:t>
      </w:r>
    </w:p>
    <w:p w14:paraId="1CE70A8A" w14:textId="77777777" w:rsidR="001C743B" w:rsidRPr="009E538B" w:rsidRDefault="001C743B" w:rsidP="00D037EB">
      <w:pPr>
        <w:rPr>
          <w:sz w:val="18"/>
          <w:highlight w:val="yellow"/>
          <w:lang w:val="lv-LV"/>
        </w:rPr>
      </w:pPr>
      <w:r w:rsidRPr="00D037EB">
        <w:rPr>
          <w:snapToGrid/>
          <w:sz w:val="18"/>
          <w:lang w:val="lv-LV"/>
        </w:rPr>
        <w:t>* Enerģijas apjoms, attiecībā uz kuru maksā atbalstu par vienību, liecina par atbalsta efektivitāti katrā tehnoloģijas veidā</w:t>
      </w:r>
    </w:p>
    <w:p w14:paraId="2FBD6C2F" w14:textId="77777777" w:rsidR="006A4741" w:rsidRDefault="006A4741" w:rsidP="00970055">
      <w:pPr>
        <w:jc w:val="both"/>
        <w:rPr>
          <w:b/>
          <w:iCs/>
          <w:u w:val="single"/>
          <w:lang w:val="lv-LV"/>
        </w:rPr>
      </w:pPr>
    </w:p>
    <w:p w14:paraId="7002B327" w14:textId="4C3C5DE0" w:rsidR="0097347E" w:rsidRPr="00C80170" w:rsidRDefault="0097347E" w:rsidP="0097347E">
      <w:pPr>
        <w:jc w:val="right"/>
        <w:rPr>
          <w:b/>
          <w:i/>
          <w:sz w:val="20"/>
          <w:szCs w:val="20"/>
          <w:lang w:val="lv-LV"/>
        </w:rPr>
      </w:pPr>
      <w:r>
        <w:rPr>
          <w:b/>
          <w:i/>
          <w:sz w:val="20"/>
          <w:szCs w:val="20"/>
          <w:lang w:val="lv-LV"/>
        </w:rPr>
        <w:t>3.</w:t>
      </w:r>
      <w:r w:rsidR="009E2EE8">
        <w:rPr>
          <w:b/>
          <w:i/>
          <w:sz w:val="20"/>
          <w:szCs w:val="20"/>
          <w:lang w:val="lv-LV"/>
        </w:rPr>
        <w:t>b</w:t>
      </w:r>
      <w:r>
        <w:rPr>
          <w:b/>
          <w:i/>
          <w:sz w:val="20"/>
          <w:szCs w:val="20"/>
          <w:lang w:val="lv-LV"/>
        </w:rPr>
        <w:t> tabula</w:t>
      </w:r>
    </w:p>
    <w:p w14:paraId="329FE31E" w14:textId="4701DA78" w:rsidR="0097347E" w:rsidRPr="00D037EB" w:rsidRDefault="0097347E" w:rsidP="0097347E">
      <w:pPr>
        <w:jc w:val="center"/>
        <w:rPr>
          <w:b/>
          <w:sz w:val="20"/>
          <w:szCs w:val="20"/>
        </w:rPr>
      </w:pPr>
      <w:r>
        <w:rPr>
          <w:b/>
          <w:sz w:val="20"/>
          <w:szCs w:val="20"/>
          <w:lang w:val="lv-LV"/>
        </w:rPr>
        <w:t>Vidējais atbalsts par vienību (LVL/</w:t>
      </w:r>
      <w:proofErr w:type="spellStart"/>
      <w:r>
        <w:rPr>
          <w:b/>
          <w:sz w:val="20"/>
          <w:szCs w:val="20"/>
          <w:lang w:val="lv-LV"/>
        </w:rPr>
        <w:t>MWh</w:t>
      </w:r>
      <w:proofErr w:type="spellEnd"/>
      <w:r>
        <w:rPr>
          <w:b/>
          <w:sz w:val="20"/>
          <w:szCs w:val="20"/>
          <w:lang w:val="lv-LV"/>
        </w:rPr>
        <w:t>) virs tirgus cenas</w:t>
      </w:r>
      <w:r w:rsidRPr="00D037EB">
        <w:rPr>
          <w:b/>
          <w:sz w:val="20"/>
          <w:szCs w:val="20"/>
          <w:lang w:val="lv-LV"/>
        </w:rPr>
        <w:t xml:space="preserve"> </w:t>
      </w:r>
      <w:r>
        <w:rPr>
          <w:b/>
          <w:sz w:val="20"/>
          <w:szCs w:val="20"/>
          <w:lang w:val="lv-LV"/>
        </w:rPr>
        <w:t>e</w:t>
      </w:r>
      <w:r w:rsidRPr="0097347E">
        <w:rPr>
          <w:b/>
          <w:sz w:val="20"/>
          <w:szCs w:val="20"/>
          <w:lang w:val="lv-LV"/>
        </w:rPr>
        <w:t>lektroenerģijas no AER obligāt</w:t>
      </w:r>
      <w:r>
        <w:rPr>
          <w:b/>
          <w:sz w:val="20"/>
          <w:szCs w:val="20"/>
          <w:lang w:val="lv-LV"/>
        </w:rPr>
        <w:t>ā iepirkuma ietvaros</w:t>
      </w:r>
    </w:p>
    <w:tbl>
      <w:tblPr>
        <w:tblW w:w="6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921"/>
        <w:gridCol w:w="1005"/>
      </w:tblGrid>
      <w:tr w:rsidR="0097347E" w14:paraId="3779F527" w14:textId="77777777" w:rsidTr="00C33A9B">
        <w:trPr>
          <w:trHeight w:val="166"/>
          <w:jc w:val="center"/>
        </w:trPr>
        <w:tc>
          <w:tcPr>
            <w:tcW w:w="4500" w:type="dxa"/>
            <w:tcBorders>
              <w:top w:val="single" w:sz="4" w:space="0" w:color="auto"/>
              <w:left w:val="single" w:sz="4" w:space="0" w:color="auto"/>
              <w:bottom w:val="single" w:sz="4" w:space="0" w:color="auto"/>
              <w:right w:val="single" w:sz="4" w:space="0" w:color="auto"/>
            </w:tcBorders>
          </w:tcPr>
          <w:p w14:paraId="7CB97B63" w14:textId="5CE62ACE" w:rsidR="0097347E" w:rsidRPr="00EB716E" w:rsidRDefault="0097347E" w:rsidP="0097347E">
            <w:pPr>
              <w:snapToGrid w:val="0"/>
              <w:jc w:val="center"/>
              <w:rPr>
                <w:sz w:val="16"/>
                <w:szCs w:val="16"/>
                <w:lang w:val="lv-LV"/>
              </w:rPr>
            </w:pPr>
            <w:r>
              <w:rPr>
                <w:sz w:val="16"/>
                <w:szCs w:val="16"/>
                <w:lang w:val="lv-LV"/>
              </w:rPr>
              <w:t>Elektrostaciju veids</w:t>
            </w:r>
          </w:p>
        </w:tc>
        <w:tc>
          <w:tcPr>
            <w:tcW w:w="921" w:type="dxa"/>
            <w:tcBorders>
              <w:top w:val="single" w:sz="4" w:space="0" w:color="auto"/>
              <w:left w:val="single" w:sz="4" w:space="0" w:color="auto"/>
              <w:bottom w:val="single" w:sz="4" w:space="0" w:color="auto"/>
              <w:right w:val="single" w:sz="4" w:space="0" w:color="auto"/>
            </w:tcBorders>
            <w:noWrap/>
          </w:tcPr>
          <w:p w14:paraId="72BF9294" w14:textId="2F4161BD" w:rsidR="0097347E" w:rsidRPr="006A4741" w:rsidRDefault="0097347E" w:rsidP="006F42E0">
            <w:pPr>
              <w:snapToGrid w:val="0"/>
              <w:rPr>
                <w:sz w:val="16"/>
                <w:szCs w:val="16"/>
              </w:rPr>
            </w:pPr>
            <w:r>
              <w:rPr>
                <w:sz w:val="16"/>
                <w:szCs w:val="16"/>
              </w:rPr>
              <w:t>2011. gads</w:t>
            </w:r>
          </w:p>
        </w:tc>
        <w:tc>
          <w:tcPr>
            <w:tcW w:w="1005" w:type="dxa"/>
            <w:tcBorders>
              <w:top w:val="single" w:sz="4" w:space="0" w:color="auto"/>
              <w:left w:val="single" w:sz="4" w:space="0" w:color="auto"/>
              <w:bottom w:val="single" w:sz="4" w:space="0" w:color="auto"/>
              <w:right w:val="single" w:sz="4" w:space="0" w:color="auto"/>
            </w:tcBorders>
          </w:tcPr>
          <w:p w14:paraId="3A671D4B" w14:textId="7A4F5B42" w:rsidR="0097347E" w:rsidRDefault="0097347E" w:rsidP="006F42E0">
            <w:pPr>
              <w:snapToGrid w:val="0"/>
              <w:rPr>
                <w:sz w:val="16"/>
                <w:szCs w:val="16"/>
              </w:rPr>
            </w:pPr>
            <w:r>
              <w:rPr>
                <w:sz w:val="16"/>
                <w:szCs w:val="16"/>
              </w:rPr>
              <w:t>2012. gads</w:t>
            </w:r>
          </w:p>
        </w:tc>
      </w:tr>
      <w:tr w:rsidR="0097347E" w:rsidRPr="005E3E9A" w14:paraId="501C7552" w14:textId="77777777" w:rsidTr="00C33A9B">
        <w:trPr>
          <w:trHeight w:val="166"/>
          <w:jc w:val="center"/>
        </w:trPr>
        <w:tc>
          <w:tcPr>
            <w:tcW w:w="4500" w:type="dxa"/>
            <w:tcBorders>
              <w:top w:val="single" w:sz="4" w:space="0" w:color="auto"/>
              <w:left w:val="single" w:sz="4" w:space="0" w:color="auto"/>
              <w:bottom w:val="single" w:sz="4" w:space="0" w:color="auto"/>
              <w:right w:val="single" w:sz="4" w:space="0" w:color="auto"/>
            </w:tcBorders>
          </w:tcPr>
          <w:p w14:paraId="5CBE9901" w14:textId="05EB8B8B" w:rsidR="0097347E" w:rsidRPr="009B585F" w:rsidRDefault="0097347E" w:rsidP="0097347E">
            <w:pPr>
              <w:snapToGrid w:val="0"/>
              <w:rPr>
                <w:i/>
                <w:sz w:val="16"/>
                <w:szCs w:val="16"/>
                <w:lang w:val="lv-LV"/>
              </w:rPr>
            </w:pPr>
            <w:r>
              <w:rPr>
                <w:i/>
                <w:sz w:val="16"/>
                <w:szCs w:val="16"/>
                <w:lang w:val="lv-LV"/>
              </w:rPr>
              <w:t>H</w:t>
            </w:r>
            <w:r w:rsidRPr="009B585F">
              <w:rPr>
                <w:i/>
                <w:sz w:val="16"/>
                <w:szCs w:val="16"/>
                <w:lang w:val="lv-LV"/>
              </w:rPr>
              <w:t>idroelektrostacij</w:t>
            </w:r>
            <w:r>
              <w:rPr>
                <w:i/>
                <w:sz w:val="16"/>
                <w:szCs w:val="16"/>
                <w:lang w:val="lv-LV"/>
              </w:rPr>
              <w:t>as</w:t>
            </w:r>
          </w:p>
        </w:tc>
        <w:tc>
          <w:tcPr>
            <w:tcW w:w="921" w:type="dxa"/>
            <w:tcBorders>
              <w:top w:val="single" w:sz="4" w:space="0" w:color="auto"/>
              <w:left w:val="single" w:sz="4" w:space="0" w:color="auto"/>
              <w:bottom w:val="single" w:sz="4" w:space="0" w:color="auto"/>
              <w:right w:val="single" w:sz="4" w:space="0" w:color="auto"/>
            </w:tcBorders>
            <w:noWrap/>
          </w:tcPr>
          <w:p w14:paraId="1700B247" w14:textId="0504F7D5" w:rsidR="0097347E" w:rsidRPr="006A4741" w:rsidRDefault="0097347E" w:rsidP="0097347E">
            <w:pPr>
              <w:snapToGrid w:val="0"/>
              <w:jc w:val="center"/>
              <w:rPr>
                <w:sz w:val="16"/>
                <w:szCs w:val="16"/>
              </w:rPr>
            </w:pPr>
            <w:r>
              <w:rPr>
                <w:sz w:val="16"/>
                <w:szCs w:val="16"/>
              </w:rPr>
              <w:t>9,34</w:t>
            </w:r>
          </w:p>
        </w:tc>
        <w:tc>
          <w:tcPr>
            <w:tcW w:w="1005" w:type="dxa"/>
            <w:tcBorders>
              <w:top w:val="single" w:sz="4" w:space="0" w:color="auto"/>
              <w:left w:val="single" w:sz="4" w:space="0" w:color="auto"/>
              <w:bottom w:val="single" w:sz="4" w:space="0" w:color="auto"/>
              <w:right w:val="single" w:sz="4" w:space="0" w:color="auto"/>
            </w:tcBorders>
          </w:tcPr>
          <w:p w14:paraId="10C40B63" w14:textId="126CEB0A" w:rsidR="0097347E" w:rsidRDefault="00C33A9B" w:rsidP="0097347E">
            <w:pPr>
              <w:snapToGrid w:val="0"/>
              <w:jc w:val="center"/>
              <w:rPr>
                <w:sz w:val="16"/>
                <w:szCs w:val="16"/>
              </w:rPr>
            </w:pPr>
            <w:r>
              <w:rPr>
                <w:sz w:val="16"/>
                <w:szCs w:val="16"/>
              </w:rPr>
              <w:t>9,43</w:t>
            </w:r>
          </w:p>
        </w:tc>
      </w:tr>
      <w:tr w:rsidR="0097347E" w:rsidRPr="005E3E9A" w14:paraId="09800FD4" w14:textId="77777777" w:rsidTr="00C33A9B">
        <w:trPr>
          <w:trHeight w:val="166"/>
          <w:jc w:val="center"/>
        </w:trPr>
        <w:tc>
          <w:tcPr>
            <w:tcW w:w="4500" w:type="dxa"/>
            <w:tcBorders>
              <w:top w:val="single" w:sz="4" w:space="0" w:color="auto"/>
              <w:left w:val="single" w:sz="4" w:space="0" w:color="auto"/>
              <w:bottom w:val="single" w:sz="4" w:space="0" w:color="auto"/>
              <w:right w:val="single" w:sz="4" w:space="0" w:color="auto"/>
            </w:tcBorders>
          </w:tcPr>
          <w:p w14:paraId="6ECDADD7" w14:textId="2528EFB4" w:rsidR="0097347E" w:rsidRDefault="0097347E" w:rsidP="0097347E">
            <w:pPr>
              <w:snapToGrid w:val="0"/>
              <w:rPr>
                <w:i/>
                <w:sz w:val="16"/>
                <w:szCs w:val="16"/>
                <w:lang w:val="lv-LV"/>
              </w:rPr>
            </w:pPr>
            <w:r>
              <w:rPr>
                <w:i/>
                <w:sz w:val="16"/>
                <w:szCs w:val="16"/>
                <w:lang w:val="lv-LV"/>
              </w:rPr>
              <w:t xml:space="preserve">Vēja </w:t>
            </w:r>
            <w:proofErr w:type="spellStart"/>
            <w:r w:rsidRPr="009B585F">
              <w:rPr>
                <w:i/>
                <w:sz w:val="16"/>
                <w:szCs w:val="16"/>
                <w:lang w:val="lv-LV"/>
              </w:rPr>
              <w:t>ektrostacij</w:t>
            </w:r>
            <w:r>
              <w:rPr>
                <w:i/>
                <w:sz w:val="16"/>
                <w:szCs w:val="16"/>
                <w:lang w:val="lv-LV"/>
              </w:rPr>
              <w:t>as</w:t>
            </w:r>
            <w:proofErr w:type="spellEnd"/>
          </w:p>
        </w:tc>
        <w:tc>
          <w:tcPr>
            <w:tcW w:w="921" w:type="dxa"/>
            <w:tcBorders>
              <w:top w:val="single" w:sz="4" w:space="0" w:color="auto"/>
              <w:left w:val="single" w:sz="4" w:space="0" w:color="auto"/>
              <w:bottom w:val="single" w:sz="4" w:space="0" w:color="auto"/>
              <w:right w:val="single" w:sz="4" w:space="0" w:color="auto"/>
            </w:tcBorders>
            <w:noWrap/>
          </w:tcPr>
          <w:p w14:paraId="63931640" w14:textId="2AA4556F" w:rsidR="0097347E" w:rsidRPr="006A4741" w:rsidRDefault="0097347E" w:rsidP="0097347E">
            <w:pPr>
              <w:snapToGrid w:val="0"/>
              <w:jc w:val="center"/>
              <w:rPr>
                <w:sz w:val="16"/>
                <w:szCs w:val="16"/>
              </w:rPr>
            </w:pPr>
            <w:r>
              <w:rPr>
                <w:sz w:val="16"/>
                <w:szCs w:val="16"/>
              </w:rPr>
              <w:t>3,71</w:t>
            </w:r>
          </w:p>
        </w:tc>
        <w:tc>
          <w:tcPr>
            <w:tcW w:w="1005" w:type="dxa"/>
            <w:tcBorders>
              <w:top w:val="single" w:sz="4" w:space="0" w:color="auto"/>
              <w:left w:val="single" w:sz="4" w:space="0" w:color="auto"/>
              <w:bottom w:val="single" w:sz="4" w:space="0" w:color="auto"/>
              <w:right w:val="single" w:sz="4" w:space="0" w:color="auto"/>
            </w:tcBorders>
          </w:tcPr>
          <w:p w14:paraId="1CC98CEA" w14:textId="778193E7" w:rsidR="0097347E" w:rsidRDefault="00C33A9B" w:rsidP="0097347E">
            <w:pPr>
              <w:snapToGrid w:val="0"/>
              <w:jc w:val="center"/>
              <w:rPr>
                <w:sz w:val="16"/>
                <w:szCs w:val="16"/>
              </w:rPr>
            </w:pPr>
            <w:r>
              <w:rPr>
                <w:sz w:val="16"/>
                <w:szCs w:val="16"/>
              </w:rPr>
              <w:t>4,21</w:t>
            </w:r>
          </w:p>
        </w:tc>
      </w:tr>
      <w:tr w:rsidR="0097347E" w:rsidRPr="005E3E9A" w14:paraId="0FDF232F" w14:textId="77777777" w:rsidTr="00C33A9B">
        <w:trPr>
          <w:trHeight w:val="166"/>
          <w:jc w:val="center"/>
        </w:trPr>
        <w:tc>
          <w:tcPr>
            <w:tcW w:w="4500" w:type="dxa"/>
            <w:tcBorders>
              <w:top w:val="single" w:sz="4" w:space="0" w:color="auto"/>
              <w:left w:val="single" w:sz="4" w:space="0" w:color="auto"/>
              <w:bottom w:val="single" w:sz="4" w:space="0" w:color="auto"/>
              <w:right w:val="single" w:sz="4" w:space="0" w:color="auto"/>
            </w:tcBorders>
          </w:tcPr>
          <w:p w14:paraId="10EBF649" w14:textId="2C6DE37C" w:rsidR="0097347E" w:rsidRDefault="0097347E" w:rsidP="0097347E">
            <w:pPr>
              <w:snapToGrid w:val="0"/>
              <w:rPr>
                <w:i/>
                <w:sz w:val="16"/>
                <w:szCs w:val="16"/>
                <w:lang w:val="lv-LV"/>
              </w:rPr>
            </w:pPr>
            <w:r>
              <w:rPr>
                <w:i/>
                <w:sz w:val="16"/>
                <w:szCs w:val="16"/>
                <w:lang w:val="lv-LV"/>
              </w:rPr>
              <w:t xml:space="preserve">Biomasas </w:t>
            </w:r>
            <w:r w:rsidRPr="009B585F">
              <w:rPr>
                <w:i/>
                <w:sz w:val="16"/>
                <w:szCs w:val="16"/>
                <w:lang w:val="lv-LV"/>
              </w:rPr>
              <w:t>stacij</w:t>
            </w:r>
            <w:r>
              <w:rPr>
                <w:i/>
                <w:sz w:val="16"/>
                <w:szCs w:val="16"/>
                <w:lang w:val="lv-LV"/>
              </w:rPr>
              <w:t>as</w:t>
            </w:r>
          </w:p>
        </w:tc>
        <w:tc>
          <w:tcPr>
            <w:tcW w:w="921" w:type="dxa"/>
            <w:tcBorders>
              <w:top w:val="single" w:sz="4" w:space="0" w:color="auto"/>
              <w:left w:val="single" w:sz="4" w:space="0" w:color="auto"/>
              <w:bottom w:val="single" w:sz="4" w:space="0" w:color="auto"/>
              <w:right w:val="single" w:sz="4" w:space="0" w:color="auto"/>
            </w:tcBorders>
            <w:noWrap/>
          </w:tcPr>
          <w:p w14:paraId="4753FFD2" w14:textId="7D6E5FDB" w:rsidR="0097347E" w:rsidRPr="006A4741" w:rsidRDefault="0097347E" w:rsidP="0097347E">
            <w:pPr>
              <w:snapToGrid w:val="0"/>
              <w:jc w:val="center"/>
              <w:rPr>
                <w:sz w:val="16"/>
                <w:szCs w:val="16"/>
              </w:rPr>
            </w:pPr>
            <w:r>
              <w:rPr>
                <w:sz w:val="16"/>
                <w:szCs w:val="16"/>
              </w:rPr>
              <w:t>8,29</w:t>
            </w:r>
          </w:p>
        </w:tc>
        <w:tc>
          <w:tcPr>
            <w:tcW w:w="1005" w:type="dxa"/>
            <w:tcBorders>
              <w:top w:val="single" w:sz="4" w:space="0" w:color="auto"/>
              <w:left w:val="single" w:sz="4" w:space="0" w:color="auto"/>
              <w:bottom w:val="single" w:sz="4" w:space="0" w:color="auto"/>
              <w:right w:val="single" w:sz="4" w:space="0" w:color="auto"/>
            </w:tcBorders>
          </w:tcPr>
          <w:p w14:paraId="7C8A090E" w14:textId="41140ABD" w:rsidR="0097347E" w:rsidRDefault="00C33A9B" w:rsidP="0097347E">
            <w:pPr>
              <w:snapToGrid w:val="0"/>
              <w:jc w:val="center"/>
              <w:rPr>
                <w:sz w:val="16"/>
                <w:szCs w:val="16"/>
              </w:rPr>
            </w:pPr>
            <w:r>
              <w:rPr>
                <w:sz w:val="16"/>
                <w:szCs w:val="16"/>
              </w:rPr>
              <w:t>9,76</w:t>
            </w:r>
          </w:p>
        </w:tc>
      </w:tr>
      <w:tr w:rsidR="0097347E" w:rsidRPr="005E3E9A" w14:paraId="6399D410" w14:textId="77777777" w:rsidTr="00C33A9B">
        <w:trPr>
          <w:trHeight w:val="166"/>
          <w:jc w:val="center"/>
        </w:trPr>
        <w:tc>
          <w:tcPr>
            <w:tcW w:w="4500" w:type="dxa"/>
            <w:tcBorders>
              <w:top w:val="single" w:sz="4" w:space="0" w:color="auto"/>
              <w:left w:val="single" w:sz="4" w:space="0" w:color="auto"/>
              <w:bottom w:val="single" w:sz="4" w:space="0" w:color="auto"/>
              <w:right w:val="single" w:sz="4" w:space="0" w:color="auto"/>
            </w:tcBorders>
          </w:tcPr>
          <w:p w14:paraId="7E557DCA" w14:textId="6F4E7091" w:rsidR="0097347E" w:rsidRDefault="0097347E" w:rsidP="0097347E">
            <w:pPr>
              <w:snapToGrid w:val="0"/>
              <w:rPr>
                <w:i/>
                <w:sz w:val="16"/>
                <w:szCs w:val="16"/>
                <w:lang w:val="lv-LV"/>
              </w:rPr>
            </w:pPr>
            <w:proofErr w:type="spellStart"/>
            <w:r>
              <w:rPr>
                <w:i/>
                <w:sz w:val="16"/>
                <w:szCs w:val="16"/>
                <w:lang w:val="lv-LV"/>
              </w:rPr>
              <w:t>Biogāzess</w:t>
            </w:r>
            <w:proofErr w:type="spellEnd"/>
            <w:r>
              <w:rPr>
                <w:i/>
                <w:sz w:val="16"/>
                <w:szCs w:val="16"/>
                <w:lang w:val="lv-LV"/>
              </w:rPr>
              <w:t xml:space="preserve"> </w:t>
            </w:r>
            <w:r w:rsidRPr="009B585F">
              <w:rPr>
                <w:i/>
                <w:sz w:val="16"/>
                <w:szCs w:val="16"/>
                <w:lang w:val="lv-LV"/>
              </w:rPr>
              <w:t>stacij</w:t>
            </w:r>
            <w:r>
              <w:rPr>
                <w:i/>
                <w:sz w:val="16"/>
                <w:szCs w:val="16"/>
                <w:lang w:val="lv-LV"/>
              </w:rPr>
              <w:t>as</w:t>
            </w:r>
          </w:p>
        </w:tc>
        <w:tc>
          <w:tcPr>
            <w:tcW w:w="921" w:type="dxa"/>
            <w:tcBorders>
              <w:top w:val="single" w:sz="4" w:space="0" w:color="auto"/>
              <w:left w:val="single" w:sz="4" w:space="0" w:color="auto"/>
              <w:bottom w:val="single" w:sz="4" w:space="0" w:color="auto"/>
              <w:right w:val="single" w:sz="4" w:space="0" w:color="auto"/>
            </w:tcBorders>
            <w:noWrap/>
          </w:tcPr>
          <w:p w14:paraId="30C7A5AB" w14:textId="0E606147" w:rsidR="0097347E" w:rsidRPr="006A4741" w:rsidRDefault="0097347E" w:rsidP="0097347E">
            <w:pPr>
              <w:snapToGrid w:val="0"/>
              <w:jc w:val="center"/>
              <w:rPr>
                <w:sz w:val="16"/>
                <w:szCs w:val="16"/>
              </w:rPr>
            </w:pPr>
            <w:r>
              <w:rPr>
                <w:sz w:val="16"/>
                <w:szCs w:val="16"/>
              </w:rPr>
              <w:t>9,49</w:t>
            </w:r>
          </w:p>
        </w:tc>
        <w:tc>
          <w:tcPr>
            <w:tcW w:w="1005" w:type="dxa"/>
            <w:tcBorders>
              <w:top w:val="single" w:sz="4" w:space="0" w:color="auto"/>
              <w:left w:val="single" w:sz="4" w:space="0" w:color="auto"/>
              <w:bottom w:val="single" w:sz="4" w:space="0" w:color="auto"/>
              <w:right w:val="single" w:sz="4" w:space="0" w:color="auto"/>
            </w:tcBorders>
          </w:tcPr>
          <w:p w14:paraId="762B718D" w14:textId="38ECDE62" w:rsidR="0097347E" w:rsidRDefault="00C33A9B" w:rsidP="0097347E">
            <w:pPr>
              <w:snapToGrid w:val="0"/>
              <w:jc w:val="center"/>
              <w:rPr>
                <w:sz w:val="16"/>
                <w:szCs w:val="16"/>
              </w:rPr>
            </w:pPr>
            <w:r>
              <w:rPr>
                <w:sz w:val="16"/>
                <w:szCs w:val="16"/>
              </w:rPr>
              <w:t>10,40</w:t>
            </w:r>
          </w:p>
        </w:tc>
      </w:tr>
      <w:tr w:rsidR="0097347E" w:rsidRPr="005E3E9A" w14:paraId="24AAE281" w14:textId="77777777" w:rsidTr="00C33A9B">
        <w:trPr>
          <w:trHeight w:val="166"/>
          <w:jc w:val="center"/>
        </w:trPr>
        <w:tc>
          <w:tcPr>
            <w:tcW w:w="4500" w:type="dxa"/>
            <w:tcBorders>
              <w:top w:val="single" w:sz="4" w:space="0" w:color="auto"/>
              <w:left w:val="single" w:sz="4" w:space="0" w:color="auto"/>
              <w:bottom w:val="single" w:sz="4" w:space="0" w:color="auto"/>
              <w:right w:val="single" w:sz="4" w:space="0" w:color="auto"/>
            </w:tcBorders>
          </w:tcPr>
          <w:p w14:paraId="1F6957A9" w14:textId="4584CB02" w:rsidR="0097347E" w:rsidRDefault="00C33A9B" w:rsidP="00C33A9B">
            <w:pPr>
              <w:snapToGrid w:val="0"/>
              <w:ind w:left="601"/>
              <w:jc w:val="right"/>
              <w:rPr>
                <w:i/>
                <w:sz w:val="16"/>
                <w:szCs w:val="16"/>
                <w:lang w:val="lv-LV"/>
              </w:rPr>
            </w:pPr>
            <w:r>
              <w:rPr>
                <w:i/>
                <w:sz w:val="16"/>
                <w:szCs w:val="16"/>
                <w:lang w:val="lv-LV"/>
              </w:rPr>
              <w:t>Vidēji</w:t>
            </w:r>
            <w:r w:rsidR="0097347E">
              <w:rPr>
                <w:i/>
                <w:sz w:val="16"/>
                <w:szCs w:val="16"/>
                <w:lang w:val="lv-LV"/>
              </w:rPr>
              <w:t>:</w:t>
            </w:r>
          </w:p>
        </w:tc>
        <w:tc>
          <w:tcPr>
            <w:tcW w:w="921" w:type="dxa"/>
            <w:tcBorders>
              <w:top w:val="single" w:sz="4" w:space="0" w:color="auto"/>
              <w:left w:val="single" w:sz="4" w:space="0" w:color="auto"/>
              <w:bottom w:val="single" w:sz="4" w:space="0" w:color="auto"/>
              <w:right w:val="single" w:sz="4" w:space="0" w:color="auto"/>
            </w:tcBorders>
            <w:noWrap/>
          </w:tcPr>
          <w:p w14:paraId="2754ACD0" w14:textId="6455610D" w:rsidR="0097347E" w:rsidRPr="00C33A9B" w:rsidRDefault="0097347E" w:rsidP="006F42E0">
            <w:pPr>
              <w:snapToGrid w:val="0"/>
              <w:jc w:val="right"/>
              <w:rPr>
                <w:b/>
                <w:sz w:val="16"/>
                <w:szCs w:val="16"/>
              </w:rPr>
            </w:pPr>
            <w:r w:rsidRPr="00C33A9B">
              <w:rPr>
                <w:b/>
                <w:sz w:val="16"/>
                <w:szCs w:val="16"/>
              </w:rPr>
              <w:t>7,75</w:t>
            </w:r>
          </w:p>
        </w:tc>
        <w:tc>
          <w:tcPr>
            <w:tcW w:w="1005" w:type="dxa"/>
            <w:tcBorders>
              <w:top w:val="single" w:sz="4" w:space="0" w:color="auto"/>
              <w:left w:val="single" w:sz="4" w:space="0" w:color="auto"/>
              <w:bottom w:val="single" w:sz="4" w:space="0" w:color="auto"/>
              <w:right w:val="single" w:sz="4" w:space="0" w:color="auto"/>
            </w:tcBorders>
          </w:tcPr>
          <w:p w14:paraId="767666CD" w14:textId="721C3AC1" w:rsidR="0097347E" w:rsidRPr="00C33A9B" w:rsidRDefault="00C33A9B" w:rsidP="006F42E0">
            <w:pPr>
              <w:snapToGrid w:val="0"/>
              <w:jc w:val="right"/>
              <w:rPr>
                <w:b/>
                <w:sz w:val="16"/>
                <w:szCs w:val="16"/>
              </w:rPr>
            </w:pPr>
            <w:r w:rsidRPr="00C33A9B">
              <w:rPr>
                <w:b/>
                <w:sz w:val="16"/>
                <w:szCs w:val="16"/>
              </w:rPr>
              <w:t>8,76</w:t>
            </w:r>
          </w:p>
        </w:tc>
      </w:tr>
    </w:tbl>
    <w:p w14:paraId="6DF39F4B" w14:textId="374F9CDD" w:rsidR="00C33A9B" w:rsidRPr="009E538B" w:rsidRDefault="00C33A9B" w:rsidP="00C33A9B">
      <w:pPr>
        <w:rPr>
          <w:i/>
          <w:sz w:val="20"/>
          <w:szCs w:val="20"/>
          <w:lang w:val="lv-LV"/>
        </w:rPr>
      </w:pPr>
      <w:r w:rsidRPr="009E538B">
        <w:rPr>
          <w:i/>
          <w:sz w:val="20"/>
          <w:szCs w:val="20"/>
          <w:lang w:val="lv-LV"/>
        </w:rPr>
        <w:t>Avots:</w:t>
      </w:r>
      <w:r>
        <w:rPr>
          <w:i/>
          <w:sz w:val="20"/>
          <w:szCs w:val="20"/>
          <w:lang w:val="lv-LV"/>
        </w:rPr>
        <w:t xml:space="preserve"> Ekonomikas ministrija</w:t>
      </w:r>
    </w:p>
    <w:p w14:paraId="61FDB6EE" w14:textId="77777777" w:rsidR="00C33A9B" w:rsidRDefault="00C33A9B" w:rsidP="00C33A9B">
      <w:pPr>
        <w:jc w:val="both"/>
        <w:rPr>
          <w:b/>
          <w:iCs/>
          <w:u w:val="single"/>
          <w:lang w:val="lv-LV"/>
        </w:rPr>
      </w:pPr>
    </w:p>
    <w:p w14:paraId="5A832533" w14:textId="77777777" w:rsidR="00B2349D" w:rsidRPr="009E538B" w:rsidRDefault="00B2349D" w:rsidP="00935562">
      <w:pPr>
        <w:pStyle w:val="Heading2"/>
        <w:numPr>
          <w:ilvl w:val="0"/>
          <w:numId w:val="0"/>
        </w:numPr>
        <w:jc w:val="center"/>
        <w:rPr>
          <w:sz w:val="28"/>
          <w:szCs w:val="32"/>
          <w:lang w:val="lv-LV"/>
        </w:rPr>
      </w:pPr>
      <w:bookmarkStart w:id="17" w:name="_Toc371357205"/>
      <w:bookmarkStart w:id="18" w:name="_Toc373229245"/>
      <w:r w:rsidRPr="009E538B">
        <w:rPr>
          <w:sz w:val="28"/>
          <w:szCs w:val="32"/>
          <w:lang w:val="lv-LV"/>
        </w:rPr>
        <w:t xml:space="preserve">3.1. </w:t>
      </w:r>
      <w:r w:rsidR="002F67A2" w:rsidRPr="009E538B">
        <w:rPr>
          <w:sz w:val="28"/>
          <w:szCs w:val="32"/>
          <w:lang w:val="lv-LV"/>
        </w:rPr>
        <w:t xml:space="preserve">Informācija par </w:t>
      </w:r>
      <w:r w:rsidRPr="009E538B">
        <w:rPr>
          <w:sz w:val="28"/>
          <w:szCs w:val="32"/>
          <w:lang w:val="lv-LV"/>
        </w:rPr>
        <w:t>atbalstām</w:t>
      </w:r>
      <w:r w:rsidR="002F67A2" w:rsidRPr="009E538B">
        <w:rPr>
          <w:sz w:val="28"/>
          <w:szCs w:val="32"/>
          <w:lang w:val="lv-LV"/>
        </w:rPr>
        <w:t>ās</w:t>
      </w:r>
      <w:r w:rsidRPr="009E538B">
        <w:rPr>
          <w:sz w:val="28"/>
          <w:szCs w:val="32"/>
          <w:lang w:val="lv-LV"/>
        </w:rPr>
        <w:t xml:space="preserve"> elektroenerģij</w:t>
      </w:r>
      <w:r w:rsidR="002F67A2" w:rsidRPr="009E538B">
        <w:rPr>
          <w:sz w:val="28"/>
          <w:szCs w:val="32"/>
          <w:lang w:val="lv-LV"/>
        </w:rPr>
        <w:t>as</w:t>
      </w:r>
      <w:r w:rsidRPr="009E538B">
        <w:rPr>
          <w:sz w:val="28"/>
          <w:szCs w:val="32"/>
          <w:lang w:val="lv-LV"/>
        </w:rPr>
        <w:t xml:space="preserve"> </w:t>
      </w:r>
      <w:r w:rsidR="002F67A2" w:rsidRPr="009E538B">
        <w:rPr>
          <w:sz w:val="28"/>
          <w:szCs w:val="32"/>
          <w:lang w:val="lv-LV"/>
        </w:rPr>
        <w:t>piegādi</w:t>
      </w:r>
      <w:r w:rsidRPr="009E538B">
        <w:rPr>
          <w:sz w:val="28"/>
          <w:szCs w:val="32"/>
          <w:lang w:val="lv-LV"/>
        </w:rPr>
        <w:t xml:space="preserve"> gala</w:t>
      </w:r>
      <w:r w:rsidR="002F67A2" w:rsidRPr="009E538B">
        <w:rPr>
          <w:sz w:val="28"/>
          <w:szCs w:val="32"/>
          <w:lang w:val="lv-LV"/>
        </w:rPr>
        <w:t>lietotājiem</w:t>
      </w:r>
      <w:bookmarkEnd w:id="17"/>
      <w:bookmarkEnd w:id="18"/>
    </w:p>
    <w:p w14:paraId="74370791" w14:textId="77777777" w:rsidR="00A33606" w:rsidRPr="009E538B" w:rsidRDefault="00A33606" w:rsidP="00935562">
      <w:pPr>
        <w:ind w:firstLine="720"/>
        <w:jc w:val="center"/>
        <w:rPr>
          <w:b/>
          <w:bCs/>
          <w:iCs/>
          <w:sz w:val="28"/>
          <w:szCs w:val="32"/>
          <w:lang w:val="lv-LV"/>
        </w:rPr>
      </w:pPr>
    </w:p>
    <w:p w14:paraId="7E2A310B" w14:textId="77777777" w:rsidR="00A33606" w:rsidRPr="00B6507C" w:rsidRDefault="00A33606" w:rsidP="00A33606">
      <w:pPr>
        <w:autoSpaceDE w:val="0"/>
        <w:autoSpaceDN w:val="0"/>
        <w:ind w:firstLine="720"/>
        <w:jc w:val="both"/>
        <w:rPr>
          <w:rFonts w:eastAsia="Calibri"/>
          <w:sz w:val="28"/>
          <w:szCs w:val="28"/>
          <w:lang w:val="lv-LV" w:eastAsia="en-US"/>
        </w:rPr>
      </w:pPr>
      <w:r w:rsidRPr="00B6507C">
        <w:rPr>
          <w:rFonts w:eastAsia="Calibri"/>
          <w:sz w:val="28"/>
          <w:szCs w:val="28"/>
          <w:lang w:val="lv-LV" w:eastAsia="en-US"/>
        </w:rPr>
        <w:t>Elektroenerģijas tirgus likuma 9.panta otrā daļa</w:t>
      </w:r>
      <w:r w:rsidRPr="00B6507C">
        <w:rPr>
          <w:rStyle w:val="FootnoteReference"/>
          <w:rFonts w:eastAsia="Calibri"/>
          <w:sz w:val="28"/>
          <w:szCs w:val="28"/>
          <w:lang w:val="lv-LV" w:eastAsia="en-US"/>
        </w:rPr>
        <w:footnoteReference w:id="33"/>
      </w:r>
      <w:r w:rsidRPr="00B6507C">
        <w:rPr>
          <w:rFonts w:eastAsia="Calibri"/>
          <w:sz w:val="28"/>
          <w:szCs w:val="28"/>
          <w:lang w:val="lv-LV" w:eastAsia="en-US"/>
        </w:rPr>
        <w:t xml:space="preserve">  nosaka, ka sistēmas operatoram tā licences darbības zonā un termiņā ir atbildība par sistēmas spēju nodrošināt elektroenerģijas transportēšanu atbilstoši prognozētajam pieprasījumam, kā arī pastāvīgas saistības nodrošināt sistēmas dalībniekiem nepieciešamo pieslēgumu attiecīgai sistēmai. </w:t>
      </w:r>
    </w:p>
    <w:p w14:paraId="33A87E70" w14:textId="77777777" w:rsidR="00A33606" w:rsidRPr="00B6507C" w:rsidRDefault="00A33606" w:rsidP="00A33606">
      <w:pPr>
        <w:ind w:firstLine="720"/>
        <w:jc w:val="both"/>
        <w:rPr>
          <w:snapToGrid/>
          <w:sz w:val="28"/>
          <w:szCs w:val="28"/>
          <w:highlight w:val="yellow"/>
          <w:lang w:val="lv-LV" w:eastAsia="lv-LV"/>
        </w:rPr>
      </w:pPr>
      <w:r w:rsidRPr="00B6507C">
        <w:rPr>
          <w:rFonts w:eastAsia="Calibri"/>
          <w:sz w:val="28"/>
          <w:szCs w:val="28"/>
          <w:lang w:val="lv-LV" w:eastAsia="en-US"/>
        </w:rPr>
        <w:t>Latvijas elektroenerģijas sistēmā nav tīklu pārslodzes, kas ierobežotu brīvu pieeju elektroenerģijas sistēmai</w:t>
      </w:r>
      <w:r w:rsidR="00AB2037">
        <w:rPr>
          <w:rFonts w:eastAsia="Calibri"/>
          <w:sz w:val="28"/>
          <w:szCs w:val="28"/>
          <w:lang w:val="lv-LV" w:eastAsia="en-US"/>
        </w:rPr>
        <w:t>,</w:t>
      </w:r>
      <w:r w:rsidRPr="00B6507C">
        <w:rPr>
          <w:rFonts w:eastAsia="Calibri"/>
          <w:sz w:val="28"/>
          <w:szCs w:val="28"/>
          <w:lang w:val="lv-LV" w:eastAsia="en-US"/>
        </w:rPr>
        <w:t xml:space="preserve"> tādēļ jebkuram elektroenerģijas ražotājam, kuram ir noslēgts līgums par elektroenerģijas pārdošanu, pieeja elektroenerģijas sistēmai ir bez ierobežojumiem un garantēta. Jāņem arī vērā, ka Latvijā visi tie elektroenerģijas ražotāji, kuri izmanto atjaunojamos energoresursus, ir pieslēgti sadales sistēmai un ir ar mazu uzstādīto jaudu, vairumā gadījumu mazāku par 1MW. Gandrīz visiem šiem ražotājiem ir noslēgts līgums ar publisko tirgotāju (AS „Latvenergo”) par elektroenerģijas </w:t>
      </w:r>
      <w:r w:rsidRPr="00B6507C">
        <w:rPr>
          <w:rFonts w:eastAsia="Calibri"/>
          <w:sz w:val="28"/>
          <w:szCs w:val="28"/>
          <w:lang w:val="lv-LV" w:eastAsia="en-US"/>
        </w:rPr>
        <w:lastRenderedPageBreak/>
        <w:t>iepirkšanu obligātā iepirkuma ietvaros, dažiem ir divpusējie elektroenerģijas iepirkuma līgumi.</w:t>
      </w:r>
    </w:p>
    <w:p w14:paraId="620769E0" w14:textId="77777777" w:rsidR="00FA15C1" w:rsidRPr="00FA15C1" w:rsidRDefault="00FA15C1" w:rsidP="00FA15C1">
      <w:pPr>
        <w:rPr>
          <w:snapToGrid/>
          <w:highlight w:val="yellow"/>
          <w:lang w:val="lv-LV" w:eastAsia="lv-LV"/>
        </w:rPr>
      </w:pPr>
    </w:p>
    <w:p w14:paraId="51759263" w14:textId="77777777" w:rsidR="0081456F" w:rsidRPr="0081456F" w:rsidRDefault="0081456F" w:rsidP="0081456F">
      <w:pPr>
        <w:ind w:firstLine="709"/>
        <w:jc w:val="both"/>
        <w:rPr>
          <w:snapToGrid/>
          <w:sz w:val="28"/>
          <w:szCs w:val="28"/>
          <w:lang w:val="lv-LV" w:eastAsia="lv-LV"/>
        </w:rPr>
      </w:pPr>
      <w:r w:rsidRPr="0081456F">
        <w:rPr>
          <w:snapToGrid/>
          <w:sz w:val="28"/>
          <w:szCs w:val="28"/>
          <w:lang w:val="lv-LV" w:eastAsia="lv-LV"/>
        </w:rPr>
        <w:t xml:space="preserve">Saskaņā ar Eiropas Parlamenta un Padomes 2003. gada 26. jūnija Direktīvas 2003/54/EK par kopīgiem noteikumiem attiecībā uz elektroenerģijas iekšējo tirgu un par Direktīvas 96/92/EK atcelšanu (turpmāk – Direktīva 2003/54/EK) 3. panta 6. punktu </w:t>
      </w:r>
      <w:r w:rsidR="00643C47">
        <w:rPr>
          <w:snapToGrid/>
          <w:sz w:val="28"/>
          <w:szCs w:val="28"/>
          <w:lang w:val="lv-LV" w:eastAsia="lv-LV"/>
        </w:rPr>
        <w:t>d</w:t>
      </w:r>
      <w:r w:rsidRPr="0081456F">
        <w:rPr>
          <w:snapToGrid/>
          <w:sz w:val="28"/>
          <w:szCs w:val="28"/>
          <w:lang w:val="lv-LV" w:eastAsia="lv-LV"/>
        </w:rPr>
        <w:t>alībvalstis nodrošina, ka elektroenerģijas piegādātāji gala patērētājiem paredzētajos rēķinos vai kopā ar tiem un reklāmas materiālos precizē šādu informāciju:</w:t>
      </w:r>
    </w:p>
    <w:p w14:paraId="267DBBE7" w14:textId="77777777" w:rsidR="0081456F" w:rsidRPr="0081456F" w:rsidRDefault="0081456F" w:rsidP="0081456F">
      <w:pPr>
        <w:numPr>
          <w:ilvl w:val="0"/>
          <w:numId w:val="10"/>
        </w:numPr>
        <w:ind w:left="1134" w:hanging="425"/>
        <w:jc w:val="both"/>
        <w:rPr>
          <w:snapToGrid/>
          <w:sz w:val="28"/>
          <w:szCs w:val="28"/>
          <w:lang w:val="lv-LV" w:eastAsia="lv-LV"/>
        </w:rPr>
      </w:pPr>
      <w:r w:rsidRPr="0081456F">
        <w:rPr>
          <w:snapToGrid/>
          <w:sz w:val="28"/>
          <w:szCs w:val="28"/>
          <w:lang w:val="lv-LV" w:eastAsia="lv-LV"/>
        </w:rPr>
        <w:t>katra enerģijas avota daļu kopējā enerģijas avotu apjomā, ko attiecīgais piegādātājs izmantojis iepriekšējā gadā;</w:t>
      </w:r>
    </w:p>
    <w:p w14:paraId="409E61E3" w14:textId="77777777" w:rsidR="0081456F" w:rsidRPr="0081456F" w:rsidRDefault="0081456F" w:rsidP="0081456F">
      <w:pPr>
        <w:numPr>
          <w:ilvl w:val="0"/>
          <w:numId w:val="10"/>
        </w:numPr>
        <w:ind w:left="1134" w:hanging="425"/>
        <w:jc w:val="both"/>
        <w:rPr>
          <w:snapToGrid/>
          <w:sz w:val="28"/>
          <w:szCs w:val="28"/>
          <w:lang w:val="lv-LV" w:eastAsia="lv-LV"/>
        </w:rPr>
      </w:pPr>
      <w:r w:rsidRPr="0081456F">
        <w:rPr>
          <w:snapToGrid/>
          <w:sz w:val="28"/>
          <w:szCs w:val="28"/>
          <w:lang w:val="lv-LV" w:eastAsia="lv-LV"/>
        </w:rPr>
        <w:t>vismaz norādi uz esošiem informācijas avotiem, piemēram, tīmekļa vietnēm, kur ir publiski pieejama informācija par ietekmi uz vidi, vismaz attiecībā uz CO</w:t>
      </w:r>
      <w:r w:rsidRPr="00643C47">
        <w:rPr>
          <w:snapToGrid/>
          <w:sz w:val="28"/>
          <w:szCs w:val="28"/>
          <w:vertAlign w:val="subscript"/>
          <w:lang w:val="lv-LV" w:eastAsia="lv-LV"/>
        </w:rPr>
        <w:t>2</w:t>
      </w:r>
      <w:r w:rsidRPr="0081456F">
        <w:rPr>
          <w:snapToGrid/>
          <w:sz w:val="28"/>
          <w:szCs w:val="28"/>
          <w:lang w:val="lv-LV" w:eastAsia="lv-LV"/>
        </w:rPr>
        <w:t xml:space="preserve"> emisiju un radioaktīvajiem atkritumiem, ko radījusi attiecīgā piegādātāja elektroenerģijas ražošana no tam pieejamā kopējā enerģijas avotu apjoma iepriekšējā gadā.</w:t>
      </w:r>
    </w:p>
    <w:p w14:paraId="171E1A8F" w14:textId="77777777" w:rsidR="0081456F" w:rsidRPr="0081456F" w:rsidRDefault="0081456F" w:rsidP="0081456F">
      <w:pPr>
        <w:ind w:firstLine="709"/>
        <w:jc w:val="both"/>
        <w:rPr>
          <w:snapToGrid/>
          <w:sz w:val="28"/>
          <w:szCs w:val="28"/>
          <w:lang w:val="lv-LV" w:eastAsia="lv-LV"/>
        </w:rPr>
      </w:pPr>
      <w:r w:rsidRPr="0081456F">
        <w:rPr>
          <w:snapToGrid/>
          <w:sz w:val="28"/>
          <w:szCs w:val="28"/>
          <w:lang w:val="lv-LV" w:eastAsia="lv-LV"/>
        </w:rPr>
        <w:t xml:space="preserve">Ar </w:t>
      </w:r>
      <w:r w:rsidR="00643C47">
        <w:rPr>
          <w:snapToGrid/>
          <w:sz w:val="28"/>
          <w:szCs w:val="28"/>
          <w:lang w:val="lv-LV" w:eastAsia="lv-LV"/>
        </w:rPr>
        <w:t>Regulatora</w:t>
      </w:r>
      <w:r w:rsidRPr="0081456F">
        <w:rPr>
          <w:snapToGrid/>
          <w:sz w:val="28"/>
          <w:szCs w:val="28"/>
          <w:lang w:val="lv-LV" w:eastAsia="lv-LV"/>
        </w:rPr>
        <w:t xml:space="preserve"> padomes 2012.gada 8.februāra  lēmumu Nr.1/2  apstiprināti „Noteikumi par informāciju elektroenerģijas galalietotājiem”, kas izdoti saskaņā ar Ele</w:t>
      </w:r>
      <w:r w:rsidR="00BE3A1B">
        <w:rPr>
          <w:snapToGrid/>
          <w:sz w:val="28"/>
          <w:szCs w:val="28"/>
          <w:lang w:val="lv-LV" w:eastAsia="lv-LV"/>
        </w:rPr>
        <w:t>ktroenerģijas tirgus likuma 32.</w:t>
      </w:r>
      <w:r w:rsidRPr="0081456F">
        <w:rPr>
          <w:snapToGrid/>
          <w:sz w:val="28"/>
          <w:szCs w:val="28"/>
          <w:lang w:val="lv-LV" w:eastAsia="lv-LV"/>
        </w:rPr>
        <w:t>panta ceturto daļu. Šie noteikumi nosaka informāciju un tās apjomu, kuru sistēmas operators nodrošina galalietotājam izsniedzamajos rēķinos un informatīvajos materiālos.</w:t>
      </w:r>
    </w:p>
    <w:p w14:paraId="78ED924C" w14:textId="77777777" w:rsidR="00B2349D" w:rsidRDefault="0081456F" w:rsidP="00B2349D">
      <w:pPr>
        <w:ind w:firstLine="709"/>
        <w:jc w:val="both"/>
        <w:rPr>
          <w:snapToGrid/>
          <w:sz w:val="28"/>
          <w:szCs w:val="28"/>
          <w:lang w:val="lv-LV" w:eastAsia="lv-LV"/>
        </w:rPr>
      </w:pPr>
      <w:r w:rsidRPr="0081456F">
        <w:rPr>
          <w:snapToGrid/>
          <w:sz w:val="28"/>
          <w:szCs w:val="28"/>
          <w:lang w:val="lv-LV" w:eastAsia="lv-LV"/>
        </w:rPr>
        <w:t>„Noteikumi par informāciju elektroenerģijas galalietotājiem” nosaka,</w:t>
      </w:r>
      <w:r w:rsidR="00223A43">
        <w:rPr>
          <w:snapToGrid/>
          <w:sz w:val="28"/>
          <w:szCs w:val="28"/>
          <w:lang w:val="lv-LV" w:eastAsia="lv-LV"/>
        </w:rPr>
        <w:t xml:space="preserve"> ka</w:t>
      </w:r>
      <w:r w:rsidRPr="0081456F">
        <w:rPr>
          <w:snapToGrid/>
          <w:sz w:val="28"/>
          <w:szCs w:val="28"/>
          <w:lang w:val="lv-LV" w:eastAsia="lv-LV"/>
        </w:rPr>
        <w:t xml:space="preserve">  publiskais tirgotājs saistītajiem lietotājiem izsniedzamajos rēķinos ietver informāciju par katru maksājuma pozīciju atbilstoši galalietotāja izvēlētajam elektroenerģijas tirdzniecības diferencētajam tarifam saistītajiem lietotājiem.</w:t>
      </w:r>
    </w:p>
    <w:p w14:paraId="4D127035" w14:textId="77777777" w:rsidR="0081456F" w:rsidRPr="0081456F" w:rsidRDefault="0081456F" w:rsidP="00B2349D">
      <w:pPr>
        <w:ind w:firstLine="709"/>
        <w:jc w:val="both"/>
        <w:rPr>
          <w:snapToGrid/>
          <w:sz w:val="28"/>
          <w:szCs w:val="28"/>
          <w:lang w:val="lv-LV" w:eastAsia="lv-LV"/>
        </w:rPr>
      </w:pPr>
      <w:r w:rsidRPr="0081456F">
        <w:rPr>
          <w:snapToGrid/>
          <w:sz w:val="28"/>
          <w:szCs w:val="28"/>
          <w:lang w:val="lv-LV" w:eastAsia="lv-LV"/>
        </w:rPr>
        <w:t xml:space="preserve">Tirgotājs </w:t>
      </w:r>
      <w:r w:rsidR="00B2349D">
        <w:rPr>
          <w:snapToGrid/>
          <w:sz w:val="28"/>
          <w:szCs w:val="28"/>
          <w:lang w:val="lv-LV" w:eastAsia="lv-LV"/>
        </w:rPr>
        <w:t>v</w:t>
      </w:r>
      <w:r w:rsidRPr="0081456F">
        <w:rPr>
          <w:snapToGrid/>
          <w:sz w:val="28"/>
          <w:szCs w:val="28"/>
          <w:lang w:val="lv-LV" w:eastAsia="lv-LV"/>
        </w:rPr>
        <w:t>ismaz vienu reizi gadā galalietotājam nodrošina iespēju iepazīties ar informatīvu materiālu, kurā ietver ziņas par iepriekšējā kalendārajā gadā piegādātās elektroenerģijas izcelsmi, norādot cik procentu no kopējā galalietotājam piegādātās elektroenerģijas apjoma:</w:t>
      </w:r>
    </w:p>
    <w:p w14:paraId="5767922B" w14:textId="77777777" w:rsidR="0081456F" w:rsidRPr="0081456F" w:rsidRDefault="0081456F" w:rsidP="0081456F">
      <w:pPr>
        <w:numPr>
          <w:ilvl w:val="0"/>
          <w:numId w:val="11"/>
        </w:numPr>
        <w:spacing w:after="100" w:afterAutospacing="1"/>
        <w:jc w:val="both"/>
        <w:rPr>
          <w:snapToGrid/>
          <w:sz w:val="28"/>
          <w:szCs w:val="28"/>
          <w:lang w:val="lv-LV" w:eastAsia="lv-LV"/>
        </w:rPr>
      </w:pPr>
      <w:r w:rsidRPr="0081456F">
        <w:rPr>
          <w:snapToGrid/>
          <w:sz w:val="28"/>
          <w:szCs w:val="28"/>
          <w:lang w:val="lv-LV" w:eastAsia="lv-LV"/>
        </w:rPr>
        <w:t>ir Latvijā saražotā elektroenerģija un cik procentu ir importētā elektroenerģija;</w:t>
      </w:r>
    </w:p>
    <w:p w14:paraId="3B5F718F" w14:textId="77777777" w:rsidR="0081456F" w:rsidRPr="0081456F" w:rsidRDefault="0081456F" w:rsidP="0081456F">
      <w:pPr>
        <w:numPr>
          <w:ilvl w:val="0"/>
          <w:numId w:val="11"/>
        </w:numPr>
        <w:spacing w:after="100" w:afterAutospacing="1"/>
        <w:jc w:val="both"/>
        <w:rPr>
          <w:snapToGrid/>
          <w:sz w:val="28"/>
          <w:szCs w:val="28"/>
          <w:lang w:val="lv-LV" w:eastAsia="lv-LV"/>
        </w:rPr>
      </w:pPr>
      <w:r w:rsidRPr="0081456F">
        <w:rPr>
          <w:snapToGrid/>
          <w:sz w:val="28"/>
          <w:szCs w:val="28"/>
          <w:lang w:val="lv-LV" w:eastAsia="lv-LV"/>
        </w:rPr>
        <w:t xml:space="preserve">ir saražots no katra </w:t>
      </w:r>
      <w:r w:rsidR="00643C47">
        <w:rPr>
          <w:snapToGrid/>
          <w:sz w:val="28"/>
          <w:szCs w:val="28"/>
          <w:lang w:val="lv-LV" w:eastAsia="lv-LV"/>
        </w:rPr>
        <w:t>AER</w:t>
      </w:r>
      <w:r w:rsidRPr="0081456F">
        <w:rPr>
          <w:snapToGrid/>
          <w:sz w:val="28"/>
          <w:szCs w:val="28"/>
          <w:lang w:val="lv-LV" w:eastAsia="lv-LV"/>
        </w:rPr>
        <w:t xml:space="preserve"> veida (hidroenerģijas, biogāzes, biomasas, vēja enerģijas, saules enerģijas vai cita atjaunojamo energoresursu veida);</w:t>
      </w:r>
    </w:p>
    <w:p w14:paraId="5794510A" w14:textId="77777777" w:rsidR="0081456F" w:rsidRPr="0081456F" w:rsidRDefault="0081456F" w:rsidP="0081456F">
      <w:pPr>
        <w:numPr>
          <w:ilvl w:val="0"/>
          <w:numId w:val="11"/>
        </w:numPr>
        <w:spacing w:after="100" w:afterAutospacing="1"/>
        <w:jc w:val="both"/>
        <w:rPr>
          <w:snapToGrid/>
          <w:sz w:val="28"/>
          <w:szCs w:val="28"/>
          <w:lang w:val="lv-LV" w:eastAsia="lv-LV"/>
        </w:rPr>
      </w:pPr>
      <w:r w:rsidRPr="0081456F">
        <w:rPr>
          <w:snapToGrid/>
          <w:sz w:val="28"/>
          <w:szCs w:val="28"/>
          <w:lang w:val="lv-LV" w:eastAsia="lv-LV"/>
        </w:rPr>
        <w:t>ir saražots no katra fosilā kurināmā veida (dabasgāzes, oglēm, degakmens vai cita fosilā kurināmā veida);</w:t>
      </w:r>
    </w:p>
    <w:p w14:paraId="6FF5E185" w14:textId="77777777" w:rsidR="0081456F" w:rsidRPr="003C7AC7" w:rsidRDefault="0081456F" w:rsidP="0081456F">
      <w:pPr>
        <w:numPr>
          <w:ilvl w:val="0"/>
          <w:numId w:val="11"/>
        </w:numPr>
        <w:spacing w:after="100" w:afterAutospacing="1"/>
        <w:jc w:val="both"/>
        <w:rPr>
          <w:snapToGrid/>
          <w:sz w:val="28"/>
          <w:szCs w:val="28"/>
          <w:lang w:val="lv-LV" w:eastAsia="lv-LV"/>
        </w:rPr>
      </w:pPr>
      <w:r w:rsidRPr="0081456F">
        <w:rPr>
          <w:snapToGrid/>
          <w:sz w:val="28"/>
          <w:szCs w:val="28"/>
          <w:lang w:val="lv-LV" w:eastAsia="lv-LV"/>
        </w:rPr>
        <w:t xml:space="preserve"> ir nopirkta elektroenerģijas biržā un cik procentu piegādāta no </w:t>
      </w:r>
      <w:r w:rsidR="00643C47">
        <w:rPr>
          <w:snapToGrid/>
          <w:sz w:val="28"/>
          <w:szCs w:val="28"/>
          <w:lang w:val="lv-LV" w:eastAsia="lv-LV"/>
        </w:rPr>
        <w:t>ES</w:t>
      </w:r>
      <w:r w:rsidRPr="0081456F">
        <w:rPr>
          <w:snapToGrid/>
          <w:sz w:val="28"/>
          <w:szCs w:val="28"/>
          <w:lang w:val="lv-LV" w:eastAsia="lv-LV"/>
        </w:rPr>
        <w:t xml:space="preserve"> </w:t>
      </w:r>
      <w:r w:rsidRPr="00223A43">
        <w:rPr>
          <w:snapToGrid/>
          <w:sz w:val="28"/>
          <w:szCs w:val="28"/>
          <w:lang w:val="lv-LV" w:eastAsia="lv-LV"/>
        </w:rPr>
        <w:t xml:space="preserve">neietilpstošām valstīm, ja informācija par šādas elektroenerģijas izcelsmi nav </w:t>
      </w:r>
      <w:r w:rsidRPr="003C7AC7">
        <w:rPr>
          <w:snapToGrid/>
          <w:sz w:val="28"/>
          <w:szCs w:val="28"/>
          <w:lang w:val="lv-LV" w:eastAsia="lv-LV"/>
        </w:rPr>
        <w:t>pieejama.</w:t>
      </w:r>
    </w:p>
    <w:p w14:paraId="46D992F1" w14:textId="77777777" w:rsidR="0081456F" w:rsidRPr="0081456F" w:rsidRDefault="0081456F" w:rsidP="0081456F">
      <w:pPr>
        <w:ind w:firstLine="709"/>
        <w:jc w:val="both"/>
        <w:rPr>
          <w:snapToGrid/>
          <w:sz w:val="28"/>
          <w:szCs w:val="28"/>
          <w:lang w:val="lv-LV" w:eastAsia="lv-LV"/>
        </w:rPr>
      </w:pPr>
      <w:r w:rsidRPr="0081456F">
        <w:rPr>
          <w:snapToGrid/>
          <w:sz w:val="28"/>
          <w:szCs w:val="28"/>
          <w:lang w:val="lv-LV" w:eastAsia="lv-LV"/>
        </w:rPr>
        <w:t xml:space="preserve">Vienu reizi gadā energoapgādes komersants galalietotājam nodrošina iespēju iepazīties ar informatīvu materiālu, kurā ietvertas ziņas par informācijas avotiem, kur ir publiski pieejama informācija par ietekmi uz vidi, vismaz </w:t>
      </w:r>
      <w:r w:rsidRPr="0081456F">
        <w:rPr>
          <w:snapToGrid/>
          <w:sz w:val="28"/>
          <w:szCs w:val="28"/>
          <w:lang w:val="lv-LV" w:eastAsia="lv-LV"/>
        </w:rPr>
        <w:lastRenderedPageBreak/>
        <w:t>attiecībā uz oglekļa dioksīdu emisiju un radioaktīvajiem atkritumiem, ko radījusi piegādātās elektroenerģijas ražošana no primārajiem energoresursiem iepriekšējā gadā.</w:t>
      </w:r>
      <w:r w:rsidR="00643C47" w:rsidRPr="009E538B">
        <w:rPr>
          <w:sz w:val="28"/>
          <w:szCs w:val="28"/>
          <w:lang w:val="lv-LV"/>
        </w:rPr>
        <w:t xml:space="preserve"> </w:t>
      </w:r>
      <w:r w:rsidRPr="0081456F">
        <w:rPr>
          <w:snapToGrid/>
          <w:sz w:val="28"/>
          <w:szCs w:val="28"/>
          <w:lang w:val="lv-LV" w:eastAsia="lv-LV"/>
        </w:rPr>
        <w:t xml:space="preserve">Ja šāda informācija </w:t>
      </w:r>
      <w:r w:rsidR="00144519" w:rsidRPr="00144519">
        <w:rPr>
          <w:snapToGrid/>
          <w:sz w:val="28"/>
          <w:szCs w:val="28"/>
          <w:lang w:val="lv-LV" w:eastAsia="lv-LV"/>
        </w:rPr>
        <w:t>par elektroenerģiju</w:t>
      </w:r>
      <w:r w:rsidR="00144519" w:rsidRPr="0081456F">
        <w:rPr>
          <w:snapToGrid/>
          <w:sz w:val="28"/>
          <w:szCs w:val="28"/>
          <w:lang w:val="lv-LV" w:eastAsia="lv-LV"/>
        </w:rPr>
        <w:t>, kas nopirkta elektroenerģijas biržā vai piegādāta no ES neietilpstošām valstīm</w:t>
      </w:r>
      <w:r w:rsidR="00144519">
        <w:rPr>
          <w:snapToGrid/>
          <w:sz w:val="28"/>
          <w:szCs w:val="28"/>
          <w:lang w:val="lv-LV" w:eastAsia="lv-LV"/>
        </w:rPr>
        <w:t>,</w:t>
      </w:r>
      <w:r w:rsidR="00144519" w:rsidRPr="0081456F">
        <w:rPr>
          <w:snapToGrid/>
          <w:sz w:val="28"/>
          <w:szCs w:val="28"/>
          <w:lang w:val="lv-LV" w:eastAsia="lv-LV"/>
        </w:rPr>
        <w:t xml:space="preserve"> </w:t>
      </w:r>
      <w:r w:rsidRPr="0081456F">
        <w:rPr>
          <w:snapToGrid/>
          <w:sz w:val="28"/>
          <w:szCs w:val="28"/>
          <w:lang w:val="lv-LV" w:eastAsia="lv-LV"/>
        </w:rPr>
        <w:t xml:space="preserve">nav </w:t>
      </w:r>
      <w:r w:rsidRPr="00144519">
        <w:rPr>
          <w:snapToGrid/>
          <w:sz w:val="28"/>
          <w:szCs w:val="28"/>
          <w:lang w:val="lv-LV" w:eastAsia="lv-LV"/>
        </w:rPr>
        <w:t>pieejama</w:t>
      </w:r>
      <w:r w:rsidRPr="0081456F">
        <w:rPr>
          <w:snapToGrid/>
          <w:sz w:val="28"/>
          <w:szCs w:val="28"/>
          <w:lang w:val="lv-LV" w:eastAsia="lv-LV"/>
        </w:rPr>
        <w:t>, to materiālā var nenorādīt.</w:t>
      </w:r>
    </w:p>
    <w:p w14:paraId="23E7097C" w14:textId="77777777" w:rsidR="0081456F" w:rsidRPr="0081456F" w:rsidRDefault="0081456F" w:rsidP="0081456F">
      <w:pPr>
        <w:ind w:firstLine="709"/>
        <w:jc w:val="both"/>
        <w:rPr>
          <w:snapToGrid/>
          <w:sz w:val="28"/>
          <w:szCs w:val="28"/>
          <w:lang w:val="lv-LV" w:eastAsia="lv-LV"/>
        </w:rPr>
      </w:pPr>
      <w:r w:rsidRPr="0081456F">
        <w:rPr>
          <w:snapToGrid/>
          <w:sz w:val="28"/>
          <w:szCs w:val="28"/>
          <w:lang w:val="lv-LV" w:eastAsia="lv-LV"/>
        </w:rPr>
        <w:t>Tirgotājs nodrošina, ka tā klientu apkalpošanas centrā galalietotājam ir brīvi pieejams drukāts eksemplārs ar augstāk minēto publiski pieejam</w:t>
      </w:r>
      <w:r w:rsidR="00144519">
        <w:rPr>
          <w:snapToGrid/>
          <w:sz w:val="28"/>
          <w:szCs w:val="28"/>
          <w:lang w:val="lv-LV" w:eastAsia="lv-LV"/>
        </w:rPr>
        <w:t>o</w:t>
      </w:r>
      <w:r w:rsidRPr="0081456F">
        <w:rPr>
          <w:snapToGrid/>
          <w:sz w:val="28"/>
          <w:szCs w:val="28"/>
          <w:lang w:val="lv-LV" w:eastAsia="lv-LV"/>
        </w:rPr>
        <w:t xml:space="preserve"> informāciju. Ja klientu apkalpošanas centrs nav izveidots, tad energoapgādes komersants šādu pieeju informācijai nodrošina juridiskajā adresē, kā arī faktiskajā adresē vai filiālē. Šo informāciju energoapgādes komersants ievieto internetā savā </w:t>
      </w:r>
      <w:r w:rsidR="000F1EA2" w:rsidRPr="0081456F">
        <w:rPr>
          <w:snapToGrid/>
          <w:sz w:val="28"/>
          <w:szCs w:val="28"/>
          <w:lang w:val="lv-LV" w:eastAsia="lv-LV"/>
        </w:rPr>
        <w:t>mājas lapā</w:t>
      </w:r>
      <w:r w:rsidRPr="0081456F">
        <w:rPr>
          <w:snapToGrid/>
          <w:sz w:val="28"/>
          <w:szCs w:val="28"/>
          <w:lang w:val="lv-LV" w:eastAsia="lv-LV"/>
        </w:rPr>
        <w:t>, ja tāda komersantam ir izveidota.</w:t>
      </w:r>
    </w:p>
    <w:p w14:paraId="71639D08" w14:textId="77777777" w:rsidR="00820C75" w:rsidRPr="00935562" w:rsidRDefault="00820C75" w:rsidP="009D16FF">
      <w:pPr>
        <w:pStyle w:val="Heading1"/>
        <w:numPr>
          <w:ilvl w:val="0"/>
          <w:numId w:val="0"/>
        </w:numPr>
        <w:jc w:val="center"/>
        <w:rPr>
          <w:smallCaps w:val="0"/>
          <w:sz w:val="28"/>
          <w:lang w:val="lv-LV"/>
        </w:rPr>
      </w:pPr>
      <w:bookmarkStart w:id="19" w:name="_Toc367196056"/>
      <w:bookmarkStart w:id="20" w:name="_Toc373229246"/>
      <w:r w:rsidRPr="00935562">
        <w:rPr>
          <w:smallCaps w:val="0"/>
          <w:sz w:val="28"/>
          <w:lang w:val="lv-LV"/>
        </w:rPr>
        <w:t xml:space="preserve">4. </w:t>
      </w:r>
      <w:r w:rsidR="009D16FF" w:rsidRPr="00935562">
        <w:rPr>
          <w:smallCaps w:val="0"/>
          <w:sz w:val="28"/>
          <w:lang w:val="lv-LV"/>
        </w:rPr>
        <w:t>Atjaunojamo energoresursu, kuri sniedz papildu ieguvumus, atbalsta shēmas</w:t>
      </w:r>
      <w:bookmarkEnd w:id="19"/>
      <w:bookmarkEnd w:id="20"/>
    </w:p>
    <w:p w14:paraId="158C2496" w14:textId="77777777" w:rsidR="00820C75" w:rsidRPr="009E538B" w:rsidRDefault="00820C75">
      <w:pPr>
        <w:jc w:val="both"/>
        <w:rPr>
          <w:lang w:val="lv-LV"/>
        </w:rPr>
      </w:pPr>
    </w:p>
    <w:p w14:paraId="3C643887" w14:textId="77777777" w:rsidR="00B2349D" w:rsidRPr="00B2349D" w:rsidRDefault="00B2349D" w:rsidP="00B2349D">
      <w:pPr>
        <w:ind w:firstLine="709"/>
        <w:jc w:val="both"/>
        <w:rPr>
          <w:snapToGrid/>
          <w:sz w:val="28"/>
          <w:szCs w:val="28"/>
          <w:lang w:val="lv-LV" w:eastAsia="lv-LV"/>
        </w:rPr>
      </w:pPr>
      <w:r w:rsidRPr="00B2349D">
        <w:rPr>
          <w:snapToGrid/>
          <w:sz w:val="28"/>
          <w:szCs w:val="28"/>
          <w:lang w:val="lv-LV" w:eastAsia="lv-LV"/>
        </w:rPr>
        <w:t xml:space="preserve">Līdz šim Latvijas iestādēm nav zināms par tādu AER izmantošanu, kas sniedz papildu ieguvumus, bet kuriem var būt arī augstākas izmaksas, tostarp arī biodegvielas, kas ražotas no atkritumiem, atlikumiem, nepārtikas celulozes izejvielām un </w:t>
      </w:r>
      <w:proofErr w:type="spellStart"/>
      <w:r w:rsidRPr="00B2349D">
        <w:rPr>
          <w:snapToGrid/>
          <w:sz w:val="28"/>
          <w:szCs w:val="28"/>
          <w:lang w:val="lv-LV" w:eastAsia="lv-LV"/>
        </w:rPr>
        <w:t>lignocelulozes</w:t>
      </w:r>
      <w:proofErr w:type="spellEnd"/>
      <w:r w:rsidRPr="00B2349D">
        <w:rPr>
          <w:snapToGrid/>
          <w:sz w:val="28"/>
          <w:szCs w:val="28"/>
          <w:lang w:val="lv-LV" w:eastAsia="lv-LV"/>
        </w:rPr>
        <w:t xml:space="preserve"> izejvielām. Šādas biodegvielas Latvijā netiek ražotas.</w:t>
      </w:r>
    </w:p>
    <w:p w14:paraId="6BD9690F" w14:textId="77777777" w:rsidR="00820C75" w:rsidRPr="00935562" w:rsidRDefault="00820C75" w:rsidP="00466A06">
      <w:pPr>
        <w:pStyle w:val="Heading1"/>
        <w:numPr>
          <w:ilvl w:val="0"/>
          <w:numId w:val="0"/>
        </w:numPr>
        <w:jc w:val="center"/>
        <w:rPr>
          <w:smallCaps w:val="0"/>
          <w:sz w:val="28"/>
          <w:lang w:val="lv-LV"/>
        </w:rPr>
      </w:pPr>
      <w:bookmarkStart w:id="21" w:name="_Toc367196057"/>
      <w:bookmarkStart w:id="22" w:name="_Toc373229247"/>
      <w:r w:rsidRPr="00935562">
        <w:rPr>
          <w:smallCaps w:val="0"/>
          <w:sz w:val="28"/>
          <w:lang w:val="lv-LV"/>
        </w:rPr>
        <w:t xml:space="preserve">5. </w:t>
      </w:r>
      <w:r w:rsidR="00466A06" w:rsidRPr="00935562">
        <w:rPr>
          <w:smallCaps w:val="0"/>
          <w:sz w:val="28"/>
          <w:lang w:val="lv-LV"/>
        </w:rPr>
        <w:t>I</w:t>
      </w:r>
      <w:r w:rsidRPr="00935562">
        <w:rPr>
          <w:smallCaps w:val="0"/>
          <w:sz w:val="28"/>
          <w:lang w:val="lv-LV"/>
        </w:rPr>
        <w:t>zcelsmes apliecinājumu sistēma</w:t>
      </w:r>
      <w:bookmarkEnd w:id="21"/>
      <w:bookmarkEnd w:id="22"/>
    </w:p>
    <w:p w14:paraId="0EA0525F" w14:textId="77777777" w:rsidR="00820C75" w:rsidRPr="009E538B" w:rsidRDefault="00820C75">
      <w:pPr>
        <w:jc w:val="both"/>
        <w:rPr>
          <w:b/>
          <w:lang w:val="lv-LV"/>
        </w:rPr>
      </w:pPr>
    </w:p>
    <w:p w14:paraId="3784CBF9" w14:textId="77777777" w:rsidR="00A33606" w:rsidRPr="00581CE3" w:rsidRDefault="00A33606" w:rsidP="00A33606">
      <w:pPr>
        <w:ind w:firstLine="851"/>
        <w:jc w:val="both"/>
        <w:rPr>
          <w:color w:val="000000"/>
          <w:sz w:val="28"/>
          <w:szCs w:val="28"/>
          <w:lang w:val="lv-LV"/>
        </w:rPr>
      </w:pPr>
      <w:r w:rsidRPr="00A4590D">
        <w:rPr>
          <w:color w:val="000000"/>
          <w:sz w:val="28"/>
          <w:szCs w:val="28"/>
          <w:lang w:val="lv-LV"/>
        </w:rPr>
        <w:t xml:space="preserve">Atbilstoši Elektroenerģijas tirgus likuma </w:t>
      </w:r>
      <w:r w:rsidRPr="00A4590D">
        <w:rPr>
          <w:bCs/>
          <w:color w:val="000000"/>
          <w:sz w:val="28"/>
          <w:szCs w:val="28"/>
          <w:lang w:val="lv-LV"/>
        </w:rPr>
        <w:t>29.</w:t>
      </w:r>
      <w:r w:rsidRPr="00A4590D">
        <w:rPr>
          <w:bCs/>
          <w:color w:val="000000"/>
          <w:sz w:val="28"/>
          <w:szCs w:val="28"/>
          <w:vertAlign w:val="superscript"/>
          <w:lang w:val="lv-LV"/>
        </w:rPr>
        <w:t>2 </w:t>
      </w:r>
      <w:r w:rsidRPr="00A4590D">
        <w:rPr>
          <w:bCs/>
          <w:color w:val="000000"/>
          <w:sz w:val="28"/>
          <w:szCs w:val="28"/>
          <w:lang w:val="lv-LV"/>
        </w:rPr>
        <w:t xml:space="preserve">pantam </w:t>
      </w:r>
      <w:r w:rsidRPr="00A4590D">
        <w:rPr>
          <w:color w:val="000000"/>
          <w:sz w:val="28"/>
          <w:szCs w:val="28"/>
          <w:lang w:val="lv-LV"/>
        </w:rPr>
        <w:t xml:space="preserve">elektroenerģijas ražotāji, kuri </w:t>
      </w:r>
      <w:r w:rsidRPr="00680B12">
        <w:rPr>
          <w:color w:val="000000"/>
          <w:sz w:val="28"/>
          <w:szCs w:val="28"/>
          <w:lang w:val="lv-LV"/>
        </w:rPr>
        <w:t xml:space="preserve">elektroenerģijas ražošanai izmanto AER, var </w:t>
      </w:r>
      <w:r w:rsidR="00643C47">
        <w:rPr>
          <w:color w:val="000000"/>
          <w:sz w:val="28"/>
          <w:szCs w:val="28"/>
          <w:lang w:val="lv-LV"/>
        </w:rPr>
        <w:t>MK</w:t>
      </w:r>
      <w:r w:rsidRPr="00680B12">
        <w:rPr>
          <w:color w:val="000000"/>
          <w:sz w:val="28"/>
          <w:szCs w:val="28"/>
          <w:lang w:val="lv-LV"/>
        </w:rPr>
        <w:t xml:space="preserve"> noteiktajā kārtībā par saražotās elektroenerģijas daudzumu, kas izteikts megavatstundās (</w:t>
      </w:r>
      <w:proofErr w:type="spellStart"/>
      <w:r w:rsidRPr="00680B12">
        <w:rPr>
          <w:color w:val="000000"/>
          <w:sz w:val="28"/>
          <w:szCs w:val="28"/>
          <w:lang w:val="lv-LV"/>
        </w:rPr>
        <w:t>MWh</w:t>
      </w:r>
      <w:proofErr w:type="spellEnd"/>
      <w:r w:rsidRPr="00680B12">
        <w:rPr>
          <w:color w:val="000000"/>
          <w:sz w:val="28"/>
          <w:szCs w:val="28"/>
          <w:lang w:val="lv-LV"/>
        </w:rPr>
        <w:t xml:space="preserve">), saņemt izcelsmes apliecinājumu. </w:t>
      </w:r>
    </w:p>
    <w:p w14:paraId="7C91D18A" w14:textId="77777777" w:rsidR="00A33606" w:rsidRPr="00680B12" w:rsidRDefault="00643C47" w:rsidP="00A33606">
      <w:pPr>
        <w:ind w:firstLine="851"/>
        <w:jc w:val="both"/>
        <w:rPr>
          <w:color w:val="000000"/>
          <w:sz w:val="28"/>
          <w:szCs w:val="28"/>
          <w:lang w:val="lv-LV"/>
        </w:rPr>
      </w:pPr>
      <w:r>
        <w:rPr>
          <w:color w:val="000000"/>
          <w:sz w:val="28"/>
          <w:szCs w:val="28"/>
          <w:lang w:val="lv-LV"/>
        </w:rPr>
        <w:t>MK</w:t>
      </w:r>
      <w:r w:rsidR="00A33606" w:rsidRPr="00581CE3">
        <w:rPr>
          <w:color w:val="000000"/>
          <w:sz w:val="28"/>
          <w:szCs w:val="28"/>
          <w:lang w:val="lv-LV"/>
        </w:rPr>
        <w:t xml:space="preserve"> 2011. gada 22. novembra noteikumu Nr.900 “Noteikumi par izcelsmes apliecinājuma saņemšanu elektroenerģijai, kas ražota, izmantojot atjaunojamos energoresursus” (turpmāk – MK noteikumi Nr.900) 2. punkts nosaka, ka </w:t>
      </w:r>
      <w:r w:rsidR="00A33606" w:rsidRPr="00680B12">
        <w:rPr>
          <w:color w:val="000000"/>
          <w:sz w:val="28"/>
          <w:szCs w:val="28"/>
          <w:lang w:val="lv-LV"/>
        </w:rPr>
        <w:t>elektroenerģijas izcelsmes apliecinājumu var saņemt ražotājs, kura īpašumā vai lietojumā ir elektrostacija, kas elektroenerģiju ražo, izmantojot AER.</w:t>
      </w:r>
    </w:p>
    <w:p w14:paraId="0120A348" w14:textId="77777777" w:rsidR="00F47C26" w:rsidRDefault="00A33606" w:rsidP="00DE1CD9">
      <w:pPr>
        <w:pStyle w:val="Default"/>
        <w:spacing w:before="60" w:after="60"/>
        <w:ind w:firstLine="851"/>
        <w:jc w:val="both"/>
        <w:rPr>
          <w:sz w:val="28"/>
          <w:szCs w:val="28"/>
        </w:rPr>
      </w:pPr>
      <w:r w:rsidRPr="00360211">
        <w:rPr>
          <w:sz w:val="28"/>
          <w:szCs w:val="28"/>
        </w:rPr>
        <w:t>MK noteikumu Nr.900 1. punkt</w:t>
      </w:r>
      <w:r>
        <w:rPr>
          <w:sz w:val="28"/>
          <w:szCs w:val="28"/>
        </w:rPr>
        <w:t>s</w:t>
      </w:r>
      <w:r w:rsidRPr="00360211">
        <w:rPr>
          <w:sz w:val="28"/>
          <w:szCs w:val="28"/>
        </w:rPr>
        <w:t xml:space="preserve"> nosaka</w:t>
      </w:r>
      <w:r w:rsidR="00F47C26">
        <w:rPr>
          <w:sz w:val="28"/>
          <w:szCs w:val="28"/>
        </w:rPr>
        <w:t>:</w:t>
      </w:r>
    </w:p>
    <w:p w14:paraId="5C24B647" w14:textId="77777777" w:rsidR="00F47C26" w:rsidRDefault="00A33606" w:rsidP="00DE1CD9">
      <w:pPr>
        <w:pStyle w:val="Default"/>
        <w:spacing w:before="60" w:after="60"/>
        <w:ind w:firstLine="851"/>
        <w:jc w:val="both"/>
        <w:rPr>
          <w:sz w:val="28"/>
          <w:szCs w:val="28"/>
        </w:rPr>
      </w:pPr>
      <w:r w:rsidRPr="00360211">
        <w:rPr>
          <w:sz w:val="28"/>
          <w:szCs w:val="28"/>
        </w:rPr>
        <w:t xml:space="preserve"> </w:t>
      </w:r>
      <w:r>
        <w:rPr>
          <w:sz w:val="28"/>
          <w:szCs w:val="28"/>
        </w:rPr>
        <w:t xml:space="preserve">(1) </w:t>
      </w:r>
      <w:r w:rsidRPr="00360211">
        <w:rPr>
          <w:sz w:val="28"/>
          <w:szCs w:val="28"/>
        </w:rPr>
        <w:t>kārtību, kādā elektroenerģijas ražotājs, kurš elektroenerģijas ražošanai izmanto atjaunojamos energoresursus, par saražotās elektroenerģijas daudzumu, kas izteikts megavatstundās (</w:t>
      </w:r>
      <w:proofErr w:type="spellStart"/>
      <w:r w:rsidRPr="00360211">
        <w:rPr>
          <w:sz w:val="28"/>
          <w:szCs w:val="28"/>
        </w:rPr>
        <w:t>MWh</w:t>
      </w:r>
      <w:proofErr w:type="spellEnd"/>
      <w:r w:rsidRPr="00360211">
        <w:rPr>
          <w:sz w:val="28"/>
          <w:szCs w:val="28"/>
        </w:rPr>
        <w:t>), var saņemt izcelsmes apliecinājumu</w:t>
      </w:r>
      <w:r>
        <w:rPr>
          <w:sz w:val="28"/>
          <w:szCs w:val="28"/>
        </w:rPr>
        <w:t xml:space="preserve">; </w:t>
      </w:r>
    </w:p>
    <w:p w14:paraId="0771B9AF" w14:textId="77777777" w:rsidR="00F47C26" w:rsidRDefault="00A33606" w:rsidP="00DE1CD9">
      <w:pPr>
        <w:pStyle w:val="Default"/>
        <w:spacing w:before="60" w:after="60"/>
        <w:ind w:firstLine="851"/>
        <w:jc w:val="both"/>
        <w:rPr>
          <w:sz w:val="28"/>
          <w:szCs w:val="28"/>
        </w:rPr>
      </w:pPr>
      <w:r>
        <w:rPr>
          <w:sz w:val="28"/>
          <w:szCs w:val="28"/>
        </w:rPr>
        <w:t xml:space="preserve">(2) </w:t>
      </w:r>
      <w:r w:rsidRPr="00360211">
        <w:rPr>
          <w:sz w:val="28"/>
          <w:szCs w:val="28"/>
        </w:rPr>
        <w:t xml:space="preserve">kārtību, kādā ražotājs, kas elektroenerģijas ražošanai izmanto </w:t>
      </w:r>
      <w:r w:rsidR="00223A43">
        <w:rPr>
          <w:sz w:val="28"/>
          <w:szCs w:val="28"/>
        </w:rPr>
        <w:t>AER</w:t>
      </w:r>
      <w:r w:rsidRPr="00360211">
        <w:rPr>
          <w:sz w:val="28"/>
          <w:szCs w:val="28"/>
        </w:rPr>
        <w:t>, var saņemt saražotās elektroenerģijas izcelsmes apliecinājumu</w:t>
      </w:r>
      <w:r>
        <w:rPr>
          <w:sz w:val="28"/>
          <w:szCs w:val="28"/>
        </w:rPr>
        <w:t>;</w:t>
      </w:r>
      <w:r w:rsidRPr="00360211">
        <w:rPr>
          <w:sz w:val="28"/>
          <w:szCs w:val="28"/>
        </w:rPr>
        <w:t xml:space="preserve"> </w:t>
      </w:r>
    </w:p>
    <w:p w14:paraId="30ED1F21" w14:textId="77777777" w:rsidR="00DE1CD9" w:rsidRDefault="00A33606" w:rsidP="00DE1CD9">
      <w:pPr>
        <w:pStyle w:val="Default"/>
        <w:spacing w:before="60" w:after="60"/>
        <w:ind w:firstLine="851"/>
        <w:jc w:val="both"/>
        <w:rPr>
          <w:sz w:val="28"/>
          <w:szCs w:val="28"/>
        </w:rPr>
      </w:pPr>
      <w:r>
        <w:rPr>
          <w:sz w:val="28"/>
          <w:szCs w:val="28"/>
        </w:rPr>
        <w:lastRenderedPageBreak/>
        <w:t>(3)</w:t>
      </w:r>
      <w:r w:rsidRPr="00360211">
        <w:rPr>
          <w:sz w:val="28"/>
          <w:szCs w:val="28"/>
        </w:rPr>
        <w:t xml:space="preserve"> izcelsmes apliecinājumā ietveramo informāciju, kā arī pilnvaroto institūciju, kas izsniedz izcelsmes apliecinājumus.  </w:t>
      </w:r>
      <w:r>
        <w:rPr>
          <w:sz w:val="28"/>
          <w:szCs w:val="28"/>
        </w:rPr>
        <w:t xml:space="preserve">Atbilstoši MK noteikumu </w:t>
      </w:r>
      <w:r w:rsidRPr="002A659F">
        <w:rPr>
          <w:sz w:val="28"/>
          <w:szCs w:val="28"/>
        </w:rPr>
        <w:t>Nr.900 2.punktam 1.1., 1.2. un 1.3.</w:t>
      </w:r>
      <w:r>
        <w:rPr>
          <w:sz w:val="28"/>
          <w:szCs w:val="28"/>
        </w:rPr>
        <w:t> </w:t>
      </w:r>
      <w:r w:rsidRPr="002A659F">
        <w:rPr>
          <w:sz w:val="28"/>
          <w:szCs w:val="28"/>
        </w:rPr>
        <w:t>apakšpunktā</w:t>
      </w:r>
      <w:r w:rsidR="00FD609E">
        <w:rPr>
          <w:rStyle w:val="FootnoteReference"/>
          <w:sz w:val="28"/>
          <w:szCs w:val="28"/>
        </w:rPr>
        <w:footnoteReference w:id="34"/>
      </w:r>
      <w:r w:rsidRPr="002A659F">
        <w:rPr>
          <w:sz w:val="28"/>
          <w:szCs w:val="28"/>
        </w:rPr>
        <w:t xml:space="preserve"> minēto saražotās elektroenerģijas izcelsmes apliecinājumu var saņemt ražotājs, kura īpašumā vai lietojumā ir elektrostacija, kas elektroenerģiju ražo, izmantojot </w:t>
      </w:r>
      <w:r w:rsidR="00223A43">
        <w:rPr>
          <w:sz w:val="28"/>
          <w:szCs w:val="28"/>
        </w:rPr>
        <w:t>AER</w:t>
      </w:r>
      <w:r w:rsidRPr="002A659F">
        <w:rPr>
          <w:sz w:val="28"/>
          <w:szCs w:val="28"/>
        </w:rPr>
        <w:t>. Ražotājs var saņemt vienu vai vairākus izcelsmes apliecinājumus. Savukārt MK noteikumu Nr.900 3.punkts</w:t>
      </w:r>
      <w:r>
        <w:rPr>
          <w:rStyle w:val="FootnoteReference"/>
          <w:sz w:val="28"/>
          <w:szCs w:val="28"/>
        </w:rPr>
        <w:footnoteReference w:id="35"/>
      </w:r>
      <w:r w:rsidRPr="002A659F">
        <w:rPr>
          <w:sz w:val="28"/>
          <w:szCs w:val="28"/>
        </w:rPr>
        <w:t xml:space="preserve"> nosaka, ka </w:t>
      </w:r>
      <w:r w:rsidR="00643C47">
        <w:rPr>
          <w:sz w:val="28"/>
          <w:szCs w:val="28"/>
        </w:rPr>
        <w:t>EM</w:t>
      </w:r>
      <w:r>
        <w:rPr>
          <w:sz w:val="28"/>
          <w:szCs w:val="28"/>
        </w:rPr>
        <w:t xml:space="preserve"> </w:t>
      </w:r>
      <w:r w:rsidRPr="002A659F">
        <w:rPr>
          <w:sz w:val="28"/>
          <w:szCs w:val="28"/>
        </w:rPr>
        <w:t xml:space="preserve">šo noteikumu </w:t>
      </w:r>
      <w:r>
        <w:rPr>
          <w:sz w:val="28"/>
          <w:szCs w:val="28"/>
        </w:rPr>
        <w:t>2.punktā</w:t>
      </w:r>
      <w:r w:rsidRPr="002A659F">
        <w:rPr>
          <w:sz w:val="28"/>
          <w:szCs w:val="28"/>
        </w:rPr>
        <w:t xml:space="preserve"> minēto izcelsmes apliecinājumu izsniedz un uzskaita elektroniski.</w:t>
      </w:r>
      <w:r>
        <w:rPr>
          <w:sz w:val="28"/>
          <w:szCs w:val="28"/>
        </w:rPr>
        <w:t xml:space="preserve"> MK noteikumu Nr.900 4.punktā</w:t>
      </w:r>
      <w:r>
        <w:rPr>
          <w:rStyle w:val="FootnoteReference"/>
          <w:sz w:val="28"/>
          <w:szCs w:val="28"/>
        </w:rPr>
        <w:footnoteReference w:id="36"/>
      </w:r>
      <w:r>
        <w:rPr>
          <w:sz w:val="28"/>
          <w:szCs w:val="28"/>
        </w:rPr>
        <w:t xml:space="preserve"> minēts, ka, lai saņemtu izcelsmes apliecinājumu, ražotājs papīra formā vai elektroniska dokumenta veidā iesniedz ministrijā iesniegumu izcelsmes apliecinājuma saņemšanai (MK noteikumu Nr.900 pielikums), turklāt minētos datus apliecina sistēmas operators, kura elektrotīkliem elektrostacija ir pieslēgta.</w:t>
      </w:r>
    </w:p>
    <w:p w14:paraId="13D00371" w14:textId="77777777" w:rsidR="00820C75" w:rsidRDefault="00A33606" w:rsidP="00DE1CD9">
      <w:pPr>
        <w:pStyle w:val="Default"/>
        <w:spacing w:before="60" w:after="60"/>
        <w:ind w:firstLine="851"/>
        <w:jc w:val="both"/>
        <w:rPr>
          <w:sz w:val="28"/>
          <w:szCs w:val="28"/>
        </w:rPr>
      </w:pPr>
      <w:r>
        <w:rPr>
          <w:sz w:val="28"/>
          <w:szCs w:val="28"/>
        </w:rPr>
        <w:t>Atbilstoši MK noteikumu Nr.900 7.punktam</w:t>
      </w:r>
      <w:r>
        <w:rPr>
          <w:rStyle w:val="FootnoteReference"/>
          <w:sz w:val="28"/>
          <w:szCs w:val="28"/>
        </w:rPr>
        <w:footnoteReference w:id="37"/>
      </w:r>
      <w:r>
        <w:rPr>
          <w:sz w:val="28"/>
          <w:szCs w:val="28"/>
        </w:rPr>
        <w:t xml:space="preserve"> un MK noteikumu Nr.900 </w:t>
      </w:r>
      <w:r w:rsidRPr="00C93C27">
        <w:rPr>
          <w:sz w:val="28"/>
          <w:szCs w:val="28"/>
        </w:rPr>
        <w:t xml:space="preserve">pielikumam, </w:t>
      </w:r>
      <w:r w:rsidR="00643C47">
        <w:rPr>
          <w:sz w:val="28"/>
          <w:szCs w:val="28"/>
        </w:rPr>
        <w:t>EM</w:t>
      </w:r>
      <w:r w:rsidRPr="00C93C27">
        <w:rPr>
          <w:sz w:val="28"/>
          <w:szCs w:val="28"/>
        </w:rPr>
        <w:t>,  izvērtējot ražotāja sniegto informāciju,</w:t>
      </w:r>
      <w:r>
        <w:rPr>
          <w:sz w:val="28"/>
          <w:szCs w:val="28"/>
        </w:rPr>
        <w:t xml:space="preserve"> tai skaitā informāciju par</w:t>
      </w:r>
      <w:r w:rsidRPr="00C93C27">
        <w:rPr>
          <w:sz w:val="28"/>
          <w:szCs w:val="28"/>
        </w:rPr>
        <w:t xml:space="preserve"> elektroenerģijas tirgus dalībniekiem pārdotās elektroenerģijas apjomu</w:t>
      </w:r>
      <w:r>
        <w:rPr>
          <w:sz w:val="28"/>
          <w:szCs w:val="28"/>
        </w:rPr>
        <w:t>,</w:t>
      </w:r>
      <w:r w:rsidRPr="00C93C27">
        <w:rPr>
          <w:sz w:val="28"/>
          <w:szCs w:val="28"/>
        </w:rPr>
        <w:t xml:space="preserve"> </w:t>
      </w:r>
      <w:r>
        <w:rPr>
          <w:sz w:val="28"/>
          <w:szCs w:val="28"/>
        </w:rPr>
        <w:t xml:space="preserve">pieņem lēmumu par </w:t>
      </w:r>
      <w:r w:rsidRPr="00C93C27">
        <w:rPr>
          <w:sz w:val="28"/>
          <w:szCs w:val="28"/>
        </w:rPr>
        <w:t>izcelsmes apliecinājum</w:t>
      </w:r>
      <w:r>
        <w:rPr>
          <w:sz w:val="28"/>
          <w:szCs w:val="28"/>
        </w:rPr>
        <w:t>a izsniegšanu ražotājam, lai ražotājam būtu iespējams</w:t>
      </w:r>
      <w:r w:rsidRPr="003E75B0">
        <w:rPr>
          <w:sz w:val="28"/>
          <w:szCs w:val="28"/>
        </w:rPr>
        <w:t xml:space="preserve"> </w:t>
      </w:r>
      <w:r>
        <w:rPr>
          <w:sz w:val="28"/>
          <w:szCs w:val="28"/>
        </w:rPr>
        <w:t>nodot nepieciešamo daudzumu izcelsmes apliecinājumu</w:t>
      </w:r>
      <w:r w:rsidRPr="003E75B0">
        <w:rPr>
          <w:sz w:val="28"/>
          <w:szCs w:val="28"/>
        </w:rPr>
        <w:t xml:space="preserve"> </w:t>
      </w:r>
      <w:r>
        <w:rPr>
          <w:sz w:val="28"/>
          <w:szCs w:val="28"/>
        </w:rPr>
        <w:t>elektroenerģijas tirgotājiem, ņemot vērā pieprasījumu.</w:t>
      </w:r>
    </w:p>
    <w:p w14:paraId="2E20C059" w14:textId="77777777" w:rsidR="00A12E02" w:rsidRDefault="00A12E02" w:rsidP="00A12E02">
      <w:pPr>
        <w:pStyle w:val="Default"/>
        <w:spacing w:before="60" w:after="60"/>
        <w:ind w:firstLine="851"/>
        <w:jc w:val="both"/>
        <w:rPr>
          <w:sz w:val="28"/>
          <w:szCs w:val="28"/>
        </w:rPr>
      </w:pPr>
      <w:bookmarkStart w:id="23" w:name="_Toc367196058"/>
      <w:r>
        <w:rPr>
          <w:sz w:val="28"/>
          <w:szCs w:val="28"/>
        </w:rPr>
        <w:t xml:space="preserve">Saskaņā ar MK noteikumiem Nr.900 pēc komersantu pieprasījuma EM par 2011.gadu ir izsniegusi 3 izcelsmes apliecinājumus (par kopējo apjomu 4,042 </w:t>
      </w:r>
      <w:proofErr w:type="spellStart"/>
      <w:r>
        <w:rPr>
          <w:sz w:val="28"/>
          <w:szCs w:val="28"/>
        </w:rPr>
        <w:t>GWh</w:t>
      </w:r>
      <w:proofErr w:type="spellEnd"/>
      <w:r>
        <w:rPr>
          <w:sz w:val="28"/>
          <w:szCs w:val="28"/>
        </w:rPr>
        <w:t xml:space="preserve">) elektroenerģijai, kas saražota no AER, tostarp 1 izcelsmes apliecinājumu (par 0,045 </w:t>
      </w:r>
      <w:proofErr w:type="spellStart"/>
      <w:r>
        <w:rPr>
          <w:sz w:val="28"/>
          <w:szCs w:val="28"/>
        </w:rPr>
        <w:t>GWh</w:t>
      </w:r>
      <w:proofErr w:type="spellEnd"/>
      <w:r>
        <w:rPr>
          <w:sz w:val="28"/>
          <w:szCs w:val="28"/>
        </w:rPr>
        <w:t xml:space="preserve">) HES saražotajai elektroenerģijai un 2 izcelsmes apliecinājumus (par 3,997 </w:t>
      </w:r>
      <w:proofErr w:type="spellStart"/>
      <w:r>
        <w:rPr>
          <w:sz w:val="28"/>
          <w:szCs w:val="28"/>
        </w:rPr>
        <w:t>GWh</w:t>
      </w:r>
      <w:proofErr w:type="spellEnd"/>
      <w:r>
        <w:rPr>
          <w:sz w:val="28"/>
          <w:szCs w:val="28"/>
        </w:rPr>
        <w:t xml:space="preserve">) elektroenerģijai, kas iegūta </w:t>
      </w:r>
      <w:r w:rsidR="00F71090">
        <w:rPr>
          <w:sz w:val="28"/>
          <w:szCs w:val="28"/>
        </w:rPr>
        <w:t>VES</w:t>
      </w:r>
      <w:r>
        <w:rPr>
          <w:sz w:val="28"/>
          <w:szCs w:val="28"/>
        </w:rPr>
        <w:t xml:space="preserve">. Par 2012.gadu EM ir izsniegusi 8 izcelsmes apliecinājumus (par kopējo apjomu 3606,462 </w:t>
      </w:r>
      <w:proofErr w:type="spellStart"/>
      <w:r>
        <w:rPr>
          <w:sz w:val="28"/>
          <w:szCs w:val="28"/>
        </w:rPr>
        <w:t>GWh</w:t>
      </w:r>
      <w:proofErr w:type="spellEnd"/>
      <w:r>
        <w:rPr>
          <w:sz w:val="28"/>
          <w:szCs w:val="28"/>
        </w:rPr>
        <w:t xml:space="preserve">), tostarp 5 izcelsmes apliecinājumus (par 3597,027 </w:t>
      </w:r>
      <w:proofErr w:type="spellStart"/>
      <w:r>
        <w:rPr>
          <w:sz w:val="28"/>
          <w:szCs w:val="28"/>
        </w:rPr>
        <w:t>GWh</w:t>
      </w:r>
      <w:proofErr w:type="spellEnd"/>
      <w:r>
        <w:rPr>
          <w:sz w:val="28"/>
          <w:szCs w:val="28"/>
        </w:rPr>
        <w:t xml:space="preserve">) HES </w:t>
      </w:r>
      <w:r>
        <w:rPr>
          <w:sz w:val="28"/>
          <w:szCs w:val="28"/>
        </w:rPr>
        <w:lastRenderedPageBreak/>
        <w:t xml:space="preserve">saražotajai elektroenerģijai un 3 izcelsmes apliecinājumus (par 9,436 </w:t>
      </w:r>
      <w:proofErr w:type="spellStart"/>
      <w:r>
        <w:rPr>
          <w:sz w:val="28"/>
          <w:szCs w:val="28"/>
        </w:rPr>
        <w:t>GWh</w:t>
      </w:r>
      <w:proofErr w:type="spellEnd"/>
      <w:r>
        <w:rPr>
          <w:sz w:val="28"/>
          <w:szCs w:val="28"/>
        </w:rPr>
        <w:t xml:space="preserve">) elektroenerģijai, kas iegūta </w:t>
      </w:r>
      <w:r w:rsidR="00F71090">
        <w:rPr>
          <w:sz w:val="28"/>
          <w:szCs w:val="28"/>
        </w:rPr>
        <w:t>VES</w:t>
      </w:r>
      <w:r>
        <w:rPr>
          <w:sz w:val="28"/>
          <w:szCs w:val="28"/>
        </w:rPr>
        <w:t>.</w:t>
      </w:r>
    </w:p>
    <w:p w14:paraId="397FD5F2" w14:textId="77777777" w:rsidR="00820C75" w:rsidRPr="00935562" w:rsidRDefault="00820C75" w:rsidP="00AB09BE">
      <w:pPr>
        <w:pStyle w:val="Heading1"/>
        <w:numPr>
          <w:ilvl w:val="0"/>
          <w:numId w:val="0"/>
        </w:numPr>
        <w:jc w:val="center"/>
        <w:rPr>
          <w:smallCaps w:val="0"/>
          <w:sz w:val="28"/>
          <w:lang w:val="lv-LV"/>
        </w:rPr>
      </w:pPr>
      <w:bookmarkStart w:id="24" w:name="_Toc373229248"/>
      <w:r w:rsidRPr="00935562">
        <w:rPr>
          <w:smallCaps w:val="0"/>
          <w:sz w:val="28"/>
          <w:lang w:val="lv-LV"/>
        </w:rPr>
        <w:t xml:space="preserve">6. </w:t>
      </w:r>
      <w:r w:rsidR="00312BE7" w:rsidRPr="00935562">
        <w:rPr>
          <w:smallCaps w:val="0"/>
          <w:sz w:val="28"/>
          <w:lang w:val="lv-LV"/>
        </w:rPr>
        <w:t>T</w:t>
      </w:r>
      <w:r w:rsidRPr="00935562">
        <w:rPr>
          <w:smallCaps w:val="0"/>
          <w:sz w:val="28"/>
          <w:lang w:val="lv-LV"/>
        </w:rPr>
        <w:t>endences biomasas resursu pieejamībā</w:t>
      </w:r>
      <w:r w:rsidR="00223A43" w:rsidRPr="00935562">
        <w:rPr>
          <w:smallCaps w:val="0"/>
          <w:sz w:val="28"/>
          <w:lang w:val="lv-LV"/>
        </w:rPr>
        <w:t xml:space="preserve"> </w:t>
      </w:r>
      <w:r w:rsidRPr="00935562">
        <w:rPr>
          <w:smallCaps w:val="0"/>
          <w:sz w:val="28"/>
          <w:lang w:val="lv-LV"/>
        </w:rPr>
        <w:t>u</w:t>
      </w:r>
      <w:r w:rsidR="00AB09BE" w:rsidRPr="00935562">
        <w:rPr>
          <w:smallCaps w:val="0"/>
          <w:sz w:val="28"/>
          <w:lang w:val="lv-LV"/>
        </w:rPr>
        <w:t>n izmantošanā enerģijas nolūkos</w:t>
      </w:r>
      <w:bookmarkEnd w:id="23"/>
      <w:bookmarkEnd w:id="24"/>
    </w:p>
    <w:p w14:paraId="783F86EB" w14:textId="77777777" w:rsidR="00D037EB" w:rsidRPr="00C80170" w:rsidRDefault="00820C75" w:rsidP="00D037EB">
      <w:pPr>
        <w:jc w:val="right"/>
        <w:rPr>
          <w:b/>
          <w:i/>
          <w:sz w:val="22"/>
          <w:szCs w:val="22"/>
          <w:lang w:val="lv-LV"/>
        </w:rPr>
      </w:pPr>
      <w:bookmarkStart w:id="25" w:name="_Toc367196059"/>
      <w:r w:rsidRPr="00C80170">
        <w:rPr>
          <w:b/>
          <w:i/>
          <w:sz w:val="20"/>
          <w:szCs w:val="22"/>
          <w:lang w:val="lv-LV"/>
        </w:rPr>
        <w:t>4. tabula</w:t>
      </w:r>
    </w:p>
    <w:p w14:paraId="3827D5B0" w14:textId="77777777" w:rsidR="00820C75" w:rsidRPr="00C80170" w:rsidRDefault="00820C75" w:rsidP="00D037EB">
      <w:pPr>
        <w:jc w:val="center"/>
        <w:rPr>
          <w:b/>
          <w:sz w:val="20"/>
          <w:szCs w:val="22"/>
          <w:lang w:val="lv-LV"/>
        </w:rPr>
      </w:pPr>
      <w:r w:rsidRPr="00C80170">
        <w:rPr>
          <w:b/>
          <w:sz w:val="20"/>
          <w:szCs w:val="22"/>
          <w:lang w:val="lv-LV"/>
        </w:rPr>
        <w:t>Biomasas piedāvājums enerģijas nolūkos</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608"/>
        <w:gridCol w:w="610"/>
        <w:gridCol w:w="609"/>
        <w:gridCol w:w="607"/>
        <w:gridCol w:w="609"/>
        <w:gridCol w:w="607"/>
        <w:gridCol w:w="607"/>
        <w:gridCol w:w="611"/>
        <w:gridCol w:w="607"/>
        <w:gridCol w:w="611"/>
        <w:gridCol w:w="607"/>
        <w:gridCol w:w="607"/>
      </w:tblGrid>
      <w:tr w:rsidR="002E275B" w14:paraId="34DF1379" w14:textId="77777777" w:rsidTr="004714B4">
        <w:tc>
          <w:tcPr>
            <w:tcW w:w="1069" w:type="pct"/>
            <w:tcBorders>
              <w:top w:val="single" w:sz="4" w:space="0" w:color="auto"/>
              <w:left w:val="single" w:sz="4" w:space="0" w:color="auto"/>
              <w:bottom w:val="single" w:sz="4" w:space="0" w:color="auto"/>
              <w:right w:val="single" w:sz="4" w:space="0" w:color="auto"/>
            </w:tcBorders>
            <w:shd w:val="clear" w:color="auto" w:fill="E6E6E6"/>
          </w:tcPr>
          <w:p w14:paraId="6B3DA590" w14:textId="77777777" w:rsidR="002E275B" w:rsidRDefault="002E275B">
            <w:pPr>
              <w:suppressAutoHyphens/>
              <w:snapToGrid w:val="0"/>
              <w:rPr>
                <w:b/>
                <w:sz w:val="16"/>
                <w:lang w:val="en-US"/>
              </w:rPr>
            </w:pPr>
          </w:p>
        </w:tc>
        <w:tc>
          <w:tcPr>
            <w:tcW w:w="655"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37058358" w14:textId="77777777" w:rsidR="002E275B" w:rsidRDefault="002E275B" w:rsidP="00C80170">
            <w:pPr>
              <w:suppressAutoHyphens/>
              <w:snapToGrid w:val="0"/>
            </w:pPr>
            <w:r>
              <w:rPr>
                <w:b/>
                <w:sz w:val="16"/>
                <w:lang w:val="lv-LV"/>
              </w:rPr>
              <w:t>Iekšzemes izejvielu apjoms</w:t>
            </w:r>
          </w:p>
        </w:tc>
        <w:tc>
          <w:tcPr>
            <w:tcW w:w="655"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698C8E86" w14:textId="77777777" w:rsidR="002E275B" w:rsidRDefault="002E275B">
            <w:pPr>
              <w:suppressAutoHyphens/>
              <w:snapToGrid w:val="0"/>
            </w:pPr>
            <w:r>
              <w:rPr>
                <w:b/>
                <w:sz w:val="16"/>
                <w:lang w:val="lv-LV"/>
              </w:rPr>
              <w:t>Primārā enerģija iekšzemes izejvielās (</w:t>
            </w:r>
            <w:proofErr w:type="spellStart"/>
            <w:r>
              <w:rPr>
                <w:b/>
                <w:sz w:val="16"/>
                <w:lang w:val="lv-LV"/>
              </w:rPr>
              <w:t>tūkst</w:t>
            </w:r>
            <w:proofErr w:type="spellEnd"/>
            <w:r>
              <w:rPr>
                <w:b/>
                <w:sz w:val="16"/>
                <w:lang w:val="lv-LV"/>
              </w:rPr>
              <w:t xml:space="preserve">. t naftas </w:t>
            </w:r>
            <w:proofErr w:type="spellStart"/>
            <w:r>
              <w:rPr>
                <w:b/>
                <w:sz w:val="16"/>
                <w:lang w:val="lv-LV"/>
              </w:rPr>
              <w:t>ekv</w:t>
            </w:r>
            <w:proofErr w:type="spellEnd"/>
            <w:r>
              <w:rPr>
                <w:b/>
                <w:sz w:val="16"/>
                <w:lang w:val="lv-LV"/>
              </w:rPr>
              <w:t>.)</w:t>
            </w:r>
          </w:p>
        </w:tc>
        <w:tc>
          <w:tcPr>
            <w:tcW w:w="655"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5044966D" w14:textId="77777777" w:rsidR="002E275B" w:rsidRDefault="002E275B" w:rsidP="00C80170">
            <w:pPr>
              <w:suppressAutoHyphens/>
              <w:snapToGrid w:val="0"/>
            </w:pPr>
            <w:r>
              <w:rPr>
                <w:b/>
                <w:sz w:val="16"/>
                <w:lang w:val="lv-LV"/>
              </w:rPr>
              <w:t>No ES importēto izejvielu apjoms</w:t>
            </w:r>
          </w:p>
        </w:tc>
        <w:tc>
          <w:tcPr>
            <w:tcW w:w="656"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724BB514" w14:textId="77777777" w:rsidR="002E275B" w:rsidRDefault="002E275B">
            <w:pPr>
              <w:suppressAutoHyphens/>
              <w:snapToGrid w:val="0"/>
            </w:pPr>
            <w:r>
              <w:rPr>
                <w:b/>
                <w:sz w:val="16"/>
                <w:lang w:val="lv-LV"/>
              </w:rPr>
              <w:t>Primārā enerģija no ES importēto izejvielu apjomā (</w:t>
            </w:r>
            <w:proofErr w:type="spellStart"/>
            <w:r>
              <w:rPr>
                <w:b/>
                <w:sz w:val="16"/>
                <w:lang w:val="lv-LV"/>
              </w:rPr>
              <w:t>tūkst</w:t>
            </w:r>
            <w:proofErr w:type="spellEnd"/>
            <w:r>
              <w:rPr>
                <w:b/>
                <w:sz w:val="16"/>
                <w:lang w:val="lv-LV"/>
              </w:rPr>
              <w:t xml:space="preserve">. t naftas </w:t>
            </w:r>
            <w:proofErr w:type="spellStart"/>
            <w:r>
              <w:rPr>
                <w:b/>
                <w:sz w:val="16"/>
                <w:lang w:val="lv-LV"/>
              </w:rPr>
              <w:t>ekv</w:t>
            </w:r>
            <w:proofErr w:type="spellEnd"/>
            <w:r>
              <w:rPr>
                <w:b/>
                <w:sz w:val="16"/>
                <w:lang w:val="lv-LV"/>
              </w:rPr>
              <w:t>.)</w:t>
            </w:r>
          </w:p>
        </w:tc>
        <w:tc>
          <w:tcPr>
            <w:tcW w:w="656"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5D6EA62B" w14:textId="77777777" w:rsidR="002E275B" w:rsidRDefault="002E275B" w:rsidP="00C80170">
            <w:pPr>
              <w:suppressAutoHyphens/>
              <w:snapToGrid w:val="0"/>
            </w:pPr>
            <w:r>
              <w:rPr>
                <w:b/>
                <w:sz w:val="16"/>
                <w:lang w:val="lv-LV"/>
              </w:rPr>
              <w:t>No ne-ES importēto izejvielu apjoms</w:t>
            </w:r>
          </w:p>
        </w:tc>
        <w:tc>
          <w:tcPr>
            <w:tcW w:w="655" w:type="pct"/>
            <w:gridSpan w:val="2"/>
            <w:tcBorders>
              <w:top w:val="single" w:sz="4" w:space="0" w:color="auto"/>
              <w:left w:val="single" w:sz="4" w:space="0" w:color="auto"/>
              <w:bottom w:val="single" w:sz="4" w:space="0" w:color="auto"/>
              <w:right w:val="single" w:sz="4" w:space="0" w:color="auto"/>
            </w:tcBorders>
            <w:shd w:val="clear" w:color="auto" w:fill="E6E6E6"/>
            <w:hideMark/>
          </w:tcPr>
          <w:p w14:paraId="78E99AA8" w14:textId="77777777" w:rsidR="002E275B" w:rsidRDefault="002E275B">
            <w:pPr>
              <w:suppressAutoHyphens/>
              <w:snapToGrid w:val="0"/>
            </w:pPr>
            <w:r>
              <w:rPr>
                <w:b/>
                <w:sz w:val="16"/>
                <w:lang w:val="lv-LV"/>
              </w:rPr>
              <w:t>Primārā enerģija no ne-ES importēto izejvielu apjomā (</w:t>
            </w:r>
            <w:proofErr w:type="spellStart"/>
            <w:r>
              <w:rPr>
                <w:b/>
                <w:sz w:val="16"/>
                <w:lang w:val="lv-LV"/>
              </w:rPr>
              <w:t>tūkst</w:t>
            </w:r>
            <w:proofErr w:type="spellEnd"/>
            <w:r>
              <w:rPr>
                <w:b/>
                <w:sz w:val="16"/>
                <w:lang w:val="lv-LV"/>
              </w:rPr>
              <w:t xml:space="preserve">. t naftas </w:t>
            </w:r>
            <w:proofErr w:type="spellStart"/>
            <w:r>
              <w:rPr>
                <w:b/>
                <w:sz w:val="16"/>
                <w:lang w:val="lv-LV"/>
              </w:rPr>
              <w:t>ekv</w:t>
            </w:r>
            <w:proofErr w:type="spellEnd"/>
            <w:r>
              <w:rPr>
                <w:b/>
                <w:sz w:val="16"/>
                <w:lang w:val="lv-LV"/>
              </w:rPr>
              <w:t>.)</w:t>
            </w:r>
          </w:p>
        </w:tc>
      </w:tr>
      <w:tr w:rsidR="002E275B" w14:paraId="08041776" w14:textId="77777777" w:rsidTr="004714B4">
        <w:tc>
          <w:tcPr>
            <w:tcW w:w="1069" w:type="pct"/>
            <w:tcBorders>
              <w:top w:val="single" w:sz="4" w:space="0" w:color="auto"/>
              <w:left w:val="single" w:sz="4" w:space="0" w:color="auto"/>
              <w:bottom w:val="single" w:sz="4" w:space="0" w:color="auto"/>
              <w:right w:val="single" w:sz="4" w:space="0" w:color="auto"/>
            </w:tcBorders>
            <w:shd w:val="clear" w:color="auto" w:fill="E6E6E6"/>
          </w:tcPr>
          <w:p w14:paraId="6CFAC6EC" w14:textId="77777777" w:rsidR="002E275B" w:rsidRDefault="002E275B">
            <w:pPr>
              <w:suppressAutoHyphens/>
              <w:snapToGrid w:val="0"/>
              <w:rPr>
                <w:b/>
                <w:sz w:val="16"/>
                <w:lang w:val="en-US"/>
              </w:rPr>
            </w:pPr>
          </w:p>
        </w:tc>
        <w:tc>
          <w:tcPr>
            <w:tcW w:w="327" w:type="pct"/>
            <w:tcBorders>
              <w:top w:val="single" w:sz="4" w:space="0" w:color="auto"/>
              <w:left w:val="single" w:sz="4" w:space="0" w:color="auto"/>
              <w:bottom w:val="single" w:sz="4" w:space="0" w:color="auto"/>
              <w:right w:val="single" w:sz="4" w:space="0" w:color="auto"/>
            </w:tcBorders>
            <w:shd w:val="clear" w:color="auto" w:fill="E6E6E6"/>
            <w:hideMark/>
          </w:tcPr>
          <w:p w14:paraId="6BAE2DE3" w14:textId="77777777" w:rsidR="002E275B" w:rsidRDefault="002E275B">
            <w:pPr>
              <w:suppressAutoHyphens/>
              <w:snapToGrid w:val="0"/>
            </w:pPr>
            <w:r>
              <w:rPr>
                <w:b/>
                <w:sz w:val="16"/>
                <w:lang w:val="lv-LV"/>
              </w:rPr>
              <w:t>2011</w:t>
            </w:r>
          </w:p>
        </w:tc>
        <w:tc>
          <w:tcPr>
            <w:tcW w:w="327" w:type="pct"/>
            <w:tcBorders>
              <w:top w:val="single" w:sz="4" w:space="0" w:color="auto"/>
              <w:left w:val="single" w:sz="4" w:space="0" w:color="auto"/>
              <w:bottom w:val="single" w:sz="4" w:space="0" w:color="auto"/>
              <w:right w:val="single" w:sz="4" w:space="0" w:color="auto"/>
            </w:tcBorders>
            <w:shd w:val="clear" w:color="auto" w:fill="E6E6E6"/>
            <w:hideMark/>
          </w:tcPr>
          <w:p w14:paraId="14235BDF" w14:textId="77777777" w:rsidR="002E275B" w:rsidRDefault="002E275B">
            <w:pPr>
              <w:suppressAutoHyphens/>
              <w:snapToGrid w:val="0"/>
            </w:pPr>
            <w:r>
              <w:rPr>
                <w:b/>
                <w:sz w:val="16"/>
                <w:lang w:val="lv-LV"/>
              </w:rPr>
              <w:t>2012</w:t>
            </w:r>
          </w:p>
        </w:tc>
        <w:tc>
          <w:tcPr>
            <w:tcW w:w="328" w:type="pct"/>
            <w:tcBorders>
              <w:top w:val="single" w:sz="4" w:space="0" w:color="auto"/>
              <w:left w:val="single" w:sz="4" w:space="0" w:color="auto"/>
              <w:bottom w:val="single" w:sz="4" w:space="0" w:color="auto"/>
              <w:right w:val="single" w:sz="4" w:space="0" w:color="auto"/>
            </w:tcBorders>
            <w:shd w:val="clear" w:color="auto" w:fill="E6E6E6"/>
            <w:hideMark/>
          </w:tcPr>
          <w:p w14:paraId="2B883DF9" w14:textId="77777777" w:rsidR="002E275B" w:rsidRDefault="002E275B">
            <w:pPr>
              <w:suppressAutoHyphens/>
              <w:snapToGrid w:val="0"/>
            </w:pPr>
            <w:r>
              <w:rPr>
                <w:b/>
                <w:sz w:val="16"/>
                <w:lang w:val="lv-LV"/>
              </w:rPr>
              <w:t>2011</w:t>
            </w:r>
          </w:p>
        </w:tc>
        <w:tc>
          <w:tcPr>
            <w:tcW w:w="327" w:type="pct"/>
            <w:tcBorders>
              <w:top w:val="single" w:sz="4" w:space="0" w:color="auto"/>
              <w:left w:val="single" w:sz="4" w:space="0" w:color="auto"/>
              <w:bottom w:val="single" w:sz="4" w:space="0" w:color="auto"/>
              <w:right w:val="single" w:sz="4" w:space="0" w:color="auto"/>
            </w:tcBorders>
            <w:shd w:val="clear" w:color="auto" w:fill="E6E6E6"/>
            <w:hideMark/>
          </w:tcPr>
          <w:p w14:paraId="24BE49A2" w14:textId="77777777" w:rsidR="002E275B" w:rsidRDefault="002E275B">
            <w:pPr>
              <w:suppressAutoHyphens/>
              <w:snapToGrid w:val="0"/>
            </w:pPr>
            <w:r>
              <w:rPr>
                <w:b/>
                <w:sz w:val="16"/>
                <w:lang w:val="lv-LV"/>
              </w:rPr>
              <w:t>2012</w:t>
            </w:r>
          </w:p>
        </w:tc>
        <w:tc>
          <w:tcPr>
            <w:tcW w:w="328" w:type="pct"/>
            <w:tcBorders>
              <w:top w:val="single" w:sz="4" w:space="0" w:color="auto"/>
              <w:left w:val="single" w:sz="4" w:space="0" w:color="auto"/>
              <w:bottom w:val="single" w:sz="4" w:space="0" w:color="auto"/>
              <w:right w:val="single" w:sz="4" w:space="0" w:color="auto"/>
            </w:tcBorders>
            <w:shd w:val="clear" w:color="auto" w:fill="E6E6E6"/>
            <w:hideMark/>
          </w:tcPr>
          <w:p w14:paraId="331B8CF7" w14:textId="77777777" w:rsidR="002E275B" w:rsidRDefault="002E275B">
            <w:pPr>
              <w:suppressAutoHyphens/>
              <w:snapToGrid w:val="0"/>
            </w:pPr>
            <w:r>
              <w:rPr>
                <w:b/>
                <w:sz w:val="16"/>
                <w:lang w:val="lv-LV"/>
              </w:rPr>
              <w:t>2011</w:t>
            </w:r>
          </w:p>
        </w:tc>
        <w:tc>
          <w:tcPr>
            <w:tcW w:w="327" w:type="pct"/>
            <w:tcBorders>
              <w:top w:val="single" w:sz="4" w:space="0" w:color="auto"/>
              <w:left w:val="single" w:sz="4" w:space="0" w:color="auto"/>
              <w:bottom w:val="single" w:sz="4" w:space="0" w:color="auto"/>
              <w:right w:val="single" w:sz="4" w:space="0" w:color="auto"/>
            </w:tcBorders>
            <w:shd w:val="clear" w:color="auto" w:fill="E6E6E6"/>
            <w:hideMark/>
          </w:tcPr>
          <w:p w14:paraId="42FBB3A6" w14:textId="77777777" w:rsidR="002E275B" w:rsidRDefault="002E275B">
            <w:pPr>
              <w:suppressAutoHyphens/>
              <w:snapToGrid w:val="0"/>
            </w:pPr>
            <w:r>
              <w:rPr>
                <w:b/>
                <w:sz w:val="16"/>
                <w:lang w:val="lv-LV"/>
              </w:rPr>
              <w:t>2012</w:t>
            </w:r>
          </w:p>
        </w:tc>
        <w:tc>
          <w:tcPr>
            <w:tcW w:w="327" w:type="pct"/>
            <w:tcBorders>
              <w:top w:val="single" w:sz="4" w:space="0" w:color="auto"/>
              <w:left w:val="single" w:sz="4" w:space="0" w:color="auto"/>
              <w:bottom w:val="single" w:sz="4" w:space="0" w:color="auto"/>
              <w:right w:val="single" w:sz="4" w:space="0" w:color="auto"/>
            </w:tcBorders>
            <w:shd w:val="clear" w:color="auto" w:fill="E6E6E6"/>
            <w:hideMark/>
          </w:tcPr>
          <w:p w14:paraId="4D27D1ED" w14:textId="77777777" w:rsidR="002E275B" w:rsidRDefault="00DE1CD9">
            <w:pPr>
              <w:suppressAutoHyphens/>
              <w:snapToGrid w:val="0"/>
            </w:pPr>
            <w:r>
              <w:rPr>
                <w:b/>
                <w:sz w:val="16"/>
                <w:lang w:val="lv-LV"/>
              </w:rPr>
              <w:t>2011</w:t>
            </w:r>
          </w:p>
        </w:tc>
        <w:tc>
          <w:tcPr>
            <w:tcW w:w="329" w:type="pct"/>
            <w:tcBorders>
              <w:top w:val="single" w:sz="4" w:space="0" w:color="auto"/>
              <w:left w:val="single" w:sz="4" w:space="0" w:color="auto"/>
              <w:bottom w:val="single" w:sz="4" w:space="0" w:color="auto"/>
              <w:right w:val="single" w:sz="4" w:space="0" w:color="auto"/>
            </w:tcBorders>
            <w:shd w:val="clear" w:color="auto" w:fill="E6E6E6"/>
            <w:hideMark/>
          </w:tcPr>
          <w:p w14:paraId="0BAD5D26" w14:textId="77777777" w:rsidR="002E275B" w:rsidRDefault="00DE1CD9">
            <w:pPr>
              <w:suppressAutoHyphens/>
              <w:snapToGrid w:val="0"/>
            </w:pPr>
            <w:r>
              <w:rPr>
                <w:b/>
                <w:sz w:val="16"/>
                <w:lang w:val="lv-LV"/>
              </w:rPr>
              <w:t>2012</w:t>
            </w:r>
          </w:p>
        </w:tc>
        <w:tc>
          <w:tcPr>
            <w:tcW w:w="327" w:type="pct"/>
            <w:tcBorders>
              <w:top w:val="single" w:sz="4" w:space="0" w:color="auto"/>
              <w:left w:val="single" w:sz="4" w:space="0" w:color="auto"/>
              <w:bottom w:val="single" w:sz="4" w:space="0" w:color="auto"/>
              <w:right w:val="single" w:sz="4" w:space="0" w:color="auto"/>
            </w:tcBorders>
            <w:shd w:val="clear" w:color="auto" w:fill="E6E6E6"/>
            <w:hideMark/>
          </w:tcPr>
          <w:p w14:paraId="14DB2B70" w14:textId="77777777" w:rsidR="002E275B" w:rsidRDefault="002E275B">
            <w:pPr>
              <w:suppressAutoHyphens/>
              <w:snapToGrid w:val="0"/>
            </w:pPr>
            <w:r>
              <w:rPr>
                <w:b/>
                <w:sz w:val="16"/>
                <w:lang w:val="lv-LV"/>
              </w:rPr>
              <w:t>2011</w:t>
            </w:r>
          </w:p>
        </w:tc>
        <w:tc>
          <w:tcPr>
            <w:tcW w:w="329" w:type="pct"/>
            <w:tcBorders>
              <w:top w:val="single" w:sz="4" w:space="0" w:color="auto"/>
              <w:left w:val="single" w:sz="4" w:space="0" w:color="auto"/>
              <w:bottom w:val="single" w:sz="4" w:space="0" w:color="auto"/>
              <w:right w:val="single" w:sz="4" w:space="0" w:color="auto"/>
            </w:tcBorders>
            <w:shd w:val="clear" w:color="auto" w:fill="E6E6E6"/>
            <w:hideMark/>
          </w:tcPr>
          <w:p w14:paraId="371E16BE" w14:textId="77777777" w:rsidR="002E275B" w:rsidRDefault="002E275B">
            <w:pPr>
              <w:suppressAutoHyphens/>
              <w:snapToGrid w:val="0"/>
            </w:pPr>
            <w:r>
              <w:rPr>
                <w:b/>
                <w:sz w:val="16"/>
                <w:lang w:val="lv-LV"/>
              </w:rPr>
              <w:t>2012</w:t>
            </w:r>
          </w:p>
        </w:tc>
        <w:tc>
          <w:tcPr>
            <w:tcW w:w="327" w:type="pct"/>
            <w:tcBorders>
              <w:top w:val="single" w:sz="4" w:space="0" w:color="auto"/>
              <w:left w:val="single" w:sz="4" w:space="0" w:color="auto"/>
              <w:bottom w:val="single" w:sz="4" w:space="0" w:color="auto"/>
              <w:right w:val="single" w:sz="4" w:space="0" w:color="auto"/>
            </w:tcBorders>
            <w:shd w:val="clear" w:color="auto" w:fill="E6E6E6"/>
            <w:hideMark/>
          </w:tcPr>
          <w:p w14:paraId="185B5390" w14:textId="77777777" w:rsidR="002E275B" w:rsidRDefault="00DE1CD9">
            <w:pPr>
              <w:suppressAutoHyphens/>
              <w:snapToGrid w:val="0"/>
            </w:pPr>
            <w:r>
              <w:rPr>
                <w:b/>
                <w:sz w:val="16"/>
                <w:lang w:val="lv-LV"/>
              </w:rPr>
              <w:t>2011</w:t>
            </w:r>
          </w:p>
        </w:tc>
        <w:tc>
          <w:tcPr>
            <w:tcW w:w="328" w:type="pct"/>
            <w:tcBorders>
              <w:top w:val="single" w:sz="4" w:space="0" w:color="auto"/>
              <w:left w:val="single" w:sz="4" w:space="0" w:color="auto"/>
              <w:bottom w:val="single" w:sz="4" w:space="0" w:color="auto"/>
              <w:right w:val="single" w:sz="4" w:space="0" w:color="auto"/>
            </w:tcBorders>
            <w:shd w:val="clear" w:color="auto" w:fill="E6E6E6"/>
            <w:hideMark/>
          </w:tcPr>
          <w:p w14:paraId="02A17B4E" w14:textId="77777777" w:rsidR="002E275B" w:rsidRDefault="00DE1CD9">
            <w:pPr>
              <w:suppressAutoHyphens/>
              <w:snapToGrid w:val="0"/>
            </w:pPr>
            <w:r>
              <w:rPr>
                <w:b/>
                <w:sz w:val="16"/>
                <w:lang w:val="lv-LV"/>
              </w:rPr>
              <w:t>2012</w:t>
            </w:r>
          </w:p>
        </w:tc>
      </w:tr>
      <w:tr w:rsidR="002E275B" w14:paraId="71289E66" w14:textId="77777777" w:rsidTr="002E275B">
        <w:tc>
          <w:tcPr>
            <w:tcW w:w="5000" w:type="pct"/>
            <w:gridSpan w:val="13"/>
            <w:tcBorders>
              <w:top w:val="single" w:sz="4" w:space="0" w:color="auto"/>
              <w:left w:val="single" w:sz="4" w:space="0" w:color="auto"/>
              <w:bottom w:val="single" w:sz="4" w:space="0" w:color="auto"/>
              <w:right w:val="single" w:sz="4" w:space="0" w:color="auto"/>
            </w:tcBorders>
            <w:shd w:val="clear" w:color="auto" w:fill="F3F3F3"/>
            <w:hideMark/>
          </w:tcPr>
          <w:p w14:paraId="2004BF39" w14:textId="77777777" w:rsidR="002E275B" w:rsidRPr="00F26DD1" w:rsidRDefault="002E275B">
            <w:pPr>
              <w:suppressAutoHyphens/>
              <w:snapToGrid w:val="0"/>
              <w:rPr>
                <w:lang w:val="lv-LV"/>
              </w:rPr>
            </w:pPr>
            <w:r>
              <w:rPr>
                <w:b/>
                <w:i/>
                <w:sz w:val="16"/>
                <w:lang w:val="lv-LV"/>
              </w:rPr>
              <w:t>Biomasas piedāvājums siltumapgādei un elektroenerģijai:</w:t>
            </w:r>
          </w:p>
        </w:tc>
      </w:tr>
      <w:tr w:rsidR="002E275B" w14:paraId="34AEA971" w14:textId="77777777" w:rsidTr="004714B4">
        <w:tc>
          <w:tcPr>
            <w:tcW w:w="1069" w:type="pct"/>
            <w:tcBorders>
              <w:top w:val="single" w:sz="4" w:space="0" w:color="auto"/>
              <w:left w:val="single" w:sz="4" w:space="0" w:color="auto"/>
              <w:bottom w:val="single" w:sz="4" w:space="0" w:color="auto"/>
              <w:right w:val="single" w:sz="4" w:space="0" w:color="auto"/>
            </w:tcBorders>
            <w:hideMark/>
          </w:tcPr>
          <w:p w14:paraId="3E51A28F" w14:textId="77777777" w:rsidR="002E275B" w:rsidRPr="00D6616C" w:rsidRDefault="002E275B" w:rsidP="00C80170">
            <w:pPr>
              <w:suppressAutoHyphens/>
              <w:snapToGrid w:val="0"/>
              <w:rPr>
                <w:lang w:val="lv-LV"/>
              </w:rPr>
            </w:pPr>
            <w:r>
              <w:rPr>
                <w:sz w:val="16"/>
                <w:lang w:val="lv-LV"/>
              </w:rPr>
              <w:t>Koksnes biomasa, ko enerģijas ražošanai tieši piegādā no mežiem un citām ar kokaugiem k</w:t>
            </w:r>
            <w:r w:rsidR="00E628D8">
              <w:rPr>
                <w:sz w:val="16"/>
                <w:lang w:val="lv-LV"/>
              </w:rPr>
              <w:t xml:space="preserve">lātām platībām (cirsmas </w:t>
            </w:r>
            <w:proofErr w:type="spellStart"/>
            <w:r w:rsidR="00E628D8">
              <w:rPr>
                <w:sz w:val="16"/>
                <w:lang w:val="lv-LV"/>
              </w:rPr>
              <w:t>utt</w:t>
            </w:r>
            <w:proofErr w:type="spellEnd"/>
            <w:r w:rsidR="00E628D8">
              <w:rPr>
                <w:sz w:val="16"/>
                <w:lang w:val="lv-LV"/>
              </w:rPr>
              <w:t>.)*</w:t>
            </w:r>
            <w:r>
              <w:rPr>
                <w:sz w:val="16"/>
                <w:lang w:val="lv-LV"/>
              </w:rPr>
              <w:t>,</w:t>
            </w:r>
            <w:r w:rsidR="007A228D">
              <w:rPr>
                <w:sz w:val="16"/>
                <w:lang w:val="lv-LV"/>
              </w:rPr>
              <w:t>t</w:t>
            </w:r>
            <w:r>
              <w:rPr>
                <w:sz w:val="16"/>
                <w:lang w:val="lv-LV"/>
              </w:rPr>
              <w:t>ūkst</w:t>
            </w:r>
            <w:r w:rsidR="004D6236">
              <w:rPr>
                <w:sz w:val="16"/>
                <w:lang w:val="lv-LV"/>
              </w:rPr>
              <w:t>,cieš</w:t>
            </w:r>
            <w:r>
              <w:rPr>
                <w:sz w:val="16"/>
                <w:lang w:val="lv-LV"/>
              </w:rPr>
              <w:t>.m3</w:t>
            </w:r>
          </w:p>
        </w:tc>
        <w:tc>
          <w:tcPr>
            <w:tcW w:w="327" w:type="pct"/>
            <w:tcBorders>
              <w:top w:val="single" w:sz="4" w:space="0" w:color="auto"/>
              <w:left w:val="single" w:sz="4" w:space="0" w:color="auto"/>
              <w:bottom w:val="single" w:sz="4" w:space="0" w:color="auto"/>
              <w:right w:val="single" w:sz="4" w:space="0" w:color="auto"/>
            </w:tcBorders>
            <w:hideMark/>
          </w:tcPr>
          <w:p w14:paraId="5CD60E9B" w14:textId="77777777" w:rsidR="002E275B" w:rsidRDefault="002E275B">
            <w:pPr>
              <w:suppressAutoHyphens/>
              <w:snapToGrid w:val="0"/>
              <w:rPr>
                <w:sz w:val="16"/>
                <w:lang w:val="en-US"/>
              </w:rPr>
            </w:pPr>
            <w:r>
              <w:rPr>
                <w:sz w:val="16"/>
                <w:lang w:val="en-US"/>
              </w:rPr>
              <w:t>5399</w:t>
            </w:r>
          </w:p>
        </w:tc>
        <w:tc>
          <w:tcPr>
            <w:tcW w:w="327" w:type="pct"/>
            <w:tcBorders>
              <w:top w:val="single" w:sz="4" w:space="0" w:color="auto"/>
              <w:left w:val="single" w:sz="4" w:space="0" w:color="auto"/>
              <w:bottom w:val="single" w:sz="4" w:space="0" w:color="auto"/>
              <w:right w:val="single" w:sz="4" w:space="0" w:color="auto"/>
            </w:tcBorders>
            <w:hideMark/>
          </w:tcPr>
          <w:p w14:paraId="1AFB352A" w14:textId="77777777" w:rsidR="002E275B" w:rsidRDefault="002752FC">
            <w:pPr>
              <w:suppressAutoHyphens/>
              <w:snapToGrid w:val="0"/>
              <w:rPr>
                <w:sz w:val="16"/>
                <w:lang w:val="en-US"/>
              </w:rPr>
            </w:pPr>
            <w:r>
              <w:rPr>
                <w:sz w:val="16"/>
                <w:lang w:val="en-US"/>
              </w:rPr>
              <w:t>5222</w:t>
            </w:r>
          </w:p>
        </w:tc>
        <w:tc>
          <w:tcPr>
            <w:tcW w:w="328" w:type="pct"/>
            <w:tcBorders>
              <w:top w:val="single" w:sz="4" w:space="0" w:color="auto"/>
              <w:left w:val="single" w:sz="4" w:space="0" w:color="auto"/>
              <w:bottom w:val="single" w:sz="4" w:space="0" w:color="auto"/>
              <w:right w:val="single" w:sz="4" w:space="0" w:color="auto"/>
            </w:tcBorders>
            <w:hideMark/>
          </w:tcPr>
          <w:p w14:paraId="32335277" w14:textId="77777777" w:rsidR="002E275B" w:rsidRDefault="002E275B">
            <w:pPr>
              <w:suppressAutoHyphens/>
              <w:snapToGrid w:val="0"/>
              <w:rPr>
                <w:sz w:val="16"/>
                <w:lang w:val="en-US"/>
              </w:rPr>
            </w:pPr>
            <w:r>
              <w:rPr>
                <w:sz w:val="16"/>
                <w:lang w:val="en-US"/>
              </w:rPr>
              <w:t>864</w:t>
            </w:r>
          </w:p>
        </w:tc>
        <w:tc>
          <w:tcPr>
            <w:tcW w:w="327" w:type="pct"/>
            <w:tcBorders>
              <w:top w:val="single" w:sz="4" w:space="0" w:color="auto"/>
              <w:left w:val="single" w:sz="4" w:space="0" w:color="auto"/>
              <w:bottom w:val="single" w:sz="4" w:space="0" w:color="auto"/>
              <w:right w:val="single" w:sz="4" w:space="0" w:color="auto"/>
            </w:tcBorders>
            <w:hideMark/>
          </w:tcPr>
          <w:p w14:paraId="75EF80A2" w14:textId="77777777" w:rsidR="002E275B" w:rsidRDefault="002752FC">
            <w:pPr>
              <w:suppressAutoHyphens/>
              <w:snapToGrid w:val="0"/>
              <w:rPr>
                <w:sz w:val="16"/>
                <w:lang w:val="en-US"/>
              </w:rPr>
            </w:pPr>
            <w:r>
              <w:rPr>
                <w:sz w:val="16"/>
                <w:lang w:val="en-US"/>
              </w:rPr>
              <w:t>836</w:t>
            </w:r>
          </w:p>
        </w:tc>
        <w:tc>
          <w:tcPr>
            <w:tcW w:w="328" w:type="pct"/>
            <w:tcBorders>
              <w:top w:val="single" w:sz="4" w:space="0" w:color="auto"/>
              <w:left w:val="single" w:sz="4" w:space="0" w:color="auto"/>
              <w:bottom w:val="single" w:sz="4" w:space="0" w:color="auto"/>
              <w:right w:val="single" w:sz="4" w:space="0" w:color="auto"/>
            </w:tcBorders>
            <w:hideMark/>
          </w:tcPr>
          <w:p w14:paraId="0026CC27" w14:textId="77777777" w:rsidR="002E275B" w:rsidRDefault="002E275B">
            <w:pPr>
              <w:suppressAutoHyphens/>
              <w:snapToGrid w:val="0"/>
              <w:rPr>
                <w:sz w:val="16"/>
                <w:lang w:val="en-US"/>
              </w:rPr>
            </w:pPr>
            <w:r>
              <w:rPr>
                <w:sz w:val="16"/>
                <w:lang w:val="en-US"/>
              </w:rPr>
              <w:t>3</w:t>
            </w:r>
          </w:p>
        </w:tc>
        <w:tc>
          <w:tcPr>
            <w:tcW w:w="327" w:type="pct"/>
            <w:tcBorders>
              <w:top w:val="single" w:sz="4" w:space="0" w:color="auto"/>
              <w:left w:val="single" w:sz="4" w:space="0" w:color="auto"/>
              <w:bottom w:val="single" w:sz="4" w:space="0" w:color="auto"/>
              <w:right w:val="single" w:sz="4" w:space="0" w:color="auto"/>
            </w:tcBorders>
          </w:tcPr>
          <w:p w14:paraId="6B72AD09" w14:textId="77777777" w:rsidR="002E275B" w:rsidRDefault="002E275B" w:rsidP="003B690C">
            <w:pPr>
              <w:suppressAutoHyphens/>
              <w:rPr>
                <w:sz w:val="16"/>
                <w:lang w:val="en-US"/>
              </w:rPr>
            </w:pPr>
            <w:r>
              <w:rPr>
                <w:sz w:val="16"/>
                <w:lang w:val="en-US"/>
              </w:rPr>
              <w:t>4</w:t>
            </w:r>
          </w:p>
        </w:tc>
        <w:tc>
          <w:tcPr>
            <w:tcW w:w="327" w:type="pct"/>
            <w:tcBorders>
              <w:top w:val="single" w:sz="4" w:space="0" w:color="auto"/>
              <w:left w:val="single" w:sz="4" w:space="0" w:color="auto"/>
              <w:bottom w:val="single" w:sz="4" w:space="0" w:color="auto"/>
              <w:right w:val="single" w:sz="4" w:space="0" w:color="auto"/>
            </w:tcBorders>
            <w:hideMark/>
          </w:tcPr>
          <w:p w14:paraId="29652D4E" w14:textId="77777777" w:rsidR="002E275B" w:rsidRDefault="002E275B">
            <w:pPr>
              <w:suppressAutoHyphens/>
              <w:snapToGrid w:val="0"/>
              <w:rPr>
                <w:sz w:val="16"/>
                <w:lang w:val="en-US"/>
              </w:rPr>
            </w:pPr>
            <w:r>
              <w:rPr>
                <w:sz w:val="16"/>
                <w:lang w:val="en-US"/>
              </w:rPr>
              <w:t>0</w:t>
            </w:r>
          </w:p>
        </w:tc>
        <w:tc>
          <w:tcPr>
            <w:tcW w:w="329" w:type="pct"/>
            <w:tcBorders>
              <w:top w:val="single" w:sz="4" w:space="0" w:color="auto"/>
              <w:left w:val="single" w:sz="4" w:space="0" w:color="auto"/>
              <w:bottom w:val="single" w:sz="4" w:space="0" w:color="auto"/>
              <w:right w:val="single" w:sz="4" w:space="0" w:color="auto"/>
            </w:tcBorders>
            <w:hideMark/>
          </w:tcPr>
          <w:p w14:paraId="2987D4F1" w14:textId="77777777" w:rsidR="002E275B" w:rsidRDefault="002E275B">
            <w:pPr>
              <w:suppressAutoHyphens/>
              <w:snapToGrid w:val="0"/>
              <w:rPr>
                <w:sz w:val="16"/>
                <w:lang w:val="en-US"/>
              </w:rPr>
            </w:pPr>
            <w:r>
              <w:rPr>
                <w:sz w:val="16"/>
                <w:lang w:val="en-US"/>
              </w:rPr>
              <w:t>1</w:t>
            </w:r>
          </w:p>
        </w:tc>
        <w:tc>
          <w:tcPr>
            <w:tcW w:w="327" w:type="pct"/>
            <w:tcBorders>
              <w:top w:val="single" w:sz="4" w:space="0" w:color="auto"/>
              <w:left w:val="single" w:sz="4" w:space="0" w:color="auto"/>
              <w:bottom w:val="single" w:sz="4" w:space="0" w:color="auto"/>
              <w:right w:val="single" w:sz="4" w:space="0" w:color="auto"/>
            </w:tcBorders>
            <w:hideMark/>
          </w:tcPr>
          <w:p w14:paraId="5B00DF97" w14:textId="77777777" w:rsidR="002E275B" w:rsidRDefault="002E275B">
            <w:pPr>
              <w:suppressAutoHyphens/>
              <w:snapToGrid w:val="0"/>
              <w:rPr>
                <w:sz w:val="16"/>
                <w:lang w:val="en-US"/>
              </w:rPr>
            </w:pPr>
            <w:r>
              <w:rPr>
                <w:sz w:val="16"/>
                <w:lang w:val="en-US"/>
              </w:rPr>
              <w:t>0</w:t>
            </w:r>
          </w:p>
        </w:tc>
        <w:tc>
          <w:tcPr>
            <w:tcW w:w="329" w:type="pct"/>
            <w:tcBorders>
              <w:top w:val="single" w:sz="4" w:space="0" w:color="auto"/>
              <w:left w:val="single" w:sz="4" w:space="0" w:color="auto"/>
              <w:bottom w:val="single" w:sz="4" w:space="0" w:color="auto"/>
              <w:right w:val="single" w:sz="4" w:space="0" w:color="auto"/>
            </w:tcBorders>
            <w:hideMark/>
          </w:tcPr>
          <w:p w14:paraId="4B8E8CFB" w14:textId="77777777" w:rsidR="002E275B" w:rsidRDefault="002E275B">
            <w:pPr>
              <w:suppressAutoHyphens/>
              <w:snapToGrid w:val="0"/>
              <w:rPr>
                <w:sz w:val="16"/>
                <w:lang w:val="en-US"/>
              </w:rPr>
            </w:pPr>
            <w:r>
              <w:rPr>
                <w:sz w:val="16"/>
                <w:lang w:val="en-US"/>
              </w:rPr>
              <w:t>0</w:t>
            </w:r>
          </w:p>
        </w:tc>
        <w:tc>
          <w:tcPr>
            <w:tcW w:w="327" w:type="pct"/>
            <w:tcBorders>
              <w:top w:val="single" w:sz="4" w:space="0" w:color="auto"/>
              <w:left w:val="single" w:sz="4" w:space="0" w:color="auto"/>
              <w:bottom w:val="single" w:sz="4" w:space="0" w:color="auto"/>
              <w:right w:val="single" w:sz="4" w:space="0" w:color="auto"/>
            </w:tcBorders>
            <w:hideMark/>
          </w:tcPr>
          <w:p w14:paraId="36C34CF4" w14:textId="77777777" w:rsidR="002E275B" w:rsidRDefault="002E275B">
            <w:pPr>
              <w:suppressAutoHyphens/>
              <w:snapToGrid w:val="0"/>
              <w:rPr>
                <w:sz w:val="16"/>
                <w:lang w:val="en-US"/>
              </w:rPr>
            </w:pPr>
            <w:r>
              <w:rPr>
                <w:sz w:val="16"/>
                <w:lang w:val="en-US"/>
              </w:rPr>
              <w:t>0</w:t>
            </w:r>
          </w:p>
        </w:tc>
        <w:tc>
          <w:tcPr>
            <w:tcW w:w="328" w:type="pct"/>
            <w:tcBorders>
              <w:top w:val="single" w:sz="4" w:space="0" w:color="auto"/>
              <w:left w:val="single" w:sz="4" w:space="0" w:color="auto"/>
              <w:bottom w:val="single" w:sz="4" w:space="0" w:color="auto"/>
              <w:right w:val="single" w:sz="4" w:space="0" w:color="auto"/>
            </w:tcBorders>
          </w:tcPr>
          <w:p w14:paraId="7D6C0953" w14:textId="77777777" w:rsidR="002E275B" w:rsidRDefault="002E275B" w:rsidP="003B690C">
            <w:pPr>
              <w:suppressAutoHyphens/>
              <w:rPr>
                <w:sz w:val="16"/>
                <w:lang w:val="en-US"/>
              </w:rPr>
            </w:pPr>
            <w:r>
              <w:rPr>
                <w:sz w:val="16"/>
                <w:lang w:val="en-US"/>
              </w:rPr>
              <w:t>0</w:t>
            </w:r>
          </w:p>
        </w:tc>
      </w:tr>
      <w:tr w:rsidR="002E275B" w14:paraId="676F7B33" w14:textId="77777777" w:rsidTr="00127CFC">
        <w:trPr>
          <w:trHeight w:val="782"/>
        </w:trPr>
        <w:tc>
          <w:tcPr>
            <w:tcW w:w="1069" w:type="pct"/>
            <w:tcBorders>
              <w:top w:val="single" w:sz="4" w:space="0" w:color="auto"/>
              <w:left w:val="single" w:sz="4" w:space="0" w:color="auto"/>
              <w:bottom w:val="single" w:sz="4" w:space="0" w:color="auto"/>
              <w:right w:val="single" w:sz="4" w:space="0" w:color="auto"/>
            </w:tcBorders>
            <w:hideMark/>
          </w:tcPr>
          <w:p w14:paraId="2BA72A4B" w14:textId="77777777" w:rsidR="002E275B" w:rsidRPr="00D6616C" w:rsidRDefault="002E275B" w:rsidP="00C80170">
            <w:pPr>
              <w:suppressAutoHyphens/>
              <w:snapToGrid w:val="0"/>
              <w:rPr>
                <w:lang w:val="lv-LV"/>
              </w:rPr>
            </w:pPr>
            <w:r>
              <w:rPr>
                <w:sz w:val="16"/>
                <w:lang w:val="lv-LV"/>
              </w:rPr>
              <w:t xml:space="preserve">Koksnes biomasas (kokrūpniecības atliekas un blakusprodukti </w:t>
            </w:r>
            <w:proofErr w:type="spellStart"/>
            <w:r>
              <w:rPr>
                <w:sz w:val="16"/>
                <w:lang w:val="lv-LV"/>
              </w:rPr>
              <w:t>utt</w:t>
            </w:r>
            <w:proofErr w:type="spellEnd"/>
            <w:r>
              <w:rPr>
                <w:sz w:val="16"/>
                <w:lang w:val="lv-LV"/>
              </w:rPr>
              <w:t>.) netiešā piegāde*</w:t>
            </w:r>
            <w:r w:rsidR="00C80170">
              <w:rPr>
                <w:sz w:val="16"/>
                <w:lang w:val="lv-LV"/>
              </w:rPr>
              <w:t>, tūkst.</w:t>
            </w:r>
            <w:r w:rsidR="004D6236">
              <w:rPr>
                <w:sz w:val="16"/>
                <w:lang w:val="lv-LV"/>
              </w:rPr>
              <w:t>cieš.</w:t>
            </w:r>
            <w:r w:rsidR="00C80170">
              <w:rPr>
                <w:sz w:val="16"/>
                <w:lang w:val="lv-LV"/>
              </w:rPr>
              <w:t>m3</w:t>
            </w:r>
          </w:p>
        </w:tc>
        <w:tc>
          <w:tcPr>
            <w:tcW w:w="327" w:type="pct"/>
            <w:tcBorders>
              <w:top w:val="single" w:sz="4" w:space="0" w:color="auto"/>
              <w:left w:val="single" w:sz="4" w:space="0" w:color="auto"/>
              <w:bottom w:val="single" w:sz="4" w:space="0" w:color="auto"/>
              <w:right w:val="single" w:sz="4" w:space="0" w:color="auto"/>
            </w:tcBorders>
            <w:hideMark/>
          </w:tcPr>
          <w:p w14:paraId="470E5BB5" w14:textId="77777777" w:rsidR="002E275B" w:rsidRDefault="002E275B">
            <w:pPr>
              <w:suppressAutoHyphens/>
              <w:snapToGrid w:val="0"/>
              <w:rPr>
                <w:sz w:val="16"/>
                <w:lang w:val="en-US"/>
              </w:rPr>
            </w:pPr>
            <w:r>
              <w:rPr>
                <w:sz w:val="16"/>
                <w:lang w:val="en-US"/>
              </w:rPr>
              <w:t>4038</w:t>
            </w:r>
          </w:p>
        </w:tc>
        <w:tc>
          <w:tcPr>
            <w:tcW w:w="327" w:type="pct"/>
            <w:tcBorders>
              <w:top w:val="single" w:sz="4" w:space="0" w:color="auto"/>
              <w:left w:val="single" w:sz="4" w:space="0" w:color="auto"/>
              <w:bottom w:val="single" w:sz="4" w:space="0" w:color="auto"/>
              <w:right w:val="single" w:sz="4" w:space="0" w:color="auto"/>
            </w:tcBorders>
          </w:tcPr>
          <w:p w14:paraId="0CE10E24" w14:textId="77777777" w:rsidR="002752FC" w:rsidRDefault="002752FC" w:rsidP="003B690C">
            <w:pPr>
              <w:suppressAutoHyphens/>
              <w:rPr>
                <w:sz w:val="16"/>
                <w:lang w:val="en-US"/>
              </w:rPr>
            </w:pPr>
            <w:r>
              <w:rPr>
                <w:sz w:val="16"/>
                <w:lang w:val="en-US"/>
              </w:rPr>
              <w:t>4607</w:t>
            </w:r>
          </w:p>
        </w:tc>
        <w:tc>
          <w:tcPr>
            <w:tcW w:w="328" w:type="pct"/>
            <w:tcBorders>
              <w:top w:val="single" w:sz="4" w:space="0" w:color="auto"/>
              <w:left w:val="single" w:sz="4" w:space="0" w:color="auto"/>
              <w:bottom w:val="single" w:sz="4" w:space="0" w:color="auto"/>
              <w:right w:val="single" w:sz="4" w:space="0" w:color="auto"/>
            </w:tcBorders>
            <w:hideMark/>
          </w:tcPr>
          <w:p w14:paraId="30E83752" w14:textId="77777777" w:rsidR="002752FC" w:rsidRDefault="002752FC">
            <w:pPr>
              <w:suppressAutoHyphens/>
              <w:snapToGrid w:val="0"/>
              <w:rPr>
                <w:sz w:val="16"/>
                <w:lang w:val="en-US"/>
              </w:rPr>
            </w:pPr>
            <w:r>
              <w:rPr>
                <w:sz w:val="16"/>
                <w:lang w:val="en-US"/>
              </w:rPr>
              <w:t>875</w:t>
            </w:r>
          </w:p>
        </w:tc>
        <w:tc>
          <w:tcPr>
            <w:tcW w:w="327" w:type="pct"/>
            <w:tcBorders>
              <w:top w:val="single" w:sz="4" w:space="0" w:color="auto"/>
              <w:left w:val="single" w:sz="4" w:space="0" w:color="auto"/>
              <w:bottom w:val="single" w:sz="4" w:space="0" w:color="auto"/>
              <w:right w:val="single" w:sz="4" w:space="0" w:color="auto"/>
            </w:tcBorders>
            <w:hideMark/>
          </w:tcPr>
          <w:p w14:paraId="579F2020" w14:textId="77777777" w:rsidR="002752FC" w:rsidRDefault="00D7655B" w:rsidP="00D7655B">
            <w:pPr>
              <w:suppressAutoHyphens/>
              <w:snapToGrid w:val="0"/>
              <w:rPr>
                <w:sz w:val="16"/>
                <w:lang w:val="en-US"/>
              </w:rPr>
            </w:pPr>
            <w:r>
              <w:rPr>
                <w:sz w:val="16"/>
                <w:lang w:val="en-US"/>
              </w:rPr>
              <w:t>1032</w:t>
            </w:r>
          </w:p>
        </w:tc>
        <w:tc>
          <w:tcPr>
            <w:tcW w:w="328" w:type="pct"/>
            <w:tcBorders>
              <w:top w:val="single" w:sz="4" w:space="0" w:color="auto"/>
              <w:left w:val="single" w:sz="4" w:space="0" w:color="auto"/>
              <w:bottom w:val="single" w:sz="4" w:space="0" w:color="auto"/>
              <w:right w:val="single" w:sz="4" w:space="0" w:color="auto"/>
            </w:tcBorders>
            <w:hideMark/>
          </w:tcPr>
          <w:p w14:paraId="0EA05594" w14:textId="77777777" w:rsidR="002E275B" w:rsidRDefault="002E275B">
            <w:pPr>
              <w:suppressAutoHyphens/>
              <w:snapToGrid w:val="0"/>
              <w:rPr>
                <w:sz w:val="16"/>
                <w:lang w:val="en-US"/>
              </w:rPr>
            </w:pPr>
            <w:r>
              <w:rPr>
                <w:sz w:val="16"/>
                <w:lang w:val="en-US"/>
              </w:rPr>
              <w:t>7</w:t>
            </w:r>
          </w:p>
        </w:tc>
        <w:tc>
          <w:tcPr>
            <w:tcW w:w="327" w:type="pct"/>
            <w:tcBorders>
              <w:top w:val="single" w:sz="4" w:space="0" w:color="auto"/>
              <w:left w:val="single" w:sz="4" w:space="0" w:color="auto"/>
              <w:bottom w:val="single" w:sz="4" w:space="0" w:color="auto"/>
              <w:right w:val="single" w:sz="4" w:space="0" w:color="auto"/>
            </w:tcBorders>
            <w:hideMark/>
          </w:tcPr>
          <w:p w14:paraId="37FFBC19" w14:textId="77777777" w:rsidR="002752FC" w:rsidRDefault="00E87D94" w:rsidP="00D7655B">
            <w:pPr>
              <w:suppressAutoHyphens/>
              <w:snapToGrid w:val="0"/>
              <w:rPr>
                <w:sz w:val="16"/>
                <w:lang w:val="en-US"/>
              </w:rPr>
            </w:pPr>
            <w:r>
              <w:rPr>
                <w:sz w:val="16"/>
                <w:lang w:val="en-US"/>
              </w:rPr>
              <w:t>22</w:t>
            </w:r>
          </w:p>
        </w:tc>
        <w:tc>
          <w:tcPr>
            <w:tcW w:w="327" w:type="pct"/>
            <w:tcBorders>
              <w:top w:val="single" w:sz="4" w:space="0" w:color="auto"/>
              <w:left w:val="single" w:sz="4" w:space="0" w:color="auto"/>
              <w:bottom w:val="single" w:sz="4" w:space="0" w:color="auto"/>
              <w:right w:val="single" w:sz="4" w:space="0" w:color="auto"/>
            </w:tcBorders>
            <w:hideMark/>
          </w:tcPr>
          <w:p w14:paraId="68DFE0CC" w14:textId="77777777" w:rsidR="002E275B" w:rsidRDefault="002E275B">
            <w:pPr>
              <w:suppressAutoHyphens/>
              <w:snapToGrid w:val="0"/>
              <w:rPr>
                <w:sz w:val="16"/>
                <w:lang w:val="en-US"/>
              </w:rPr>
            </w:pPr>
            <w:r>
              <w:rPr>
                <w:sz w:val="16"/>
                <w:lang w:val="en-US"/>
              </w:rPr>
              <w:t>2</w:t>
            </w:r>
          </w:p>
        </w:tc>
        <w:tc>
          <w:tcPr>
            <w:tcW w:w="329" w:type="pct"/>
            <w:tcBorders>
              <w:top w:val="single" w:sz="4" w:space="0" w:color="auto"/>
              <w:left w:val="single" w:sz="4" w:space="0" w:color="auto"/>
              <w:bottom w:val="single" w:sz="4" w:space="0" w:color="auto"/>
              <w:right w:val="single" w:sz="4" w:space="0" w:color="auto"/>
            </w:tcBorders>
            <w:hideMark/>
          </w:tcPr>
          <w:p w14:paraId="6FBFEA84" w14:textId="77777777" w:rsidR="002E275B" w:rsidRDefault="00E87D94" w:rsidP="00E87D94">
            <w:pPr>
              <w:suppressAutoHyphens/>
              <w:snapToGrid w:val="0"/>
              <w:rPr>
                <w:sz w:val="16"/>
                <w:lang w:val="en-US"/>
              </w:rPr>
            </w:pPr>
            <w:r>
              <w:rPr>
                <w:sz w:val="16"/>
                <w:lang w:val="en-US"/>
              </w:rPr>
              <w:t>6</w:t>
            </w:r>
          </w:p>
        </w:tc>
        <w:tc>
          <w:tcPr>
            <w:tcW w:w="327" w:type="pct"/>
            <w:tcBorders>
              <w:top w:val="single" w:sz="4" w:space="0" w:color="auto"/>
              <w:left w:val="single" w:sz="4" w:space="0" w:color="auto"/>
              <w:bottom w:val="single" w:sz="4" w:space="0" w:color="auto"/>
              <w:right w:val="single" w:sz="4" w:space="0" w:color="auto"/>
            </w:tcBorders>
            <w:hideMark/>
          </w:tcPr>
          <w:p w14:paraId="3094C62F" w14:textId="77777777" w:rsidR="002E275B" w:rsidRDefault="002E275B">
            <w:pPr>
              <w:suppressAutoHyphens/>
              <w:snapToGrid w:val="0"/>
              <w:rPr>
                <w:sz w:val="16"/>
                <w:lang w:val="en-US"/>
              </w:rPr>
            </w:pPr>
            <w:r>
              <w:rPr>
                <w:sz w:val="16"/>
                <w:lang w:val="en-US"/>
              </w:rPr>
              <w:t>6</w:t>
            </w:r>
          </w:p>
        </w:tc>
        <w:tc>
          <w:tcPr>
            <w:tcW w:w="329" w:type="pct"/>
            <w:tcBorders>
              <w:top w:val="single" w:sz="4" w:space="0" w:color="auto"/>
              <w:left w:val="single" w:sz="4" w:space="0" w:color="auto"/>
              <w:bottom w:val="single" w:sz="4" w:space="0" w:color="auto"/>
              <w:right w:val="single" w:sz="4" w:space="0" w:color="auto"/>
            </w:tcBorders>
          </w:tcPr>
          <w:p w14:paraId="5683D935" w14:textId="77777777" w:rsidR="002E275B" w:rsidRDefault="002E275B" w:rsidP="003B690C">
            <w:pPr>
              <w:suppressAutoHyphens/>
              <w:rPr>
                <w:sz w:val="16"/>
                <w:lang w:val="en-US"/>
              </w:rPr>
            </w:pPr>
            <w:r>
              <w:rPr>
                <w:sz w:val="16"/>
                <w:lang w:val="en-US"/>
              </w:rPr>
              <w:t>54</w:t>
            </w:r>
          </w:p>
        </w:tc>
        <w:tc>
          <w:tcPr>
            <w:tcW w:w="327" w:type="pct"/>
            <w:tcBorders>
              <w:top w:val="single" w:sz="4" w:space="0" w:color="auto"/>
              <w:left w:val="single" w:sz="4" w:space="0" w:color="auto"/>
              <w:bottom w:val="single" w:sz="4" w:space="0" w:color="auto"/>
              <w:right w:val="single" w:sz="4" w:space="0" w:color="auto"/>
            </w:tcBorders>
          </w:tcPr>
          <w:p w14:paraId="1B30A1D2" w14:textId="77777777" w:rsidR="002E275B" w:rsidRDefault="002E275B" w:rsidP="003B690C">
            <w:pPr>
              <w:suppressAutoHyphens/>
              <w:rPr>
                <w:sz w:val="16"/>
                <w:lang w:val="en-US"/>
              </w:rPr>
            </w:pPr>
            <w:r>
              <w:rPr>
                <w:sz w:val="16"/>
                <w:lang w:val="en-US"/>
              </w:rPr>
              <w:t>2</w:t>
            </w:r>
          </w:p>
        </w:tc>
        <w:tc>
          <w:tcPr>
            <w:tcW w:w="328" w:type="pct"/>
            <w:tcBorders>
              <w:top w:val="single" w:sz="4" w:space="0" w:color="auto"/>
              <w:left w:val="single" w:sz="4" w:space="0" w:color="auto"/>
              <w:bottom w:val="single" w:sz="4" w:space="0" w:color="auto"/>
              <w:right w:val="single" w:sz="4" w:space="0" w:color="auto"/>
            </w:tcBorders>
            <w:hideMark/>
          </w:tcPr>
          <w:p w14:paraId="33BCA76B" w14:textId="77777777" w:rsidR="002E275B" w:rsidRDefault="002E275B">
            <w:pPr>
              <w:suppressAutoHyphens/>
              <w:snapToGrid w:val="0"/>
              <w:rPr>
                <w:sz w:val="16"/>
                <w:lang w:val="en-US"/>
              </w:rPr>
            </w:pPr>
            <w:r>
              <w:rPr>
                <w:sz w:val="16"/>
                <w:lang w:val="en-US"/>
              </w:rPr>
              <w:t>14</w:t>
            </w:r>
          </w:p>
        </w:tc>
      </w:tr>
      <w:tr w:rsidR="002E275B" w14:paraId="5D364D96" w14:textId="77777777" w:rsidTr="004714B4">
        <w:tc>
          <w:tcPr>
            <w:tcW w:w="1069" w:type="pct"/>
            <w:tcBorders>
              <w:top w:val="single" w:sz="4" w:space="0" w:color="auto"/>
              <w:left w:val="single" w:sz="4" w:space="0" w:color="auto"/>
              <w:bottom w:val="single" w:sz="4" w:space="0" w:color="auto"/>
              <w:right w:val="single" w:sz="4" w:space="0" w:color="auto"/>
            </w:tcBorders>
            <w:hideMark/>
          </w:tcPr>
          <w:p w14:paraId="3AD650BC" w14:textId="77777777" w:rsidR="002E275B" w:rsidRPr="00F26DD1" w:rsidRDefault="002E275B">
            <w:pPr>
              <w:suppressAutoHyphens/>
              <w:snapToGrid w:val="0"/>
              <w:rPr>
                <w:lang w:val="lv-LV"/>
              </w:rPr>
            </w:pPr>
            <w:r>
              <w:rPr>
                <w:sz w:val="16"/>
                <w:lang w:val="lv-LV"/>
              </w:rPr>
              <w:t xml:space="preserve">Enerģijas kultūras (zālaugi </w:t>
            </w:r>
            <w:proofErr w:type="spellStart"/>
            <w:r>
              <w:rPr>
                <w:sz w:val="16"/>
                <w:lang w:val="lv-LV"/>
              </w:rPr>
              <w:t>utt</w:t>
            </w:r>
            <w:proofErr w:type="spellEnd"/>
            <w:r>
              <w:rPr>
                <w:sz w:val="16"/>
                <w:lang w:val="lv-LV"/>
              </w:rPr>
              <w:t>.) un koki ar īsu cirtes apriti (precizēt)</w:t>
            </w:r>
          </w:p>
        </w:tc>
        <w:tc>
          <w:tcPr>
            <w:tcW w:w="327" w:type="pct"/>
            <w:tcBorders>
              <w:top w:val="single" w:sz="4" w:space="0" w:color="auto"/>
              <w:left w:val="single" w:sz="4" w:space="0" w:color="auto"/>
              <w:bottom w:val="single" w:sz="4" w:space="0" w:color="auto"/>
              <w:right w:val="single" w:sz="4" w:space="0" w:color="auto"/>
            </w:tcBorders>
          </w:tcPr>
          <w:p w14:paraId="4AE403C7" w14:textId="77777777" w:rsidR="002E275B" w:rsidRPr="00F26DD1" w:rsidRDefault="002E275B">
            <w:pPr>
              <w:suppressAutoHyphens/>
              <w:snapToGrid w:val="0"/>
              <w:rPr>
                <w:sz w:val="16"/>
                <w:lang w:val="lv-LV"/>
              </w:rPr>
            </w:pPr>
          </w:p>
        </w:tc>
        <w:tc>
          <w:tcPr>
            <w:tcW w:w="327" w:type="pct"/>
            <w:tcBorders>
              <w:top w:val="single" w:sz="4" w:space="0" w:color="auto"/>
              <w:left w:val="single" w:sz="4" w:space="0" w:color="auto"/>
              <w:bottom w:val="single" w:sz="4" w:space="0" w:color="auto"/>
              <w:right w:val="single" w:sz="4" w:space="0" w:color="auto"/>
            </w:tcBorders>
          </w:tcPr>
          <w:p w14:paraId="2871CE13" w14:textId="77777777" w:rsidR="002E275B" w:rsidRPr="00F26DD1" w:rsidRDefault="002E275B">
            <w:pPr>
              <w:suppressAutoHyphens/>
              <w:snapToGrid w:val="0"/>
              <w:rPr>
                <w:sz w:val="16"/>
                <w:lang w:val="lv-LV"/>
              </w:rPr>
            </w:pPr>
          </w:p>
        </w:tc>
        <w:tc>
          <w:tcPr>
            <w:tcW w:w="328" w:type="pct"/>
            <w:tcBorders>
              <w:top w:val="single" w:sz="4" w:space="0" w:color="auto"/>
              <w:left w:val="single" w:sz="4" w:space="0" w:color="auto"/>
              <w:bottom w:val="single" w:sz="4" w:space="0" w:color="auto"/>
              <w:right w:val="single" w:sz="4" w:space="0" w:color="auto"/>
            </w:tcBorders>
          </w:tcPr>
          <w:p w14:paraId="30FB6E25" w14:textId="77777777" w:rsidR="002E275B" w:rsidRPr="00F26DD1" w:rsidRDefault="002E275B">
            <w:pPr>
              <w:suppressAutoHyphens/>
              <w:snapToGrid w:val="0"/>
              <w:rPr>
                <w:sz w:val="16"/>
                <w:lang w:val="lv-LV"/>
              </w:rPr>
            </w:pPr>
          </w:p>
        </w:tc>
        <w:tc>
          <w:tcPr>
            <w:tcW w:w="327" w:type="pct"/>
            <w:tcBorders>
              <w:top w:val="single" w:sz="4" w:space="0" w:color="auto"/>
              <w:left w:val="single" w:sz="4" w:space="0" w:color="auto"/>
              <w:bottom w:val="single" w:sz="4" w:space="0" w:color="auto"/>
              <w:right w:val="single" w:sz="4" w:space="0" w:color="auto"/>
            </w:tcBorders>
          </w:tcPr>
          <w:p w14:paraId="38BD409B" w14:textId="77777777" w:rsidR="002E275B" w:rsidRPr="00F26DD1" w:rsidRDefault="002E275B">
            <w:pPr>
              <w:suppressAutoHyphens/>
              <w:snapToGrid w:val="0"/>
              <w:rPr>
                <w:sz w:val="16"/>
                <w:lang w:val="lv-LV"/>
              </w:rPr>
            </w:pPr>
          </w:p>
        </w:tc>
        <w:tc>
          <w:tcPr>
            <w:tcW w:w="328" w:type="pct"/>
            <w:tcBorders>
              <w:top w:val="single" w:sz="4" w:space="0" w:color="auto"/>
              <w:left w:val="single" w:sz="4" w:space="0" w:color="auto"/>
              <w:bottom w:val="single" w:sz="4" w:space="0" w:color="auto"/>
              <w:right w:val="single" w:sz="4" w:space="0" w:color="auto"/>
            </w:tcBorders>
          </w:tcPr>
          <w:p w14:paraId="4F6458DE" w14:textId="77777777" w:rsidR="002E275B" w:rsidRPr="00F26DD1" w:rsidRDefault="002E275B">
            <w:pPr>
              <w:suppressAutoHyphens/>
              <w:snapToGrid w:val="0"/>
              <w:rPr>
                <w:sz w:val="16"/>
                <w:lang w:val="lv-LV"/>
              </w:rPr>
            </w:pPr>
          </w:p>
        </w:tc>
        <w:tc>
          <w:tcPr>
            <w:tcW w:w="327" w:type="pct"/>
            <w:tcBorders>
              <w:top w:val="single" w:sz="4" w:space="0" w:color="auto"/>
              <w:left w:val="single" w:sz="4" w:space="0" w:color="auto"/>
              <w:bottom w:val="single" w:sz="4" w:space="0" w:color="auto"/>
              <w:right w:val="single" w:sz="4" w:space="0" w:color="auto"/>
            </w:tcBorders>
          </w:tcPr>
          <w:p w14:paraId="57B21F54" w14:textId="77777777" w:rsidR="002E275B" w:rsidRPr="00F26DD1" w:rsidRDefault="002E275B">
            <w:pPr>
              <w:suppressAutoHyphens/>
              <w:snapToGrid w:val="0"/>
              <w:rPr>
                <w:sz w:val="16"/>
                <w:lang w:val="lv-LV"/>
              </w:rPr>
            </w:pPr>
          </w:p>
        </w:tc>
        <w:tc>
          <w:tcPr>
            <w:tcW w:w="327" w:type="pct"/>
            <w:tcBorders>
              <w:top w:val="single" w:sz="4" w:space="0" w:color="auto"/>
              <w:left w:val="single" w:sz="4" w:space="0" w:color="auto"/>
              <w:bottom w:val="single" w:sz="4" w:space="0" w:color="auto"/>
              <w:right w:val="single" w:sz="4" w:space="0" w:color="auto"/>
            </w:tcBorders>
          </w:tcPr>
          <w:p w14:paraId="6768BBD2" w14:textId="77777777" w:rsidR="002E275B" w:rsidRPr="00F26DD1" w:rsidRDefault="002E275B">
            <w:pPr>
              <w:suppressAutoHyphens/>
              <w:snapToGrid w:val="0"/>
              <w:rPr>
                <w:sz w:val="16"/>
                <w:lang w:val="lv-LV"/>
              </w:rPr>
            </w:pPr>
          </w:p>
        </w:tc>
        <w:tc>
          <w:tcPr>
            <w:tcW w:w="329" w:type="pct"/>
            <w:tcBorders>
              <w:top w:val="single" w:sz="4" w:space="0" w:color="auto"/>
              <w:left w:val="single" w:sz="4" w:space="0" w:color="auto"/>
              <w:bottom w:val="single" w:sz="4" w:space="0" w:color="auto"/>
              <w:right w:val="single" w:sz="4" w:space="0" w:color="auto"/>
            </w:tcBorders>
          </w:tcPr>
          <w:p w14:paraId="37FA4D1E" w14:textId="77777777" w:rsidR="002E275B" w:rsidRPr="00F26DD1" w:rsidRDefault="002E275B">
            <w:pPr>
              <w:suppressAutoHyphens/>
              <w:snapToGrid w:val="0"/>
              <w:rPr>
                <w:sz w:val="16"/>
                <w:lang w:val="lv-LV"/>
              </w:rPr>
            </w:pPr>
          </w:p>
        </w:tc>
        <w:tc>
          <w:tcPr>
            <w:tcW w:w="327" w:type="pct"/>
            <w:tcBorders>
              <w:top w:val="single" w:sz="4" w:space="0" w:color="auto"/>
              <w:left w:val="single" w:sz="4" w:space="0" w:color="auto"/>
              <w:bottom w:val="single" w:sz="4" w:space="0" w:color="auto"/>
              <w:right w:val="single" w:sz="4" w:space="0" w:color="auto"/>
            </w:tcBorders>
          </w:tcPr>
          <w:p w14:paraId="186D4BF9" w14:textId="77777777" w:rsidR="002E275B" w:rsidRPr="00F26DD1" w:rsidRDefault="002E275B">
            <w:pPr>
              <w:suppressAutoHyphens/>
              <w:snapToGrid w:val="0"/>
              <w:rPr>
                <w:sz w:val="16"/>
                <w:lang w:val="lv-LV"/>
              </w:rPr>
            </w:pPr>
          </w:p>
        </w:tc>
        <w:tc>
          <w:tcPr>
            <w:tcW w:w="329" w:type="pct"/>
            <w:tcBorders>
              <w:top w:val="single" w:sz="4" w:space="0" w:color="auto"/>
              <w:left w:val="single" w:sz="4" w:space="0" w:color="auto"/>
              <w:bottom w:val="single" w:sz="4" w:space="0" w:color="auto"/>
              <w:right w:val="single" w:sz="4" w:space="0" w:color="auto"/>
            </w:tcBorders>
          </w:tcPr>
          <w:p w14:paraId="34083B4B" w14:textId="77777777" w:rsidR="002E275B" w:rsidRPr="00F26DD1" w:rsidRDefault="002E275B">
            <w:pPr>
              <w:suppressAutoHyphens/>
              <w:snapToGrid w:val="0"/>
              <w:rPr>
                <w:sz w:val="16"/>
                <w:lang w:val="lv-LV"/>
              </w:rPr>
            </w:pPr>
          </w:p>
        </w:tc>
        <w:tc>
          <w:tcPr>
            <w:tcW w:w="327" w:type="pct"/>
            <w:tcBorders>
              <w:top w:val="single" w:sz="4" w:space="0" w:color="auto"/>
              <w:left w:val="single" w:sz="4" w:space="0" w:color="auto"/>
              <w:bottom w:val="single" w:sz="4" w:space="0" w:color="auto"/>
              <w:right w:val="single" w:sz="4" w:space="0" w:color="auto"/>
            </w:tcBorders>
          </w:tcPr>
          <w:p w14:paraId="3AD769B0" w14:textId="77777777" w:rsidR="002E275B" w:rsidRPr="00F26DD1" w:rsidRDefault="002E275B">
            <w:pPr>
              <w:suppressAutoHyphens/>
              <w:snapToGrid w:val="0"/>
              <w:rPr>
                <w:sz w:val="16"/>
                <w:lang w:val="lv-LV"/>
              </w:rPr>
            </w:pPr>
          </w:p>
        </w:tc>
        <w:tc>
          <w:tcPr>
            <w:tcW w:w="328" w:type="pct"/>
            <w:tcBorders>
              <w:top w:val="single" w:sz="4" w:space="0" w:color="auto"/>
              <w:left w:val="single" w:sz="4" w:space="0" w:color="auto"/>
              <w:bottom w:val="single" w:sz="4" w:space="0" w:color="auto"/>
              <w:right w:val="single" w:sz="4" w:space="0" w:color="auto"/>
            </w:tcBorders>
          </w:tcPr>
          <w:p w14:paraId="74FE5CAD" w14:textId="77777777" w:rsidR="002E275B" w:rsidRPr="00F26DD1" w:rsidRDefault="002E275B">
            <w:pPr>
              <w:suppressAutoHyphens/>
              <w:snapToGrid w:val="0"/>
              <w:rPr>
                <w:sz w:val="16"/>
                <w:lang w:val="lv-LV"/>
              </w:rPr>
            </w:pPr>
          </w:p>
        </w:tc>
      </w:tr>
      <w:tr w:rsidR="002E275B" w14:paraId="3B136F5A" w14:textId="77777777" w:rsidTr="004714B4">
        <w:tc>
          <w:tcPr>
            <w:tcW w:w="1069" w:type="pct"/>
            <w:tcBorders>
              <w:top w:val="single" w:sz="4" w:space="0" w:color="auto"/>
              <w:left w:val="single" w:sz="4" w:space="0" w:color="auto"/>
              <w:bottom w:val="single" w:sz="4" w:space="0" w:color="auto"/>
              <w:right w:val="single" w:sz="4" w:space="0" w:color="auto"/>
            </w:tcBorders>
            <w:hideMark/>
          </w:tcPr>
          <w:p w14:paraId="074B4D56" w14:textId="77777777" w:rsidR="002E275B" w:rsidRPr="00D6616C" w:rsidRDefault="002E275B" w:rsidP="00C80170">
            <w:pPr>
              <w:suppressAutoHyphens/>
              <w:snapToGrid w:val="0"/>
              <w:rPr>
                <w:lang w:val="lv-LV"/>
              </w:rPr>
            </w:pPr>
            <w:r>
              <w:rPr>
                <w:sz w:val="16"/>
                <w:lang w:val="lv-LV"/>
              </w:rPr>
              <w:t>Lauksaimniecības blakusprodukti/pārstrādātas atliekas un zivsaimniecības blakusprodukti *</w:t>
            </w:r>
          </w:p>
        </w:tc>
        <w:tc>
          <w:tcPr>
            <w:tcW w:w="327" w:type="pct"/>
            <w:tcBorders>
              <w:top w:val="single" w:sz="4" w:space="0" w:color="auto"/>
              <w:left w:val="single" w:sz="4" w:space="0" w:color="auto"/>
              <w:bottom w:val="single" w:sz="4" w:space="0" w:color="auto"/>
              <w:right w:val="single" w:sz="4" w:space="0" w:color="auto"/>
            </w:tcBorders>
          </w:tcPr>
          <w:p w14:paraId="6EE2878C" w14:textId="77777777" w:rsidR="002E275B" w:rsidRPr="00D6616C" w:rsidRDefault="002E275B">
            <w:pPr>
              <w:suppressAutoHyphens/>
              <w:snapToGrid w:val="0"/>
              <w:rPr>
                <w:sz w:val="16"/>
                <w:lang w:val="lv-LV"/>
              </w:rPr>
            </w:pPr>
          </w:p>
        </w:tc>
        <w:tc>
          <w:tcPr>
            <w:tcW w:w="327" w:type="pct"/>
            <w:tcBorders>
              <w:top w:val="single" w:sz="4" w:space="0" w:color="auto"/>
              <w:left w:val="single" w:sz="4" w:space="0" w:color="auto"/>
              <w:bottom w:val="single" w:sz="4" w:space="0" w:color="auto"/>
              <w:right w:val="single" w:sz="4" w:space="0" w:color="auto"/>
            </w:tcBorders>
          </w:tcPr>
          <w:p w14:paraId="0377059E" w14:textId="77777777" w:rsidR="002E275B" w:rsidRPr="00D6616C" w:rsidRDefault="002E275B">
            <w:pPr>
              <w:suppressAutoHyphens/>
              <w:snapToGrid w:val="0"/>
              <w:rPr>
                <w:sz w:val="16"/>
                <w:lang w:val="lv-LV"/>
              </w:rPr>
            </w:pPr>
          </w:p>
        </w:tc>
        <w:tc>
          <w:tcPr>
            <w:tcW w:w="328" w:type="pct"/>
            <w:tcBorders>
              <w:top w:val="single" w:sz="4" w:space="0" w:color="auto"/>
              <w:left w:val="single" w:sz="4" w:space="0" w:color="auto"/>
              <w:bottom w:val="single" w:sz="4" w:space="0" w:color="auto"/>
              <w:right w:val="single" w:sz="4" w:space="0" w:color="auto"/>
            </w:tcBorders>
          </w:tcPr>
          <w:p w14:paraId="081F2657" w14:textId="77777777" w:rsidR="002E275B" w:rsidRPr="00D6616C" w:rsidRDefault="002E275B">
            <w:pPr>
              <w:suppressAutoHyphens/>
              <w:snapToGrid w:val="0"/>
              <w:rPr>
                <w:sz w:val="16"/>
                <w:lang w:val="lv-LV"/>
              </w:rPr>
            </w:pPr>
          </w:p>
        </w:tc>
        <w:tc>
          <w:tcPr>
            <w:tcW w:w="327" w:type="pct"/>
            <w:tcBorders>
              <w:top w:val="single" w:sz="4" w:space="0" w:color="auto"/>
              <w:left w:val="single" w:sz="4" w:space="0" w:color="auto"/>
              <w:bottom w:val="single" w:sz="4" w:space="0" w:color="auto"/>
              <w:right w:val="single" w:sz="4" w:space="0" w:color="auto"/>
            </w:tcBorders>
          </w:tcPr>
          <w:p w14:paraId="2E0E83F7" w14:textId="77777777" w:rsidR="002E275B" w:rsidRPr="00D6616C" w:rsidRDefault="002E275B">
            <w:pPr>
              <w:suppressAutoHyphens/>
              <w:snapToGrid w:val="0"/>
              <w:rPr>
                <w:sz w:val="16"/>
                <w:lang w:val="lv-LV"/>
              </w:rPr>
            </w:pPr>
          </w:p>
        </w:tc>
        <w:tc>
          <w:tcPr>
            <w:tcW w:w="328" w:type="pct"/>
            <w:tcBorders>
              <w:top w:val="single" w:sz="4" w:space="0" w:color="auto"/>
              <w:left w:val="single" w:sz="4" w:space="0" w:color="auto"/>
              <w:bottom w:val="single" w:sz="4" w:space="0" w:color="auto"/>
              <w:right w:val="single" w:sz="4" w:space="0" w:color="auto"/>
            </w:tcBorders>
          </w:tcPr>
          <w:p w14:paraId="7DE96295" w14:textId="77777777" w:rsidR="002E275B" w:rsidRPr="00D6616C" w:rsidRDefault="002E275B">
            <w:pPr>
              <w:suppressAutoHyphens/>
              <w:snapToGrid w:val="0"/>
              <w:rPr>
                <w:sz w:val="16"/>
                <w:lang w:val="lv-LV"/>
              </w:rPr>
            </w:pPr>
          </w:p>
        </w:tc>
        <w:tc>
          <w:tcPr>
            <w:tcW w:w="327" w:type="pct"/>
            <w:tcBorders>
              <w:top w:val="single" w:sz="4" w:space="0" w:color="auto"/>
              <w:left w:val="single" w:sz="4" w:space="0" w:color="auto"/>
              <w:bottom w:val="single" w:sz="4" w:space="0" w:color="auto"/>
              <w:right w:val="single" w:sz="4" w:space="0" w:color="auto"/>
            </w:tcBorders>
          </w:tcPr>
          <w:p w14:paraId="7D77F5BF" w14:textId="77777777" w:rsidR="002E275B" w:rsidRPr="00D6616C" w:rsidRDefault="002E275B">
            <w:pPr>
              <w:suppressAutoHyphens/>
              <w:snapToGrid w:val="0"/>
              <w:rPr>
                <w:sz w:val="16"/>
                <w:lang w:val="lv-LV"/>
              </w:rPr>
            </w:pPr>
          </w:p>
        </w:tc>
        <w:tc>
          <w:tcPr>
            <w:tcW w:w="327" w:type="pct"/>
            <w:tcBorders>
              <w:top w:val="single" w:sz="4" w:space="0" w:color="auto"/>
              <w:left w:val="single" w:sz="4" w:space="0" w:color="auto"/>
              <w:bottom w:val="single" w:sz="4" w:space="0" w:color="auto"/>
              <w:right w:val="single" w:sz="4" w:space="0" w:color="auto"/>
            </w:tcBorders>
          </w:tcPr>
          <w:p w14:paraId="7E1B97E5" w14:textId="77777777" w:rsidR="002E275B" w:rsidRPr="00D6616C" w:rsidRDefault="002E275B">
            <w:pPr>
              <w:suppressAutoHyphens/>
              <w:snapToGrid w:val="0"/>
              <w:rPr>
                <w:sz w:val="16"/>
                <w:lang w:val="lv-LV"/>
              </w:rPr>
            </w:pPr>
          </w:p>
        </w:tc>
        <w:tc>
          <w:tcPr>
            <w:tcW w:w="329" w:type="pct"/>
            <w:tcBorders>
              <w:top w:val="single" w:sz="4" w:space="0" w:color="auto"/>
              <w:left w:val="single" w:sz="4" w:space="0" w:color="auto"/>
              <w:bottom w:val="single" w:sz="4" w:space="0" w:color="auto"/>
              <w:right w:val="single" w:sz="4" w:space="0" w:color="auto"/>
            </w:tcBorders>
          </w:tcPr>
          <w:p w14:paraId="039F219C" w14:textId="77777777" w:rsidR="002E275B" w:rsidRPr="00D6616C" w:rsidRDefault="002E275B">
            <w:pPr>
              <w:suppressAutoHyphens/>
              <w:snapToGrid w:val="0"/>
              <w:rPr>
                <w:sz w:val="16"/>
                <w:lang w:val="lv-LV"/>
              </w:rPr>
            </w:pPr>
          </w:p>
        </w:tc>
        <w:tc>
          <w:tcPr>
            <w:tcW w:w="327" w:type="pct"/>
            <w:tcBorders>
              <w:top w:val="single" w:sz="4" w:space="0" w:color="auto"/>
              <w:left w:val="single" w:sz="4" w:space="0" w:color="auto"/>
              <w:bottom w:val="single" w:sz="4" w:space="0" w:color="auto"/>
              <w:right w:val="single" w:sz="4" w:space="0" w:color="auto"/>
            </w:tcBorders>
          </w:tcPr>
          <w:p w14:paraId="0AD90311" w14:textId="77777777" w:rsidR="002E275B" w:rsidRPr="00D6616C" w:rsidRDefault="002E275B">
            <w:pPr>
              <w:suppressAutoHyphens/>
              <w:snapToGrid w:val="0"/>
              <w:rPr>
                <w:sz w:val="16"/>
                <w:lang w:val="lv-LV"/>
              </w:rPr>
            </w:pPr>
          </w:p>
        </w:tc>
        <w:tc>
          <w:tcPr>
            <w:tcW w:w="329" w:type="pct"/>
            <w:tcBorders>
              <w:top w:val="single" w:sz="4" w:space="0" w:color="auto"/>
              <w:left w:val="single" w:sz="4" w:space="0" w:color="auto"/>
              <w:bottom w:val="single" w:sz="4" w:space="0" w:color="auto"/>
              <w:right w:val="single" w:sz="4" w:space="0" w:color="auto"/>
            </w:tcBorders>
          </w:tcPr>
          <w:p w14:paraId="425748CA" w14:textId="77777777" w:rsidR="002E275B" w:rsidRPr="00D6616C" w:rsidRDefault="002E275B">
            <w:pPr>
              <w:suppressAutoHyphens/>
              <w:snapToGrid w:val="0"/>
              <w:rPr>
                <w:sz w:val="16"/>
                <w:lang w:val="lv-LV"/>
              </w:rPr>
            </w:pPr>
          </w:p>
        </w:tc>
        <w:tc>
          <w:tcPr>
            <w:tcW w:w="327" w:type="pct"/>
            <w:tcBorders>
              <w:top w:val="single" w:sz="4" w:space="0" w:color="auto"/>
              <w:left w:val="single" w:sz="4" w:space="0" w:color="auto"/>
              <w:bottom w:val="single" w:sz="4" w:space="0" w:color="auto"/>
              <w:right w:val="single" w:sz="4" w:space="0" w:color="auto"/>
            </w:tcBorders>
          </w:tcPr>
          <w:p w14:paraId="29904E44" w14:textId="77777777" w:rsidR="002E275B" w:rsidRPr="00D6616C" w:rsidRDefault="002E275B">
            <w:pPr>
              <w:suppressAutoHyphens/>
              <w:snapToGrid w:val="0"/>
              <w:rPr>
                <w:sz w:val="16"/>
                <w:lang w:val="lv-LV"/>
              </w:rPr>
            </w:pPr>
          </w:p>
        </w:tc>
        <w:tc>
          <w:tcPr>
            <w:tcW w:w="328" w:type="pct"/>
            <w:tcBorders>
              <w:top w:val="single" w:sz="4" w:space="0" w:color="auto"/>
              <w:left w:val="single" w:sz="4" w:space="0" w:color="auto"/>
              <w:bottom w:val="single" w:sz="4" w:space="0" w:color="auto"/>
              <w:right w:val="single" w:sz="4" w:space="0" w:color="auto"/>
            </w:tcBorders>
          </w:tcPr>
          <w:p w14:paraId="20175B39" w14:textId="77777777" w:rsidR="002E275B" w:rsidRPr="00D6616C" w:rsidRDefault="002E275B">
            <w:pPr>
              <w:suppressAutoHyphens/>
              <w:snapToGrid w:val="0"/>
              <w:rPr>
                <w:sz w:val="16"/>
                <w:lang w:val="lv-LV"/>
              </w:rPr>
            </w:pPr>
          </w:p>
        </w:tc>
      </w:tr>
      <w:tr w:rsidR="002E275B" w14:paraId="2DE767F8" w14:textId="77777777" w:rsidTr="004714B4">
        <w:tc>
          <w:tcPr>
            <w:tcW w:w="1069" w:type="pct"/>
            <w:tcBorders>
              <w:top w:val="single" w:sz="4" w:space="0" w:color="auto"/>
              <w:left w:val="single" w:sz="4" w:space="0" w:color="auto"/>
              <w:bottom w:val="single" w:sz="4" w:space="0" w:color="auto"/>
              <w:right w:val="single" w:sz="4" w:space="0" w:color="auto"/>
            </w:tcBorders>
            <w:hideMark/>
          </w:tcPr>
          <w:p w14:paraId="73A39AC5" w14:textId="77777777" w:rsidR="002E275B" w:rsidRDefault="002E275B" w:rsidP="00C80170">
            <w:pPr>
              <w:suppressAutoHyphens/>
              <w:snapToGrid w:val="0"/>
            </w:pPr>
            <w:r>
              <w:rPr>
                <w:sz w:val="16"/>
                <w:lang w:val="lv-LV"/>
              </w:rPr>
              <w:t xml:space="preserve">Biomasa no atkritumiem (sadzīves, rūpnieciskajiem </w:t>
            </w:r>
            <w:proofErr w:type="spellStart"/>
            <w:r>
              <w:rPr>
                <w:sz w:val="16"/>
                <w:lang w:val="lv-LV"/>
              </w:rPr>
              <w:t>utt</w:t>
            </w:r>
            <w:proofErr w:type="spellEnd"/>
            <w:r>
              <w:rPr>
                <w:sz w:val="16"/>
                <w:lang w:val="lv-LV"/>
              </w:rPr>
              <w:t>.)*</w:t>
            </w:r>
          </w:p>
        </w:tc>
        <w:tc>
          <w:tcPr>
            <w:tcW w:w="327" w:type="pct"/>
            <w:tcBorders>
              <w:top w:val="single" w:sz="4" w:space="0" w:color="auto"/>
              <w:left w:val="single" w:sz="4" w:space="0" w:color="auto"/>
              <w:bottom w:val="single" w:sz="4" w:space="0" w:color="auto"/>
              <w:right w:val="single" w:sz="4" w:space="0" w:color="auto"/>
            </w:tcBorders>
          </w:tcPr>
          <w:p w14:paraId="667577EB" w14:textId="77777777" w:rsidR="002E275B" w:rsidRDefault="002E275B">
            <w:pPr>
              <w:suppressAutoHyphens/>
              <w:snapToGrid w:val="0"/>
              <w:rPr>
                <w:sz w:val="16"/>
                <w:lang w:val="en-US"/>
              </w:rPr>
            </w:pPr>
          </w:p>
        </w:tc>
        <w:tc>
          <w:tcPr>
            <w:tcW w:w="327" w:type="pct"/>
            <w:tcBorders>
              <w:top w:val="single" w:sz="4" w:space="0" w:color="auto"/>
              <w:left w:val="single" w:sz="4" w:space="0" w:color="auto"/>
              <w:bottom w:val="single" w:sz="4" w:space="0" w:color="auto"/>
              <w:right w:val="single" w:sz="4" w:space="0" w:color="auto"/>
            </w:tcBorders>
          </w:tcPr>
          <w:p w14:paraId="4386520E" w14:textId="77777777" w:rsidR="002E275B" w:rsidRDefault="002E275B">
            <w:pPr>
              <w:suppressAutoHyphens/>
              <w:snapToGrid w:val="0"/>
              <w:rPr>
                <w:sz w:val="16"/>
                <w:lang w:val="en-US"/>
              </w:rPr>
            </w:pPr>
          </w:p>
        </w:tc>
        <w:tc>
          <w:tcPr>
            <w:tcW w:w="328" w:type="pct"/>
            <w:tcBorders>
              <w:top w:val="single" w:sz="4" w:space="0" w:color="auto"/>
              <w:left w:val="single" w:sz="4" w:space="0" w:color="auto"/>
              <w:bottom w:val="single" w:sz="4" w:space="0" w:color="auto"/>
              <w:right w:val="single" w:sz="4" w:space="0" w:color="auto"/>
            </w:tcBorders>
          </w:tcPr>
          <w:p w14:paraId="1306BB34" w14:textId="77777777" w:rsidR="002E275B" w:rsidRDefault="002E275B">
            <w:pPr>
              <w:suppressAutoHyphens/>
              <w:snapToGrid w:val="0"/>
              <w:rPr>
                <w:sz w:val="16"/>
                <w:lang w:val="en-US"/>
              </w:rPr>
            </w:pPr>
          </w:p>
        </w:tc>
        <w:tc>
          <w:tcPr>
            <w:tcW w:w="327" w:type="pct"/>
            <w:tcBorders>
              <w:top w:val="single" w:sz="4" w:space="0" w:color="auto"/>
              <w:left w:val="single" w:sz="4" w:space="0" w:color="auto"/>
              <w:bottom w:val="single" w:sz="4" w:space="0" w:color="auto"/>
              <w:right w:val="single" w:sz="4" w:space="0" w:color="auto"/>
            </w:tcBorders>
          </w:tcPr>
          <w:p w14:paraId="044884BF" w14:textId="77777777" w:rsidR="002E275B" w:rsidRDefault="002E275B">
            <w:pPr>
              <w:suppressAutoHyphens/>
              <w:snapToGrid w:val="0"/>
              <w:rPr>
                <w:sz w:val="16"/>
                <w:lang w:val="en-US"/>
              </w:rPr>
            </w:pPr>
          </w:p>
        </w:tc>
        <w:tc>
          <w:tcPr>
            <w:tcW w:w="328" w:type="pct"/>
            <w:tcBorders>
              <w:top w:val="single" w:sz="4" w:space="0" w:color="auto"/>
              <w:left w:val="single" w:sz="4" w:space="0" w:color="auto"/>
              <w:bottom w:val="single" w:sz="4" w:space="0" w:color="auto"/>
              <w:right w:val="single" w:sz="4" w:space="0" w:color="auto"/>
            </w:tcBorders>
          </w:tcPr>
          <w:p w14:paraId="6D195878" w14:textId="77777777" w:rsidR="002E275B" w:rsidRDefault="002E275B">
            <w:pPr>
              <w:suppressAutoHyphens/>
              <w:snapToGrid w:val="0"/>
              <w:rPr>
                <w:sz w:val="16"/>
                <w:lang w:val="en-US"/>
              </w:rPr>
            </w:pPr>
          </w:p>
        </w:tc>
        <w:tc>
          <w:tcPr>
            <w:tcW w:w="327" w:type="pct"/>
            <w:tcBorders>
              <w:top w:val="single" w:sz="4" w:space="0" w:color="auto"/>
              <w:left w:val="single" w:sz="4" w:space="0" w:color="auto"/>
              <w:bottom w:val="single" w:sz="4" w:space="0" w:color="auto"/>
              <w:right w:val="single" w:sz="4" w:space="0" w:color="auto"/>
            </w:tcBorders>
          </w:tcPr>
          <w:p w14:paraId="0063DF92" w14:textId="77777777" w:rsidR="002E275B" w:rsidRDefault="002E275B">
            <w:pPr>
              <w:suppressAutoHyphens/>
              <w:snapToGrid w:val="0"/>
              <w:rPr>
                <w:sz w:val="16"/>
                <w:lang w:val="en-US"/>
              </w:rPr>
            </w:pPr>
          </w:p>
        </w:tc>
        <w:tc>
          <w:tcPr>
            <w:tcW w:w="327" w:type="pct"/>
            <w:tcBorders>
              <w:top w:val="single" w:sz="4" w:space="0" w:color="auto"/>
              <w:left w:val="single" w:sz="4" w:space="0" w:color="auto"/>
              <w:bottom w:val="single" w:sz="4" w:space="0" w:color="auto"/>
              <w:right w:val="single" w:sz="4" w:space="0" w:color="auto"/>
            </w:tcBorders>
          </w:tcPr>
          <w:p w14:paraId="12848DC7" w14:textId="77777777" w:rsidR="002E275B" w:rsidRDefault="002E275B">
            <w:pPr>
              <w:suppressAutoHyphens/>
              <w:snapToGrid w:val="0"/>
              <w:rPr>
                <w:sz w:val="16"/>
                <w:lang w:val="en-US"/>
              </w:rPr>
            </w:pPr>
          </w:p>
        </w:tc>
        <w:tc>
          <w:tcPr>
            <w:tcW w:w="329" w:type="pct"/>
            <w:tcBorders>
              <w:top w:val="single" w:sz="4" w:space="0" w:color="auto"/>
              <w:left w:val="single" w:sz="4" w:space="0" w:color="auto"/>
              <w:bottom w:val="single" w:sz="4" w:space="0" w:color="auto"/>
              <w:right w:val="single" w:sz="4" w:space="0" w:color="auto"/>
            </w:tcBorders>
          </w:tcPr>
          <w:p w14:paraId="023FC571" w14:textId="77777777" w:rsidR="002E275B" w:rsidRDefault="002E275B">
            <w:pPr>
              <w:suppressAutoHyphens/>
              <w:snapToGrid w:val="0"/>
              <w:rPr>
                <w:sz w:val="16"/>
                <w:lang w:val="en-US"/>
              </w:rPr>
            </w:pPr>
          </w:p>
        </w:tc>
        <w:tc>
          <w:tcPr>
            <w:tcW w:w="327" w:type="pct"/>
            <w:tcBorders>
              <w:top w:val="single" w:sz="4" w:space="0" w:color="auto"/>
              <w:left w:val="single" w:sz="4" w:space="0" w:color="auto"/>
              <w:bottom w:val="single" w:sz="4" w:space="0" w:color="auto"/>
              <w:right w:val="single" w:sz="4" w:space="0" w:color="auto"/>
            </w:tcBorders>
          </w:tcPr>
          <w:p w14:paraId="63864018" w14:textId="77777777" w:rsidR="002E275B" w:rsidRDefault="002E275B">
            <w:pPr>
              <w:suppressAutoHyphens/>
              <w:snapToGrid w:val="0"/>
              <w:rPr>
                <w:sz w:val="16"/>
                <w:lang w:val="en-US"/>
              </w:rPr>
            </w:pPr>
          </w:p>
        </w:tc>
        <w:tc>
          <w:tcPr>
            <w:tcW w:w="329" w:type="pct"/>
            <w:tcBorders>
              <w:top w:val="single" w:sz="4" w:space="0" w:color="auto"/>
              <w:left w:val="single" w:sz="4" w:space="0" w:color="auto"/>
              <w:bottom w:val="single" w:sz="4" w:space="0" w:color="auto"/>
              <w:right w:val="single" w:sz="4" w:space="0" w:color="auto"/>
            </w:tcBorders>
          </w:tcPr>
          <w:p w14:paraId="3055C606" w14:textId="77777777" w:rsidR="002E275B" w:rsidRDefault="002E275B">
            <w:pPr>
              <w:suppressAutoHyphens/>
              <w:snapToGrid w:val="0"/>
              <w:rPr>
                <w:sz w:val="16"/>
                <w:lang w:val="en-US"/>
              </w:rPr>
            </w:pPr>
          </w:p>
        </w:tc>
        <w:tc>
          <w:tcPr>
            <w:tcW w:w="327" w:type="pct"/>
            <w:tcBorders>
              <w:top w:val="single" w:sz="4" w:space="0" w:color="auto"/>
              <w:left w:val="single" w:sz="4" w:space="0" w:color="auto"/>
              <w:bottom w:val="single" w:sz="4" w:space="0" w:color="auto"/>
              <w:right w:val="single" w:sz="4" w:space="0" w:color="auto"/>
            </w:tcBorders>
          </w:tcPr>
          <w:p w14:paraId="659AA70C" w14:textId="77777777" w:rsidR="002E275B" w:rsidRDefault="002E275B">
            <w:pPr>
              <w:suppressAutoHyphens/>
              <w:snapToGrid w:val="0"/>
              <w:rPr>
                <w:sz w:val="16"/>
                <w:lang w:val="en-US"/>
              </w:rPr>
            </w:pPr>
          </w:p>
        </w:tc>
        <w:tc>
          <w:tcPr>
            <w:tcW w:w="328" w:type="pct"/>
            <w:tcBorders>
              <w:top w:val="single" w:sz="4" w:space="0" w:color="auto"/>
              <w:left w:val="single" w:sz="4" w:space="0" w:color="auto"/>
              <w:bottom w:val="single" w:sz="4" w:space="0" w:color="auto"/>
              <w:right w:val="single" w:sz="4" w:space="0" w:color="auto"/>
            </w:tcBorders>
          </w:tcPr>
          <w:p w14:paraId="79077383" w14:textId="77777777" w:rsidR="002E275B" w:rsidRDefault="002E275B">
            <w:pPr>
              <w:suppressAutoHyphens/>
              <w:snapToGrid w:val="0"/>
              <w:rPr>
                <w:sz w:val="16"/>
                <w:lang w:val="en-US"/>
              </w:rPr>
            </w:pPr>
          </w:p>
        </w:tc>
      </w:tr>
      <w:tr w:rsidR="002E275B" w14:paraId="1816526B" w14:textId="77777777" w:rsidTr="004714B4">
        <w:tc>
          <w:tcPr>
            <w:tcW w:w="1069" w:type="pct"/>
            <w:tcBorders>
              <w:top w:val="single" w:sz="4" w:space="0" w:color="auto"/>
              <w:left w:val="single" w:sz="4" w:space="0" w:color="auto"/>
              <w:bottom w:val="single" w:sz="4" w:space="0" w:color="auto"/>
              <w:right w:val="single" w:sz="4" w:space="0" w:color="auto"/>
            </w:tcBorders>
            <w:hideMark/>
          </w:tcPr>
          <w:p w14:paraId="218C66D8" w14:textId="77777777" w:rsidR="002E275B" w:rsidRDefault="002E275B">
            <w:pPr>
              <w:suppressAutoHyphens/>
              <w:snapToGrid w:val="0"/>
            </w:pPr>
            <w:r>
              <w:rPr>
                <w:sz w:val="16"/>
                <w:lang w:val="lv-LV"/>
              </w:rPr>
              <w:t>Citi (precizēt)</w:t>
            </w:r>
          </w:p>
        </w:tc>
        <w:tc>
          <w:tcPr>
            <w:tcW w:w="327" w:type="pct"/>
            <w:tcBorders>
              <w:top w:val="single" w:sz="4" w:space="0" w:color="auto"/>
              <w:left w:val="single" w:sz="4" w:space="0" w:color="auto"/>
              <w:bottom w:val="single" w:sz="4" w:space="0" w:color="auto"/>
              <w:right w:val="single" w:sz="4" w:space="0" w:color="auto"/>
            </w:tcBorders>
          </w:tcPr>
          <w:p w14:paraId="22522677" w14:textId="77777777" w:rsidR="002E275B" w:rsidRDefault="002E275B">
            <w:pPr>
              <w:suppressAutoHyphens/>
              <w:snapToGrid w:val="0"/>
              <w:rPr>
                <w:sz w:val="16"/>
                <w:lang w:val="en-US"/>
              </w:rPr>
            </w:pPr>
          </w:p>
        </w:tc>
        <w:tc>
          <w:tcPr>
            <w:tcW w:w="327" w:type="pct"/>
            <w:tcBorders>
              <w:top w:val="single" w:sz="4" w:space="0" w:color="auto"/>
              <w:left w:val="single" w:sz="4" w:space="0" w:color="auto"/>
              <w:bottom w:val="single" w:sz="4" w:space="0" w:color="auto"/>
              <w:right w:val="single" w:sz="4" w:space="0" w:color="auto"/>
            </w:tcBorders>
          </w:tcPr>
          <w:p w14:paraId="449A6D56" w14:textId="77777777" w:rsidR="002E275B" w:rsidRDefault="002E275B">
            <w:pPr>
              <w:suppressAutoHyphens/>
              <w:snapToGrid w:val="0"/>
              <w:rPr>
                <w:sz w:val="16"/>
                <w:lang w:val="en-US"/>
              </w:rPr>
            </w:pPr>
          </w:p>
        </w:tc>
        <w:tc>
          <w:tcPr>
            <w:tcW w:w="328" w:type="pct"/>
            <w:tcBorders>
              <w:top w:val="single" w:sz="4" w:space="0" w:color="auto"/>
              <w:left w:val="single" w:sz="4" w:space="0" w:color="auto"/>
              <w:bottom w:val="single" w:sz="4" w:space="0" w:color="auto"/>
              <w:right w:val="single" w:sz="4" w:space="0" w:color="auto"/>
            </w:tcBorders>
          </w:tcPr>
          <w:p w14:paraId="7361485E" w14:textId="77777777" w:rsidR="002E275B" w:rsidRDefault="002E275B">
            <w:pPr>
              <w:suppressAutoHyphens/>
              <w:snapToGrid w:val="0"/>
              <w:rPr>
                <w:sz w:val="16"/>
                <w:lang w:val="en-US"/>
              </w:rPr>
            </w:pPr>
          </w:p>
        </w:tc>
        <w:tc>
          <w:tcPr>
            <w:tcW w:w="327" w:type="pct"/>
            <w:tcBorders>
              <w:top w:val="single" w:sz="4" w:space="0" w:color="auto"/>
              <w:left w:val="single" w:sz="4" w:space="0" w:color="auto"/>
              <w:bottom w:val="single" w:sz="4" w:space="0" w:color="auto"/>
              <w:right w:val="single" w:sz="4" w:space="0" w:color="auto"/>
            </w:tcBorders>
          </w:tcPr>
          <w:p w14:paraId="76222CF7" w14:textId="77777777" w:rsidR="002E275B" w:rsidRDefault="002E275B">
            <w:pPr>
              <w:suppressAutoHyphens/>
              <w:snapToGrid w:val="0"/>
              <w:rPr>
                <w:sz w:val="16"/>
                <w:lang w:val="en-US"/>
              </w:rPr>
            </w:pPr>
          </w:p>
        </w:tc>
        <w:tc>
          <w:tcPr>
            <w:tcW w:w="328" w:type="pct"/>
            <w:tcBorders>
              <w:top w:val="single" w:sz="4" w:space="0" w:color="auto"/>
              <w:left w:val="single" w:sz="4" w:space="0" w:color="auto"/>
              <w:bottom w:val="single" w:sz="4" w:space="0" w:color="auto"/>
              <w:right w:val="single" w:sz="4" w:space="0" w:color="auto"/>
            </w:tcBorders>
          </w:tcPr>
          <w:p w14:paraId="1823F273" w14:textId="77777777" w:rsidR="002E275B" w:rsidRDefault="002E275B">
            <w:pPr>
              <w:suppressAutoHyphens/>
              <w:snapToGrid w:val="0"/>
              <w:rPr>
                <w:sz w:val="16"/>
                <w:lang w:val="en-US"/>
              </w:rPr>
            </w:pPr>
          </w:p>
        </w:tc>
        <w:tc>
          <w:tcPr>
            <w:tcW w:w="327" w:type="pct"/>
            <w:tcBorders>
              <w:top w:val="single" w:sz="4" w:space="0" w:color="auto"/>
              <w:left w:val="single" w:sz="4" w:space="0" w:color="auto"/>
              <w:bottom w:val="single" w:sz="4" w:space="0" w:color="auto"/>
              <w:right w:val="single" w:sz="4" w:space="0" w:color="auto"/>
            </w:tcBorders>
          </w:tcPr>
          <w:p w14:paraId="3618DCDA" w14:textId="77777777" w:rsidR="002E275B" w:rsidRDefault="002E275B">
            <w:pPr>
              <w:suppressAutoHyphens/>
              <w:snapToGrid w:val="0"/>
              <w:rPr>
                <w:sz w:val="16"/>
                <w:lang w:val="en-US"/>
              </w:rPr>
            </w:pPr>
          </w:p>
        </w:tc>
        <w:tc>
          <w:tcPr>
            <w:tcW w:w="327" w:type="pct"/>
            <w:tcBorders>
              <w:top w:val="single" w:sz="4" w:space="0" w:color="auto"/>
              <w:left w:val="single" w:sz="4" w:space="0" w:color="auto"/>
              <w:bottom w:val="single" w:sz="4" w:space="0" w:color="auto"/>
              <w:right w:val="single" w:sz="4" w:space="0" w:color="auto"/>
            </w:tcBorders>
          </w:tcPr>
          <w:p w14:paraId="72DD5E13" w14:textId="77777777" w:rsidR="002E275B" w:rsidRDefault="002E275B">
            <w:pPr>
              <w:suppressAutoHyphens/>
              <w:snapToGrid w:val="0"/>
              <w:rPr>
                <w:sz w:val="16"/>
                <w:lang w:val="en-US"/>
              </w:rPr>
            </w:pPr>
          </w:p>
        </w:tc>
        <w:tc>
          <w:tcPr>
            <w:tcW w:w="329" w:type="pct"/>
            <w:tcBorders>
              <w:top w:val="single" w:sz="4" w:space="0" w:color="auto"/>
              <w:left w:val="single" w:sz="4" w:space="0" w:color="auto"/>
              <w:bottom w:val="single" w:sz="4" w:space="0" w:color="auto"/>
              <w:right w:val="single" w:sz="4" w:space="0" w:color="auto"/>
            </w:tcBorders>
          </w:tcPr>
          <w:p w14:paraId="316EF8A9" w14:textId="77777777" w:rsidR="002E275B" w:rsidRDefault="002E275B">
            <w:pPr>
              <w:suppressAutoHyphens/>
              <w:snapToGrid w:val="0"/>
              <w:rPr>
                <w:sz w:val="16"/>
                <w:lang w:val="en-US"/>
              </w:rPr>
            </w:pPr>
          </w:p>
        </w:tc>
        <w:tc>
          <w:tcPr>
            <w:tcW w:w="327" w:type="pct"/>
            <w:tcBorders>
              <w:top w:val="single" w:sz="4" w:space="0" w:color="auto"/>
              <w:left w:val="single" w:sz="4" w:space="0" w:color="auto"/>
              <w:bottom w:val="single" w:sz="4" w:space="0" w:color="auto"/>
              <w:right w:val="single" w:sz="4" w:space="0" w:color="auto"/>
            </w:tcBorders>
          </w:tcPr>
          <w:p w14:paraId="09464BAE" w14:textId="77777777" w:rsidR="002E275B" w:rsidRDefault="002E275B">
            <w:pPr>
              <w:suppressAutoHyphens/>
              <w:snapToGrid w:val="0"/>
              <w:rPr>
                <w:sz w:val="16"/>
                <w:lang w:val="en-US"/>
              </w:rPr>
            </w:pPr>
          </w:p>
        </w:tc>
        <w:tc>
          <w:tcPr>
            <w:tcW w:w="329" w:type="pct"/>
            <w:tcBorders>
              <w:top w:val="single" w:sz="4" w:space="0" w:color="auto"/>
              <w:left w:val="single" w:sz="4" w:space="0" w:color="auto"/>
              <w:bottom w:val="single" w:sz="4" w:space="0" w:color="auto"/>
              <w:right w:val="single" w:sz="4" w:space="0" w:color="auto"/>
            </w:tcBorders>
          </w:tcPr>
          <w:p w14:paraId="68D21558" w14:textId="77777777" w:rsidR="002E275B" w:rsidRDefault="002E275B">
            <w:pPr>
              <w:suppressAutoHyphens/>
              <w:snapToGrid w:val="0"/>
              <w:rPr>
                <w:sz w:val="16"/>
                <w:lang w:val="en-US"/>
              </w:rPr>
            </w:pPr>
          </w:p>
        </w:tc>
        <w:tc>
          <w:tcPr>
            <w:tcW w:w="327" w:type="pct"/>
            <w:tcBorders>
              <w:top w:val="single" w:sz="4" w:space="0" w:color="auto"/>
              <w:left w:val="single" w:sz="4" w:space="0" w:color="auto"/>
              <w:bottom w:val="single" w:sz="4" w:space="0" w:color="auto"/>
              <w:right w:val="single" w:sz="4" w:space="0" w:color="auto"/>
            </w:tcBorders>
          </w:tcPr>
          <w:p w14:paraId="5E89C794" w14:textId="77777777" w:rsidR="002E275B" w:rsidRDefault="002E275B">
            <w:pPr>
              <w:suppressAutoHyphens/>
              <w:snapToGrid w:val="0"/>
              <w:rPr>
                <w:sz w:val="16"/>
                <w:lang w:val="en-US"/>
              </w:rPr>
            </w:pPr>
          </w:p>
        </w:tc>
        <w:tc>
          <w:tcPr>
            <w:tcW w:w="328" w:type="pct"/>
            <w:tcBorders>
              <w:top w:val="single" w:sz="4" w:space="0" w:color="auto"/>
              <w:left w:val="single" w:sz="4" w:space="0" w:color="auto"/>
              <w:bottom w:val="single" w:sz="4" w:space="0" w:color="auto"/>
              <w:right w:val="single" w:sz="4" w:space="0" w:color="auto"/>
            </w:tcBorders>
          </w:tcPr>
          <w:p w14:paraId="66BA6735" w14:textId="77777777" w:rsidR="002E275B" w:rsidRDefault="002E275B">
            <w:pPr>
              <w:suppressAutoHyphens/>
              <w:snapToGrid w:val="0"/>
              <w:rPr>
                <w:sz w:val="16"/>
                <w:lang w:val="en-US"/>
              </w:rPr>
            </w:pPr>
          </w:p>
        </w:tc>
      </w:tr>
      <w:tr w:rsidR="002E275B" w14:paraId="4D151863" w14:textId="77777777" w:rsidTr="002E275B">
        <w:tc>
          <w:tcPr>
            <w:tcW w:w="5000" w:type="pct"/>
            <w:gridSpan w:val="13"/>
            <w:tcBorders>
              <w:top w:val="single" w:sz="4" w:space="0" w:color="auto"/>
              <w:left w:val="single" w:sz="4" w:space="0" w:color="auto"/>
              <w:bottom w:val="single" w:sz="4" w:space="0" w:color="auto"/>
              <w:right w:val="single" w:sz="4" w:space="0" w:color="auto"/>
            </w:tcBorders>
            <w:shd w:val="clear" w:color="auto" w:fill="F3F3F3"/>
            <w:hideMark/>
          </w:tcPr>
          <w:p w14:paraId="2B649782" w14:textId="77777777" w:rsidR="002E275B" w:rsidRDefault="002E275B">
            <w:pPr>
              <w:suppressAutoHyphens/>
              <w:snapToGrid w:val="0"/>
            </w:pPr>
            <w:r>
              <w:rPr>
                <w:b/>
                <w:i/>
                <w:sz w:val="16"/>
                <w:lang w:val="lv-LV"/>
              </w:rPr>
              <w:t>Biomasas piedāvājums transportam:</w:t>
            </w:r>
          </w:p>
        </w:tc>
      </w:tr>
      <w:tr w:rsidR="002E275B" w14:paraId="32D6E6BE" w14:textId="77777777" w:rsidTr="004714B4">
        <w:tc>
          <w:tcPr>
            <w:tcW w:w="1069" w:type="pct"/>
            <w:tcBorders>
              <w:top w:val="single" w:sz="4" w:space="0" w:color="auto"/>
              <w:left w:val="single" w:sz="4" w:space="0" w:color="auto"/>
              <w:bottom w:val="single" w:sz="4" w:space="0" w:color="auto"/>
              <w:right w:val="single" w:sz="4" w:space="0" w:color="auto"/>
            </w:tcBorders>
            <w:hideMark/>
          </w:tcPr>
          <w:p w14:paraId="3D5576B7" w14:textId="77777777" w:rsidR="002E275B" w:rsidRPr="00F26DD1" w:rsidRDefault="002E275B">
            <w:pPr>
              <w:suppressAutoHyphens/>
              <w:snapToGrid w:val="0"/>
              <w:rPr>
                <w:lang w:val="lv-LV"/>
              </w:rPr>
            </w:pPr>
            <w:r>
              <w:rPr>
                <w:sz w:val="16"/>
                <w:lang w:val="lv-LV"/>
              </w:rPr>
              <w:t xml:space="preserve">Parastie laukaugi </w:t>
            </w:r>
            <w:proofErr w:type="spellStart"/>
            <w:r>
              <w:rPr>
                <w:sz w:val="16"/>
                <w:lang w:val="lv-LV"/>
              </w:rPr>
              <w:t>biodegvielām</w:t>
            </w:r>
            <w:proofErr w:type="spellEnd"/>
            <w:r>
              <w:rPr>
                <w:sz w:val="16"/>
                <w:lang w:val="lv-LV"/>
              </w:rPr>
              <w:t xml:space="preserve"> (precizēt galvenos veidus)</w:t>
            </w:r>
          </w:p>
        </w:tc>
        <w:tc>
          <w:tcPr>
            <w:tcW w:w="327" w:type="pct"/>
            <w:tcBorders>
              <w:top w:val="single" w:sz="4" w:space="0" w:color="auto"/>
              <w:left w:val="single" w:sz="4" w:space="0" w:color="auto"/>
              <w:bottom w:val="single" w:sz="4" w:space="0" w:color="auto"/>
              <w:right w:val="single" w:sz="4" w:space="0" w:color="auto"/>
            </w:tcBorders>
          </w:tcPr>
          <w:p w14:paraId="12B821C6" w14:textId="77777777" w:rsidR="002E275B" w:rsidRPr="00F26DD1" w:rsidRDefault="002E275B">
            <w:pPr>
              <w:suppressAutoHyphens/>
              <w:snapToGrid w:val="0"/>
              <w:rPr>
                <w:sz w:val="16"/>
                <w:lang w:val="lv-LV"/>
              </w:rPr>
            </w:pPr>
          </w:p>
        </w:tc>
        <w:tc>
          <w:tcPr>
            <w:tcW w:w="327" w:type="pct"/>
            <w:tcBorders>
              <w:top w:val="single" w:sz="4" w:space="0" w:color="auto"/>
              <w:left w:val="single" w:sz="4" w:space="0" w:color="auto"/>
              <w:bottom w:val="single" w:sz="4" w:space="0" w:color="auto"/>
              <w:right w:val="single" w:sz="4" w:space="0" w:color="auto"/>
            </w:tcBorders>
          </w:tcPr>
          <w:p w14:paraId="3CF473DC" w14:textId="77777777" w:rsidR="002E275B" w:rsidRPr="00F26DD1" w:rsidRDefault="002E275B">
            <w:pPr>
              <w:suppressAutoHyphens/>
              <w:snapToGrid w:val="0"/>
              <w:rPr>
                <w:sz w:val="16"/>
                <w:lang w:val="lv-LV"/>
              </w:rPr>
            </w:pPr>
          </w:p>
        </w:tc>
        <w:tc>
          <w:tcPr>
            <w:tcW w:w="328" w:type="pct"/>
            <w:tcBorders>
              <w:top w:val="single" w:sz="4" w:space="0" w:color="auto"/>
              <w:left w:val="single" w:sz="4" w:space="0" w:color="auto"/>
              <w:bottom w:val="single" w:sz="4" w:space="0" w:color="auto"/>
              <w:right w:val="single" w:sz="4" w:space="0" w:color="auto"/>
            </w:tcBorders>
          </w:tcPr>
          <w:p w14:paraId="090D8AFA" w14:textId="77777777" w:rsidR="002E275B" w:rsidRPr="00F26DD1" w:rsidRDefault="002E275B">
            <w:pPr>
              <w:suppressAutoHyphens/>
              <w:snapToGrid w:val="0"/>
              <w:rPr>
                <w:sz w:val="16"/>
                <w:lang w:val="lv-LV"/>
              </w:rPr>
            </w:pPr>
          </w:p>
        </w:tc>
        <w:tc>
          <w:tcPr>
            <w:tcW w:w="327" w:type="pct"/>
            <w:tcBorders>
              <w:top w:val="single" w:sz="4" w:space="0" w:color="auto"/>
              <w:left w:val="single" w:sz="4" w:space="0" w:color="auto"/>
              <w:bottom w:val="single" w:sz="4" w:space="0" w:color="auto"/>
              <w:right w:val="single" w:sz="4" w:space="0" w:color="auto"/>
            </w:tcBorders>
          </w:tcPr>
          <w:p w14:paraId="67995A4E" w14:textId="77777777" w:rsidR="002E275B" w:rsidRPr="00F26DD1" w:rsidRDefault="002E275B">
            <w:pPr>
              <w:suppressAutoHyphens/>
              <w:snapToGrid w:val="0"/>
              <w:rPr>
                <w:sz w:val="16"/>
                <w:lang w:val="lv-LV"/>
              </w:rPr>
            </w:pPr>
          </w:p>
        </w:tc>
        <w:tc>
          <w:tcPr>
            <w:tcW w:w="328" w:type="pct"/>
            <w:tcBorders>
              <w:top w:val="single" w:sz="4" w:space="0" w:color="auto"/>
              <w:left w:val="single" w:sz="4" w:space="0" w:color="auto"/>
              <w:bottom w:val="single" w:sz="4" w:space="0" w:color="auto"/>
              <w:right w:val="single" w:sz="4" w:space="0" w:color="auto"/>
            </w:tcBorders>
          </w:tcPr>
          <w:p w14:paraId="012A591A" w14:textId="77777777" w:rsidR="002E275B" w:rsidRPr="00F26DD1" w:rsidRDefault="002E275B">
            <w:pPr>
              <w:suppressAutoHyphens/>
              <w:snapToGrid w:val="0"/>
              <w:rPr>
                <w:sz w:val="16"/>
                <w:lang w:val="lv-LV"/>
              </w:rPr>
            </w:pPr>
          </w:p>
        </w:tc>
        <w:tc>
          <w:tcPr>
            <w:tcW w:w="327" w:type="pct"/>
            <w:tcBorders>
              <w:top w:val="single" w:sz="4" w:space="0" w:color="auto"/>
              <w:left w:val="single" w:sz="4" w:space="0" w:color="auto"/>
              <w:bottom w:val="single" w:sz="4" w:space="0" w:color="auto"/>
              <w:right w:val="single" w:sz="4" w:space="0" w:color="auto"/>
            </w:tcBorders>
          </w:tcPr>
          <w:p w14:paraId="50A8EA19" w14:textId="77777777" w:rsidR="002E275B" w:rsidRPr="00F26DD1" w:rsidRDefault="002E275B">
            <w:pPr>
              <w:suppressAutoHyphens/>
              <w:snapToGrid w:val="0"/>
              <w:rPr>
                <w:sz w:val="16"/>
                <w:lang w:val="lv-LV"/>
              </w:rPr>
            </w:pPr>
          </w:p>
        </w:tc>
        <w:tc>
          <w:tcPr>
            <w:tcW w:w="327" w:type="pct"/>
            <w:tcBorders>
              <w:top w:val="single" w:sz="4" w:space="0" w:color="auto"/>
              <w:left w:val="single" w:sz="4" w:space="0" w:color="auto"/>
              <w:bottom w:val="single" w:sz="4" w:space="0" w:color="auto"/>
              <w:right w:val="single" w:sz="4" w:space="0" w:color="auto"/>
            </w:tcBorders>
          </w:tcPr>
          <w:p w14:paraId="7B29AF00" w14:textId="77777777" w:rsidR="002E275B" w:rsidRPr="00F26DD1" w:rsidRDefault="002E275B">
            <w:pPr>
              <w:suppressAutoHyphens/>
              <w:snapToGrid w:val="0"/>
              <w:rPr>
                <w:sz w:val="16"/>
                <w:lang w:val="lv-LV"/>
              </w:rPr>
            </w:pPr>
          </w:p>
        </w:tc>
        <w:tc>
          <w:tcPr>
            <w:tcW w:w="329" w:type="pct"/>
            <w:tcBorders>
              <w:top w:val="single" w:sz="4" w:space="0" w:color="auto"/>
              <w:left w:val="single" w:sz="4" w:space="0" w:color="auto"/>
              <w:bottom w:val="single" w:sz="4" w:space="0" w:color="auto"/>
              <w:right w:val="single" w:sz="4" w:space="0" w:color="auto"/>
            </w:tcBorders>
          </w:tcPr>
          <w:p w14:paraId="092B8A37" w14:textId="77777777" w:rsidR="002E275B" w:rsidRPr="00F26DD1" w:rsidRDefault="002E275B">
            <w:pPr>
              <w:suppressAutoHyphens/>
              <w:snapToGrid w:val="0"/>
              <w:rPr>
                <w:sz w:val="16"/>
                <w:lang w:val="lv-LV"/>
              </w:rPr>
            </w:pPr>
          </w:p>
        </w:tc>
        <w:tc>
          <w:tcPr>
            <w:tcW w:w="327" w:type="pct"/>
            <w:tcBorders>
              <w:top w:val="single" w:sz="4" w:space="0" w:color="auto"/>
              <w:left w:val="single" w:sz="4" w:space="0" w:color="auto"/>
              <w:bottom w:val="single" w:sz="4" w:space="0" w:color="auto"/>
              <w:right w:val="single" w:sz="4" w:space="0" w:color="auto"/>
            </w:tcBorders>
          </w:tcPr>
          <w:p w14:paraId="66621328" w14:textId="77777777" w:rsidR="002E275B" w:rsidRPr="00F26DD1" w:rsidRDefault="002E275B">
            <w:pPr>
              <w:suppressAutoHyphens/>
              <w:snapToGrid w:val="0"/>
              <w:rPr>
                <w:sz w:val="16"/>
                <w:lang w:val="lv-LV"/>
              </w:rPr>
            </w:pPr>
          </w:p>
        </w:tc>
        <w:tc>
          <w:tcPr>
            <w:tcW w:w="329" w:type="pct"/>
            <w:tcBorders>
              <w:top w:val="single" w:sz="4" w:space="0" w:color="auto"/>
              <w:left w:val="single" w:sz="4" w:space="0" w:color="auto"/>
              <w:bottom w:val="single" w:sz="4" w:space="0" w:color="auto"/>
              <w:right w:val="single" w:sz="4" w:space="0" w:color="auto"/>
            </w:tcBorders>
          </w:tcPr>
          <w:p w14:paraId="5B85C1B1" w14:textId="77777777" w:rsidR="002E275B" w:rsidRPr="00F26DD1" w:rsidRDefault="002E275B">
            <w:pPr>
              <w:suppressAutoHyphens/>
              <w:snapToGrid w:val="0"/>
              <w:rPr>
                <w:sz w:val="16"/>
                <w:lang w:val="lv-LV"/>
              </w:rPr>
            </w:pPr>
          </w:p>
        </w:tc>
        <w:tc>
          <w:tcPr>
            <w:tcW w:w="327" w:type="pct"/>
            <w:tcBorders>
              <w:top w:val="single" w:sz="4" w:space="0" w:color="auto"/>
              <w:left w:val="single" w:sz="4" w:space="0" w:color="auto"/>
              <w:bottom w:val="single" w:sz="4" w:space="0" w:color="auto"/>
              <w:right w:val="single" w:sz="4" w:space="0" w:color="auto"/>
            </w:tcBorders>
          </w:tcPr>
          <w:p w14:paraId="35648D2D" w14:textId="77777777" w:rsidR="002E275B" w:rsidRPr="00F26DD1" w:rsidRDefault="002E275B">
            <w:pPr>
              <w:suppressAutoHyphens/>
              <w:snapToGrid w:val="0"/>
              <w:rPr>
                <w:sz w:val="16"/>
                <w:lang w:val="lv-LV"/>
              </w:rPr>
            </w:pPr>
          </w:p>
        </w:tc>
        <w:tc>
          <w:tcPr>
            <w:tcW w:w="328" w:type="pct"/>
            <w:tcBorders>
              <w:top w:val="single" w:sz="4" w:space="0" w:color="auto"/>
              <w:left w:val="single" w:sz="4" w:space="0" w:color="auto"/>
              <w:bottom w:val="single" w:sz="4" w:space="0" w:color="auto"/>
              <w:right w:val="single" w:sz="4" w:space="0" w:color="auto"/>
            </w:tcBorders>
          </w:tcPr>
          <w:p w14:paraId="6D88C412" w14:textId="77777777" w:rsidR="002E275B" w:rsidRPr="00F26DD1" w:rsidRDefault="002E275B">
            <w:pPr>
              <w:suppressAutoHyphens/>
              <w:snapToGrid w:val="0"/>
              <w:rPr>
                <w:sz w:val="16"/>
                <w:lang w:val="lv-LV"/>
              </w:rPr>
            </w:pPr>
          </w:p>
        </w:tc>
      </w:tr>
      <w:tr w:rsidR="002E275B" w14:paraId="3075B20C" w14:textId="77777777" w:rsidTr="004714B4">
        <w:tc>
          <w:tcPr>
            <w:tcW w:w="1069" w:type="pct"/>
            <w:tcBorders>
              <w:top w:val="single" w:sz="4" w:space="0" w:color="auto"/>
              <w:left w:val="single" w:sz="4" w:space="0" w:color="auto"/>
              <w:bottom w:val="single" w:sz="4" w:space="0" w:color="auto"/>
              <w:right w:val="single" w:sz="4" w:space="0" w:color="auto"/>
            </w:tcBorders>
            <w:hideMark/>
          </w:tcPr>
          <w:p w14:paraId="795ED8C4" w14:textId="77777777" w:rsidR="002E275B" w:rsidRPr="00D6616C" w:rsidRDefault="002E275B">
            <w:pPr>
              <w:suppressAutoHyphens/>
              <w:snapToGrid w:val="0"/>
              <w:rPr>
                <w:lang w:val="lv-LV"/>
              </w:rPr>
            </w:pPr>
            <w:r>
              <w:rPr>
                <w:sz w:val="16"/>
                <w:lang w:val="lv-LV"/>
              </w:rPr>
              <w:t xml:space="preserve">Enerģijas kultūras (zālaugi </w:t>
            </w:r>
            <w:proofErr w:type="spellStart"/>
            <w:r>
              <w:rPr>
                <w:sz w:val="16"/>
                <w:lang w:val="lv-LV"/>
              </w:rPr>
              <w:t>utt</w:t>
            </w:r>
            <w:proofErr w:type="spellEnd"/>
            <w:r>
              <w:rPr>
                <w:sz w:val="16"/>
                <w:lang w:val="lv-LV"/>
              </w:rPr>
              <w:t xml:space="preserve">.) un koki ar īsu cirtes apriti </w:t>
            </w:r>
            <w:proofErr w:type="spellStart"/>
            <w:r>
              <w:rPr>
                <w:sz w:val="16"/>
                <w:lang w:val="lv-LV"/>
              </w:rPr>
              <w:t>biodegvielām</w:t>
            </w:r>
            <w:proofErr w:type="spellEnd"/>
            <w:r>
              <w:rPr>
                <w:sz w:val="16"/>
                <w:lang w:val="lv-LV"/>
              </w:rPr>
              <w:t xml:space="preserve"> (precizēt galvenos veidus)</w:t>
            </w:r>
          </w:p>
        </w:tc>
        <w:tc>
          <w:tcPr>
            <w:tcW w:w="327" w:type="pct"/>
            <w:tcBorders>
              <w:top w:val="single" w:sz="4" w:space="0" w:color="auto"/>
              <w:left w:val="single" w:sz="4" w:space="0" w:color="auto"/>
              <w:bottom w:val="single" w:sz="4" w:space="0" w:color="auto"/>
              <w:right w:val="single" w:sz="4" w:space="0" w:color="auto"/>
            </w:tcBorders>
          </w:tcPr>
          <w:p w14:paraId="46AEDDED" w14:textId="77777777" w:rsidR="002E275B" w:rsidRPr="00D6616C" w:rsidRDefault="002E275B">
            <w:pPr>
              <w:suppressAutoHyphens/>
              <w:snapToGrid w:val="0"/>
              <w:rPr>
                <w:sz w:val="16"/>
                <w:lang w:val="lv-LV"/>
              </w:rPr>
            </w:pPr>
          </w:p>
        </w:tc>
        <w:tc>
          <w:tcPr>
            <w:tcW w:w="327" w:type="pct"/>
            <w:tcBorders>
              <w:top w:val="single" w:sz="4" w:space="0" w:color="auto"/>
              <w:left w:val="single" w:sz="4" w:space="0" w:color="auto"/>
              <w:bottom w:val="single" w:sz="4" w:space="0" w:color="auto"/>
              <w:right w:val="single" w:sz="4" w:space="0" w:color="auto"/>
            </w:tcBorders>
          </w:tcPr>
          <w:p w14:paraId="3D84975A" w14:textId="77777777" w:rsidR="002E275B" w:rsidRPr="00D6616C" w:rsidRDefault="002E275B">
            <w:pPr>
              <w:suppressAutoHyphens/>
              <w:snapToGrid w:val="0"/>
              <w:rPr>
                <w:sz w:val="16"/>
                <w:lang w:val="lv-LV"/>
              </w:rPr>
            </w:pPr>
          </w:p>
        </w:tc>
        <w:tc>
          <w:tcPr>
            <w:tcW w:w="328" w:type="pct"/>
            <w:tcBorders>
              <w:top w:val="single" w:sz="4" w:space="0" w:color="auto"/>
              <w:left w:val="single" w:sz="4" w:space="0" w:color="auto"/>
              <w:bottom w:val="single" w:sz="4" w:space="0" w:color="auto"/>
              <w:right w:val="single" w:sz="4" w:space="0" w:color="auto"/>
            </w:tcBorders>
          </w:tcPr>
          <w:p w14:paraId="22AF31C3" w14:textId="77777777" w:rsidR="002E275B" w:rsidRPr="00D6616C" w:rsidRDefault="002E275B">
            <w:pPr>
              <w:suppressAutoHyphens/>
              <w:snapToGrid w:val="0"/>
              <w:rPr>
                <w:sz w:val="16"/>
                <w:lang w:val="lv-LV"/>
              </w:rPr>
            </w:pPr>
          </w:p>
        </w:tc>
        <w:tc>
          <w:tcPr>
            <w:tcW w:w="327" w:type="pct"/>
            <w:tcBorders>
              <w:top w:val="single" w:sz="4" w:space="0" w:color="auto"/>
              <w:left w:val="single" w:sz="4" w:space="0" w:color="auto"/>
              <w:bottom w:val="single" w:sz="4" w:space="0" w:color="auto"/>
              <w:right w:val="single" w:sz="4" w:space="0" w:color="auto"/>
            </w:tcBorders>
          </w:tcPr>
          <w:p w14:paraId="3614C60E" w14:textId="77777777" w:rsidR="002E275B" w:rsidRPr="00D6616C" w:rsidRDefault="002E275B">
            <w:pPr>
              <w:suppressAutoHyphens/>
              <w:snapToGrid w:val="0"/>
              <w:rPr>
                <w:sz w:val="16"/>
                <w:lang w:val="lv-LV"/>
              </w:rPr>
            </w:pPr>
          </w:p>
        </w:tc>
        <w:tc>
          <w:tcPr>
            <w:tcW w:w="328" w:type="pct"/>
            <w:tcBorders>
              <w:top w:val="single" w:sz="4" w:space="0" w:color="auto"/>
              <w:left w:val="single" w:sz="4" w:space="0" w:color="auto"/>
              <w:bottom w:val="single" w:sz="4" w:space="0" w:color="auto"/>
              <w:right w:val="single" w:sz="4" w:space="0" w:color="auto"/>
            </w:tcBorders>
          </w:tcPr>
          <w:p w14:paraId="55FED41C" w14:textId="77777777" w:rsidR="002E275B" w:rsidRPr="00D6616C" w:rsidRDefault="002E275B">
            <w:pPr>
              <w:suppressAutoHyphens/>
              <w:snapToGrid w:val="0"/>
              <w:rPr>
                <w:sz w:val="16"/>
                <w:lang w:val="lv-LV"/>
              </w:rPr>
            </w:pPr>
          </w:p>
        </w:tc>
        <w:tc>
          <w:tcPr>
            <w:tcW w:w="327" w:type="pct"/>
            <w:tcBorders>
              <w:top w:val="single" w:sz="4" w:space="0" w:color="auto"/>
              <w:left w:val="single" w:sz="4" w:space="0" w:color="auto"/>
              <w:bottom w:val="single" w:sz="4" w:space="0" w:color="auto"/>
              <w:right w:val="single" w:sz="4" w:space="0" w:color="auto"/>
            </w:tcBorders>
          </w:tcPr>
          <w:p w14:paraId="2C1C2BE3" w14:textId="77777777" w:rsidR="002E275B" w:rsidRPr="00D6616C" w:rsidRDefault="002E275B">
            <w:pPr>
              <w:suppressAutoHyphens/>
              <w:snapToGrid w:val="0"/>
              <w:rPr>
                <w:sz w:val="16"/>
                <w:lang w:val="lv-LV"/>
              </w:rPr>
            </w:pPr>
          </w:p>
        </w:tc>
        <w:tc>
          <w:tcPr>
            <w:tcW w:w="327" w:type="pct"/>
            <w:tcBorders>
              <w:top w:val="single" w:sz="4" w:space="0" w:color="auto"/>
              <w:left w:val="single" w:sz="4" w:space="0" w:color="auto"/>
              <w:bottom w:val="single" w:sz="4" w:space="0" w:color="auto"/>
              <w:right w:val="single" w:sz="4" w:space="0" w:color="auto"/>
            </w:tcBorders>
          </w:tcPr>
          <w:p w14:paraId="4FCC64A7" w14:textId="77777777" w:rsidR="002E275B" w:rsidRPr="00D6616C" w:rsidRDefault="002E275B">
            <w:pPr>
              <w:suppressAutoHyphens/>
              <w:snapToGrid w:val="0"/>
              <w:rPr>
                <w:sz w:val="16"/>
                <w:lang w:val="lv-LV"/>
              </w:rPr>
            </w:pPr>
          </w:p>
        </w:tc>
        <w:tc>
          <w:tcPr>
            <w:tcW w:w="329" w:type="pct"/>
            <w:tcBorders>
              <w:top w:val="single" w:sz="4" w:space="0" w:color="auto"/>
              <w:left w:val="single" w:sz="4" w:space="0" w:color="auto"/>
              <w:bottom w:val="single" w:sz="4" w:space="0" w:color="auto"/>
              <w:right w:val="single" w:sz="4" w:space="0" w:color="auto"/>
            </w:tcBorders>
          </w:tcPr>
          <w:p w14:paraId="6F3E358E" w14:textId="77777777" w:rsidR="002E275B" w:rsidRPr="00D6616C" w:rsidRDefault="002E275B">
            <w:pPr>
              <w:suppressAutoHyphens/>
              <w:snapToGrid w:val="0"/>
              <w:rPr>
                <w:sz w:val="16"/>
                <w:lang w:val="lv-LV"/>
              </w:rPr>
            </w:pPr>
          </w:p>
        </w:tc>
        <w:tc>
          <w:tcPr>
            <w:tcW w:w="327" w:type="pct"/>
            <w:tcBorders>
              <w:top w:val="single" w:sz="4" w:space="0" w:color="auto"/>
              <w:left w:val="single" w:sz="4" w:space="0" w:color="auto"/>
              <w:bottom w:val="single" w:sz="4" w:space="0" w:color="auto"/>
              <w:right w:val="single" w:sz="4" w:space="0" w:color="auto"/>
            </w:tcBorders>
          </w:tcPr>
          <w:p w14:paraId="40996F17" w14:textId="77777777" w:rsidR="002E275B" w:rsidRPr="00D6616C" w:rsidRDefault="002E275B">
            <w:pPr>
              <w:suppressAutoHyphens/>
              <w:snapToGrid w:val="0"/>
              <w:rPr>
                <w:sz w:val="16"/>
                <w:lang w:val="lv-LV"/>
              </w:rPr>
            </w:pPr>
          </w:p>
        </w:tc>
        <w:tc>
          <w:tcPr>
            <w:tcW w:w="329" w:type="pct"/>
            <w:tcBorders>
              <w:top w:val="single" w:sz="4" w:space="0" w:color="auto"/>
              <w:left w:val="single" w:sz="4" w:space="0" w:color="auto"/>
              <w:bottom w:val="single" w:sz="4" w:space="0" w:color="auto"/>
              <w:right w:val="single" w:sz="4" w:space="0" w:color="auto"/>
            </w:tcBorders>
          </w:tcPr>
          <w:p w14:paraId="59478B6A" w14:textId="77777777" w:rsidR="002E275B" w:rsidRPr="00D6616C" w:rsidRDefault="002E275B">
            <w:pPr>
              <w:suppressAutoHyphens/>
              <w:snapToGrid w:val="0"/>
              <w:rPr>
                <w:sz w:val="16"/>
                <w:lang w:val="lv-LV"/>
              </w:rPr>
            </w:pPr>
          </w:p>
        </w:tc>
        <w:tc>
          <w:tcPr>
            <w:tcW w:w="327" w:type="pct"/>
            <w:tcBorders>
              <w:top w:val="single" w:sz="4" w:space="0" w:color="auto"/>
              <w:left w:val="single" w:sz="4" w:space="0" w:color="auto"/>
              <w:bottom w:val="single" w:sz="4" w:space="0" w:color="auto"/>
              <w:right w:val="single" w:sz="4" w:space="0" w:color="auto"/>
            </w:tcBorders>
          </w:tcPr>
          <w:p w14:paraId="28BC34FB" w14:textId="77777777" w:rsidR="002E275B" w:rsidRPr="00D6616C" w:rsidRDefault="002E275B">
            <w:pPr>
              <w:suppressAutoHyphens/>
              <w:snapToGrid w:val="0"/>
              <w:rPr>
                <w:sz w:val="16"/>
                <w:lang w:val="lv-LV"/>
              </w:rPr>
            </w:pPr>
          </w:p>
        </w:tc>
        <w:tc>
          <w:tcPr>
            <w:tcW w:w="328" w:type="pct"/>
            <w:tcBorders>
              <w:top w:val="single" w:sz="4" w:space="0" w:color="auto"/>
              <w:left w:val="single" w:sz="4" w:space="0" w:color="auto"/>
              <w:bottom w:val="single" w:sz="4" w:space="0" w:color="auto"/>
              <w:right w:val="single" w:sz="4" w:space="0" w:color="auto"/>
            </w:tcBorders>
          </w:tcPr>
          <w:p w14:paraId="574941FF" w14:textId="77777777" w:rsidR="002E275B" w:rsidRPr="00D6616C" w:rsidRDefault="002E275B">
            <w:pPr>
              <w:suppressAutoHyphens/>
              <w:snapToGrid w:val="0"/>
              <w:rPr>
                <w:sz w:val="16"/>
                <w:lang w:val="lv-LV"/>
              </w:rPr>
            </w:pPr>
          </w:p>
        </w:tc>
      </w:tr>
      <w:tr w:rsidR="002E275B" w14:paraId="00978A23" w14:textId="77777777" w:rsidTr="004714B4">
        <w:tc>
          <w:tcPr>
            <w:tcW w:w="1069" w:type="pct"/>
            <w:tcBorders>
              <w:top w:val="single" w:sz="4" w:space="0" w:color="auto"/>
              <w:left w:val="single" w:sz="4" w:space="0" w:color="auto"/>
              <w:bottom w:val="single" w:sz="4" w:space="0" w:color="auto"/>
              <w:right w:val="single" w:sz="4" w:space="0" w:color="auto"/>
            </w:tcBorders>
            <w:hideMark/>
          </w:tcPr>
          <w:p w14:paraId="2E3C4B1B" w14:textId="77777777" w:rsidR="002E275B" w:rsidRDefault="002E275B">
            <w:pPr>
              <w:suppressAutoHyphens/>
              <w:snapToGrid w:val="0"/>
            </w:pPr>
            <w:r>
              <w:rPr>
                <w:sz w:val="16"/>
                <w:lang w:val="lv-LV"/>
              </w:rPr>
              <w:t>Citi (precizēt)</w:t>
            </w:r>
            <w:r>
              <w:rPr>
                <w:sz w:val="16"/>
                <w:lang w:val="en-US"/>
              </w:rPr>
              <w:t xml:space="preserve"> </w:t>
            </w:r>
          </w:p>
        </w:tc>
        <w:tc>
          <w:tcPr>
            <w:tcW w:w="327" w:type="pct"/>
            <w:tcBorders>
              <w:top w:val="single" w:sz="4" w:space="0" w:color="auto"/>
              <w:left w:val="single" w:sz="4" w:space="0" w:color="auto"/>
              <w:bottom w:val="single" w:sz="4" w:space="0" w:color="auto"/>
              <w:right w:val="single" w:sz="4" w:space="0" w:color="auto"/>
            </w:tcBorders>
          </w:tcPr>
          <w:p w14:paraId="5A1A0EFE" w14:textId="77777777" w:rsidR="002E275B" w:rsidRDefault="002E275B">
            <w:pPr>
              <w:suppressAutoHyphens/>
              <w:snapToGrid w:val="0"/>
              <w:rPr>
                <w:sz w:val="16"/>
                <w:lang w:val="en-US"/>
              </w:rPr>
            </w:pPr>
          </w:p>
        </w:tc>
        <w:tc>
          <w:tcPr>
            <w:tcW w:w="327" w:type="pct"/>
            <w:tcBorders>
              <w:top w:val="single" w:sz="4" w:space="0" w:color="auto"/>
              <w:left w:val="single" w:sz="4" w:space="0" w:color="auto"/>
              <w:bottom w:val="single" w:sz="4" w:space="0" w:color="auto"/>
              <w:right w:val="single" w:sz="4" w:space="0" w:color="auto"/>
            </w:tcBorders>
          </w:tcPr>
          <w:p w14:paraId="34BE0B5A" w14:textId="77777777" w:rsidR="002E275B" w:rsidRDefault="002E275B">
            <w:pPr>
              <w:suppressAutoHyphens/>
              <w:snapToGrid w:val="0"/>
              <w:rPr>
                <w:sz w:val="16"/>
                <w:lang w:val="en-US"/>
              </w:rPr>
            </w:pPr>
          </w:p>
        </w:tc>
        <w:tc>
          <w:tcPr>
            <w:tcW w:w="328" w:type="pct"/>
            <w:tcBorders>
              <w:top w:val="single" w:sz="4" w:space="0" w:color="auto"/>
              <w:left w:val="single" w:sz="4" w:space="0" w:color="auto"/>
              <w:bottom w:val="single" w:sz="4" w:space="0" w:color="auto"/>
              <w:right w:val="single" w:sz="4" w:space="0" w:color="auto"/>
            </w:tcBorders>
          </w:tcPr>
          <w:p w14:paraId="79C656CE" w14:textId="77777777" w:rsidR="002E275B" w:rsidRDefault="002E275B">
            <w:pPr>
              <w:suppressAutoHyphens/>
              <w:snapToGrid w:val="0"/>
              <w:rPr>
                <w:sz w:val="16"/>
                <w:lang w:val="en-US"/>
              </w:rPr>
            </w:pPr>
          </w:p>
        </w:tc>
        <w:tc>
          <w:tcPr>
            <w:tcW w:w="327" w:type="pct"/>
            <w:tcBorders>
              <w:top w:val="single" w:sz="4" w:space="0" w:color="auto"/>
              <w:left w:val="single" w:sz="4" w:space="0" w:color="auto"/>
              <w:bottom w:val="single" w:sz="4" w:space="0" w:color="auto"/>
              <w:right w:val="single" w:sz="4" w:space="0" w:color="auto"/>
            </w:tcBorders>
          </w:tcPr>
          <w:p w14:paraId="48FD183E" w14:textId="77777777" w:rsidR="002E275B" w:rsidRDefault="002E275B">
            <w:pPr>
              <w:suppressAutoHyphens/>
              <w:snapToGrid w:val="0"/>
              <w:rPr>
                <w:sz w:val="16"/>
                <w:lang w:val="en-US"/>
              </w:rPr>
            </w:pPr>
          </w:p>
        </w:tc>
        <w:tc>
          <w:tcPr>
            <w:tcW w:w="328" w:type="pct"/>
            <w:tcBorders>
              <w:top w:val="single" w:sz="4" w:space="0" w:color="auto"/>
              <w:left w:val="single" w:sz="4" w:space="0" w:color="auto"/>
              <w:bottom w:val="single" w:sz="4" w:space="0" w:color="auto"/>
              <w:right w:val="single" w:sz="4" w:space="0" w:color="auto"/>
            </w:tcBorders>
          </w:tcPr>
          <w:p w14:paraId="3097E2A8" w14:textId="77777777" w:rsidR="002E275B" w:rsidRDefault="002E275B">
            <w:pPr>
              <w:suppressAutoHyphens/>
              <w:snapToGrid w:val="0"/>
              <w:rPr>
                <w:sz w:val="16"/>
                <w:lang w:val="en-US"/>
              </w:rPr>
            </w:pPr>
          </w:p>
        </w:tc>
        <w:tc>
          <w:tcPr>
            <w:tcW w:w="327" w:type="pct"/>
            <w:tcBorders>
              <w:top w:val="single" w:sz="4" w:space="0" w:color="auto"/>
              <w:left w:val="single" w:sz="4" w:space="0" w:color="auto"/>
              <w:bottom w:val="single" w:sz="4" w:space="0" w:color="auto"/>
              <w:right w:val="single" w:sz="4" w:space="0" w:color="auto"/>
            </w:tcBorders>
          </w:tcPr>
          <w:p w14:paraId="4DDF2298" w14:textId="77777777" w:rsidR="002E275B" w:rsidRDefault="002E275B">
            <w:pPr>
              <w:suppressAutoHyphens/>
              <w:snapToGrid w:val="0"/>
              <w:rPr>
                <w:sz w:val="16"/>
                <w:lang w:val="en-US"/>
              </w:rPr>
            </w:pPr>
          </w:p>
        </w:tc>
        <w:tc>
          <w:tcPr>
            <w:tcW w:w="327" w:type="pct"/>
            <w:tcBorders>
              <w:top w:val="single" w:sz="4" w:space="0" w:color="auto"/>
              <w:left w:val="single" w:sz="4" w:space="0" w:color="auto"/>
              <w:bottom w:val="single" w:sz="4" w:space="0" w:color="auto"/>
              <w:right w:val="single" w:sz="4" w:space="0" w:color="auto"/>
            </w:tcBorders>
          </w:tcPr>
          <w:p w14:paraId="043EF9B7" w14:textId="77777777" w:rsidR="002E275B" w:rsidRDefault="002E275B">
            <w:pPr>
              <w:suppressAutoHyphens/>
              <w:snapToGrid w:val="0"/>
              <w:rPr>
                <w:sz w:val="16"/>
                <w:lang w:val="en-US"/>
              </w:rPr>
            </w:pPr>
          </w:p>
        </w:tc>
        <w:tc>
          <w:tcPr>
            <w:tcW w:w="329" w:type="pct"/>
            <w:tcBorders>
              <w:top w:val="single" w:sz="4" w:space="0" w:color="auto"/>
              <w:left w:val="single" w:sz="4" w:space="0" w:color="auto"/>
              <w:bottom w:val="single" w:sz="4" w:space="0" w:color="auto"/>
              <w:right w:val="single" w:sz="4" w:space="0" w:color="auto"/>
            </w:tcBorders>
          </w:tcPr>
          <w:p w14:paraId="7EFE8272" w14:textId="77777777" w:rsidR="002E275B" w:rsidRDefault="002E275B">
            <w:pPr>
              <w:suppressAutoHyphens/>
              <w:snapToGrid w:val="0"/>
              <w:rPr>
                <w:sz w:val="16"/>
                <w:lang w:val="en-US"/>
              </w:rPr>
            </w:pPr>
          </w:p>
        </w:tc>
        <w:tc>
          <w:tcPr>
            <w:tcW w:w="327" w:type="pct"/>
            <w:tcBorders>
              <w:top w:val="single" w:sz="4" w:space="0" w:color="auto"/>
              <w:left w:val="single" w:sz="4" w:space="0" w:color="auto"/>
              <w:bottom w:val="single" w:sz="4" w:space="0" w:color="auto"/>
              <w:right w:val="single" w:sz="4" w:space="0" w:color="auto"/>
            </w:tcBorders>
          </w:tcPr>
          <w:p w14:paraId="04DF4CA0" w14:textId="77777777" w:rsidR="002E275B" w:rsidRDefault="002E275B">
            <w:pPr>
              <w:suppressAutoHyphens/>
              <w:snapToGrid w:val="0"/>
              <w:rPr>
                <w:sz w:val="16"/>
                <w:lang w:val="en-US"/>
              </w:rPr>
            </w:pPr>
          </w:p>
        </w:tc>
        <w:tc>
          <w:tcPr>
            <w:tcW w:w="329" w:type="pct"/>
            <w:tcBorders>
              <w:top w:val="single" w:sz="4" w:space="0" w:color="auto"/>
              <w:left w:val="single" w:sz="4" w:space="0" w:color="auto"/>
              <w:bottom w:val="single" w:sz="4" w:space="0" w:color="auto"/>
              <w:right w:val="single" w:sz="4" w:space="0" w:color="auto"/>
            </w:tcBorders>
          </w:tcPr>
          <w:p w14:paraId="058B3752" w14:textId="77777777" w:rsidR="002E275B" w:rsidRDefault="002E275B">
            <w:pPr>
              <w:suppressAutoHyphens/>
              <w:snapToGrid w:val="0"/>
              <w:rPr>
                <w:sz w:val="16"/>
                <w:lang w:val="en-US"/>
              </w:rPr>
            </w:pPr>
          </w:p>
        </w:tc>
        <w:tc>
          <w:tcPr>
            <w:tcW w:w="327" w:type="pct"/>
            <w:tcBorders>
              <w:top w:val="single" w:sz="4" w:space="0" w:color="auto"/>
              <w:left w:val="single" w:sz="4" w:space="0" w:color="auto"/>
              <w:bottom w:val="single" w:sz="4" w:space="0" w:color="auto"/>
              <w:right w:val="single" w:sz="4" w:space="0" w:color="auto"/>
            </w:tcBorders>
          </w:tcPr>
          <w:p w14:paraId="48D60A2C" w14:textId="77777777" w:rsidR="002E275B" w:rsidRDefault="002E275B">
            <w:pPr>
              <w:suppressAutoHyphens/>
              <w:snapToGrid w:val="0"/>
              <w:rPr>
                <w:sz w:val="16"/>
                <w:lang w:val="en-US"/>
              </w:rPr>
            </w:pPr>
          </w:p>
        </w:tc>
        <w:tc>
          <w:tcPr>
            <w:tcW w:w="328" w:type="pct"/>
            <w:tcBorders>
              <w:top w:val="single" w:sz="4" w:space="0" w:color="auto"/>
              <w:left w:val="single" w:sz="4" w:space="0" w:color="auto"/>
              <w:bottom w:val="single" w:sz="4" w:space="0" w:color="auto"/>
              <w:right w:val="single" w:sz="4" w:space="0" w:color="auto"/>
            </w:tcBorders>
          </w:tcPr>
          <w:p w14:paraId="56511B77" w14:textId="77777777" w:rsidR="002E275B" w:rsidRDefault="002E275B">
            <w:pPr>
              <w:suppressAutoHyphens/>
              <w:snapToGrid w:val="0"/>
              <w:rPr>
                <w:sz w:val="16"/>
                <w:lang w:val="en-US"/>
              </w:rPr>
            </w:pPr>
          </w:p>
        </w:tc>
      </w:tr>
    </w:tbl>
    <w:p w14:paraId="509B1564" w14:textId="77777777" w:rsidR="004714B4" w:rsidRPr="003D398D" w:rsidRDefault="004714B4" w:rsidP="004714B4">
      <w:pPr>
        <w:ind w:left="851"/>
        <w:rPr>
          <w:i/>
          <w:sz w:val="20"/>
          <w:szCs w:val="20"/>
          <w:lang w:val="lv-LV"/>
        </w:rPr>
      </w:pPr>
      <w:r w:rsidRPr="003D398D">
        <w:rPr>
          <w:i/>
          <w:sz w:val="20"/>
          <w:szCs w:val="20"/>
          <w:lang w:val="lv-LV"/>
        </w:rPr>
        <w:t>Avots: CSP</w:t>
      </w:r>
    </w:p>
    <w:p w14:paraId="68906B67" w14:textId="77777777" w:rsidR="00820C75" w:rsidRDefault="00820C75">
      <w:pPr>
        <w:rPr>
          <w:sz w:val="16"/>
          <w:lang w:val="en-US"/>
        </w:rPr>
      </w:pPr>
    </w:p>
    <w:p w14:paraId="07753E11" w14:textId="77777777" w:rsidR="00820C75" w:rsidRDefault="00820C75">
      <w:pPr>
        <w:jc w:val="both"/>
        <w:rPr>
          <w:lang w:val="en-US"/>
        </w:rPr>
      </w:pPr>
      <w:r>
        <w:rPr>
          <w:sz w:val="16"/>
          <w:lang w:val="lv-LV"/>
        </w:rPr>
        <w:t xml:space="preserve">* Šīs biomasas kategorijas definīcija jāsaprot atbilstoši 4.6.1. daļas 7. tabulai Komisijas Lēmumā C (2009) 5174, galīgā redakcija, ar ko izveido paraugu valsts rīcības plāniem atjaunojamo </w:t>
      </w:r>
      <w:proofErr w:type="spellStart"/>
      <w:r>
        <w:rPr>
          <w:sz w:val="16"/>
          <w:lang w:val="lv-LV"/>
        </w:rPr>
        <w:t>energoavotu</w:t>
      </w:r>
      <w:proofErr w:type="spellEnd"/>
      <w:r>
        <w:rPr>
          <w:sz w:val="16"/>
          <w:lang w:val="lv-LV"/>
        </w:rPr>
        <w:t xml:space="preserve"> jomā atbilstoši Direktīvai 2009/28/EK.</w:t>
      </w:r>
      <w:r>
        <w:rPr>
          <w:sz w:val="16"/>
          <w:lang w:val="en-US"/>
        </w:rPr>
        <w:tab/>
      </w:r>
    </w:p>
    <w:p w14:paraId="37DAB804" w14:textId="77777777" w:rsidR="008255C2" w:rsidRDefault="008255C2">
      <w:pPr>
        <w:jc w:val="center"/>
        <w:rPr>
          <w:lang w:val="en-US"/>
        </w:rPr>
      </w:pPr>
    </w:p>
    <w:p w14:paraId="5CD240E0" w14:textId="77777777" w:rsidR="00820C75" w:rsidRDefault="00820C75">
      <w:pPr>
        <w:jc w:val="center"/>
        <w:rPr>
          <w:i/>
        </w:rPr>
      </w:pPr>
      <w:r>
        <w:rPr>
          <w:b/>
          <w:i/>
          <w:sz w:val="20"/>
          <w:lang w:val="lv-LV"/>
        </w:rPr>
        <w:t>4.a tabula.</w:t>
      </w:r>
      <w:r>
        <w:rPr>
          <w:b/>
          <w:i/>
          <w:sz w:val="20"/>
        </w:rPr>
        <w:t xml:space="preserve"> </w:t>
      </w:r>
      <w:r>
        <w:rPr>
          <w:b/>
          <w:sz w:val="20"/>
          <w:lang w:val="lv-LV"/>
        </w:rPr>
        <w:t>Iekšzemes lauksaimniecības zemes izmantošana enerģijas kultūru audzēšanai (</w:t>
      </w:r>
      <w:r>
        <w:rPr>
          <w:b/>
          <w:i/>
          <w:sz w:val="20"/>
          <w:lang w:val="lv-LV"/>
        </w:rPr>
        <w:t>ha</w:t>
      </w:r>
      <w:r>
        <w:rPr>
          <w:b/>
          <w:sz w:val="20"/>
          <w:lang w:val="lv-LV"/>
        </w:rPr>
        <w:t>)</w:t>
      </w:r>
    </w:p>
    <w:p w14:paraId="090FBFE6" w14:textId="77777777" w:rsidR="00B312CE" w:rsidRDefault="00B312CE" w:rsidP="00B312CE">
      <w:pPr>
        <w:rPr>
          <w:sz w:val="20"/>
          <w:szCs w:val="20"/>
          <w:highlight w:val="yellow"/>
          <w:lang w:val="en-US"/>
        </w:rPr>
      </w:pPr>
    </w:p>
    <w:tbl>
      <w:tblPr>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6"/>
        <w:gridCol w:w="1276"/>
        <w:gridCol w:w="1260"/>
      </w:tblGrid>
      <w:tr w:rsidR="008473D4" w:rsidRPr="0055497B" w14:paraId="01DA03A4" w14:textId="77777777" w:rsidTr="00BA07AA">
        <w:trPr>
          <w:jc w:val="center"/>
        </w:trPr>
        <w:tc>
          <w:tcPr>
            <w:tcW w:w="6506" w:type="dxa"/>
            <w:shd w:val="clear" w:color="auto" w:fill="auto"/>
          </w:tcPr>
          <w:p w14:paraId="3C418AF5" w14:textId="77777777" w:rsidR="008473D4" w:rsidRPr="0055497B" w:rsidRDefault="008473D4" w:rsidP="00BA07AA">
            <w:pPr>
              <w:pStyle w:val="CM4"/>
              <w:suppressAutoHyphens/>
              <w:spacing w:before="60" w:after="60"/>
              <w:rPr>
                <w:rFonts w:ascii="Times New Roman" w:hAnsi="Times New Roman"/>
                <w:b/>
                <w:sz w:val="16"/>
                <w:szCs w:val="16"/>
                <w:lang w:val="lv-LV"/>
              </w:rPr>
            </w:pPr>
            <w:r w:rsidRPr="0055497B">
              <w:rPr>
                <w:rFonts w:ascii="Times New Roman" w:hAnsi="Times New Roman"/>
                <w:b/>
                <w:sz w:val="16"/>
                <w:szCs w:val="16"/>
                <w:lang w:val="lv-LV"/>
              </w:rPr>
              <w:t>Zemes izmantojums</w:t>
            </w:r>
          </w:p>
        </w:tc>
        <w:tc>
          <w:tcPr>
            <w:tcW w:w="2536" w:type="dxa"/>
            <w:gridSpan w:val="2"/>
            <w:shd w:val="clear" w:color="auto" w:fill="E6E6E6"/>
          </w:tcPr>
          <w:p w14:paraId="397CBFE2" w14:textId="77777777" w:rsidR="008473D4" w:rsidRPr="0055497B" w:rsidRDefault="008473D4" w:rsidP="00C80170">
            <w:pPr>
              <w:pStyle w:val="CM4"/>
              <w:suppressAutoHyphens/>
              <w:spacing w:before="60" w:after="60"/>
              <w:jc w:val="center"/>
              <w:rPr>
                <w:rFonts w:ascii="Times New Roman" w:hAnsi="Times New Roman"/>
                <w:b/>
                <w:sz w:val="16"/>
                <w:szCs w:val="16"/>
                <w:lang w:val="lv-LV"/>
              </w:rPr>
            </w:pPr>
            <w:r w:rsidRPr="0055497B">
              <w:rPr>
                <w:rFonts w:ascii="Times New Roman" w:hAnsi="Times New Roman"/>
                <w:b/>
                <w:sz w:val="16"/>
                <w:szCs w:val="16"/>
                <w:lang w:val="lv-LV"/>
              </w:rPr>
              <w:t>Platība (</w:t>
            </w:r>
            <w:r w:rsidRPr="0055497B">
              <w:rPr>
                <w:rFonts w:ascii="Times New Roman" w:hAnsi="Times New Roman"/>
                <w:b/>
                <w:i/>
                <w:sz w:val="16"/>
                <w:szCs w:val="16"/>
                <w:lang w:val="lv-LV"/>
              </w:rPr>
              <w:t>ha</w:t>
            </w:r>
            <w:r w:rsidRPr="0055497B">
              <w:rPr>
                <w:rFonts w:ascii="Times New Roman" w:hAnsi="Times New Roman"/>
                <w:b/>
                <w:sz w:val="16"/>
                <w:szCs w:val="16"/>
                <w:lang w:val="lv-LV"/>
              </w:rPr>
              <w:t>)</w:t>
            </w:r>
          </w:p>
        </w:tc>
      </w:tr>
      <w:tr w:rsidR="008473D4" w:rsidRPr="0055497B" w14:paraId="48E818FE" w14:textId="77777777" w:rsidTr="00BA07AA">
        <w:trPr>
          <w:jc w:val="center"/>
        </w:trPr>
        <w:tc>
          <w:tcPr>
            <w:tcW w:w="6506" w:type="dxa"/>
            <w:shd w:val="clear" w:color="auto" w:fill="auto"/>
          </w:tcPr>
          <w:p w14:paraId="23CA6972" w14:textId="77777777" w:rsidR="008473D4" w:rsidRPr="0055497B" w:rsidRDefault="008473D4" w:rsidP="00BA07AA">
            <w:pPr>
              <w:pStyle w:val="CM4"/>
              <w:suppressAutoHyphens/>
              <w:spacing w:before="60" w:after="60"/>
              <w:rPr>
                <w:rFonts w:ascii="Times New Roman" w:hAnsi="Times New Roman"/>
                <w:b/>
                <w:sz w:val="16"/>
                <w:szCs w:val="16"/>
                <w:lang w:val="lv-LV"/>
              </w:rPr>
            </w:pPr>
          </w:p>
        </w:tc>
        <w:tc>
          <w:tcPr>
            <w:tcW w:w="1276" w:type="dxa"/>
            <w:shd w:val="clear" w:color="auto" w:fill="E6E6E6"/>
          </w:tcPr>
          <w:p w14:paraId="273BFD1B" w14:textId="77777777" w:rsidR="008473D4" w:rsidRPr="0055497B" w:rsidRDefault="008473D4" w:rsidP="00C80170">
            <w:pPr>
              <w:pStyle w:val="CM4"/>
              <w:suppressAutoHyphens/>
              <w:spacing w:before="60" w:after="60"/>
              <w:jc w:val="center"/>
              <w:rPr>
                <w:rFonts w:ascii="Times New Roman" w:hAnsi="Times New Roman"/>
                <w:sz w:val="16"/>
                <w:szCs w:val="16"/>
                <w:lang w:val="lv-LV"/>
              </w:rPr>
            </w:pPr>
            <w:r w:rsidRPr="0055497B">
              <w:rPr>
                <w:rFonts w:ascii="Times New Roman" w:hAnsi="Times New Roman"/>
                <w:b/>
                <w:sz w:val="16"/>
                <w:szCs w:val="16"/>
                <w:lang w:val="lv-LV"/>
              </w:rPr>
              <w:t>2011</w:t>
            </w:r>
          </w:p>
        </w:tc>
        <w:tc>
          <w:tcPr>
            <w:tcW w:w="1260" w:type="dxa"/>
            <w:shd w:val="clear" w:color="auto" w:fill="E6E6E6"/>
          </w:tcPr>
          <w:p w14:paraId="4369B240" w14:textId="77777777" w:rsidR="008473D4" w:rsidRPr="0055497B" w:rsidRDefault="008473D4" w:rsidP="00C80170">
            <w:pPr>
              <w:pStyle w:val="CM4"/>
              <w:suppressAutoHyphens/>
              <w:spacing w:before="60" w:after="60"/>
              <w:jc w:val="center"/>
              <w:rPr>
                <w:rFonts w:ascii="Times New Roman" w:hAnsi="Times New Roman"/>
                <w:sz w:val="16"/>
                <w:szCs w:val="16"/>
                <w:lang w:val="lv-LV"/>
              </w:rPr>
            </w:pPr>
            <w:r w:rsidRPr="0055497B">
              <w:rPr>
                <w:rFonts w:ascii="Times New Roman" w:hAnsi="Times New Roman"/>
                <w:b/>
                <w:sz w:val="16"/>
                <w:szCs w:val="16"/>
                <w:lang w:val="lv-LV"/>
              </w:rPr>
              <w:t>2012</w:t>
            </w:r>
          </w:p>
        </w:tc>
      </w:tr>
      <w:tr w:rsidR="008473D4" w:rsidRPr="0055497B" w14:paraId="65811F24" w14:textId="77777777" w:rsidTr="00BA07AA">
        <w:trPr>
          <w:jc w:val="center"/>
        </w:trPr>
        <w:tc>
          <w:tcPr>
            <w:tcW w:w="6506" w:type="dxa"/>
            <w:shd w:val="clear" w:color="auto" w:fill="auto"/>
          </w:tcPr>
          <w:p w14:paraId="0B1396A7" w14:textId="77777777" w:rsidR="008473D4" w:rsidRPr="0055497B" w:rsidRDefault="008473D4" w:rsidP="00BA07AA">
            <w:pPr>
              <w:pStyle w:val="CM4"/>
              <w:suppressAutoHyphens/>
              <w:spacing w:before="60" w:after="60"/>
              <w:rPr>
                <w:rFonts w:ascii="Times New Roman" w:hAnsi="Times New Roman"/>
                <w:sz w:val="16"/>
                <w:szCs w:val="16"/>
                <w:lang w:val="lv-LV"/>
              </w:rPr>
            </w:pPr>
            <w:r w:rsidRPr="0055497B">
              <w:rPr>
                <w:rFonts w:ascii="Times New Roman" w:hAnsi="Times New Roman"/>
                <w:sz w:val="16"/>
                <w:szCs w:val="16"/>
                <w:lang w:val="lv-LV"/>
              </w:rPr>
              <w:t xml:space="preserve">1. Zeme, ko aizņem parastie laukaugi (kvieši, cukurbietes </w:t>
            </w:r>
            <w:proofErr w:type="spellStart"/>
            <w:r w:rsidRPr="0055497B">
              <w:rPr>
                <w:rFonts w:ascii="Times New Roman" w:hAnsi="Times New Roman"/>
                <w:sz w:val="16"/>
                <w:szCs w:val="16"/>
                <w:lang w:val="lv-LV"/>
              </w:rPr>
              <w:t>utt</w:t>
            </w:r>
            <w:proofErr w:type="spellEnd"/>
            <w:r w:rsidRPr="0055497B">
              <w:rPr>
                <w:rFonts w:ascii="Times New Roman" w:hAnsi="Times New Roman"/>
                <w:sz w:val="16"/>
                <w:szCs w:val="16"/>
                <w:lang w:val="lv-LV"/>
              </w:rPr>
              <w:t xml:space="preserve">.) un eļļas augi (rapši, saulespuķes </w:t>
            </w:r>
            <w:proofErr w:type="spellStart"/>
            <w:r w:rsidRPr="0055497B">
              <w:rPr>
                <w:rFonts w:ascii="Times New Roman" w:hAnsi="Times New Roman"/>
                <w:sz w:val="16"/>
                <w:szCs w:val="16"/>
                <w:lang w:val="lv-LV"/>
              </w:rPr>
              <w:t>utt</w:t>
            </w:r>
            <w:proofErr w:type="spellEnd"/>
            <w:r w:rsidRPr="0055497B">
              <w:rPr>
                <w:rFonts w:ascii="Times New Roman" w:hAnsi="Times New Roman"/>
                <w:sz w:val="16"/>
                <w:szCs w:val="16"/>
                <w:lang w:val="lv-LV"/>
              </w:rPr>
              <w:t>.) (norādīt galvenos veidus)</w:t>
            </w:r>
          </w:p>
        </w:tc>
        <w:tc>
          <w:tcPr>
            <w:tcW w:w="1276" w:type="dxa"/>
            <w:shd w:val="clear" w:color="auto" w:fill="auto"/>
          </w:tcPr>
          <w:p w14:paraId="098737FF" w14:textId="77777777" w:rsidR="008473D4" w:rsidRPr="0055497B" w:rsidRDefault="008473D4" w:rsidP="00BA07AA">
            <w:pPr>
              <w:pStyle w:val="CM4"/>
              <w:suppressAutoHyphens/>
              <w:spacing w:before="60" w:after="60"/>
              <w:rPr>
                <w:rFonts w:ascii="Times New Roman" w:hAnsi="Times New Roman"/>
                <w:sz w:val="16"/>
                <w:szCs w:val="16"/>
                <w:lang w:val="lv-LV"/>
              </w:rPr>
            </w:pPr>
            <w:r w:rsidRPr="0055497B">
              <w:rPr>
                <w:rFonts w:ascii="Times New Roman" w:hAnsi="Times New Roman"/>
                <w:sz w:val="16"/>
                <w:szCs w:val="16"/>
                <w:lang w:val="lv-LV"/>
              </w:rPr>
              <w:t>650 874.06*</w:t>
            </w:r>
          </w:p>
        </w:tc>
        <w:tc>
          <w:tcPr>
            <w:tcW w:w="1260" w:type="dxa"/>
            <w:shd w:val="clear" w:color="auto" w:fill="auto"/>
          </w:tcPr>
          <w:p w14:paraId="237BF560" w14:textId="77777777" w:rsidR="008473D4" w:rsidRPr="0055497B" w:rsidRDefault="008473D4" w:rsidP="00BA07AA">
            <w:pPr>
              <w:pStyle w:val="CM4"/>
              <w:suppressAutoHyphens/>
              <w:spacing w:before="60" w:after="60"/>
              <w:rPr>
                <w:rFonts w:ascii="Times New Roman" w:hAnsi="Times New Roman"/>
                <w:sz w:val="16"/>
                <w:szCs w:val="16"/>
                <w:lang w:val="lv-LV"/>
              </w:rPr>
            </w:pPr>
            <w:r w:rsidRPr="0055497B">
              <w:rPr>
                <w:rFonts w:ascii="Times New Roman" w:hAnsi="Times New Roman"/>
                <w:sz w:val="16"/>
                <w:szCs w:val="16"/>
                <w:lang w:val="lv-LV"/>
              </w:rPr>
              <w:t>693 424.25*</w:t>
            </w:r>
          </w:p>
        </w:tc>
      </w:tr>
      <w:tr w:rsidR="008473D4" w:rsidRPr="0055497B" w14:paraId="28B5138D" w14:textId="77777777" w:rsidTr="00BA07AA">
        <w:trPr>
          <w:jc w:val="center"/>
        </w:trPr>
        <w:tc>
          <w:tcPr>
            <w:tcW w:w="6506" w:type="dxa"/>
            <w:shd w:val="clear" w:color="auto" w:fill="auto"/>
          </w:tcPr>
          <w:p w14:paraId="25949BEB" w14:textId="77777777" w:rsidR="008473D4" w:rsidRPr="0055497B" w:rsidRDefault="008473D4" w:rsidP="00BA07AA">
            <w:pPr>
              <w:pStyle w:val="CM4"/>
              <w:suppressAutoHyphens/>
              <w:spacing w:before="60" w:after="60"/>
              <w:rPr>
                <w:rFonts w:ascii="Times New Roman" w:hAnsi="Times New Roman"/>
                <w:sz w:val="16"/>
                <w:szCs w:val="16"/>
                <w:lang w:val="lv-LV"/>
              </w:rPr>
            </w:pPr>
            <w:r w:rsidRPr="0055497B">
              <w:rPr>
                <w:rFonts w:ascii="Times New Roman" w:hAnsi="Times New Roman"/>
                <w:sz w:val="16"/>
                <w:szCs w:val="16"/>
                <w:lang w:val="lv-LV"/>
              </w:rPr>
              <w:t xml:space="preserve">2. Zeme, ko aizņem koki ar īsu cirtes apriti (vītoli, papeles) (norādīt galvenos veidus) </w:t>
            </w:r>
          </w:p>
        </w:tc>
        <w:tc>
          <w:tcPr>
            <w:tcW w:w="1276" w:type="dxa"/>
            <w:shd w:val="clear" w:color="auto" w:fill="auto"/>
          </w:tcPr>
          <w:p w14:paraId="512E592B" w14:textId="77777777" w:rsidR="008473D4" w:rsidRPr="0055497B" w:rsidRDefault="008473D4" w:rsidP="00BA07AA">
            <w:pPr>
              <w:pStyle w:val="CM4"/>
              <w:suppressAutoHyphens/>
              <w:spacing w:before="60" w:after="60"/>
              <w:jc w:val="right"/>
              <w:rPr>
                <w:rFonts w:ascii="Times New Roman" w:hAnsi="Times New Roman"/>
                <w:sz w:val="16"/>
                <w:szCs w:val="16"/>
                <w:lang w:val="lv-LV"/>
              </w:rPr>
            </w:pPr>
            <w:r w:rsidRPr="0055497B">
              <w:rPr>
                <w:rFonts w:ascii="Times New Roman" w:hAnsi="Times New Roman"/>
                <w:sz w:val="16"/>
                <w:szCs w:val="16"/>
                <w:lang w:val="lv-LV"/>
              </w:rPr>
              <w:t>209,38</w:t>
            </w:r>
          </w:p>
        </w:tc>
        <w:tc>
          <w:tcPr>
            <w:tcW w:w="1260" w:type="dxa"/>
            <w:shd w:val="clear" w:color="auto" w:fill="auto"/>
          </w:tcPr>
          <w:p w14:paraId="7A1F9571" w14:textId="77777777" w:rsidR="008473D4" w:rsidRPr="0055497B" w:rsidRDefault="008473D4" w:rsidP="00BA07AA">
            <w:pPr>
              <w:pStyle w:val="CM4"/>
              <w:suppressAutoHyphens/>
              <w:spacing w:before="60" w:after="60"/>
              <w:jc w:val="right"/>
              <w:rPr>
                <w:rFonts w:ascii="Times New Roman" w:hAnsi="Times New Roman"/>
                <w:sz w:val="16"/>
                <w:szCs w:val="16"/>
                <w:lang w:val="lv-LV"/>
              </w:rPr>
            </w:pPr>
            <w:r w:rsidRPr="0055497B">
              <w:rPr>
                <w:rFonts w:ascii="Times New Roman" w:hAnsi="Times New Roman"/>
                <w:sz w:val="16"/>
                <w:szCs w:val="16"/>
                <w:lang w:val="lv-LV"/>
              </w:rPr>
              <w:t>321,37</w:t>
            </w:r>
          </w:p>
        </w:tc>
      </w:tr>
      <w:tr w:rsidR="008473D4" w:rsidRPr="0055497B" w14:paraId="1D420F35" w14:textId="77777777" w:rsidTr="00BA07AA">
        <w:trPr>
          <w:jc w:val="center"/>
        </w:trPr>
        <w:tc>
          <w:tcPr>
            <w:tcW w:w="6506" w:type="dxa"/>
            <w:shd w:val="clear" w:color="auto" w:fill="auto"/>
            <w:vAlign w:val="bottom"/>
          </w:tcPr>
          <w:p w14:paraId="45BBD9AB" w14:textId="77777777" w:rsidR="008473D4" w:rsidRPr="0055497B" w:rsidRDefault="008473D4" w:rsidP="00BA07AA">
            <w:pPr>
              <w:rPr>
                <w:sz w:val="16"/>
                <w:szCs w:val="16"/>
                <w:lang w:val="lv-LV"/>
              </w:rPr>
            </w:pPr>
            <w:r w:rsidRPr="0055497B">
              <w:rPr>
                <w:sz w:val="16"/>
                <w:szCs w:val="16"/>
                <w:lang w:val="lv-LV"/>
              </w:rPr>
              <w:t>Apse</w:t>
            </w:r>
          </w:p>
        </w:tc>
        <w:tc>
          <w:tcPr>
            <w:tcW w:w="1276" w:type="dxa"/>
            <w:shd w:val="clear" w:color="auto" w:fill="auto"/>
            <w:vAlign w:val="bottom"/>
          </w:tcPr>
          <w:p w14:paraId="529A5FF8" w14:textId="77777777" w:rsidR="008473D4" w:rsidRPr="0055497B" w:rsidRDefault="008473D4" w:rsidP="00BA07AA">
            <w:pPr>
              <w:jc w:val="right"/>
              <w:rPr>
                <w:sz w:val="16"/>
                <w:szCs w:val="16"/>
                <w:lang w:val="lv-LV"/>
              </w:rPr>
            </w:pPr>
            <w:r w:rsidRPr="0055497B">
              <w:rPr>
                <w:sz w:val="16"/>
                <w:szCs w:val="16"/>
                <w:lang w:val="lv-LV"/>
              </w:rPr>
              <w:t>31,82</w:t>
            </w:r>
          </w:p>
        </w:tc>
        <w:tc>
          <w:tcPr>
            <w:tcW w:w="1260" w:type="dxa"/>
            <w:shd w:val="clear" w:color="auto" w:fill="auto"/>
            <w:vAlign w:val="bottom"/>
          </w:tcPr>
          <w:p w14:paraId="076087B0" w14:textId="77777777" w:rsidR="008473D4" w:rsidRPr="0055497B" w:rsidRDefault="008473D4" w:rsidP="00BA07AA">
            <w:pPr>
              <w:jc w:val="right"/>
              <w:rPr>
                <w:sz w:val="16"/>
                <w:szCs w:val="16"/>
                <w:lang w:val="lv-LV"/>
              </w:rPr>
            </w:pPr>
            <w:r w:rsidRPr="0055497B">
              <w:rPr>
                <w:sz w:val="16"/>
                <w:szCs w:val="16"/>
                <w:lang w:val="lv-LV"/>
              </w:rPr>
              <w:t>30,48</w:t>
            </w:r>
          </w:p>
        </w:tc>
      </w:tr>
      <w:tr w:rsidR="008473D4" w:rsidRPr="0055497B" w14:paraId="4E410168" w14:textId="77777777" w:rsidTr="00BA07AA">
        <w:trPr>
          <w:jc w:val="center"/>
        </w:trPr>
        <w:tc>
          <w:tcPr>
            <w:tcW w:w="6506" w:type="dxa"/>
            <w:shd w:val="clear" w:color="auto" w:fill="auto"/>
            <w:vAlign w:val="bottom"/>
          </w:tcPr>
          <w:p w14:paraId="0A4E1470" w14:textId="77777777" w:rsidR="008473D4" w:rsidRPr="0055497B" w:rsidRDefault="008473D4" w:rsidP="00BA07AA">
            <w:pPr>
              <w:rPr>
                <w:sz w:val="16"/>
                <w:szCs w:val="16"/>
                <w:lang w:val="lv-LV"/>
              </w:rPr>
            </w:pPr>
            <w:r w:rsidRPr="0055497B">
              <w:rPr>
                <w:sz w:val="16"/>
                <w:szCs w:val="16"/>
                <w:lang w:val="lv-LV"/>
              </w:rPr>
              <w:t>Kārkls</w:t>
            </w:r>
          </w:p>
        </w:tc>
        <w:tc>
          <w:tcPr>
            <w:tcW w:w="1276" w:type="dxa"/>
            <w:shd w:val="clear" w:color="auto" w:fill="auto"/>
            <w:vAlign w:val="bottom"/>
          </w:tcPr>
          <w:p w14:paraId="7072B84B" w14:textId="77777777" w:rsidR="008473D4" w:rsidRPr="0055497B" w:rsidRDefault="008473D4" w:rsidP="00BA07AA">
            <w:pPr>
              <w:jc w:val="right"/>
              <w:rPr>
                <w:sz w:val="16"/>
                <w:szCs w:val="16"/>
                <w:lang w:val="lv-LV"/>
              </w:rPr>
            </w:pPr>
            <w:r w:rsidRPr="0055497B">
              <w:rPr>
                <w:sz w:val="16"/>
                <w:szCs w:val="16"/>
                <w:lang w:val="lv-LV"/>
              </w:rPr>
              <w:t>160,04</w:t>
            </w:r>
          </w:p>
        </w:tc>
        <w:tc>
          <w:tcPr>
            <w:tcW w:w="1260" w:type="dxa"/>
            <w:shd w:val="clear" w:color="auto" w:fill="auto"/>
            <w:vAlign w:val="bottom"/>
          </w:tcPr>
          <w:p w14:paraId="7C150A81" w14:textId="77777777" w:rsidR="008473D4" w:rsidRPr="0055497B" w:rsidRDefault="008473D4" w:rsidP="00BA07AA">
            <w:pPr>
              <w:jc w:val="right"/>
              <w:rPr>
                <w:sz w:val="16"/>
                <w:szCs w:val="16"/>
                <w:lang w:val="lv-LV"/>
              </w:rPr>
            </w:pPr>
            <w:r w:rsidRPr="0055497B">
              <w:rPr>
                <w:sz w:val="16"/>
                <w:szCs w:val="16"/>
                <w:lang w:val="lv-LV"/>
              </w:rPr>
              <w:t>288,04</w:t>
            </w:r>
          </w:p>
        </w:tc>
      </w:tr>
      <w:tr w:rsidR="008473D4" w:rsidRPr="0055497B" w14:paraId="3F6643B4" w14:textId="77777777" w:rsidTr="00BA07AA">
        <w:trPr>
          <w:jc w:val="center"/>
        </w:trPr>
        <w:tc>
          <w:tcPr>
            <w:tcW w:w="6506" w:type="dxa"/>
            <w:shd w:val="clear" w:color="auto" w:fill="auto"/>
            <w:vAlign w:val="bottom"/>
          </w:tcPr>
          <w:p w14:paraId="2EDFC714" w14:textId="77777777" w:rsidR="008473D4" w:rsidRPr="0055497B" w:rsidRDefault="008473D4" w:rsidP="00BA07AA">
            <w:pPr>
              <w:rPr>
                <w:sz w:val="16"/>
                <w:szCs w:val="16"/>
                <w:lang w:val="lv-LV"/>
              </w:rPr>
            </w:pPr>
            <w:r w:rsidRPr="0055497B">
              <w:rPr>
                <w:sz w:val="16"/>
                <w:szCs w:val="16"/>
                <w:lang w:val="lv-LV"/>
              </w:rPr>
              <w:t>Baltalksnis</w:t>
            </w:r>
          </w:p>
        </w:tc>
        <w:tc>
          <w:tcPr>
            <w:tcW w:w="1276" w:type="dxa"/>
            <w:shd w:val="clear" w:color="auto" w:fill="auto"/>
            <w:vAlign w:val="bottom"/>
          </w:tcPr>
          <w:p w14:paraId="59E50B01" w14:textId="77777777" w:rsidR="008473D4" w:rsidRPr="0055497B" w:rsidRDefault="008473D4" w:rsidP="00BA07AA">
            <w:pPr>
              <w:jc w:val="right"/>
              <w:rPr>
                <w:sz w:val="16"/>
                <w:szCs w:val="16"/>
                <w:lang w:val="lv-LV"/>
              </w:rPr>
            </w:pPr>
            <w:r w:rsidRPr="0055497B">
              <w:rPr>
                <w:sz w:val="16"/>
                <w:szCs w:val="16"/>
                <w:lang w:val="lv-LV"/>
              </w:rPr>
              <w:t>17,52</w:t>
            </w:r>
          </w:p>
        </w:tc>
        <w:tc>
          <w:tcPr>
            <w:tcW w:w="1260" w:type="dxa"/>
            <w:shd w:val="clear" w:color="auto" w:fill="auto"/>
            <w:vAlign w:val="bottom"/>
          </w:tcPr>
          <w:p w14:paraId="42E3FCCE" w14:textId="77777777" w:rsidR="008473D4" w:rsidRPr="0055497B" w:rsidRDefault="008473D4" w:rsidP="00BA07AA">
            <w:pPr>
              <w:jc w:val="right"/>
              <w:rPr>
                <w:sz w:val="16"/>
                <w:szCs w:val="16"/>
                <w:lang w:val="lv-LV"/>
              </w:rPr>
            </w:pPr>
            <w:r w:rsidRPr="0055497B">
              <w:rPr>
                <w:sz w:val="16"/>
                <w:szCs w:val="16"/>
                <w:lang w:val="lv-LV"/>
              </w:rPr>
              <w:t>2,85</w:t>
            </w:r>
          </w:p>
        </w:tc>
      </w:tr>
      <w:tr w:rsidR="008473D4" w:rsidRPr="0055497B" w14:paraId="56690B23" w14:textId="77777777" w:rsidTr="00BA07AA">
        <w:trPr>
          <w:jc w:val="center"/>
        </w:trPr>
        <w:tc>
          <w:tcPr>
            <w:tcW w:w="6506" w:type="dxa"/>
            <w:shd w:val="clear" w:color="auto" w:fill="auto"/>
          </w:tcPr>
          <w:p w14:paraId="51401433" w14:textId="77777777" w:rsidR="008473D4" w:rsidRPr="0055497B" w:rsidRDefault="008473D4" w:rsidP="00BA07AA">
            <w:pPr>
              <w:suppressAutoHyphens/>
              <w:rPr>
                <w:sz w:val="16"/>
                <w:szCs w:val="16"/>
                <w:lang w:val="lv-LV"/>
              </w:rPr>
            </w:pPr>
            <w:r w:rsidRPr="0055497B">
              <w:rPr>
                <w:sz w:val="16"/>
                <w:szCs w:val="16"/>
                <w:lang w:val="lv-LV"/>
              </w:rPr>
              <w:t>3. Zeme, ko aizņem citas enerģijas kultūras, piemēram, zālaugi (</w:t>
            </w:r>
            <w:proofErr w:type="spellStart"/>
            <w:r w:rsidRPr="0055497B">
              <w:rPr>
                <w:sz w:val="16"/>
                <w:szCs w:val="16"/>
                <w:lang w:val="lv-LV"/>
              </w:rPr>
              <w:t>miežabrālis</w:t>
            </w:r>
            <w:proofErr w:type="spellEnd"/>
            <w:r w:rsidRPr="0055497B">
              <w:rPr>
                <w:sz w:val="16"/>
                <w:szCs w:val="16"/>
                <w:lang w:val="lv-LV"/>
              </w:rPr>
              <w:t xml:space="preserve">, klūdziņu prosa, </w:t>
            </w:r>
            <w:proofErr w:type="spellStart"/>
            <w:r w:rsidRPr="0055497B">
              <w:rPr>
                <w:sz w:val="16"/>
                <w:szCs w:val="16"/>
                <w:lang w:val="lv-LV"/>
              </w:rPr>
              <w:t>miskantes</w:t>
            </w:r>
            <w:proofErr w:type="spellEnd"/>
            <w:r w:rsidRPr="0055497B">
              <w:rPr>
                <w:sz w:val="16"/>
                <w:szCs w:val="16"/>
                <w:lang w:val="lv-LV"/>
              </w:rPr>
              <w:t>), sorgo (norādīt galvenos veidus)</w:t>
            </w:r>
          </w:p>
        </w:tc>
        <w:tc>
          <w:tcPr>
            <w:tcW w:w="1276" w:type="dxa"/>
            <w:shd w:val="clear" w:color="auto" w:fill="auto"/>
            <w:vAlign w:val="bottom"/>
          </w:tcPr>
          <w:p w14:paraId="2253D121" w14:textId="77777777" w:rsidR="008473D4" w:rsidRPr="0055497B" w:rsidRDefault="008473D4" w:rsidP="00BA07AA">
            <w:pPr>
              <w:jc w:val="right"/>
              <w:rPr>
                <w:sz w:val="16"/>
                <w:szCs w:val="16"/>
                <w:lang w:val="lv-LV"/>
              </w:rPr>
            </w:pPr>
            <w:r w:rsidRPr="0055497B">
              <w:rPr>
                <w:sz w:val="16"/>
                <w:szCs w:val="16"/>
                <w:lang w:val="lv-LV"/>
              </w:rPr>
              <w:t>884,94</w:t>
            </w:r>
          </w:p>
        </w:tc>
        <w:tc>
          <w:tcPr>
            <w:tcW w:w="1260" w:type="dxa"/>
            <w:shd w:val="clear" w:color="auto" w:fill="auto"/>
            <w:vAlign w:val="bottom"/>
          </w:tcPr>
          <w:p w14:paraId="048AA859" w14:textId="77777777" w:rsidR="008473D4" w:rsidRPr="0055497B" w:rsidRDefault="008473D4" w:rsidP="00BA07AA">
            <w:pPr>
              <w:jc w:val="right"/>
              <w:rPr>
                <w:sz w:val="16"/>
                <w:szCs w:val="16"/>
                <w:lang w:val="lv-LV"/>
              </w:rPr>
            </w:pPr>
            <w:r w:rsidRPr="0055497B">
              <w:rPr>
                <w:sz w:val="16"/>
                <w:szCs w:val="16"/>
                <w:lang w:val="lv-LV"/>
              </w:rPr>
              <w:t>1155,17</w:t>
            </w:r>
          </w:p>
        </w:tc>
      </w:tr>
      <w:tr w:rsidR="008473D4" w:rsidRPr="0055497B" w14:paraId="2DBB41DB" w14:textId="77777777" w:rsidTr="00BA07AA">
        <w:trPr>
          <w:jc w:val="center"/>
        </w:trPr>
        <w:tc>
          <w:tcPr>
            <w:tcW w:w="6506" w:type="dxa"/>
            <w:shd w:val="clear" w:color="auto" w:fill="auto"/>
            <w:vAlign w:val="bottom"/>
          </w:tcPr>
          <w:p w14:paraId="16DD2F62" w14:textId="01A76A9E" w:rsidR="008473D4" w:rsidRPr="0055497B" w:rsidRDefault="008473D4" w:rsidP="00BA07AA">
            <w:pPr>
              <w:rPr>
                <w:sz w:val="16"/>
                <w:szCs w:val="16"/>
                <w:lang w:val="lv-LV"/>
              </w:rPr>
            </w:pPr>
            <w:proofErr w:type="spellStart"/>
            <w:r w:rsidRPr="0055497B">
              <w:rPr>
                <w:sz w:val="16"/>
                <w:szCs w:val="16"/>
                <w:lang w:val="lv-LV"/>
              </w:rPr>
              <w:t>Miež</w:t>
            </w:r>
            <w:r w:rsidR="00B4389C">
              <w:rPr>
                <w:sz w:val="16"/>
                <w:szCs w:val="16"/>
                <w:lang w:val="lv-LV"/>
              </w:rPr>
              <w:t>a</w:t>
            </w:r>
            <w:r w:rsidRPr="0055497B">
              <w:rPr>
                <w:sz w:val="16"/>
                <w:szCs w:val="16"/>
                <w:lang w:val="lv-LV"/>
              </w:rPr>
              <w:t>brālis</w:t>
            </w:r>
            <w:proofErr w:type="spellEnd"/>
          </w:p>
        </w:tc>
        <w:tc>
          <w:tcPr>
            <w:tcW w:w="1276" w:type="dxa"/>
            <w:shd w:val="clear" w:color="auto" w:fill="auto"/>
            <w:vAlign w:val="bottom"/>
          </w:tcPr>
          <w:p w14:paraId="3E6F8B22" w14:textId="77777777" w:rsidR="008473D4" w:rsidRPr="0055497B" w:rsidRDefault="008473D4" w:rsidP="00BA07AA">
            <w:pPr>
              <w:jc w:val="right"/>
              <w:rPr>
                <w:sz w:val="16"/>
                <w:szCs w:val="16"/>
                <w:lang w:val="lv-LV"/>
              </w:rPr>
            </w:pPr>
            <w:r w:rsidRPr="0055497B">
              <w:rPr>
                <w:sz w:val="16"/>
                <w:szCs w:val="16"/>
                <w:lang w:val="lv-LV"/>
              </w:rPr>
              <w:t>826,08</w:t>
            </w:r>
          </w:p>
        </w:tc>
        <w:tc>
          <w:tcPr>
            <w:tcW w:w="1260" w:type="dxa"/>
            <w:shd w:val="clear" w:color="auto" w:fill="auto"/>
            <w:vAlign w:val="bottom"/>
          </w:tcPr>
          <w:p w14:paraId="58396A99" w14:textId="77777777" w:rsidR="008473D4" w:rsidRPr="0055497B" w:rsidRDefault="008473D4" w:rsidP="00BA07AA">
            <w:pPr>
              <w:jc w:val="right"/>
              <w:rPr>
                <w:sz w:val="16"/>
                <w:szCs w:val="16"/>
                <w:lang w:val="lv-LV"/>
              </w:rPr>
            </w:pPr>
            <w:r w:rsidRPr="0055497B">
              <w:rPr>
                <w:sz w:val="16"/>
                <w:szCs w:val="16"/>
                <w:lang w:val="lv-LV"/>
              </w:rPr>
              <w:t>1123,18</w:t>
            </w:r>
          </w:p>
        </w:tc>
      </w:tr>
      <w:tr w:rsidR="008473D4" w:rsidRPr="0055497B" w14:paraId="36D0BB9A" w14:textId="77777777" w:rsidTr="00BA07AA">
        <w:trPr>
          <w:jc w:val="center"/>
        </w:trPr>
        <w:tc>
          <w:tcPr>
            <w:tcW w:w="6506" w:type="dxa"/>
            <w:shd w:val="clear" w:color="auto" w:fill="auto"/>
            <w:vAlign w:val="bottom"/>
          </w:tcPr>
          <w:p w14:paraId="03DA32F9" w14:textId="77777777" w:rsidR="008473D4" w:rsidRPr="0055497B" w:rsidRDefault="008473D4" w:rsidP="00BA07AA">
            <w:pPr>
              <w:rPr>
                <w:sz w:val="16"/>
                <w:szCs w:val="16"/>
                <w:lang w:val="lv-LV"/>
              </w:rPr>
            </w:pPr>
            <w:proofErr w:type="spellStart"/>
            <w:r w:rsidRPr="0055497B">
              <w:rPr>
                <w:sz w:val="16"/>
                <w:szCs w:val="16"/>
                <w:lang w:val="lv-LV"/>
              </w:rPr>
              <w:t>Klūdziņprosa</w:t>
            </w:r>
            <w:proofErr w:type="spellEnd"/>
          </w:p>
        </w:tc>
        <w:tc>
          <w:tcPr>
            <w:tcW w:w="1276" w:type="dxa"/>
            <w:shd w:val="clear" w:color="auto" w:fill="auto"/>
            <w:vAlign w:val="bottom"/>
          </w:tcPr>
          <w:p w14:paraId="64E227B6" w14:textId="77777777" w:rsidR="008473D4" w:rsidRPr="0055497B" w:rsidRDefault="008473D4" w:rsidP="00BA07AA">
            <w:pPr>
              <w:jc w:val="right"/>
              <w:rPr>
                <w:sz w:val="16"/>
                <w:szCs w:val="16"/>
                <w:lang w:val="lv-LV"/>
              </w:rPr>
            </w:pPr>
            <w:r w:rsidRPr="0055497B">
              <w:rPr>
                <w:sz w:val="16"/>
                <w:szCs w:val="16"/>
                <w:lang w:val="lv-LV"/>
              </w:rPr>
              <w:t>58,86</w:t>
            </w:r>
          </w:p>
        </w:tc>
        <w:tc>
          <w:tcPr>
            <w:tcW w:w="1260" w:type="dxa"/>
            <w:shd w:val="clear" w:color="auto" w:fill="auto"/>
            <w:vAlign w:val="bottom"/>
          </w:tcPr>
          <w:p w14:paraId="531A663B" w14:textId="77777777" w:rsidR="008473D4" w:rsidRPr="0055497B" w:rsidRDefault="008473D4" w:rsidP="00BA07AA">
            <w:pPr>
              <w:jc w:val="right"/>
              <w:rPr>
                <w:sz w:val="16"/>
                <w:szCs w:val="16"/>
                <w:lang w:val="lv-LV"/>
              </w:rPr>
            </w:pPr>
            <w:r w:rsidRPr="0055497B">
              <w:rPr>
                <w:sz w:val="16"/>
                <w:szCs w:val="16"/>
                <w:lang w:val="lv-LV"/>
              </w:rPr>
              <w:t>31,99</w:t>
            </w:r>
          </w:p>
        </w:tc>
      </w:tr>
    </w:tbl>
    <w:p w14:paraId="00B9D871" w14:textId="77777777" w:rsidR="008473D4" w:rsidRPr="0055497B" w:rsidRDefault="008473D4" w:rsidP="008473D4">
      <w:pPr>
        <w:jc w:val="both"/>
        <w:rPr>
          <w:b/>
          <w:i/>
          <w:sz w:val="16"/>
          <w:szCs w:val="16"/>
          <w:lang w:val="lv-LV"/>
        </w:rPr>
      </w:pPr>
      <w:r w:rsidRPr="0055497B">
        <w:rPr>
          <w:b/>
          <w:i/>
          <w:sz w:val="16"/>
          <w:szCs w:val="16"/>
          <w:lang w:val="lv-LV"/>
        </w:rPr>
        <w:lastRenderedPageBreak/>
        <w:t>Piezīmes:</w:t>
      </w:r>
    </w:p>
    <w:p w14:paraId="74B12430" w14:textId="77777777" w:rsidR="008473D4" w:rsidRPr="0055497B" w:rsidRDefault="008473D4" w:rsidP="008473D4">
      <w:pPr>
        <w:jc w:val="both"/>
        <w:rPr>
          <w:i/>
          <w:sz w:val="16"/>
          <w:szCs w:val="16"/>
          <w:lang w:val="lv-LV"/>
        </w:rPr>
      </w:pPr>
      <w:r w:rsidRPr="0055497B">
        <w:rPr>
          <w:i/>
          <w:sz w:val="16"/>
          <w:szCs w:val="16"/>
          <w:lang w:val="lv-LV"/>
        </w:rPr>
        <w:t xml:space="preserve">* Tikai šo laukaugu kopējās </w:t>
      </w:r>
      <w:proofErr w:type="spellStart"/>
      <w:r w:rsidRPr="0055497B">
        <w:rPr>
          <w:i/>
          <w:sz w:val="16"/>
          <w:szCs w:val="16"/>
          <w:lang w:val="lv-LV"/>
        </w:rPr>
        <w:t>sējplatības</w:t>
      </w:r>
      <w:proofErr w:type="spellEnd"/>
      <w:r w:rsidRPr="0055497B">
        <w:rPr>
          <w:i/>
          <w:sz w:val="16"/>
          <w:szCs w:val="16"/>
          <w:lang w:val="lv-LV"/>
        </w:rPr>
        <w:t>: vasaras kvieši, ziemas kvieši, rudzi, vasaras mieži, ziemas mieži, auzas, tritikāle, griķi, kaņepes, vasaras rapsis, ziemas rapsis, šķiedras lini, eļļas lini, lauku pupas, zirņi, saldā lupīna, laukaugu maisījumi no iepriekš minētajām laukaugu kultūrām.</w:t>
      </w:r>
    </w:p>
    <w:p w14:paraId="4AC64E08" w14:textId="77777777" w:rsidR="003F24D6" w:rsidRDefault="003F24D6" w:rsidP="008473D4">
      <w:pPr>
        <w:jc w:val="both"/>
        <w:rPr>
          <w:i/>
          <w:sz w:val="16"/>
          <w:szCs w:val="16"/>
          <w:lang w:val="lv-LV"/>
        </w:rPr>
      </w:pPr>
      <w:r w:rsidRPr="0055497B">
        <w:rPr>
          <w:i/>
          <w:sz w:val="16"/>
          <w:szCs w:val="16"/>
          <w:lang w:val="lv-LV"/>
        </w:rPr>
        <w:t>Avots: Zemkopības ministrija</w:t>
      </w:r>
    </w:p>
    <w:p w14:paraId="03842BD3" w14:textId="77777777" w:rsidR="00B041A3" w:rsidRPr="00B041A3" w:rsidRDefault="00B041A3" w:rsidP="008473D4">
      <w:pPr>
        <w:jc w:val="both"/>
        <w:rPr>
          <w:i/>
          <w:sz w:val="20"/>
          <w:szCs w:val="16"/>
          <w:lang w:val="lv-LV"/>
        </w:rPr>
      </w:pPr>
    </w:p>
    <w:p w14:paraId="34AC7361" w14:textId="77777777" w:rsidR="00820C75" w:rsidRPr="00935562" w:rsidRDefault="00820C75" w:rsidP="00471DA1">
      <w:pPr>
        <w:pStyle w:val="Heading1"/>
        <w:numPr>
          <w:ilvl w:val="0"/>
          <w:numId w:val="0"/>
        </w:numPr>
        <w:jc w:val="center"/>
        <w:rPr>
          <w:smallCaps w:val="0"/>
          <w:sz w:val="28"/>
          <w:lang w:val="lv-LV"/>
        </w:rPr>
      </w:pPr>
      <w:bookmarkStart w:id="26" w:name="_Toc367196060"/>
      <w:bookmarkStart w:id="27" w:name="_Toc373229249"/>
      <w:r w:rsidRPr="00935562">
        <w:rPr>
          <w:smallCaps w:val="0"/>
          <w:sz w:val="28"/>
          <w:lang w:val="lv-LV"/>
        </w:rPr>
        <w:t xml:space="preserve">7. </w:t>
      </w:r>
      <w:r w:rsidR="00471DA1" w:rsidRPr="00935562">
        <w:rPr>
          <w:smallCaps w:val="0"/>
          <w:sz w:val="28"/>
          <w:lang w:val="lv-LV"/>
        </w:rPr>
        <w:t>I</w:t>
      </w:r>
      <w:r w:rsidRPr="00935562">
        <w:rPr>
          <w:smallCaps w:val="0"/>
          <w:sz w:val="28"/>
          <w:lang w:val="lv-LV"/>
        </w:rPr>
        <w:t>zejvielu cenu un zemes izmantošanas izmaiņ</w:t>
      </w:r>
      <w:r w:rsidR="00471DA1" w:rsidRPr="00935562">
        <w:rPr>
          <w:smallCaps w:val="0"/>
          <w:sz w:val="28"/>
          <w:lang w:val="lv-LV"/>
        </w:rPr>
        <w:t>as</w:t>
      </w:r>
      <w:r w:rsidRPr="00935562">
        <w:rPr>
          <w:smallCaps w:val="0"/>
          <w:sz w:val="28"/>
          <w:lang w:val="lv-LV"/>
        </w:rPr>
        <w:t>, kuras saistītas ar palielinātu biomasas un citu no atjaunojamajiem energoresursiem saražoto enerģijas veidu izmantošanu</w:t>
      </w:r>
      <w:bookmarkEnd w:id="26"/>
      <w:bookmarkEnd w:id="27"/>
    </w:p>
    <w:p w14:paraId="56D32E59" w14:textId="77777777" w:rsidR="00820C75" w:rsidRPr="00D6616C" w:rsidRDefault="00820C75">
      <w:pPr>
        <w:jc w:val="both"/>
        <w:rPr>
          <w:b/>
          <w:lang w:val="lv-LV"/>
        </w:rPr>
      </w:pPr>
    </w:p>
    <w:p w14:paraId="7EA5EB90" w14:textId="77777777" w:rsidR="00F7095C" w:rsidRPr="00F7095C" w:rsidRDefault="00F7095C" w:rsidP="00F7095C">
      <w:pPr>
        <w:pStyle w:val="Default"/>
        <w:ind w:firstLine="567"/>
        <w:jc w:val="both"/>
        <w:rPr>
          <w:color w:val="auto"/>
          <w:sz w:val="28"/>
          <w:szCs w:val="28"/>
        </w:rPr>
      </w:pPr>
      <w:r w:rsidRPr="00F7095C">
        <w:rPr>
          <w:color w:val="auto"/>
          <w:sz w:val="28"/>
          <w:szCs w:val="28"/>
        </w:rPr>
        <w:t xml:space="preserve">Pēdējo gadu laikā Latvija ir graudu un enerģētisko kultūraugu neto eksportētāja, un </w:t>
      </w:r>
      <w:proofErr w:type="spellStart"/>
      <w:r w:rsidRPr="00F7095C">
        <w:rPr>
          <w:color w:val="auto"/>
          <w:sz w:val="28"/>
          <w:szCs w:val="28"/>
        </w:rPr>
        <w:t>pašnodrošinājuma</w:t>
      </w:r>
      <w:proofErr w:type="spellEnd"/>
      <w:r w:rsidRPr="00F7095C">
        <w:rPr>
          <w:color w:val="auto"/>
          <w:sz w:val="28"/>
          <w:szCs w:val="28"/>
        </w:rPr>
        <w:t xml:space="preserve"> līmenis ir augsts. Tomēr, palielinoties enerģētisko kultūraugu ražošanas apjomiem, pārējo graudaugu ražošanas apjomi var samazināties. </w:t>
      </w:r>
    </w:p>
    <w:p w14:paraId="3E4AEE58" w14:textId="77777777" w:rsidR="00F7095C" w:rsidRDefault="00F7095C" w:rsidP="00F7095C">
      <w:pPr>
        <w:pStyle w:val="Default"/>
        <w:ind w:firstLine="567"/>
        <w:jc w:val="both"/>
        <w:rPr>
          <w:color w:val="auto"/>
          <w:sz w:val="28"/>
          <w:szCs w:val="28"/>
        </w:rPr>
      </w:pPr>
      <w:r w:rsidRPr="00F7095C">
        <w:rPr>
          <w:color w:val="auto"/>
          <w:sz w:val="28"/>
          <w:szCs w:val="28"/>
        </w:rPr>
        <w:t>Salīdzinot 2012.</w:t>
      </w:r>
      <w:r w:rsidR="00223A43">
        <w:rPr>
          <w:color w:val="auto"/>
          <w:sz w:val="28"/>
          <w:szCs w:val="28"/>
        </w:rPr>
        <w:t> </w:t>
      </w:r>
      <w:r w:rsidRPr="00F7095C">
        <w:rPr>
          <w:color w:val="auto"/>
          <w:sz w:val="28"/>
          <w:szCs w:val="28"/>
        </w:rPr>
        <w:t>gadu ar 2010.</w:t>
      </w:r>
      <w:r w:rsidR="00223A43">
        <w:rPr>
          <w:color w:val="auto"/>
          <w:sz w:val="28"/>
          <w:szCs w:val="28"/>
        </w:rPr>
        <w:t> </w:t>
      </w:r>
      <w:r w:rsidRPr="00F7095C">
        <w:rPr>
          <w:color w:val="auto"/>
          <w:sz w:val="28"/>
          <w:szCs w:val="28"/>
        </w:rPr>
        <w:t>gadu, novērojams straujš graudaugu cenu pieaugums – kopumā par 37%. Lopbarības graudu vidējais cenu pieaugums tajā pašā laika posmā ir bijis straujāks (</w:t>
      </w:r>
      <w:r w:rsidR="00223A43" w:rsidRPr="00F7095C">
        <w:rPr>
          <w:color w:val="auto"/>
          <w:sz w:val="28"/>
          <w:szCs w:val="28"/>
        </w:rPr>
        <w:t>+</w:t>
      </w:r>
      <w:r w:rsidRPr="00F7095C">
        <w:rPr>
          <w:color w:val="auto"/>
          <w:sz w:val="28"/>
          <w:szCs w:val="28"/>
        </w:rPr>
        <w:t>47%), nekā pārtikas graudu cenu kāpums (45%).</w:t>
      </w:r>
    </w:p>
    <w:p w14:paraId="5BA689B2" w14:textId="77777777" w:rsidR="001359B7" w:rsidRPr="001359B7" w:rsidRDefault="001359B7" w:rsidP="001359B7">
      <w:pPr>
        <w:ind w:firstLine="709"/>
        <w:jc w:val="both"/>
        <w:rPr>
          <w:snapToGrid/>
          <w:sz w:val="28"/>
          <w:szCs w:val="28"/>
          <w:lang w:val="lv-LV" w:eastAsia="lv-LV"/>
        </w:rPr>
      </w:pPr>
      <w:r w:rsidRPr="001359B7">
        <w:rPr>
          <w:snapToGrid/>
          <w:sz w:val="28"/>
          <w:szCs w:val="28"/>
          <w:lang w:val="lv-LV" w:eastAsia="lv-LV"/>
        </w:rPr>
        <w:t>Izejvielu cenu izmaiņas 20</w:t>
      </w:r>
      <w:r>
        <w:rPr>
          <w:snapToGrid/>
          <w:sz w:val="28"/>
          <w:szCs w:val="28"/>
          <w:lang w:val="lv-LV" w:eastAsia="lv-LV"/>
        </w:rPr>
        <w:t>11</w:t>
      </w:r>
      <w:r w:rsidRPr="001359B7">
        <w:rPr>
          <w:snapToGrid/>
          <w:sz w:val="28"/>
          <w:szCs w:val="28"/>
          <w:lang w:val="lv-LV" w:eastAsia="lv-LV"/>
        </w:rPr>
        <w:t>. un 201</w:t>
      </w:r>
      <w:r>
        <w:rPr>
          <w:snapToGrid/>
          <w:sz w:val="28"/>
          <w:szCs w:val="28"/>
          <w:lang w:val="lv-LV" w:eastAsia="lv-LV"/>
        </w:rPr>
        <w:t>2</w:t>
      </w:r>
      <w:r w:rsidRPr="001359B7">
        <w:rPr>
          <w:snapToGrid/>
          <w:sz w:val="28"/>
          <w:szCs w:val="28"/>
          <w:lang w:val="lv-LV" w:eastAsia="lv-LV"/>
        </w:rPr>
        <w:t>. gadā sniegtas 4.</w:t>
      </w:r>
      <w:r w:rsidR="003E6427">
        <w:rPr>
          <w:snapToGrid/>
          <w:sz w:val="28"/>
          <w:szCs w:val="28"/>
          <w:lang w:val="lv-LV" w:eastAsia="lv-LV"/>
        </w:rPr>
        <w:t>b</w:t>
      </w:r>
      <w:r w:rsidRPr="001359B7">
        <w:rPr>
          <w:snapToGrid/>
          <w:sz w:val="28"/>
          <w:szCs w:val="28"/>
          <w:lang w:val="lv-LV" w:eastAsia="lv-LV"/>
        </w:rPr>
        <w:t xml:space="preserve"> tabulā.</w:t>
      </w:r>
    </w:p>
    <w:p w14:paraId="1EFD68CD" w14:textId="77777777" w:rsidR="001359B7" w:rsidRPr="00C80170" w:rsidRDefault="001359B7" w:rsidP="001359B7">
      <w:pPr>
        <w:spacing w:before="60" w:after="60"/>
        <w:jc w:val="right"/>
        <w:rPr>
          <w:b/>
          <w:i/>
          <w:snapToGrid/>
          <w:sz w:val="20"/>
          <w:szCs w:val="28"/>
          <w:lang w:val="lv-LV" w:eastAsia="lv-LV"/>
        </w:rPr>
      </w:pPr>
      <w:r w:rsidRPr="00C80170">
        <w:rPr>
          <w:b/>
          <w:i/>
          <w:snapToGrid/>
          <w:sz w:val="20"/>
          <w:szCs w:val="28"/>
          <w:lang w:val="lv-LV" w:eastAsia="lv-LV"/>
        </w:rPr>
        <w:t>4.</w:t>
      </w:r>
      <w:r w:rsidR="003E6427" w:rsidRPr="00C80170">
        <w:rPr>
          <w:b/>
          <w:i/>
          <w:snapToGrid/>
          <w:sz w:val="20"/>
          <w:szCs w:val="28"/>
          <w:lang w:val="lv-LV" w:eastAsia="lv-LV"/>
        </w:rPr>
        <w:t>b</w:t>
      </w:r>
      <w:r w:rsidRPr="00C80170">
        <w:rPr>
          <w:b/>
          <w:i/>
          <w:snapToGrid/>
          <w:sz w:val="20"/>
          <w:szCs w:val="28"/>
          <w:lang w:val="lv-LV" w:eastAsia="lv-LV"/>
        </w:rPr>
        <w:t xml:space="preserve"> tabula</w:t>
      </w:r>
    </w:p>
    <w:p w14:paraId="7AAA52F7" w14:textId="77777777" w:rsidR="001359B7" w:rsidRPr="00C80170" w:rsidRDefault="001359B7" w:rsidP="001359B7">
      <w:pPr>
        <w:ind w:firstLine="709"/>
        <w:jc w:val="center"/>
        <w:rPr>
          <w:b/>
          <w:snapToGrid/>
          <w:sz w:val="20"/>
          <w:szCs w:val="20"/>
          <w:lang w:val="lv-LV" w:eastAsia="lv-LV"/>
        </w:rPr>
      </w:pPr>
      <w:r w:rsidRPr="00C80170">
        <w:rPr>
          <w:b/>
          <w:snapToGrid/>
          <w:sz w:val="20"/>
          <w:szCs w:val="20"/>
          <w:lang w:val="lv-LV" w:eastAsia="lv-LV"/>
        </w:rPr>
        <w:t>Lauksaimniecības produkcijas indeksi (salīdzināmajās cenās)</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41"/>
        <w:gridCol w:w="3005"/>
      </w:tblGrid>
      <w:tr w:rsidR="001359B7" w:rsidRPr="001359B7" w14:paraId="382EA7B8" w14:textId="77777777" w:rsidTr="009B2055">
        <w:tc>
          <w:tcPr>
            <w:tcW w:w="3369" w:type="dxa"/>
            <w:vMerge w:val="restart"/>
          </w:tcPr>
          <w:p w14:paraId="733DCD68" w14:textId="77777777" w:rsidR="001359B7" w:rsidRPr="00C80170" w:rsidRDefault="001359B7" w:rsidP="001359B7">
            <w:pPr>
              <w:jc w:val="both"/>
              <w:rPr>
                <w:snapToGrid/>
                <w:sz w:val="20"/>
                <w:szCs w:val="20"/>
                <w:lang w:val="lv-LV" w:eastAsia="lv-LV"/>
              </w:rPr>
            </w:pPr>
          </w:p>
        </w:tc>
        <w:tc>
          <w:tcPr>
            <w:tcW w:w="2941" w:type="dxa"/>
          </w:tcPr>
          <w:p w14:paraId="24FDFC67" w14:textId="77777777" w:rsidR="001359B7" w:rsidRPr="00C80170" w:rsidRDefault="001359B7" w:rsidP="001359B7">
            <w:pPr>
              <w:jc w:val="center"/>
              <w:rPr>
                <w:b/>
                <w:snapToGrid/>
                <w:sz w:val="20"/>
                <w:szCs w:val="20"/>
                <w:lang w:val="lv-LV" w:eastAsia="lv-LV"/>
              </w:rPr>
            </w:pPr>
            <w:r w:rsidRPr="00C80170">
              <w:rPr>
                <w:b/>
                <w:snapToGrid/>
                <w:sz w:val="20"/>
                <w:szCs w:val="20"/>
                <w:lang w:val="lv-LV" w:eastAsia="lv-LV"/>
              </w:rPr>
              <w:t>2011</w:t>
            </w:r>
          </w:p>
        </w:tc>
        <w:tc>
          <w:tcPr>
            <w:tcW w:w="3005" w:type="dxa"/>
          </w:tcPr>
          <w:p w14:paraId="3EC8CB5E" w14:textId="77777777" w:rsidR="001359B7" w:rsidRPr="00C80170" w:rsidRDefault="001359B7" w:rsidP="001359B7">
            <w:pPr>
              <w:jc w:val="center"/>
              <w:rPr>
                <w:b/>
                <w:snapToGrid/>
                <w:sz w:val="20"/>
                <w:szCs w:val="20"/>
                <w:lang w:val="lv-LV" w:eastAsia="lv-LV"/>
              </w:rPr>
            </w:pPr>
            <w:r w:rsidRPr="00C80170">
              <w:rPr>
                <w:b/>
                <w:snapToGrid/>
                <w:sz w:val="20"/>
                <w:szCs w:val="20"/>
                <w:lang w:val="lv-LV" w:eastAsia="lv-LV"/>
              </w:rPr>
              <w:t>2012</w:t>
            </w:r>
          </w:p>
        </w:tc>
      </w:tr>
      <w:tr w:rsidR="001359B7" w:rsidRPr="001359B7" w14:paraId="5A075B74" w14:textId="77777777" w:rsidTr="009B2055">
        <w:tc>
          <w:tcPr>
            <w:tcW w:w="3369" w:type="dxa"/>
            <w:vMerge/>
            <w:vAlign w:val="center"/>
          </w:tcPr>
          <w:p w14:paraId="70E51E20" w14:textId="77777777" w:rsidR="001359B7" w:rsidRPr="00C80170" w:rsidRDefault="001359B7" w:rsidP="001359B7">
            <w:pPr>
              <w:rPr>
                <w:snapToGrid/>
                <w:sz w:val="20"/>
                <w:szCs w:val="20"/>
                <w:lang w:val="lv-LV" w:eastAsia="lv-LV"/>
              </w:rPr>
            </w:pPr>
          </w:p>
        </w:tc>
        <w:tc>
          <w:tcPr>
            <w:tcW w:w="2941" w:type="dxa"/>
          </w:tcPr>
          <w:p w14:paraId="20C19B20" w14:textId="77777777" w:rsidR="001359B7" w:rsidRPr="00C80170" w:rsidRDefault="001359B7" w:rsidP="001359B7">
            <w:pPr>
              <w:jc w:val="center"/>
              <w:rPr>
                <w:snapToGrid/>
                <w:sz w:val="20"/>
                <w:szCs w:val="20"/>
                <w:lang w:val="lv-LV" w:eastAsia="lv-LV"/>
              </w:rPr>
            </w:pPr>
            <w:r w:rsidRPr="00C80170">
              <w:rPr>
                <w:snapToGrid/>
                <w:sz w:val="20"/>
                <w:szCs w:val="20"/>
                <w:lang w:val="lv-LV" w:eastAsia="lv-LV"/>
              </w:rPr>
              <w:t>% pret iepriekšējo gadu</w:t>
            </w:r>
          </w:p>
        </w:tc>
        <w:tc>
          <w:tcPr>
            <w:tcW w:w="3005" w:type="dxa"/>
          </w:tcPr>
          <w:p w14:paraId="3E68EAE0" w14:textId="77777777" w:rsidR="001359B7" w:rsidRPr="00C80170" w:rsidRDefault="001359B7" w:rsidP="001359B7">
            <w:pPr>
              <w:jc w:val="center"/>
              <w:rPr>
                <w:snapToGrid/>
                <w:sz w:val="20"/>
                <w:szCs w:val="20"/>
                <w:lang w:val="lv-LV" w:eastAsia="lv-LV"/>
              </w:rPr>
            </w:pPr>
            <w:r w:rsidRPr="00C80170">
              <w:rPr>
                <w:snapToGrid/>
                <w:sz w:val="20"/>
                <w:szCs w:val="20"/>
                <w:lang w:val="lv-LV" w:eastAsia="lv-LV"/>
              </w:rPr>
              <w:t>% pret iepriekšējo gadu</w:t>
            </w:r>
          </w:p>
        </w:tc>
      </w:tr>
      <w:tr w:rsidR="001359B7" w:rsidRPr="001359B7" w14:paraId="64CE3739" w14:textId="77777777" w:rsidTr="009B2055">
        <w:tc>
          <w:tcPr>
            <w:tcW w:w="3369" w:type="dxa"/>
            <w:vAlign w:val="center"/>
          </w:tcPr>
          <w:p w14:paraId="674C674D" w14:textId="77777777" w:rsidR="001359B7" w:rsidRPr="00C80170" w:rsidRDefault="001359B7" w:rsidP="001359B7">
            <w:pPr>
              <w:rPr>
                <w:snapToGrid/>
                <w:sz w:val="20"/>
                <w:szCs w:val="20"/>
                <w:lang w:val="lv-LV" w:eastAsia="lv-LV"/>
              </w:rPr>
            </w:pPr>
            <w:r w:rsidRPr="00C80170">
              <w:rPr>
                <w:snapToGrid/>
                <w:sz w:val="20"/>
                <w:szCs w:val="20"/>
                <w:lang w:val="lv-LV" w:eastAsia="lv-LV"/>
              </w:rPr>
              <w:t xml:space="preserve">Lauksaimniecības produkcija </w:t>
            </w:r>
          </w:p>
        </w:tc>
        <w:tc>
          <w:tcPr>
            <w:tcW w:w="2941" w:type="dxa"/>
          </w:tcPr>
          <w:p w14:paraId="7923DFF8" w14:textId="77777777" w:rsidR="001359B7" w:rsidRPr="00C80170" w:rsidRDefault="001359B7" w:rsidP="00E7426B">
            <w:pPr>
              <w:jc w:val="center"/>
              <w:rPr>
                <w:snapToGrid/>
                <w:sz w:val="20"/>
                <w:szCs w:val="20"/>
                <w:lang w:val="lv-LV" w:eastAsia="lv-LV"/>
              </w:rPr>
            </w:pPr>
            <w:r w:rsidRPr="00C80170">
              <w:rPr>
                <w:snapToGrid/>
                <w:sz w:val="20"/>
                <w:szCs w:val="20"/>
                <w:lang w:val="lv-LV" w:eastAsia="lv-LV"/>
              </w:rPr>
              <w:t>102</w:t>
            </w:r>
            <w:r w:rsidR="00E7426B" w:rsidRPr="00C80170">
              <w:rPr>
                <w:snapToGrid/>
                <w:sz w:val="20"/>
                <w:szCs w:val="20"/>
                <w:lang w:val="lv-LV" w:eastAsia="lv-LV"/>
              </w:rPr>
              <w:t>,</w:t>
            </w:r>
            <w:r w:rsidRPr="00C80170">
              <w:rPr>
                <w:snapToGrid/>
                <w:sz w:val="20"/>
                <w:szCs w:val="20"/>
                <w:lang w:val="lv-LV" w:eastAsia="lv-LV"/>
              </w:rPr>
              <w:t>3</w:t>
            </w:r>
          </w:p>
        </w:tc>
        <w:tc>
          <w:tcPr>
            <w:tcW w:w="3005" w:type="dxa"/>
          </w:tcPr>
          <w:p w14:paraId="7054159E" w14:textId="77777777" w:rsidR="001359B7" w:rsidRPr="00C80170" w:rsidRDefault="001359B7" w:rsidP="00E7426B">
            <w:pPr>
              <w:jc w:val="center"/>
              <w:rPr>
                <w:snapToGrid/>
                <w:sz w:val="20"/>
                <w:szCs w:val="20"/>
                <w:lang w:val="lv-LV" w:eastAsia="lv-LV"/>
              </w:rPr>
            </w:pPr>
            <w:r w:rsidRPr="00C80170">
              <w:rPr>
                <w:snapToGrid/>
                <w:sz w:val="20"/>
                <w:szCs w:val="20"/>
                <w:lang w:val="lv-LV" w:eastAsia="lv-LV"/>
              </w:rPr>
              <w:t>117</w:t>
            </w:r>
            <w:r w:rsidR="00E7426B" w:rsidRPr="00C80170">
              <w:rPr>
                <w:snapToGrid/>
                <w:sz w:val="20"/>
                <w:szCs w:val="20"/>
                <w:lang w:val="lv-LV" w:eastAsia="lv-LV"/>
              </w:rPr>
              <w:t>,</w:t>
            </w:r>
            <w:r w:rsidRPr="00C80170">
              <w:rPr>
                <w:snapToGrid/>
                <w:sz w:val="20"/>
                <w:szCs w:val="20"/>
                <w:lang w:val="lv-LV" w:eastAsia="lv-LV"/>
              </w:rPr>
              <w:t>4</w:t>
            </w:r>
          </w:p>
        </w:tc>
      </w:tr>
      <w:tr w:rsidR="001359B7" w:rsidRPr="001359B7" w14:paraId="6DE8457F" w14:textId="77777777" w:rsidTr="009B2055">
        <w:tc>
          <w:tcPr>
            <w:tcW w:w="3369" w:type="dxa"/>
            <w:vAlign w:val="center"/>
          </w:tcPr>
          <w:p w14:paraId="5629640A" w14:textId="77777777" w:rsidR="001359B7" w:rsidRPr="00C80170" w:rsidRDefault="001359B7" w:rsidP="001359B7">
            <w:pPr>
              <w:rPr>
                <w:snapToGrid/>
                <w:sz w:val="20"/>
                <w:szCs w:val="20"/>
                <w:lang w:val="lv-LV" w:eastAsia="lv-LV"/>
              </w:rPr>
            </w:pPr>
            <w:r w:rsidRPr="00C80170">
              <w:rPr>
                <w:snapToGrid/>
                <w:sz w:val="20"/>
                <w:szCs w:val="20"/>
                <w:lang w:val="lv-LV" w:eastAsia="lv-LV"/>
              </w:rPr>
              <w:t>Augkopības produkcija</w:t>
            </w:r>
          </w:p>
        </w:tc>
        <w:tc>
          <w:tcPr>
            <w:tcW w:w="2941" w:type="dxa"/>
          </w:tcPr>
          <w:p w14:paraId="0CEFC7C6" w14:textId="77777777" w:rsidR="001359B7" w:rsidRPr="00C80170" w:rsidRDefault="001359B7" w:rsidP="00E7426B">
            <w:pPr>
              <w:jc w:val="center"/>
              <w:rPr>
                <w:snapToGrid/>
                <w:sz w:val="20"/>
                <w:szCs w:val="20"/>
                <w:lang w:val="lv-LV" w:eastAsia="lv-LV"/>
              </w:rPr>
            </w:pPr>
            <w:r w:rsidRPr="00C80170">
              <w:rPr>
                <w:snapToGrid/>
                <w:sz w:val="20"/>
                <w:szCs w:val="20"/>
                <w:lang w:val="lv-LV" w:eastAsia="lv-LV"/>
              </w:rPr>
              <w:t>103</w:t>
            </w:r>
            <w:r w:rsidR="00E7426B" w:rsidRPr="00C80170">
              <w:rPr>
                <w:snapToGrid/>
                <w:sz w:val="20"/>
                <w:szCs w:val="20"/>
                <w:lang w:val="lv-LV" w:eastAsia="lv-LV"/>
              </w:rPr>
              <w:t>,</w:t>
            </w:r>
            <w:r w:rsidRPr="00C80170">
              <w:rPr>
                <w:snapToGrid/>
                <w:sz w:val="20"/>
                <w:szCs w:val="20"/>
                <w:lang w:val="lv-LV" w:eastAsia="lv-LV"/>
              </w:rPr>
              <w:t>2</w:t>
            </w:r>
          </w:p>
        </w:tc>
        <w:tc>
          <w:tcPr>
            <w:tcW w:w="3005" w:type="dxa"/>
          </w:tcPr>
          <w:p w14:paraId="65CFBF3C" w14:textId="77777777" w:rsidR="001359B7" w:rsidRPr="00C80170" w:rsidRDefault="001359B7" w:rsidP="00E7426B">
            <w:pPr>
              <w:jc w:val="center"/>
              <w:rPr>
                <w:snapToGrid/>
                <w:sz w:val="20"/>
                <w:szCs w:val="20"/>
                <w:lang w:val="lv-LV" w:eastAsia="lv-LV"/>
              </w:rPr>
            </w:pPr>
            <w:r w:rsidRPr="00C80170">
              <w:rPr>
                <w:snapToGrid/>
                <w:sz w:val="20"/>
                <w:szCs w:val="20"/>
                <w:lang w:val="lv-LV" w:eastAsia="lv-LV"/>
              </w:rPr>
              <w:t>128</w:t>
            </w:r>
            <w:r w:rsidR="00E7426B" w:rsidRPr="00C80170">
              <w:rPr>
                <w:snapToGrid/>
                <w:sz w:val="20"/>
                <w:szCs w:val="20"/>
                <w:lang w:val="lv-LV" w:eastAsia="lv-LV"/>
              </w:rPr>
              <w:t>,</w:t>
            </w:r>
            <w:r w:rsidRPr="00C80170">
              <w:rPr>
                <w:snapToGrid/>
                <w:sz w:val="20"/>
                <w:szCs w:val="20"/>
                <w:lang w:val="lv-LV" w:eastAsia="lv-LV"/>
              </w:rPr>
              <w:t>5</w:t>
            </w:r>
          </w:p>
        </w:tc>
      </w:tr>
      <w:tr w:rsidR="001359B7" w:rsidRPr="001359B7" w14:paraId="67C4403E" w14:textId="77777777" w:rsidTr="009B2055">
        <w:tc>
          <w:tcPr>
            <w:tcW w:w="3369" w:type="dxa"/>
            <w:vAlign w:val="center"/>
          </w:tcPr>
          <w:p w14:paraId="02BF1E23" w14:textId="77777777" w:rsidR="001359B7" w:rsidRPr="00C80170" w:rsidRDefault="001359B7" w:rsidP="001359B7">
            <w:pPr>
              <w:rPr>
                <w:snapToGrid/>
                <w:sz w:val="20"/>
                <w:szCs w:val="20"/>
                <w:lang w:val="lv-LV" w:eastAsia="lv-LV"/>
              </w:rPr>
            </w:pPr>
            <w:r w:rsidRPr="00C80170">
              <w:rPr>
                <w:snapToGrid/>
                <w:sz w:val="20"/>
                <w:szCs w:val="20"/>
                <w:lang w:val="lv-LV" w:eastAsia="lv-LV"/>
              </w:rPr>
              <w:t xml:space="preserve">Lopkopības produkcija </w:t>
            </w:r>
          </w:p>
        </w:tc>
        <w:tc>
          <w:tcPr>
            <w:tcW w:w="2941" w:type="dxa"/>
          </w:tcPr>
          <w:p w14:paraId="78F3E812" w14:textId="77777777" w:rsidR="001359B7" w:rsidRPr="00C80170" w:rsidRDefault="001359B7" w:rsidP="00E7426B">
            <w:pPr>
              <w:jc w:val="center"/>
              <w:rPr>
                <w:snapToGrid/>
                <w:sz w:val="20"/>
                <w:szCs w:val="20"/>
                <w:lang w:val="lv-LV" w:eastAsia="lv-LV"/>
              </w:rPr>
            </w:pPr>
            <w:r w:rsidRPr="00C80170">
              <w:rPr>
                <w:snapToGrid/>
                <w:sz w:val="20"/>
                <w:szCs w:val="20"/>
                <w:lang w:val="lv-LV" w:eastAsia="lv-LV"/>
              </w:rPr>
              <w:t>99</w:t>
            </w:r>
            <w:r w:rsidR="00E7426B" w:rsidRPr="00C80170">
              <w:rPr>
                <w:snapToGrid/>
                <w:sz w:val="20"/>
                <w:szCs w:val="20"/>
                <w:lang w:val="lv-LV" w:eastAsia="lv-LV"/>
              </w:rPr>
              <w:t>,</w:t>
            </w:r>
            <w:r w:rsidRPr="00C80170">
              <w:rPr>
                <w:snapToGrid/>
                <w:sz w:val="20"/>
                <w:szCs w:val="20"/>
                <w:lang w:val="lv-LV" w:eastAsia="lv-LV"/>
              </w:rPr>
              <w:t>7</w:t>
            </w:r>
          </w:p>
        </w:tc>
        <w:tc>
          <w:tcPr>
            <w:tcW w:w="3005" w:type="dxa"/>
          </w:tcPr>
          <w:p w14:paraId="401B060F" w14:textId="77777777" w:rsidR="001359B7" w:rsidRPr="00C80170" w:rsidRDefault="001359B7" w:rsidP="00E7426B">
            <w:pPr>
              <w:jc w:val="center"/>
              <w:rPr>
                <w:snapToGrid/>
                <w:sz w:val="20"/>
                <w:szCs w:val="20"/>
                <w:lang w:val="lv-LV" w:eastAsia="lv-LV"/>
              </w:rPr>
            </w:pPr>
            <w:r w:rsidRPr="00C80170">
              <w:rPr>
                <w:snapToGrid/>
                <w:sz w:val="20"/>
                <w:szCs w:val="20"/>
                <w:lang w:val="lv-LV" w:eastAsia="lv-LV"/>
              </w:rPr>
              <w:t>104</w:t>
            </w:r>
            <w:r w:rsidR="00E7426B" w:rsidRPr="00C80170">
              <w:rPr>
                <w:snapToGrid/>
                <w:sz w:val="20"/>
                <w:szCs w:val="20"/>
                <w:lang w:val="lv-LV" w:eastAsia="lv-LV"/>
              </w:rPr>
              <w:t>,</w:t>
            </w:r>
            <w:r w:rsidRPr="00C80170">
              <w:rPr>
                <w:snapToGrid/>
                <w:sz w:val="20"/>
                <w:szCs w:val="20"/>
                <w:lang w:val="lv-LV" w:eastAsia="lv-LV"/>
              </w:rPr>
              <w:t>4</w:t>
            </w:r>
          </w:p>
        </w:tc>
      </w:tr>
    </w:tbl>
    <w:p w14:paraId="6EE17FB5" w14:textId="77777777" w:rsidR="001359B7" w:rsidRPr="001359B7" w:rsidRDefault="001359B7" w:rsidP="001359B7">
      <w:pPr>
        <w:spacing w:before="60" w:after="60"/>
        <w:rPr>
          <w:i/>
          <w:snapToGrid/>
          <w:sz w:val="20"/>
          <w:szCs w:val="20"/>
          <w:lang w:val="lv-LV" w:eastAsia="lv-LV"/>
        </w:rPr>
      </w:pPr>
      <w:r w:rsidRPr="001359B7">
        <w:rPr>
          <w:i/>
          <w:snapToGrid/>
          <w:sz w:val="20"/>
          <w:szCs w:val="20"/>
          <w:lang w:val="lv-LV" w:eastAsia="lv-LV"/>
        </w:rPr>
        <w:t>Avots:</w:t>
      </w:r>
      <w:r w:rsidRPr="001359B7">
        <w:rPr>
          <w:snapToGrid/>
          <w:sz w:val="20"/>
          <w:szCs w:val="20"/>
          <w:lang w:val="lv-LV" w:eastAsia="lv-LV"/>
        </w:rPr>
        <w:t xml:space="preserve"> </w:t>
      </w:r>
      <w:r w:rsidRPr="001359B7">
        <w:rPr>
          <w:i/>
          <w:snapToGrid/>
          <w:sz w:val="20"/>
          <w:szCs w:val="20"/>
          <w:lang w:val="lv-LV" w:eastAsia="lv-LV"/>
        </w:rPr>
        <w:t>CSP</w:t>
      </w:r>
    </w:p>
    <w:p w14:paraId="5BED4640" w14:textId="77777777" w:rsidR="00D23BD9" w:rsidRPr="00F7095C" w:rsidRDefault="00D23BD9" w:rsidP="00F7095C">
      <w:pPr>
        <w:pStyle w:val="Default"/>
        <w:ind w:firstLine="567"/>
        <w:jc w:val="both"/>
        <w:rPr>
          <w:color w:val="auto"/>
          <w:sz w:val="28"/>
          <w:szCs w:val="28"/>
        </w:rPr>
      </w:pPr>
    </w:p>
    <w:p w14:paraId="38ACFD10" w14:textId="77777777" w:rsidR="00F7095C" w:rsidRPr="00F7095C" w:rsidRDefault="00F7095C" w:rsidP="00F7095C">
      <w:pPr>
        <w:pStyle w:val="Default"/>
        <w:ind w:firstLine="567"/>
        <w:jc w:val="both"/>
        <w:rPr>
          <w:color w:val="auto"/>
          <w:sz w:val="28"/>
          <w:szCs w:val="28"/>
        </w:rPr>
      </w:pPr>
      <w:r w:rsidRPr="00F7095C">
        <w:rPr>
          <w:color w:val="auto"/>
          <w:sz w:val="28"/>
          <w:szCs w:val="28"/>
        </w:rPr>
        <w:t>No ražošanas resursiem 2012.</w:t>
      </w:r>
      <w:r w:rsidR="00223A43">
        <w:rPr>
          <w:color w:val="auto"/>
          <w:sz w:val="28"/>
          <w:szCs w:val="28"/>
        </w:rPr>
        <w:t> </w:t>
      </w:r>
      <w:r w:rsidRPr="00F7095C">
        <w:rPr>
          <w:color w:val="auto"/>
          <w:sz w:val="28"/>
          <w:szCs w:val="28"/>
        </w:rPr>
        <w:t>gadā, salīdzinot ar 2010.</w:t>
      </w:r>
      <w:r w:rsidR="00223A43">
        <w:rPr>
          <w:color w:val="auto"/>
          <w:sz w:val="28"/>
          <w:szCs w:val="28"/>
        </w:rPr>
        <w:t> </w:t>
      </w:r>
      <w:r w:rsidRPr="00F7095C">
        <w:rPr>
          <w:color w:val="auto"/>
          <w:sz w:val="28"/>
          <w:szCs w:val="28"/>
        </w:rPr>
        <w:t>gadu, visstraujāk cena kāpusi sēklām (+46%), dīzeļdegvielai +26%, lopbarībai un minerālmēsliem +23%, elektrībai +15%, taču augu aizsardzības līdzekļiem cena samazinājusies par 15%.</w:t>
      </w:r>
    </w:p>
    <w:p w14:paraId="5F75134C" w14:textId="77777777" w:rsidR="00F7095C" w:rsidRPr="00F7095C" w:rsidRDefault="00F7095C" w:rsidP="00F7095C">
      <w:pPr>
        <w:ind w:firstLine="567"/>
        <w:jc w:val="both"/>
        <w:rPr>
          <w:sz w:val="28"/>
          <w:szCs w:val="28"/>
          <w:lang w:val="lv-LV"/>
        </w:rPr>
      </w:pPr>
      <w:r w:rsidRPr="00F7095C">
        <w:rPr>
          <w:sz w:val="28"/>
          <w:szCs w:val="28"/>
          <w:lang w:val="lv-LV"/>
        </w:rPr>
        <w:t>Nav sagaidāms, ka biodegvielas ražošana sākuma posmā konkurēs ar lauksaimniecības ražošanu, taču ilgākā laika periodā tas varētu būt stimulējošs faktors intensīvākās lauksaimniecības attīstībai Latvijā ar augstāku pievienoto vērtību.</w:t>
      </w:r>
    </w:p>
    <w:p w14:paraId="29722533" w14:textId="7AECB5F8" w:rsidR="00F7095C" w:rsidRDefault="00F7095C" w:rsidP="00F7095C">
      <w:pPr>
        <w:ind w:firstLine="567"/>
        <w:jc w:val="both"/>
        <w:rPr>
          <w:sz w:val="28"/>
          <w:szCs w:val="28"/>
          <w:lang w:val="lv-LV"/>
        </w:rPr>
      </w:pPr>
      <w:r w:rsidRPr="00D84C59">
        <w:rPr>
          <w:sz w:val="28"/>
          <w:szCs w:val="28"/>
          <w:lang w:val="lv-LV"/>
        </w:rPr>
        <w:t xml:space="preserve">Meža platība Latvijā aizņem 3354 </w:t>
      </w:r>
      <w:proofErr w:type="spellStart"/>
      <w:r w:rsidRPr="00D84C59">
        <w:rPr>
          <w:sz w:val="28"/>
          <w:szCs w:val="28"/>
          <w:lang w:val="lv-LV"/>
        </w:rPr>
        <w:t>tūkst</w:t>
      </w:r>
      <w:proofErr w:type="spellEnd"/>
      <w:r w:rsidRPr="00D84C59">
        <w:rPr>
          <w:sz w:val="28"/>
          <w:szCs w:val="28"/>
          <w:lang w:val="lv-LV"/>
        </w:rPr>
        <w:t>. ha, kas sastāda 52% no Latvijas teritorijas (pēc meža resursu monitoringa 1.cikla rezultātiem). Saskaņā ar 2013.</w:t>
      </w:r>
      <w:r w:rsidR="00223A43">
        <w:rPr>
          <w:sz w:val="28"/>
          <w:szCs w:val="28"/>
          <w:lang w:val="lv-LV"/>
        </w:rPr>
        <w:t> </w:t>
      </w:r>
      <w:r w:rsidRPr="00D84C59">
        <w:rPr>
          <w:sz w:val="28"/>
          <w:szCs w:val="28"/>
          <w:lang w:val="lv-LV"/>
        </w:rPr>
        <w:t>gada “Latvijas Nacionālās inventarizācijas ziņojuma 1990-2011.</w:t>
      </w:r>
      <w:r w:rsidR="00ED26E6">
        <w:rPr>
          <w:sz w:val="28"/>
          <w:szCs w:val="28"/>
          <w:lang w:val="lv-LV"/>
        </w:rPr>
        <w:t xml:space="preserve"> </w:t>
      </w:r>
      <w:r w:rsidRPr="00D84C59">
        <w:rPr>
          <w:sz w:val="28"/>
          <w:szCs w:val="28"/>
          <w:lang w:val="lv-LV"/>
        </w:rPr>
        <w:t>gadam” datiem, meža platība 2011.</w:t>
      </w:r>
      <w:r w:rsidR="00223A43">
        <w:rPr>
          <w:sz w:val="28"/>
          <w:szCs w:val="28"/>
          <w:lang w:val="lv-LV"/>
        </w:rPr>
        <w:t> g</w:t>
      </w:r>
      <w:r w:rsidR="00223A43" w:rsidRPr="00D84C59">
        <w:rPr>
          <w:sz w:val="28"/>
          <w:szCs w:val="28"/>
          <w:lang w:val="lv-LV"/>
        </w:rPr>
        <w:t>adā</w:t>
      </w:r>
      <w:r w:rsidR="00223A43">
        <w:rPr>
          <w:sz w:val="28"/>
          <w:szCs w:val="28"/>
          <w:lang w:val="lv-LV"/>
        </w:rPr>
        <w:t>,</w:t>
      </w:r>
      <w:r w:rsidRPr="00D84C59">
        <w:rPr>
          <w:sz w:val="28"/>
          <w:szCs w:val="28"/>
          <w:lang w:val="lv-LV"/>
        </w:rPr>
        <w:t xml:space="preserve"> salīdzinot ar 2010.</w:t>
      </w:r>
      <w:r w:rsidR="00ED26E6">
        <w:rPr>
          <w:sz w:val="28"/>
          <w:szCs w:val="28"/>
          <w:lang w:val="lv-LV"/>
        </w:rPr>
        <w:t xml:space="preserve"> </w:t>
      </w:r>
      <w:r w:rsidRPr="00D84C59">
        <w:rPr>
          <w:sz w:val="28"/>
          <w:szCs w:val="28"/>
          <w:lang w:val="lv-LV"/>
        </w:rPr>
        <w:t>gadu</w:t>
      </w:r>
      <w:r w:rsidR="00223A43">
        <w:rPr>
          <w:sz w:val="28"/>
          <w:szCs w:val="28"/>
          <w:lang w:val="lv-LV"/>
        </w:rPr>
        <w:t>,</w:t>
      </w:r>
      <w:r w:rsidRPr="00D84C59">
        <w:rPr>
          <w:sz w:val="28"/>
          <w:szCs w:val="28"/>
          <w:lang w:val="lv-LV"/>
        </w:rPr>
        <w:t xml:space="preserve"> ir samazinājusies par 1,1 </w:t>
      </w:r>
      <w:proofErr w:type="spellStart"/>
      <w:r w:rsidRPr="00D84C59">
        <w:rPr>
          <w:sz w:val="28"/>
          <w:szCs w:val="28"/>
          <w:lang w:val="lv-LV"/>
        </w:rPr>
        <w:t>tūkst</w:t>
      </w:r>
      <w:proofErr w:type="spellEnd"/>
      <w:r w:rsidRPr="00D84C59">
        <w:rPr>
          <w:sz w:val="28"/>
          <w:szCs w:val="28"/>
          <w:lang w:val="lv-LV"/>
        </w:rPr>
        <w:t xml:space="preserve">. ha, no kuriem 0,1 </w:t>
      </w:r>
      <w:proofErr w:type="spellStart"/>
      <w:r w:rsidRPr="00D84C59">
        <w:rPr>
          <w:sz w:val="28"/>
          <w:szCs w:val="28"/>
          <w:lang w:val="lv-LV"/>
        </w:rPr>
        <w:t>tūkst</w:t>
      </w:r>
      <w:proofErr w:type="spellEnd"/>
      <w:r w:rsidRPr="00D84C59">
        <w:rPr>
          <w:sz w:val="28"/>
          <w:szCs w:val="28"/>
          <w:lang w:val="lv-LV"/>
        </w:rPr>
        <w:t xml:space="preserve">. ha ir aramzeme un 1 </w:t>
      </w:r>
      <w:proofErr w:type="spellStart"/>
      <w:r w:rsidRPr="00D84C59">
        <w:rPr>
          <w:sz w:val="28"/>
          <w:szCs w:val="28"/>
          <w:lang w:val="lv-LV"/>
        </w:rPr>
        <w:t>tūkst</w:t>
      </w:r>
      <w:proofErr w:type="spellEnd"/>
      <w:r w:rsidRPr="00D84C59">
        <w:rPr>
          <w:sz w:val="28"/>
          <w:szCs w:val="28"/>
          <w:lang w:val="lv-LV"/>
        </w:rPr>
        <w:t>. ha apbūves teritorija.</w:t>
      </w:r>
    </w:p>
    <w:p w14:paraId="1BBED87E" w14:textId="77777777" w:rsidR="00B041A3" w:rsidRDefault="00B041A3" w:rsidP="00F7095C">
      <w:pPr>
        <w:ind w:firstLine="567"/>
        <w:jc w:val="both"/>
        <w:rPr>
          <w:sz w:val="28"/>
          <w:szCs w:val="28"/>
          <w:lang w:val="lv-LV"/>
        </w:rPr>
      </w:pPr>
    </w:p>
    <w:p w14:paraId="1B09E029" w14:textId="77777777" w:rsidR="00471DA1" w:rsidRPr="00935562" w:rsidRDefault="00471DA1" w:rsidP="00471DA1">
      <w:pPr>
        <w:pStyle w:val="Heading1"/>
        <w:numPr>
          <w:ilvl w:val="0"/>
          <w:numId w:val="0"/>
        </w:numPr>
        <w:jc w:val="center"/>
        <w:rPr>
          <w:smallCaps w:val="0"/>
          <w:sz w:val="28"/>
          <w:lang w:val="lv-LV"/>
        </w:rPr>
      </w:pPr>
      <w:bookmarkStart w:id="28" w:name="_Toc367196061"/>
      <w:bookmarkStart w:id="29" w:name="_Toc373229250"/>
      <w:r w:rsidRPr="00935562">
        <w:rPr>
          <w:smallCaps w:val="0"/>
          <w:sz w:val="28"/>
          <w:lang w:val="lv-LV"/>
        </w:rPr>
        <w:lastRenderedPageBreak/>
        <w:t>8. Otrās paaudzes biodegvielu attīstība un īpatsvars</w:t>
      </w:r>
      <w:bookmarkEnd w:id="28"/>
      <w:bookmarkEnd w:id="29"/>
    </w:p>
    <w:p w14:paraId="64E93512" w14:textId="77777777" w:rsidR="00F7095C" w:rsidRPr="00F7095C" w:rsidRDefault="00F7095C" w:rsidP="00F7095C">
      <w:pPr>
        <w:ind w:firstLine="709"/>
        <w:jc w:val="both"/>
        <w:rPr>
          <w:snapToGrid/>
          <w:sz w:val="28"/>
          <w:szCs w:val="28"/>
          <w:lang w:val="lv-LV" w:eastAsia="lv-LV"/>
        </w:rPr>
      </w:pPr>
      <w:r w:rsidRPr="00F7095C">
        <w:rPr>
          <w:snapToGrid/>
          <w:sz w:val="28"/>
          <w:szCs w:val="28"/>
          <w:lang w:val="lv-LV" w:eastAsia="lv-LV"/>
        </w:rPr>
        <w:t xml:space="preserve">Pašlaik Latvijā netiek ražotas un izmantotas otrās paaudzes biodegvielas, kas ražotas no atkritumiem, atlikumiem, nepārtikas celulozes izejvielām un </w:t>
      </w:r>
      <w:proofErr w:type="spellStart"/>
      <w:r w:rsidRPr="00F7095C">
        <w:rPr>
          <w:snapToGrid/>
          <w:sz w:val="28"/>
          <w:szCs w:val="28"/>
          <w:lang w:val="lv-LV" w:eastAsia="lv-LV"/>
        </w:rPr>
        <w:t>lignocelulozes</w:t>
      </w:r>
      <w:proofErr w:type="spellEnd"/>
      <w:r w:rsidRPr="00F7095C">
        <w:rPr>
          <w:snapToGrid/>
          <w:sz w:val="28"/>
          <w:szCs w:val="28"/>
          <w:lang w:val="lv-LV" w:eastAsia="lv-LV"/>
        </w:rPr>
        <w:t xml:space="preserve"> izejvielām. </w:t>
      </w:r>
      <w:r w:rsidRPr="002F7D34">
        <w:rPr>
          <w:snapToGrid/>
          <w:sz w:val="28"/>
          <w:szCs w:val="28"/>
          <w:lang w:val="lv-LV" w:eastAsia="lv-LV"/>
        </w:rPr>
        <w:t>201</w:t>
      </w:r>
      <w:r w:rsidR="007B4832" w:rsidRPr="002F7D34">
        <w:rPr>
          <w:snapToGrid/>
          <w:sz w:val="28"/>
          <w:szCs w:val="28"/>
          <w:lang w:val="lv-LV" w:eastAsia="lv-LV"/>
        </w:rPr>
        <w:t>1. un 2012</w:t>
      </w:r>
      <w:r w:rsidRPr="002F7D34">
        <w:rPr>
          <w:snapToGrid/>
          <w:sz w:val="28"/>
          <w:szCs w:val="28"/>
          <w:lang w:val="lv-LV" w:eastAsia="lv-LV"/>
        </w:rPr>
        <w:t>. gadā biodegvielu ražošanai tika izmantoti graudaugi, rapsis un rapšu eļļa.</w:t>
      </w:r>
      <w:r w:rsidRPr="00F7095C">
        <w:rPr>
          <w:snapToGrid/>
          <w:sz w:val="28"/>
          <w:szCs w:val="28"/>
          <w:lang w:val="lv-LV" w:eastAsia="lv-LV"/>
        </w:rPr>
        <w:t xml:space="preserve"> </w:t>
      </w:r>
    </w:p>
    <w:p w14:paraId="61A5EBDF" w14:textId="77777777" w:rsidR="00C80170" w:rsidRDefault="00C80170" w:rsidP="00D037EB">
      <w:pPr>
        <w:jc w:val="right"/>
        <w:rPr>
          <w:rStyle w:val="italic1"/>
          <w:b/>
          <w:iCs w:val="0"/>
          <w:sz w:val="20"/>
          <w:lang w:val="lv-LV"/>
        </w:rPr>
      </w:pPr>
      <w:bookmarkStart w:id="30" w:name="_Toc367196062"/>
    </w:p>
    <w:p w14:paraId="3556BF47" w14:textId="77777777" w:rsidR="00C80170" w:rsidRDefault="00C80170" w:rsidP="00D037EB">
      <w:pPr>
        <w:jc w:val="right"/>
        <w:rPr>
          <w:rStyle w:val="italic1"/>
          <w:b/>
          <w:iCs w:val="0"/>
          <w:sz w:val="20"/>
          <w:lang w:val="lv-LV"/>
        </w:rPr>
      </w:pPr>
    </w:p>
    <w:p w14:paraId="5BF4C488" w14:textId="77777777" w:rsidR="00F7095C" w:rsidRPr="00C80170" w:rsidRDefault="00820C75" w:rsidP="00D037EB">
      <w:pPr>
        <w:jc w:val="right"/>
        <w:rPr>
          <w:b/>
          <w:i/>
          <w:sz w:val="20"/>
          <w:szCs w:val="20"/>
          <w:lang w:val="lv-LV"/>
        </w:rPr>
      </w:pPr>
      <w:r w:rsidRPr="00C80170">
        <w:rPr>
          <w:b/>
          <w:i/>
          <w:sz w:val="20"/>
          <w:szCs w:val="20"/>
          <w:lang w:val="lv-LV"/>
        </w:rPr>
        <w:t>5. tabula.</w:t>
      </w:r>
      <w:bookmarkEnd w:id="30"/>
    </w:p>
    <w:p w14:paraId="58248905" w14:textId="77777777" w:rsidR="00F7095C" w:rsidRPr="00D037EB" w:rsidRDefault="00F7095C" w:rsidP="00D037EB">
      <w:pPr>
        <w:jc w:val="center"/>
        <w:rPr>
          <w:b/>
          <w:sz w:val="20"/>
          <w:szCs w:val="20"/>
          <w:lang w:val="lv-LV"/>
        </w:rPr>
      </w:pPr>
      <w:bookmarkStart w:id="31" w:name="_Toc367196063"/>
      <w:r w:rsidRPr="00D037EB">
        <w:rPr>
          <w:b/>
          <w:sz w:val="20"/>
          <w:szCs w:val="20"/>
          <w:lang w:val="lv-LV"/>
        </w:rPr>
        <w:t xml:space="preserve">Direktīvas 2009/28/EK  </w:t>
      </w:r>
      <w:r w:rsidR="00820C75" w:rsidRPr="00D037EB">
        <w:rPr>
          <w:b/>
          <w:sz w:val="20"/>
          <w:szCs w:val="20"/>
          <w:lang w:val="lv-LV"/>
        </w:rPr>
        <w:t>21. panta 2. punktā minēto biodegvielu</w:t>
      </w:r>
      <w:bookmarkEnd w:id="31"/>
    </w:p>
    <w:p w14:paraId="0CA96913" w14:textId="77777777" w:rsidR="00820C75" w:rsidRPr="00D037EB" w:rsidRDefault="00820C75" w:rsidP="00D037EB">
      <w:pPr>
        <w:jc w:val="center"/>
        <w:rPr>
          <w:b/>
          <w:sz w:val="20"/>
          <w:szCs w:val="20"/>
          <w:lang w:val="lv-LV"/>
        </w:rPr>
      </w:pPr>
      <w:bookmarkStart w:id="32" w:name="_Toc367196064"/>
      <w:r w:rsidRPr="00D037EB">
        <w:rPr>
          <w:b/>
          <w:sz w:val="20"/>
          <w:szCs w:val="20"/>
          <w:lang w:val="lv-LV"/>
        </w:rPr>
        <w:t>ražošana un patēriņš (</w:t>
      </w:r>
      <w:proofErr w:type="spellStart"/>
      <w:r w:rsidRPr="00D037EB">
        <w:rPr>
          <w:b/>
          <w:sz w:val="20"/>
          <w:szCs w:val="20"/>
          <w:lang w:val="lv-LV"/>
        </w:rPr>
        <w:t>tūkst</w:t>
      </w:r>
      <w:proofErr w:type="spellEnd"/>
      <w:r w:rsidRPr="00D037EB">
        <w:rPr>
          <w:b/>
          <w:sz w:val="20"/>
          <w:szCs w:val="20"/>
          <w:lang w:val="lv-LV"/>
        </w:rPr>
        <w:t xml:space="preserve">. t naftas </w:t>
      </w:r>
      <w:proofErr w:type="spellStart"/>
      <w:r w:rsidRPr="00D037EB">
        <w:rPr>
          <w:b/>
          <w:sz w:val="20"/>
          <w:szCs w:val="20"/>
          <w:lang w:val="lv-LV"/>
        </w:rPr>
        <w:t>ekv</w:t>
      </w:r>
      <w:proofErr w:type="spellEnd"/>
      <w:r w:rsidRPr="00D037EB">
        <w:rPr>
          <w:b/>
          <w:sz w:val="20"/>
          <w:szCs w:val="20"/>
          <w:lang w:val="lv-LV"/>
        </w:rPr>
        <w:t>.)</w:t>
      </w:r>
      <w:bookmarkEnd w:id="3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1"/>
        <w:gridCol w:w="834"/>
        <w:gridCol w:w="834"/>
      </w:tblGrid>
      <w:tr w:rsidR="00820C75" w14:paraId="45624A88" w14:textId="77777777">
        <w:trPr>
          <w:jc w:val="center"/>
        </w:trPr>
        <w:tc>
          <w:tcPr>
            <w:tcW w:w="5331" w:type="dxa"/>
            <w:shd w:val="clear" w:color="auto" w:fill="E6E6E6"/>
            <w:noWrap/>
          </w:tcPr>
          <w:p w14:paraId="5A30B2BA" w14:textId="77777777" w:rsidR="00820C75" w:rsidRDefault="00820C75">
            <w:pPr>
              <w:jc w:val="center"/>
            </w:pPr>
            <w:r>
              <w:rPr>
                <w:b/>
                <w:sz w:val="16"/>
                <w:lang w:val="lv-LV"/>
              </w:rPr>
              <w:t>21.2. panta biodegvielas</w:t>
            </w:r>
            <w:r>
              <w:rPr>
                <w:rStyle w:val="FootnoteReference"/>
                <w:b/>
                <w:sz w:val="16"/>
                <w:lang w:val="lv-LV"/>
              </w:rPr>
              <w:footnoteReference w:id="38"/>
            </w:r>
          </w:p>
          <w:p w14:paraId="19456596" w14:textId="77777777" w:rsidR="00820C75" w:rsidRDefault="00820C75">
            <w:pPr>
              <w:jc w:val="center"/>
              <w:rPr>
                <w:b/>
                <w:i/>
                <w:sz w:val="16"/>
              </w:rPr>
            </w:pPr>
          </w:p>
        </w:tc>
        <w:tc>
          <w:tcPr>
            <w:tcW w:w="834" w:type="dxa"/>
            <w:shd w:val="clear" w:color="auto" w:fill="E6E6E6"/>
            <w:noWrap/>
          </w:tcPr>
          <w:p w14:paraId="1656E112" w14:textId="77777777" w:rsidR="00820C75" w:rsidRDefault="00F7095C">
            <w:pPr>
              <w:jc w:val="center"/>
            </w:pPr>
            <w:r>
              <w:rPr>
                <w:b/>
                <w:sz w:val="16"/>
                <w:lang w:val="lv-LV"/>
              </w:rPr>
              <w:t>2011</w:t>
            </w:r>
          </w:p>
        </w:tc>
        <w:tc>
          <w:tcPr>
            <w:tcW w:w="834" w:type="dxa"/>
            <w:shd w:val="clear" w:color="auto" w:fill="E6E6E6"/>
            <w:noWrap/>
          </w:tcPr>
          <w:p w14:paraId="1E051E26" w14:textId="77777777" w:rsidR="00820C75" w:rsidRDefault="00F7095C">
            <w:pPr>
              <w:jc w:val="center"/>
            </w:pPr>
            <w:r>
              <w:rPr>
                <w:b/>
                <w:sz w:val="16"/>
                <w:lang w:val="lv-LV"/>
              </w:rPr>
              <w:t>2012</w:t>
            </w:r>
          </w:p>
        </w:tc>
      </w:tr>
      <w:tr w:rsidR="00820C75" w14:paraId="5C9552CA" w14:textId="77777777">
        <w:trPr>
          <w:jc w:val="center"/>
        </w:trPr>
        <w:tc>
          <w:tcPr>
            <w:tcW w:w="5331" w:type="dxa"/>
            <w:noWrap/>
          </w:tcPr>
          <w:p w14:paraId="66D21C1F" w14:textId="77777777" w:rsidR="00820C75" w:rsidRDefault="00820C75">
            <w:r>
              <w:rPr>
                <w:sz w:val="16"/>
                <w:lang w:val="lv-LV"/>
              </w:rPr>
              <w:t>Ražošana – degvielas veids X (precizēt)</w:t>
            </w:r>
          </w:p>
        </w:tc>
        <w:tc>
          <w:tcPr>
            <w:tcW w:w="834" w:type="dxa"/>
            <w:noWrap/>
          </w:tcPr>
          <w:p w14:paraId="258DAD80" w14:textId="77777777" w:rsidR="00820C75" w:rsidRDefault="00F7095C">
            <w:pPr>
              <w:jc w:val="center"/>
              <w:rPr>
                <w:sz w:val="16"/>
              </w:rPr>
            </w:pPr>
            <w:r>
              <w:rPr>
                <w:sz w:val="16"/>
              </w:rPr>
              <w:t>0</w:t>
            </w:r>
          </w:p>
        </w:tc>
        <w:tc>
          <w:tcPr>
            <w:tcW w:w="834" w:type="dxa"/>
            <w:noWrap/>
          </w:tcPr>
          <w:p w14:paraId="4745D1FB" w14:textId="77777777" w:rsidR="00820C75" w:rsidRDefault="00F7095C">
            <w:pPr>
              <w:jc w:val="center"/>
              <w:rPr>
                <w:sz w:val="16"/>
              </w:rPr>
            </w:pPr>
            <w:r>
              <w:rPr>
                <w:sz w:val="16"/>
              </w:rPr>
              <w:t>0</w:t>
            </w:r>
          </w:p>
        </w:tc>
      </w:tr>
      <w:tr w:rsidR="00820C75" w14:paraId="70C7E2E0" w14:textId="77777777">
        <w:trPr>
          <w:jc w:val="center"/>
        </w:trPr>
        <w:tc>
          <w:tcPr>
            <w:tcW w:w="5331" w:type="dxa"/>
            <w:noWrap/>
          </w:tcPr>
          <w:p w14:paraId="6795E998" w14:textId="77777777" w:rsidR="00820C75" w:rsidRDefault="00820C75">
            <w:r>
              <w:rPr>
                <w:sz w:val="16"/>
                <w:lang w:val="lv-LV"/>
              </w:rPr>
              <w:t>Patēriņš – degvielas veids X (precizēt)</w:t>
            </w:r>
          </w:p>
        </w:tc>
        <w:tc>
          <w:tcPr>
            <w:tcW w:w="834" w:type="dxa"/>
            <w:noWrap/>
          </w:tcPr>
          <w:p w14:paraId="7D2F60BB" w14:textId="77777777" w:rsidR="00820C75" w:rsidRDefault="00F7095C" w:rsidP="00F7095C">
            <w:pPr>
              <w:jc w:val="center"/>
              <w:rPr>
                <w:sz w:val="16"/>
              </w:rPr>
            </w:pPr>
            <w:r>
              <w:rPr>
                <w:sz w:val="16"/>
              </w:rPr>
              <w:t>0</w:t>
            </w:r>
          </w:p>
        </w:tc>
        <w:tc>
          <w:tcPr>
            <w:tcW w:w="834" w:type="dxa"/>
            <w:noWrap/>
          </w:tcPr>
          <w:p w14:paraId="1D9ED115" w14:textId="77777777" w:rsidR="00820C75" w:rsidRDefault="00F7095C" w:rsidP="00F7095C">
            <w:pPr>
              <w:jc w:val="center"/>
              <w:rPr>
                <w:sz w:val="16"/>
              </w:rPr>
            </w:pPr>
            <w:r>
              <w:rPr>
                <w:sz w:val="16"/>
              </w:rPr>
              <w:t>0</w:t>
            </w:r>
          </w:p>
        </w:tc>
      </w:tr>
      <w:tr w:rsidR="00820C75" w14:paraId="3AD1C938" w14:textId="77777777">
        <w:trPr>
          <w:jc w:val="center"/>
        </w:trPr>
        <w:tc>
          <w:tcPr>
            <w:tcW w:w="5331" w:type="dxa"/>
            <w:noWrap/>
          </w:tcPr>
          <w:p w14:paraId="3F5799D2" w14:textId="77777777" w:rsidR="00820C75" w:rsidRDefault="00820C75">
            <w:r>
              <w:rPr>
                <w:sz w:val="16"/>
                <w:lang w:val="lv-LV"/>
              </w:rPr>
              <w:t>21.2. panta biodegvielu kopējā ražošana</w:t>
            </w:r>
          </w:p>
        </w:tc>
        <w:tc>
          <w:tcPr>
            <w:tcW w:w="834" w:type="dxa"/>
            <w:noWrap/>
          </w:tcPr>
          <w:p w14:paraId="1EB4DD3D" w14:textId="77777777" w:rsidR="00820C75" w:rsidRDefault="00F7095C" w:rsidP="00F7095C">
            <w:pPr>
              <w:jc w:val="center"/>
              <w:rPr>
                <w:sz w:val="16"/>
              </w:rPr>
            </w:pPr>
            <w:r>
              <w:rPr>
                <w:sz w:val="16"/>
              </w:rPr>
              <w:t>0</w:t>
            </w:r>
          </w:p>
        </w:tc>
        <w:tc>
          <w:tcPr>
            <w:tcW w:w="834" w:type="dxa"/>
            <w:noWrap/>
          </w:tcPr>
          <w:p w14:paraId="1B983FBC" w14:textId="77777777" w:rsidR="00820C75" w:rsidRDefault="00F7095C" w:rsidP="00F7095C">
            <w:pPr>
              <w:jc w:val="center"/>
              <w:rPr>
                <w:sz w:val="16"/>
              </w:rPr>
            </w:pPr>
            <w:r>
              <w:rPr>
                <w:sz w:val="16"/>
              </w:rPr>
              <w:t>0</w:t>
            </w:r>
          </w:p>
        </w:tc>
      </w:tr>
      <w:tr w:rsidR="00820C75" w14:paraId="10BA5615" w14:textId="77777777">
        <w:trPr>
          <w:jc w:val="center"/>
        </w:trPr>
        <w:tc>
          <w:tcPr>
            <w:tcW w:w="5331" w:type="dxa"/>
            <w:noWrap/>
          </w:tcPr>
          <w:p w14:paraId="1D212C7B" w14:textId="77777777" w:rsidR="00820C75" w:rsidRDefault="00820C75">
            <w:r>
              <w:rPr>
                <w:sz w:val="16"/>
                <w:lang w:val="lv-LV"/>
              </w:rPr>
              <w:t>21.2. panta biodegvielu kopējais patēriņš</w:t>
            </w:r>
          </w:p>
        </w:tc>
        <w:tc>
          <w:tcPr>
            <w:tcW w:w="834" w:type="dxa"/>
            <w:noWrap/>
          </w:tcPr>
          <w:p w14:paraId="1CB43AEF" w14:textId="77777777" w:rsidR="00820C75" w:rsidRDefault="00F7095C" w:rsidP="00F7095C">
            <w:pPr>
              <w:jc w:val="center"/>
              <w:rPr>
                <w:sz w:val="16"/>
              </w:rPr>
            </w:pPr>
            <w:r>
              <w:rPr>
                <w:sz w:val="16"/>
              </w:rPr>
              <w:t>0</w:t>
            </w:r>
          </w:p>
        </w:tc>
        <w:tc>
          <w:tcPr>
            <w:tcW w:w="834" w:type="dxa"/>
            <w:noWrap/>
          </w:tcPr>
          <w:p w14:paraId="4945AAE8" w14:textId="77777777" w:rsidR="00820C75" w:rsidRDefault="00F7095C" w:rsidP="00F7095C">
            <w:pPr>
              <w:jc w:val="center"/>
              <w:rPr>
                <w:sz w:val="16"/>
              </w:rPr>
            </w:pPr>
            <w:r>
              <w:rPr>
                <w:sz w:val="16"/>
              </w:rPr>
              <w:t>0</w:t>
            </w:r>
          </w:p>
        </w:tc>
      </w:tr>
      <w:tr w:rsidR="00820C75" w14:paraId="48588590" w14:textId="77777777">
        <w:trPr>
          <w:jc w:val="center"/>
        </w:trPr>
        <w:tc>
          <w:tcPr>
            <w:tcW w:w="5331" w:type="dxa"/>
            <w:noWrap/>
          </w:tcPr>
          <w:p w14:paraId="57852843" w14:textId="77777777" w:rsidR="00820C75" w:rsidRDefault="00820C75">
            <w:r>
              <w:rPr>
                <w:sz w:val="16"/>
                <w:lang w:val="lv-LV"/>
              </w:rPr>
              <w:t>21.2. panta degvielu īpatsvars % no kopējās atjaunojamās enerģijas transportam</w:t>
            </w:r>
          </w:p>
        </w:tc>
        <w:tc>
          <w:tcPr>
            <w:tcW w:w="834" w:type="dxa"/>
            <w:noWrap/>
          </w:tcPr>
          <w:p w14:paraId="2A667ADE" w14:textId="77777777" w:rsidR="00820C75" w:rsidRDefault="00F7095C" w:rsidP="00F7095C">
            <w:pPr>
              <w:jc w:val="center"/>
              <w:rPr>
                <w:sz w:val="16"/>
              </w:rPr>
            </w:pPr>
            <w:r>
              <w:rPr>
                <w:sz w:val="16"/>
              </w:rPr>
              <w:t>0</w:t>
            </w:r>
          </w:p>
        </w:tc>
        <w:tc>
          <w:tcPr>
            <w:tcW w:w="834" w:type="dxa"/>
            <w:noWrap/>
          </w:tcPr>
          <w:p w14:paraId="38845909" w14:textId="77777777" w:rsidR="00820C75" w:rsidRDefault="00F7095C" w:rsidP="00F7095C">
            <w:pPr>
              <w:jc w:val="center"/>
              <w:rPr>
                <w:sz w:val="16"/>
              </w:rPr>
            </w:pPr>
            <w:r>
              <w:rPr>
                <w:sz w:val="16"/>
              </w:rPr>
              <w:t>0</w:t>
            </w:r>
          </w:p>
        </w:tc>
      </w:tr>
    </w:tbl>
    <w:p w14:paraId="0708B03F" w14:textId="77777777" w:rsidR="00820C75" w:rsidRDefault="00820C75" w:rsidP="00B70687">
      <w:pPr>
        <w:rPr>
          <w:lang w:val="en-US"/>
        </w:rPr>
      </w:pPr>
    </w:p>
    <w:p w14:paraId="735E0693" w14:textId="77777777" w:rsidR="009611F9" w:rsidRPr="00935562" w:rsidRDefault="009611F9" w:rsidP="009611F9">
      <w:pPr>
        <w:pStyle w:val="Heading1"/>
        <w:numPr>
          <w:ilvl w:val="0"/>
          <w:numId w:val="0"/>
        </w:numPr>
        <w:jc w:val="center"/>
        <w:rPr>
          <w:smallCaps w:val="0"/>
          <w:sz w:val="28"/>
          <w:lang w:val="lv-LV"/>
        </w:rPr>
      </w:pPr>
      <w:bookmarkStart w:id="33" w:name="_Toc367196065"/>
      <w:bookmarkStart w:id="34" w:name="_Toc373229251"/>
      <w:r w:rsidRPr="00935562">
        <w:rPr>
          <w:smallCaps w:val="0"/>
          <w:sz w:val="28"/>
          <w:lang w:val="lv-LV"/>
        </w:rPr>
        <w:t>9. Biodegvielu un bioloģisko šķidro kurināmo ražošanas ietekme uz bioloģisko daudzveidību, ūdens resursiem, ūdens kvalitāti un augsnes kvalitāti</w:t>
      </w:r>
      <w:bookmarkEnd w:id="33"/>
      <w:bookmarkEnd w:id="34"/>
    </w:p>
    <w:p w14:paraId="792F1D40" w14:textId="77777777" w:rsidR="00F7095C" w:rsidRDefault="00F7095C" w:rsidP="00B70687">
      <w:pPr>
        <w:rPr>
          <w:lang w:val="lv-LV"/>
        </w:rPr>
      </w:pPr>
    </w:p>
    <w:p w14:paraId="1F82172A" w14:textId="77777777" w:rsidR="00792BC2" w:rsidRDefault="00792BC2" w:rsidP="00792BC2">
      <w:pPr>
        <w:ind w:firstLine="709"/>
        <w:jc w:val="both"/>
        <w:rPr>
          <w:snapToGrid/>
          <w:sz w:val="28"/>
          <w:szCs w:val="28"/>
          <w:lang w:val="lv-LV" w:eastAsia="lv-LV"/>
        </w:rPr>
      </w:pPr>
      <w:r w:rsidRPr="00792BC2">
        <w:rPr>
          <w:snapToGrid/>
          <w:sz w:val="28"/>
          <w:szCs w:val="28"/>
          <w:lang w:val="lv-LV" w:eastAsia="lv-LV"/>
        </w:rPr>
        <w:t>Latvijā enerģētiskos kultūraugus audzē biodegvielas – bioetanola, tīras augu eļļas un biodīzeļdegvielas – ražošanai. Bioetanola ražošanai izmanto kviešus, rudzus un tritikāli, bet tīras augu eļļas un biodīzeļdegvielas ražošanai pārsvarā izmanto rapsi. Kukurūzas skābbarības biomasu, kā substrātu izmanto biogāzes ieguvei</w:t>
      </w:r>
      <w:r w:rsidRPr="00792BC2">
        <w:rPr>
          <w:snapToGrid/>
          <w:sz w:val="28"/>
          <w:szCs w:val="28"/>
          <w:vertAlign w:val="superscript"/>
          <w:lang w:val="en-US" w:eastAsia="lv-LV"/>
        </w:rPr>
        <w:footnoteReference w:id="39"/>
      </w:r>
      <w:r w:rsidRPr="00792BC2">
        <w:rPr>
          <w:snapToGrid/>
          <w:sz w:val="28"/>
          <w:szCs w:val="28"/>
          <w:lang w:val="lv-LV" w:eastAsia="lv-LV"/>
        </w:rPr>
        <w:t xml:space="preserve">. </w:t>
      </w:r>
    </w:p>
    <w:p w14:paraId="5CBF63EC" w14:textId="77777777" w:rsidR="00B31F6D" w:rsidRPr="00C80170" w:rsidRDefault="003E6427" w:rsidP="00FF4D7B">
      <w:pPr>
        <w:jc w:val="right"/>
        <w:rPr>
          <w:b/>
          <w:i/>
          <w:sz w:val="20"/>
          <w:szCs w:val="20"/>
          <w:lang w:val="lv-LV"/>
        </w:rPr>
      </w:pPr>
      <w:bookmarkStart w:id="35" w:name="_Toc367196066"/>
      <w:r w:rsidRPr="00C80170">
        <w:rPr>
          <w:b/>
          <w:i/>
          <w:sz w:val="20"/>
          <w:szCs w:val="20"/>
          <w:lang w:val="lv-LV"/>
        </w:rPr>
        <w:t>5a</w:t>
      </w:r>
      <w:r w:rsidR="00B31F6D" w:rsidRPr="00C80170">
        <w:rPr>
          <w:b/>
          <w:i/>
          <w:sz w:val="20"/>
          <w:szCs w:val="20"/>
          <w:lang w:val="lv-LV"/>
        </w:rPr>
        <w:t>. tabula.</w:t>
      </w:r>
      <w:bookmarkEnd w:id="35"/>
    </w:p>
    <w:p w14:paraId="35694162" w14:textId="77777777" w:rsidR="00792BC2" w:rsidRPr="00FF4D7B" w:rsidRDefault="00792BC2" w:rsidP="00FF4D7B">
      <w:pPr>
        <w:jc w:val="center"/>
        <w:rPr>
          <w:b/>
          <w:sz w:val="20"/>
          <w:szCs w:val="20"/>
          <w:lang w:val="lv-LV"/>
        </w:rPr>
      </w:pPr>
      <w:r w:rsidRPr="00FF4D7B">
        <w:rPr>
          <w:b/>
          <w:sz w:val="20"/>
          <w:szCs w:val="20"/>
          <w:lang w:val="lv-LV"/>
        </w:rPr>
        <w:t>Biodīzeļdegvielas un bioetanola ražošana, (</w:t>
      </w:r>
      <w:proofErr w:type="spellStart"/>
      <w:r w:rsidR="005E5E08" w:rsidRPr="00FF4D7B">
        <w:rPr>
          <w:b/>
          <w:sz w:val="20"/>
          <w:szCs w:val="20"/>
          <w:lang w:val="lv-LV"/>
        </w:rPr>
        <w:t>tūkst</w:t>
      </w:r>
      <w:proofErr w:type="spellEnd"/>
      <w:r w:rsidR="005E5E08" w:rsidRPr="00FF4D7B">
        <w:rPr>
          <w:b/>
          <w:sz w:val="20"/>
          <w:szCs w:val="20"/>
          <w:lang w:val="lv-LV"/>
        </w:rPr>
        <w:t xml:space="preserve">. </w:t>
      </w:r>
      <w:r w:rsidRPr="00FF4D7B">
        <w:rPr>
          <w:b/>
          <w:sz w:val="20"/>
          <w:szCs w:val="20"/>
          <w:lang w:val="lv-LV"/>
        </w:rPr>
        <w: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1"/>
        <w:gridCol w:w="834"/>
        <w:gridCol w:w="834"/>
      </w:tblGrid>
      <w:tr w:rsidR="00792BC2" w14:paraId="051DA09D" w14:textId="77777777" w:rsidTr="005900BC">
        <w:trPr>
          <w:jc w:val="center"/>
        </w:trPr>
        <w:tc>
          <w:tcPr>
            <w:tcW w:w="5331" w:type="dxa"/>
            <w:shd w:val="clear" w:color="auto" w:fill="E6E6E6"/>
            <w:noWrap/>
          </w:tcPr>
          <w:p w14:paraId="21FE0E9E" w14:textId="77777777" w:rsidR="00792BC2" w:rsidRDefault="00792BC2" w:rsidP="005900BC">
            <w:pPr>
              <w:jc w:val="center"/>
            </w:pPr>
            <w:r>
              <w:rPr>
                <w:b/>
                <w:sz w:val="16"/>
                <w:lang w:val="lv-LV"/>
              </w:rPr>
              <w:t>Biodegviela</w:t>
            </w:r>
          </w:p>
          <w:p w14:paraId="2A8377DA" w14:textId="77777777" w:rsidR="00792BC2" w:rsidRDefault="00792BC2" w:rsidP="005900BC">
            <w:pPr>
              <w:jc w:val="center"/>
              <w:rPr>
                <w:b/>
                <w:i/>
                <w:sz w:val="16"/>
              </w:rPr>
            </w:pPr>
          </w:p>
        </w:tc>
        <w:tc>
          <w:tcPr>
            <w:tcW w:w="834" w:type="dxa"/>
            <w:shd w:val="clear" w:color="auto" w:fill="E6E6E6"/>
            <w:noWrap/>
          </w:tcPr>
          <w:p w14:paraId="10999F5E" w14:textId="77777777" w:rsidR="00792BC2" w:rsidRDefault="00792BC2" w:rsidP="005900BC">
            <w:pPr>
              <w:jc w:val="center"/>
            </w:pPr>
            <w:r>
              <w:rPr>
                <w:b/>
                <w:sz w:val="16"/>
                <w:lang w:val="lv-LV"/>
              </w:rPr>
              <w:t>2011</w:t>
            </w:r>
          </w:p>
        </w:tc>
        <w:tc>
          <w:tcPr>
            <w:tcW w:w="834" w:type="dxa"/>
            <w:shd w:val="clear" w:color="auto" w:fill="E6E6E6"/>
            <w:noWrap/>
          </w:tcPr>
          <w:p w14:paraId="7083A353" w14:textId="77777777" w:rsidR="00792BC2" w:rsidRDefault="00792BC2" w:rsidP="005900BC">
            <w:pPr>
              <w:jc w:val="center"/>
            </w:pPr>
            <w:r>
              <w:rPr>
                <w:b/>
                <w:sz w:val="16"/>
                <w:lang w:val="lv-LV"/>
              </w:rPr>
              <w:t>2012</w:t>
            </w:r>
          </w:p>
        </w:tc>
      </w:tr>
      <w:tr w:rsidR="00792BC2" w14:paraId="0B8025FD" w14:textId="77777777" w:rsidTr="005900BC">
        <w:trPr>
          <w:jc w:val="center"/>
        </w:trPr>
        <w:tc>
          <w:tcPr>
            <w:tcW w:w="5331" w:type="dxa"/>
            <w:noWrap/>
          </w:tcPr>
          <w:p w14:paraId="5CA76B71" w14:textId="77777777" w:rsidR="00792BC2" w:rsidRPr="00792BC2" w:rsidRDefault="00792BC2" w:rsidP="005900BC">
            <w:pPr>
              <w:rPr>
                <w:sz w:val="16"/>
                <w:szCs w:val="16"/>
              </w:rPr>
            </w:pPr>
            <w:proofErr w:type="spellStart"/>
            <w:r w:rsidRPr="00792BC2">
              <w:rPr>
                <w:sz w:val="16"/>
                <w:szCs w:val="16"/>
              </w:rPr>
              <w:t>Bioetanols</w:t>
            </w:r>
            <w:proofErr w:type="spellEnd"/>
          </w:p>
        </w:tc>
        <w:tc>
          <w:tcPr>
            <w:tcW w:w="834" w:type="dxa"/>
            <w:noWrap/>
          </w:tcPr>
          <w:p w14:paraId="1DD1C809" w14:textId="77777777" w:rsidR="00792BC2" w:rsidRPr="00FF5F5E" w:rsidRDefault="00792BC2" w:rsidP="005900BC">
            <w:pPr>
              <w:jc w:val="center"/>
              <w:rPr>
                <w:sz w:val="16"/>
                <w:szCs w:val="16"/>
                <w:highlight w:val="yellow"/>
              </w:rPr>
            </w:pPr>
            <w:r w:rsidRPr="00792BC2">
              <w:rPr>
                <w:snapToGrid/>
                <w:sz w:val="16"/>
                <w:szCs w:val="16"/>
                <w:lang w:val="lv-LV" w:eastAsia="lv-LV"/>
              </w:rPr>
              <w:t>1</w:t>
            </w:r>
            <w:r w:rsidR="00197F24" w:rsidRPr="00E33620">
              <w:rPr>
                <w:snapToGrid/>
                <w:sz w:val="16"/>
                <w:szCs w:val="16"/>
                <w:lang w:val="lv-LV" w:eastAsia="lv-LV"/>
              </w:rPr>
              <w:t>,</w:t>
            </w:r>
            <w:r w:rsidRPr="00792BC2">
              <w:rPr>
                <w:snapToGrid/>
                <w:sz w:val="16"/>
                <w:szCs w:val="16"/>
                <w:lang w:val="lv-LV" w:eastAsia="lv-LV"/>
              </w:rPr>
              <w:t>959</w:t>
            </w:r>
          </w:p>
        </w:tc>
        <w:tc>
          <w:tcPr>
            <w:tcW w:w="834" w:type="dxa"/>
            <w:noWrap/>
          </w:tcPr>
          <w:p w14:paraId="13F3D006" w14:textId="77777777" w:rsidR="00792BC2" w:rsidRPr="005E583A" w:rsidRDefault="00FF5F5E" w:rsidP="005900BC">
            <w:pPr>
              <w:jc w:val="center"/>
              <w:rPr>
                <w:sz w:val="16"/>
                <w:szCs w:val="16"/>
              </w:rPr>
            </w:pPr>
            <w:r w:rsidRPr="005E583A">
              <w:rPr>
                <w:sz w:val="16"/>
                <w:szCs w:val="16"/>
                <w:lang w:val="en"/>
              </w:rPr>
              <w:t>1,603</w:t>
            </w:r>
          </w:p>
        </w:tc>
      </w:tr>
      <w:tr w:rsidR="00792BC2" w14:paraId="18EFAFC7" w14:textId="77777777" w:rsidTr="005900BC">
        <w:trPr>
          <w:jc w:val="center"/>
        </w:trPr>
        <w:tc>
          <w:tcPr>
            <w:tcW w:w="5331" w:type="dxa"/>
            <w:noWrap/>
          </w:tcPr>
          <w:p w14:paraId="4E3E0A0A" w14:textId="77777777" w:rsidR="00792BC2" w:rsidRPr="00792BC2" w:rsidRDefault="00792BC2" w:rsidP="005900BC">
            <w:pPr>
              <w:rPr>
                <w:sz w:val="16"/>
                <w:szCs w:val="16"/>
              </w:rPr>
            </w:pPr>
            <w:proofErr w:type="spellStart"/>
            <w:r w:rsidRPr="00792BC2">
              <w:rPr>
                <w:sz w:val="16"/>
                <w:szCs w:val="16"/>
              </w:rPr>
              <w:t>Biodīzeļdegviela</w:t>
            </w:r>
            <w:proofErr w:type="spellEnd"/>
          </w:p>
        </w:tc>
        <w:tc>
          <w:tcPr>
            <w:tcW w:w="834" w:type="dxa"/>
            <w:noWrap/>
          </w:tcPr>
          <w:p w14:paraId="3D140523" w14:textId="77777777" w:rsidR="00792BC2" w:rsidRPr="00792BC2" w:rsidRDefault="00792BC2" w:rsidP="00E93570">
            <w:pPr>
              <w:jc w:val="center"/>
              <w:rPr>
                <w:sz w:val="16"/>
                <w:szCs w:val="16"/>
              </w:rPr>
            </w:pPr>
            <w:r w:rsidRPr="00792BC2">
              <w:rPr>
                <w:snapToGrid/>
                <w:sz w:val="16"/>
                <w:szCs w:val="16"/>
                <w:lang w:val="lv-LV" w:eastAsia="lv-LV"/>
              </w:rPr>
              <w:t>59</w:t>
            </w:r>
            <w:r w:rsidR="00197F24">
              <w:rPr>
                <w:snapToGrid/>
                <w:sz w:val="16"/>
                <w:szCs w:val="16"/>
                <w:lang w:val="lv-LV" w:eastAsia="lv-LV"/>
              </w:rPr>
              <w:t>,</w:t>
            </w:r>
            <w:r w:rsidR="00E93570">
              <w:rPr>
                <w:snapToGrid/>
                <w:sz w:val="16"/>
                <w:szCs w:val="16"/>
                <w:lang w:val="lv-LV" w:eastAsia="lv-LV"/>
              </w:rPr>
              <w:t>829</w:t>
            </w:r>
          </w:p>
        </w:tc>
        <w:tc>
          <w:tcPr>
            <w:tcW w:w="834" w:type="dxa"/>
            <w:noWrap/>
          </w:tcPr>
          <w:p w14:paraId="4415F1F2" w14:textId="77777777" w:rsidR="00792BC2" w:rsidRPr="005E583A" w:rsidRDefault="00FF5F5E" w:rsidP="005900BC">
            <w:pPr>
              <w:jc w:val="center"/>
              <w:rPr>
                <w:sz w:val="16"/>
                <w:szCs w:val="16"/>
              </w:rPr>
            </w:pPr>
            <w:r w:rsidRPr="005E583A">
              <w:rPr>
                <w:sz w:val="16"/>
                <w:szCs w:val="16"/>
              </w:rPr>
              <w:t>90,452</w:t>
            </w:r>
          </w:p>
        </w:tc>
      </w:tr>
    </w:tbl>
    <w:p w14:paraId="3E37171F" w14:textId="77777777" w:rsidR="00792BC2" w:rsidRPr="00792BC2" w:rsidRDefault="00792BC2" w:rsidP="00792BC2">
      <w:pPr>
        <w:ind w:firstLine="709"/>
        <w:jc w:val="both"/>
        <w:rPr>
          <w:snapToGrid/>
          <w:sz w:val="16"/>
          <w:szCs w:val="16"/>
          <w:lang w:val="lv-LV" w:eastAsia="lv-LV"/>
        </w:rPr>
      </w:pPr>
      <w:r w:rsidRPr="00792BC2">
        <w:rPr>
          <w:snapToGrid/>
          <w:sz w:val="16"/>
          <w:szCs w:val="16"/>
          <w:lang w:val="lv-LV" w:eastAsia="lv-LV"/>
        </w:rPr>
        <w:t>Avots: CSP</w:t>
      </w:r>
    </w:p>
    <w:p w14:paraId="627ED215" w14:textId="77777777" w:rsidR="00114A79" w:rsidRPr="00114A79" w:rsidRDefault="00114A79" w:rsidP="00114A79">
      <w:pPr>
        <w:autoSpaceDE w:val="0"/>
        <w:autoSpaceDN w:val="0"/>
        <w:adjustRightInd w:val="0"/>
        <w:rPr>
          <w:rFonts w:ascii="Calibri" w:hAnsi="Calibri" w:cs="Calibri"/>
          <w:snapToGrid/>
          <w:color w:val="000000"/>
          <w:lang w:val="lv-LV" w:eastAsia="lv-LV"/>
        </w:rPr>
      </w:pPr>
    </w:p>
    <w:p w14:paraId="364E56F5" w14:textId="5474C196" w:rsidR="00B2445B" w:rsidRDefault="00197F24" w:rsidP="00197F24">
      <w:pPr>
        <w:ind w:firstLine="709"/>
        <w:jc w:val="both"/>
        <w:rPr>
          <w:sz w:val="28"/>
          <w:szCs w:val="28"/>
          <w:lang w:val="lv-LV"/>
        </w:rPr>
      </w:pPr>
      <w:r w:rsidRPr="00284350">
        <w:rPr>
          <w:sz w:val="28"/>
          <w:szCs w:val="28"/>
          <w:lang w:val="lv-LV"/>
        </w:rPr>
        <w:t>Saskaņā ar CSP datiem par biodegvielu ražošanu 2011.</w:t>
      </w:r>
      <w:r w:rsidR="00223A43">
        <w:rPr>
          <w:sz w:val="28"/>
          <w:szCs w:val="28"/>
          <w:lang w:val="lv-LV"/>
        </w:rPr>
        <w:t> </w:t>
      </w:r>
      <w:r w:rsidRPr="00284350">
        <w:rPr>
          <w:sz w:val="28"/>
          <w:szCs w:val="28"/>
          <w:lang w:val="lv-LV"/>
        </w:rPr>
        <w:t>gadā, salīdzinot ar 2010.</w:t>
      </w:r>
      <w:r w:rsidR="00ED26E6">
        <w:rPr>
          <w:sz w:val="28"/>
          <w:szCs w:val="28"/>
          <w:lang w:val="lv-LV"/>
        </w:rPr>
        <w:t xml:space="preserve"> </w:t>
      </w:r>
      <w:r w:rsidRPr="00284350">
        <w:rPr>
          <w:sz w:val="28"/>
          <w:szCs w:val="28"/>
          <w:lang w:val="lv-LV"/>
        </w:rPr>
        <w:t>gadu, bioetanols tika saražots par aptuveni</w:t>
      </w:r>
      <w:r w:rsidR="005E5E08" w:rsidRPr="00284350">
        <w:rPr>
          <w:sz w:val="28"/>
          <w:szCs w:val="28"/>
          <w:lang w:val="lv-LV"/>
        </w:rPr>
        <w:t xml:space="preserve"> 12,9 </w:t>
      </w:r>
      <w:proofErr w:type="spellStart"/>
      <w:r w:rsidR="005E5E08" w:rsidRPr="00284350">
        <w:rPr>
          <w:sz w:val="28"/>
          <w:szCs w:val="28"/>
          <w:lang w:val="lv-LV"/>
        </w:rPr>
        <w:t>tūkst</w:t>
      </w:r>
      <w:proofErr w:type="spellEnd"/>
      <w:r w:rsidR="005E5E08" w:rsidRPr="00284350">
        <w:rPr>
          <w:sz w:val="28"/>
          <w:szCs w:val="28"/>
          <w:lang w:val="lv-LV"/>
        </w:rPr>
        <w:t xml:space="preserve">. t jeb par 86,8% mazāk. </w:t>
      </w:r>
      <w:r w:rsidR="005E5E08" w:rsidRPr="005E583A">
        <w:rPr>
          <w:sz w:val="28"/>
          <w:szCs w:val="28"/>
          <w:lang w:val="lv-LV"/>
        </w:rPr>
        <w:t>2012.gadā, salīdzinot ar 2011.</w:t>
      </w:r>
      <w:r w:rsidR="00ED26E6">
        <w:rPr>
          <w:sz w:val="28"/>
          <w:szCs w:val="28"/>
          <w:lang w:val="lv-LV"/>
        </w:rPr>
        <w:t xml:space="preserve"> </w:t>
      </w:r>
      <w:r w:rsidR="005E5E08" w:rsidRPr="005E583A">
        <w:rPr>
          <w:sz w:val="28"/>
          <w:szCs w:val="28"/>
          <w:lang w:val="lv-LV"/>
        </w:rPr>
        <w:t>gadu</w:t>
      </w:r>
      <w:r w:rsidR="005B2139">
        <w:rPr>
          <w:sz w:val="28"/>
          <w:szCs w:val="28"/>
          <w:lang w:val="lv-LV"/>
        </w:rPr>
        <w:t xml:space="preserve"> bioetanols tika saražots par 356 t jeb par 18,</w:t>
      </w:r>
      <w:r w:rsidR="005E583A">
        <w:rPr>
          <w:sz w:val="28"/>
          <w:szCs w:val="28"/>
          <w:lang w:val="lv-LV"/>
        </w:rPr>
        <w:t>1</w:t>
      </w:r>
      <w:r w:rsidR="005B2139">
        <w:rPr>
          <w:sz w:val="28"/>
          <w:szCs w:val="28"/>
          <w:lang w:val="lv-LV"/>
        </w:rPr>
        <w:t>7% mazāk.</w:t>
      </w:r>
      <w:r w:rsidR="009665E7" w:rsidRPr="00284350">
        <w:rPr>
          <w:sz w:val="28"/>
          <w:szCs w:val="28"/>
          <w:lang w:val="lv-LV"/>
        </w:rPr>
        <w:t xml:space="preserve"> </w:t>
      </w:r>
      <w:r w:rsidR="007C5364">
        <w:rPr>
          <w:sz w:val="28"/>
          <w:szCs w:val="28"/>
          <w:lang w:val="lv-LV"/>
        </w:rPr>
        <w:t>Biodīzeļdegviela 2012.</w:t>
      </w:r>
      <w:r w:rsidR="00ED26E6">
        <w:rPr>
          <w:sz w:val="28"/>
          <w:szCs w:val="28"/>
          <w:lang w:val="lv-LV"/>
        </w:rPr>
        <w:t xml:space="preserve"> </w:t>
      </w:r>
      <w:r w:rsidR="007C5364">
        <w:rPr>
          <w:sz w:val="28"/>
          <w:szCs w:val="28"/>
          <w:lang w:val="lv-LV"/>
        </w:rPr>
        <w:t>gadā salīdzinot ar 2011.</w:t>
      </w:r>
      <w:r w:rsidR="00ED26E6">
        <w:rPr>
          <w:sz w:val="28"/>
          <w:szCs w:val="28"/>
          <w:lang w:val="lv-LV"/>
        </w:rPr>
        <w:t xml:space="preserve"> </w:t>
      </w:r>
      <w:r w:rsidR="007C5364">
        <w:rPr>
          <w:sz w:val="28"/>
          <w:szCs w:val="28"/>
          <w:lang w:val="lv-LV"/>
        </w:rPr>
        <w:t>gadu</w:t>
      </w:r>
      <w:r w:rsidR="00223A43">
        <w:rPr>
          <w:sz w:val="28"/>
          <w:szCs w:val="28"/>
          <w:lang w:val="lv-LV"/>
        </w:rPr>
        <w:t>,</w:t>
      </w:r>
      <w:r w:rsidR="007C5364">
        <w:rPr>
          <w:sz w:val="28"/>
          <w:szCs w:val="28"/>
          <w:lang w:val="lv-LV"/>
        </w:rPr>
        <w:t xml:space="preserve"> tika saražota par </w:t>
      </w:r>
      <w:r w:rsidR="00A82F83">
        <w:rPr>
          <w:sz w:val="28"/>
          <w:szCs w:val="28"/>
          <w:lang w:val="lv-LV"/>
        </w:rPr>
        <w:t>30,</w:t>
      </w:r>
      <w:r w:rsidR="00E93570">
        <w:rPr>
          <w:sz w:val="28"/>
          <w:szCs w:val="28"/>
          <w:lang w:val="lv-LV"/>
        </w:rPr>
        <w:t>623</w:t>
      </w:r>
      <w:r w:rsidR="00A82F83">
        <w:rPr>
          <w:sz w:val="28"/>
          <w:szCs w:val="28"/>
          <w:lang w:val="lv-LV"/>
        </w:rPr>
        <w:t xml:space="preserve"> </w:t>
      </w:r>
      <w:proofErr w:type="spellStart"/>
      <w:r w:rsidR="00A82F83">
        <w:rPr>
          <w:sz w:val="28"/>
          <w:szCs w:val="28"/>
          <w:lang w:val="lv-LV"/>
        </w:rPr>
        <w:t>tūkst</w:t>
      </w:r>
      <w:proofErr w:type="spellEnd"/>
      <w:r w:rsidR="00A82F83">
        <w:rPr>
          <w:sz w:val="28"/>
          <w:szCs w:val="28"/>
          <w:lang w:val="lv-LV"/>
        </w:rPr>
        <w:t xml:space="preserve">. t, kas ir par </w:t>
      </w:r>
      <w:r w:rsidR="00864FB4">
        <w:rPr>
          <w:sz w:val="28"/>
          <w:szCs w:val="28"/>
          <w:lang w:val="lv-LV"/>
        </w:rPr>
        <w:t xml:space="preserve">aptuveni </w:t>
      </w:r>
      <w:r w:rsidR="006E0A0C">
        <w:rPr>
          <w:sz w:val="28"/>
          <w:szCs w:val="28"/>
          <w:lang w:val="lv-LV"/>
        </w:rPr>
        <w:t>51,</w:t>
      </w:r>
      <w:r w:rsidR="004D2B61">
        <w:rPr>
          <w:sz w:val="28"/>
          <w:szCs w:val="28"/>
          <w:lang w:val="lv-LV"/>
        </w:rPr>
        <w:t>18</w:t>
      </w:r>
      <w:r w:rsidR="00A82F83">
        <w:rPr>
          <w:sz w:val="28"/>
          <w:szCs w:val="28"/>
          <w:lang w:val="lv-LV"/>
        </w:rPr>
        <w:t>% vairāk.</w:t>
      </w:r>
      <w:r w:rsidR="005174D9">
        <w:rPr>
          <w:sz w:val="28"/>
          <w:szCs w:val="28"/>
          <w:lang w:val="lv-LV"/>
        </w:rPr>
        <w:t xml:space="preserve"> Kopumā biodegvielu ražošanas apjomi pārskata periodā ir samazinājušies, tādēļ samazinās arī ražošanas procesā radītās CO</w:t>
      </w:r>
      <w:r w:rsidR="005174D9" w:rsidRPr="005174D9">
        <w:rPr>
          <w:sz w:val="28"/>
          <w:szCs w:val="28"/>
          <w:vertAlign w:val="subscript"/>
          <w:lang w:val="lv-LV"/>
        </w:rPr>
        <w:t>2</w:t>
      </w:r>
      <w:r w:rsidR="005174D9">
        <w:rPr>
          <w:sz w:val="28"/>
          <w:szCs w:val="28"/>
          <w:lang w:val="lv-LV"/>
        </w:rPr>
        <w:t xml:space="preserve"> emisijas.</w:t>
      </w:r>
    </w:p>
    <w:p w14:paraId="766ABAFC" w14:textId="3969BAB4" w:rsidR="001951BF" w:rsidRDefault="001951BF" w:rsidP="001951BF">
      <w:pPr>
        <w:ind w:firstLine="567"/>
        <w:jc w:val="both"/>
        <w:rPr>
          <w:rFonts w:eastAsia="Calibri" w:cs="Tahoma"/>
          <w:snapToGrid/>
          <w:sz w:val="28"/>
          <w:szCs w:val="28"/>
          <w:lang w:val="lv-LV" w:eastAsia="en-US"/>
        </w:rPr>
      </w:pPr>
      <w:r w:rsidRPr="00B2445B">
        <w:rPr>
          <w:rFonts w:eastAsia="Calibri" w:cs="Tahoma"/>
          <w:snapToGrid/>
          <w:sz w:val="28"/>
          <w:szCs w:val="28"/>
          <w:lang w:val="lv-LV" w:eastAsia="en-US"/>
        </w:rPr>
        <w:t>Saskaņā ar CSP informāciju par lauksaimniecības kultūru sējumu platībām 2011. gadā rapša sējumi veidoja 121,3 </w:t>
      </w:r>
      <w:proofErr w:type="spellStart"/>
      <w:r w:rsidRPr="00B2445B">
        <w:rPr>
          <w:rFonts w:eastAsia="Calibri" w:cs="Tahoma"/>
          <w:snapToGrid/>
          <w:sz w:val="28"/>
          <w:szCs w:val="28"/>
          <w:lang w:val="lv-LV" w:eastAsia="en-US"/>
        </w:rPr>
        <w:t>tūkst</w:t>
      </w:r>
      <w:proofErr w:type="spellEnd"/>
      <w:r w:rsidRPr="00B2445B">
        <w:rPr>
          <w:rFonts w:eastAsia="Calibri" w:cs="Tahoma"/>
          <w:snapToGrid/>
          <w:sz w:val="28"/>
          <w:szCs w:val="28"/>
          <w:lang w:val="lv-LV" w:eastAsia="en-US"/>
        </w:rPr>
        <w:t>. ha, kas ir par 10,7 </w:t>
      </w:r>
      <w:proofErr w:type="spellStart"/>
      <w:r w:rsidRPr="00B2445B">
        <w:rPr>
          <w:rFonts w:eastAsia="Calibri" w:cs="Tahoma"/>
          <w:snapToGrid/>
          <w:sz w:val="28"/>
          <w:szCs w:val="28"/>
          <w:lang w:val="lv-LV" w:eastAsia="en-US"/>
        </w:rPr>
        <w:t>tūkst</w:t>
      </w:r>
      <w:proofErr w:type="spellEnd"/>
      <w:r w:rsidRPr="00B2445B">
        <w:rPr>
          <w:rFonts w:eastAsia="Calibri" w:cs="Tahoma"/>
          <w:snapToGrid/>
          <w:sz w:val="28"/>
          <w:szCs w:val="28"/>
          <w:lang w:val="lv-LV" w:eastAsia="en-US"/>
        </w:rPr>
        <w:t xml:space="preserve">. ha jeb </w:t>
      </w:r>
      <w:r w:rsidRPr="00B2445B">
        <w:rPr>
          <w:rFonts w:eastAsia="Calibri" w:cs="Tahoma"/>
          <w:snapToGrid/>
          <w:sz w:val="28"/>
          <w:szCs w:val="28"/>
          <w:lang w:val="lv-LV" w:eastAsia="en-US"/>
        </w:rPr>
        <w:lastRenderedPageBreak/>
        <w:t xml:space="preserve">9,7% vairāk nekā 2010. gadā. </w:t>
      </w:r>
      <w:r w:rsidR="00111D04">
        <w:rPr>
          <w:rFonts w:eastAsia="Calibri" w:cs="Tahoma"/>
          <w:snapToGrid/>
          <w:sz w:val="28"/>
          <w:szCs w:val="28"/>
          <w:lang w:val="lv-LV" w:eastAsia="en-US"/>
        </w:rPr>
        <w:t>Savukārt 2012.</w:t>
      </w:r>
      <w:r w:rsidR="00ED26E6">
        <w:rPr>
          <w:rFonts w:eastAsia="Calibri" w:cs="Tahoma"/>
          <w:snapToGrid/>
          <w:sz w:val="28"/>
          <w:szCs w:val="28"/>
          <w:lang w:val="lv-LV" w:eastAsia="en-US"/>
        </w:rPr>
        <w:t xml:space="preserve"> </w:t>
      </w:r>
      <w:r w:rsidR="00111D04">
        <w:rPr>
          <w:rFonts w:eastAsia="Calibri" w:cs="Tahoma"/>
          <w:snapToGrid/>
          <w:sz w:val="28"/>
          <w:szCs w:val="28"/>
          <w:lang w:val="lv-LV" w:eastAsia="en-US"/>
        </w:rPr>
        <w:t xml:space="preserve">gadā rapša sējumi veidoja 117,5 </w:t>
      </w:r>
      <w:proofErr w:type="spellStart"/>
      <w:r w:rsidR="00111D04">
        <w:rPr>
          <w:rFonts w:eastAsia="Calibri" w:cs="Tahoma"/>
          <w:snapToGrid/>
          <w:sz w:val="28"/>
          <w:szCs w:val="28"/>
          <w:lang w:val="lv-LV" w:eastAsia="en-US"/>
        </w:rPr>
        <w:t>tūkst</w:t>
      </w:r>
      <w:proofErr w:type="spellEnd"/>
      <w:r w:rsidR="00111D04">
        <w:rPr>
          <w:rFonts w:eastAsia="Calibri" w:cs="Tahoma"/>
          <w:snapToGrid/>
          <w:sz w:val="28"/>
          <w:szCs w:val="28"/>
          <w:lang w:val="lv-LV" w:eastAsia="en-US"/>
        </w:rPr>
        <w:t>. ha, kas ir par 3,1% mazāk nekā 2011.</w:t>
      </w:r>
      <w:r w:rsidR="00ED26E6">
        <w:rPr>
          <w:rFonts w:eastAsia="Calibri" w:cs="Tahoma"/>
          <w:snapToGrid/>
          <w:sz w:val="28"/>
          <w:szCs w:val="28"/>
          <w:lang w:val="lv-LV" w:eastAsia="en-US"/>
        </w:rPr>
        <w:t xml:space="preserve"> </w:t>
      </w:r>
      <w:r w:rsidR="00111D04">
        <w:rPr>
          <w:rFonts w:eastAsia="Calibri" w:cs="Tahoma"/>
          <w:snapToGrid/>
          <w:sz w:val="28"/>
          <w:szCs w:val="28"/>
          <w:lang w:val="lv-LV" w:eastAsia="en-US"/>
        </w:rPr>
        <w:t>gadā.</w:t>
      </w:r>
      <w:r w:rsidR="00B31F6D">
        <w:rPr>
          <w:rFonts w:eastAsia="Calibri" w:cs="Tahoma"/>
          <w:snapToGrid/>
          <w:sz w:val="28"/>
          <w:szCs w:val="28"/>
          <w:lang w:val="lv-LV" w:eastAsia="en-US"/>
        </w:rPr>
        <w:t xml:space="preserve"> Lauksaimniecības kultūru sējumu platības parādītas </w:t>
      </w:r>
      <w:r w:rsidR="003E6427">
        <w:rPr>
          <w:rFonts w:eastAsia="Calibri" w:cs="Tahoma"/>
          <w:snapToGrid/>
          <w:sz w:val="28"/>
          <w:szCs w:val="28"/>
          <w:lang w:val="lv-LV" w:eastAsia="en-US"/>
        </w:rPr>
        <w:t>5b</w:t>
      </w:r>
      <w:r w:rsidR="00B31F6D">
        <w:rPr>
          <w:rFonts w:eastAsia="Calibri" w:cs="Tahoma"/>
          <w:snapToGrid/>
          <w:sz w:val="28"/>
          <w:szCs w:val="28"/>
          <w:lang w:val="lv-LV" w:eastAsia="en-US"/>
        </w:rPr>
        <w:t>.tabulā.</w:t>
      </w:r>
    </w:p>
    <w:p w14:paraId="5CAB8ADC" w14:textId="77777777" w:rsidR="002A297C" w:rsidRDefault="002A297C" w:rsidP="00FF4D7B">
      <w:pPr>
        <w:jc w:val="right"/>
        <w:rPr>
          <w:b/>
          <w:i/>
          <w:sz w:val="20"/>
          <w:szCs w:val="20"/>
          <w:lang w:val="lv-LV"/>
        </w:rPr>
      </w:pPr>
      <w:bookmarkStart w:id="36" w:name="_Toc367196067"/>
    </w:p>
    <w:p w14:paraId="2654E6C8" w14:textId="77777777" w:rsidR="00B31F6D" w:rsidRPr="00D6616C" w:rsidRDefault="003E6427" w:rsidP="00FF4D7B">
      <w:pPr>
        <w:jc w:val="right"/>
        <w:rPr>
          <w:b/>
          <w:i/>
          <w:sz w:val="20"/>
          <w:szCs w:val="20"/>
          <w:lang w:val="lv-LV"/>
        </w:rPr>
      </w:pPr>
      <w:r w:rsidRPr="00D6616C">
        <w:rPr>
          <w:b/>
          <w:i/>
          <w:sz w:val="20"/>
          <w:szCs w:val="20"/>
          <w:lang w:val="lv-LV"/>
        </w:rPr>
        <w:t>5b</w:t>
      </w:r>
      <w:r w:rsidR="00B31F6D" w:rsidRPr="00D6616C">
        <w:rPr>
          <w:b/>
          <w:i/>
          <w:sz w:val="20"/>
          <w:szCs w:val="20"/>
          <w:lang w:val="lv-LV"/>
        </w:rPr>
        <w:t>. tabula</w:t>
      </w:r>
      <w:bookmarkEnd w:id="36"/>
    </w:p>
    <w:p w14:paraId="22263CE8" w14:textId="77777777" w:rsidR="00007754" w:rsidRPr="00007754" w:rsidRDefault="00007754" w:rsidP="00007754">
      <w:pPr>
        <w:ind w:firstLine="720"/>
        <w:jc w:val="center"/>
        <w:rPr>
          <w:rFonts w:eastAsia="Calibri" w:cs="Tahoma"/>
          <w:b/>
          <w:snapToGrid/>
          <w:lang w:val="lv-LV" w:eastAsia="en-US"/>
        </w:rPr>
      </w:pPr>
      <w:r w:rsidRPr="00007754">
        <w:rPr>
          <w:rFonts w:eastAsia="Calibri" w:cs="Tahoma"/>
          <w:b/>
          <w:snapToGrid/>
          <w:lang w:val="lv-LV" w:eastAsia="en-US"/>
        </w:rPr>
        <w:t xml:space="preserve">Lauksaimniecības kultūru sējumu platības, </w:t>
      </w:r>
      <w:proofErr w:type="spellStart"/>
      <w:r w:rsidRPr="00007754">
        <w:rPr>
          <w:rFonts w:eastAsia="Calibri" w:cs="Tahoma"/>
          <w:b/>
          <w:snapToGrid/>
          <w:lang w:val="lv-LV" w:eastAsia="en-US"/>
        </w:rPr>
        <w:t>tūkst</w:t>
      </w:r>
      <w:proofErr w:type="spellEnd"/>
      <w:r w:rsidRPr="00007754">
        <w:rPr>
          <w:rFonts w:eastAsia="Calibri" w:cs="Tahoma"/>
          <w:b/>
          <w:snapToGrid/>
          <w:lang w:val="lv-LV" w:eastAsia="en-US"/>
        </w:rPr>
        <w:t>.</w:t>
      </w:r>
      <w:r w:rsidRPr="00007754">
        <w:rPr>
          <w:rFonts w:eastAsia="Calibri" w:cs="Tahoma"/>
          <w:snapToGrid/>
          <w:lang w:val="lv-LV" w:eastAsia="en-US"/>
        </w:rPr>
        <w:t> </w:t>
      </w:r>
      <w:r w:rsidRPr="00007754">
        <w:rPr>
          <w:rFonts w:eastAsia="Calibri" w:cs="Tahoma"/>
          <w:b/>
          <w:snapToGrid/>
          <w:lang w:val="lv-LV" w:eastAsia="en-US"/>
        </w:rPr>
        <w:t>ha</w:t>
      </w:r>
    </w:p>
    <w:tbl>
      <w:tblPr>
        <w:tblW w:w="6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1296"/>
        <w:gridCol w:w="1224"/>
        <w:gridCol w:w="1186"/>
      </w:tblGrid>
      <w:tr w:rsidR="00007754" w:rsidRPr="00007754" w14:paraId="29546A05" w14:textId="77777777" w:rsidTr="00D35C04">
        <w:trPr>
          <w:trHeight w:hRule="exact" w:val="768"/>
          <w:jc w:val="center"/>
        </w:trPr>
        <w:tc>
          <w:tcPr>
            <w:tcW w:w="3239" w:type="dxa"/>
            <w:shd w:val="clear" w:color="auto" w:fill="F2F2F2"/>
            <w:noWrap/>
            <w:vAlign w:val="center"/>
            <w:hideMark/>
          </w:tcPr>
          <w:p w14:paraId="2FFB573D" w14:textId="77777777" w:rsidR="00007754" w:rsidRPr="00007754" w:rsidRDefault="00007754" w:rsidP="00007754">
            <w:pPr>
              <w:rPr>
                <w:snapToGrid/>
                <w:sz w:val="16"/>
                <w:szCs w:val="16"/>
                <w:lang w:val="lv-LV" w:eastAsia="lv-LV"/>
              </w:rPr>
            </w:pPr>
            <w:r w:rsidRPr="00007754">
              <w:rPr>
                <w:snapToGrid/>
                <w:sz w:val="16"/>
                <w:szCs w:val="16"/>
                <w:lang w:val="lv-LV" w:eastAsia="lv-LV"/>
              </w:rPr>
              <w:t> </w:t>
            </w:r>
          </w:p>
        </w:tc>
        <w:tc>
          <w:tcPr>
            <w:tcW w:w="1296" w:type="dxa"/>
            <w:shd w:val="clear" w:color="auto" w:fill="F2F2F2"/>
            <w:noWrap/>
            <w:vAlign w:val="center"/>
          </w:tcPr>
          <w:p w14:paraId="584E9986" w14:textId="77777777" w:rsidR="00007754" w:rsidRPr="00007754" w:rsidRDefault="00007754" w:rsidP="005900BC">
            <w:pPr>
              <w:jc w:val="center"/>
              <w:rPr>
                <w:b/>
                <w:bCs/>
                <w:snapToGrid/>
                <w:sz w:val="16"/>
                <w:szCs w:val="16"/>
                <w:lang w:val="lv-LV" w:eastAsia="lv-LV"/>
              </w:rPr>
            </w:pPr>
            <w:r w:rsidRPr="00007754">
              <w:rPr>
                <w:b/>
                <w:bCs/>
                <w:snapToGrid/>
                <w:sz w:val="16"/>
                <w:szCs w:val="16"/>
                <w:lang w:val="lv-LV" w:eastAsia="lv-LV"/>
              </w:rPr>
              <w:t>2011</w:t>
            </w:r>
          </w:p>
        </w:tc>
        <w:tc>
          <w:tcPr>
            <w:tcW w:w="1224" w:type="dxa"/>
            <w:shd w:val="clear" w:color="auto" w:fill="F2F2F2"/>
            <w:noWrap/>
            <w:vAlign w:val="center"/>
          </w:tcPr>
          <w:p w14:paraId="5A6485C4" w14:textId="77777777" w:rsidR="00007754" w:rsidRPr="00007754" w:rsidRDefault="00007754" w:rsidP="005900BC">
            <w:pPr>
              <w:jc w:val="center"/>
              <w:rPr>
                <w:b/>
                <w:bCs/>
                <w:snapToGrid/>
                <w:sz w:val="16"/>
                <w:szCs w:val="16"/>
                <w:lang w:val="lv-LV" w:eastAsia="lv-LV"/>
              </w:rPr>
            </w:pPr>
            <w:r w:rsidRPr="00CF2CDD">
              <w:rPr>
                <w:b/>
                <w:bCs/>
                <w:snapToGrid/>
                <w:sz w:val="16"/>
                <w:szCs w:val="16"/>
                <w:lang w:val="lv-LV" w:eastAsia="lv-LV"/>
              </w:rPr>
              <w:t>2012</w:t>
            </w:r>
          </w:p>
        </w:tc>
        <w:tc>
          <w:tcPr>
            <w:tcW w:w="1186" w:type="dxa"/>
            <w:shd w:val="clear" w:color="auto" w:fill="F2F2F2"/>
            <w:noWrap/>
            <w:vAlign w:val="center"/>
          </w:tcPr>
          <w:p w14:paraId="5D6C931B" w14:textId="77777777" w:rsidR="00007754" w:rsidRPr="00007754" w:rsidRDefault="00007754" w:rsidP="00D35C04">
            <w:pPr>
              <w:jc w:val="center"/>
              <w:rPr>
                <w:b/>
                <w:bCs/>
                <w:snapToGrid/>
                <w:sz w:val="16"/>
                <w:szCs w:val="16"/>
                <w:lang w:val="lv-LV" w:eastAsia="lv-LV"/>
              </w:rPr>
            </w:pPr>
            <w:r w:rsidRPr="00007754">
              <w:rPr>
                <w:b/>
                <w:snapToGrid/>
                <w:sz w:val="16"/>
                <w:szCs w:val="16"/>
                <w:lang w:val="lv-LV" w:eastAsia="lv-LV"/>
              </w:rPr>
              <w:t>2012.g.%</w:t>
            </w:r>
            <w:r w:rsidR="00D35C04">
              <w:rPr>
                <w:b/>
                <w:snapToGrid/>
                <w:sz w:val="16"/>
                <w:szCs w:val="16"/>
                <w:lang w:val="lv-LV" w:eastAsia="lv-LV"/>
              </w:rPr>
              <w:t xml:space="preserve"> </w:t>
            </w:r>
            <w:r w:rsidRPr="00007754">
              <w:rPr>
                <w:b/>
                <w:snapToGrid/>
                <w:sz w:val="16"/>
                <w:szCs w:val="16"/>
                <w:lang w:val="lv-LV" w:eastAsia="lv-LV"/>
              </w:rPr>
              <w:t>salīdzinājumā ar 2011.g.</w:t>
            </w:r>
          </w:p>
        </w:tc>
      </w:tr>
      <w:tr w:rsidR="00007754" w:rsidRPr="00007754" w14:paraId="241B4603" w14:textId="77777777" w:rsidTr="00CF2CDD">
        <w:trPr>
          <w:trHeight w:hRule="exact" w:val="227"/>
          <w:jc w:val="center"/>
        </w:trPr>
        <w:tc>
          <w:tcPr>
            <w:tcW w:w="3239" w:type="dxa"/>
            <w:shd w:val="clear" w:color="auto" w:fill="auto"/>
            <w:noWrap/>
            <w:vAlign w:val="bottom"/>
            <w:hideMark/>
          </w:tcPr>
          <w:p w14:paraId="26741B48" w14:textId="77777777" w:rsidR="00007754" w:rsidRPr="00007754" w:rsidRDefault="00007754" w:rsidP="00007754">
            <w:pPr>
              <w:rPr>
                <w:b/>
                <w:bCs/>
                <w:snapToGrid/>
                <w:sz w:val="16"/>
                <w:szCs w:val="16"/>
                <w:lang w:val="lv-LV" w:eastAsia="lv-LV"/>
              </w:rPr>
            </w:pPr>
            <w:r w:rsidRPr="00007754">
              <w:rPr>
                <w:b/>
                <w:bCs/>
                <w:snapToGrid/>
                <w:sz w:val="16"/>
                <w:szCs w:val="16"/>
                <w:lang w:val="lv-LV" w:eastAsia="lv-LV"/>
              </w:rPr>
              <w:t>Sējumu kopplatība, tai skaitā</w:t>
            </w:r>
          </w:p>
        </w:tc>
        <w:tc>
          <w:tcPr>
            <w:tcW w:w="1296" w:type="dxa"/>
            <w:shd w:val="clear" w:color="auto" w:fill="auto"/>
            <w:noWrap/>
            <w:vAlign w:val="bottom"/>
          </w:tcPr>
          <w:p w14:paraId="4F476E59" w14:textId="77777777" w:rsidR="00007754" w:rsidRPr="00007754" w:rsidRDefault="00007754" w:rsidP="00CF2CDD">
            <w:pPr>
              <w:jc w:val="center"/>
              <w:rPr>
                <w:snapToGrid/>
                <w:sz w:val="16"/>
                <w:szCs w:val="16"/>
                <w:lang w:val="lv-LV" w:eastAsia="lv-LV"/>
              </w:rPr>
            </w:pPr>
            <w:r w:rsidRPr="00007754">
              <w:rPr>
                <w:snapToGrid/>
                <w:sz w:val="16"/>
                <w:szCs w:val="16"/>
                <w:lang w:val="lv-LV" w:eastAsia="lv-LV"/>
              </w:rPr>
              <w:t>647,9</w:t>
            </w:r>
          </w:p>
        </w:tc>
        <w:tc>
          <w:tcPr>
            <w:tcW w:w="1224" w:type="dxa"/>
            <w:shd w:val="clear" w:color="auto" w:fill="auto"/>
            <w:noWrap/>
            <w:vAlign w:val="bottom"/>
          </w:tcPr>
          <w:p w14:paraId="02613A55" w14:textId="77777777" w:rsidR="00007754" w:rsidRPr="00007754" w:rsidRDefault="00D44A14" w:rsidP="00CF2CDD">
            <w:pPr>
              <w:jc w:val="center"/>
              <w:rPr>
                <w:snapToGrid/>
                <w:sz w:val="16"/>
                <w:szCs w:val="16"/>
                <w:lang w:val="lv-LV" w:eastAsia="lv-LV"/>
              </w:rPr>
            </w:pPr>
            <w:r w:rsidRPr="00CF2CDD">
              <w:rPr>
                <w:snapToGrid/>
                <w:sz w:val="16"/>
                <w:szCs w:val="16"/>
                <w:lang w:val="lv-LV" w:eastAsia="lv-LV"/>
              </w:rPr>
              <w:t>692,1</w:t>
            </w:r>
          </w:p>
        </w:tc>
        <w:tc>
          <w:tcPr>
            <w:tcW w:w="1186" w:type="dxa"/>
            <w:shd w:val="clear" w:color="auto" w:fill="auto"/>
            <w:noWrap/>
            <w:vAlign w:val="bottom"/>
          </w:tcPr>
          <w:p w14:paraId="670774DE" w14:textId="77777777" w:rsidR="00007754" w:rsidRPr="00007754" w:rsidRDefault="00A57772" w:rsidP="00CF2CDD">
            <w:pPr>
              <w:jc w:val="center"/>
              <w:rPr>
                <w:snapToGrid/>
                <w:sz w:val="16"/>
                <w:szCs w:val="16"/>
                <w:lang w:val="lv-LV" w:eastAsia="lv-LV"/>
              </w:rPr>
            </w:pPr>
            <w:r w:rsidRPr="00CF2CDD">
              <w:rPr>
                <w:snapToGrid/>
                <w:sz w:val="16"/>
                <w:szCs w:val="16"/>
                <w:lang w:val="lv-LV" w:eastAsia="lv-LV"/>
              </w:rPr>
              <w:t>106,8</w:t>
            </w:r>
          </w:p>
        </w:tc>
      </w:tr>
      <w:tr w:rsidR="00007754" w:rsidRPr="00CF2CDD" w14:paraId="7B0ADD9C" w14:textId="77777777" w:rsidTr="00CF2CDD">
        <w:trPr>
          <w:trHeight w:hRule="exact" w:val="227"/>
          <w:jc w:val="center"/>
        </w:trPr>
        <w:tc>
          <w:tcPr>
            <w:tcW w:w="3239" w:type="dxa"/>
            <w:shd w:val="clear" w:color="auto" w:fill="auto"/>
            <w:noWrap/>
            <w:vAlign w:val="bottom"/>
            <w:hideMark/>
          </w:tcPr>
          <w:p w14:paraId="4559B802" w14:textId="77777777" w:rsidR="00007754" w:rsidRPr="00007754" w:rsidRDefault="00007754" w:rsidP="00007754">
            <w:pPr>
              <w:rPr>
                <w:snapToGrid/>
                <w:sz w:val="16"/>
                <w:szCs w:val="16"/>
                <w:lang w:val="lv-LV" w:eastAsia="lv-LV"/>
              </w:rPr>
            </w:pPr>
            <w:r w:rsidRPr="00007754">
              <w:rPr>
                <w:snapToGrid/>
                <w:sz w:val="16"/>
                <w:szCs w:val="16"/>
                <w:lang w:val="lv-LV" w:eastAsia="lv-LV"/>
              </w:rPr>
              <w:t xml:space="preserve">  Graudaugi, tai skaitā</w:t>
            </w:r>
          </w:p>
        </w:tc>
        <w:tc>
          <w:tcPr>
            <w:tcW w:w="1296" w:type="dxa"/>
            <w:shd w:val="clear" w:color="auto" w:fill="auto"/>
            <w:noWrap/>
            <w:vAlign w:val="bottom"/>
          </w:tcPr>
          <w:p w14:paraId="1DF4F32E" w14:textId="77777777" w:rsidR="00007754" w:rsidRPr="00007754" w:rsidRDefault="00007754" w:rsidP="00CF2CDD">
            <w:pPr>
              <w:jc w:val="center"/>
              <w:rPr>
                <w:snapToGrid/>
                <w:sz w:val="16"/>
                <w:szCs w:val="16"/>
                <w:lang w:val="lv-LV" w:eastAsia="lv-LV"/>
              </w:rPr>
            </w:pPr>
            <w:r w:rsidRPr="00007754">
              <w:rPr>
                <w:snapToGrid/>
                <w:sz w:val="16"/>
                <w:szCs w:val="16"/>
                <w:lang w:val="lv-LV" w:eastAsia="lv-LV"/>
              </w:rPr>
              <w:t>526,6</w:t>
            </w:r>
          </w:p>
        </w:tc>
        <w:tc>
          <w:tcPr>
            <w:tcW w:w="1224" w:type="dxa"/>
            <w:shd w:val="clear" w:color="auto" w:fill="auto"/>
            <w:noWrap/>
            <w:vAlign w:val="bottom"/>
          </w:tcPr>
          <w:p w14:paraId="5921E601" w14:textId="77777777" w:rsidR="00007754" w:rsidRPr="00007754" w:rsidRDefault="00007754" w:rsidP="00CF2CDD">
            <w:pPr>
              <w:jc w:val="center"/>
              <w:rPr>
                <w:snapToGrid/>
                <w:sz w:val="16"/>
                <w:szCs w:val="16"/>
                <w:lang w:val="lv-LV" w:eastAsia="lv-LV"/>
              </w:rPr>
            </w:pPr>
            <w:r w:rsidRPr="00CF2CDD">
              <w:rPr>
                <w:sz w:val="16"/>
                <w:szCs w:val="16"/>
              </w:rPr>
              <w:t>574</w:t>
            </w:r>
            <w:r w:rsidR="00D44A14" w:rsidRPr="00CF2CDD">
              <w:rPr>
                <w:sz w:val="16"/>
                <w:szCs w:val="16"/>
              </w:rPr>
              <w:t>,</w:t>
            </w:r>
            <w:r w:rsidRPr="00CF2CDD">
              <w:rPr>
                <w:sz w:val="16"/>
                <w:szCs w:val="16"/>
              </w:rPr>
              <w:t>6</w:t>
            </w:r>
          </w:p>
        </w:tc>
        <w:tc>
          <w:tcPr>
            <w:tcW w:w="1186" w:type="dxa"/>
            <w:shd w:val="clear" w:color="auto" w:fill="auto"/>
            <w:noWrap/>
            <w:vAlign w:val="bottom"/>
          </w:tcPr>
          <w:p w14:paraId="04819A58" w14:textId="77777777" w:rsidR="00007754" w:rsidRPr="00007754" w:rsidRDefault="00007754" w:rsidP="00CF2CDD">
            <w:pPr>
              <w:jc w:val="center"/>
              <w:rPr>
                <w:snapToGrid/>
                <w:sz w:val="16"/>
                <w:szCs w:val="16"/>
                <w:lang w:val="lv-LV" w:eastAsia="lv-LV"/>
              </w:rPr>
            </w:pPr>
            <w:r w:rsidRPr="00007754">
              <w:rPr>
                <w:snapToGrid/>
                <w:sz w:val="16"/>
                <w:szCs w:val="16"/>
                <w:lang w:val="lv-LV" w:eastAsia="lv-LV"/>
              </w:rPr>
              <w:t>109</w:t>
            </w:r>
            <w:r w:rsidR="00D44A14" w:rsidRPr="00CF2CDD">
              <w:rPr>
                <w:snapToGrid/>
                <w:sz w:val="16"/>
                <w:szCs w:val="16"/>
                <w:lang w:val="lv-LV" w:eastAsia="lv-LV"/>
              </w:rPr>
              <w:t>,</w:t>
            </w:r>
            <w:r w:rsidRPr="00007754">
              <w:rPr>
                <w:snapToGrid/>
                <w:sz w:val="16"/>
                <w:szCs w:val="16"/>
                <w:lang w:val="lv-LV" w:eastAsia="lv-LV"/>
              </w:rPr>
              <w:t>1</w:t>
            </w:r>
          </w:p>
        </w:tc>
      </w:tr>
      <w:tr w:rsidR="00007754" w:rsidRPr="00CF2CDD" w14:paraId="05BC7E71" w14:textId="77777777" w:rsidTr="00CF2CDD">
        <w:trPr>
          <w:trHeight w:hRule="exact" w:val="227"/>
          <w:jc w:val="center"/>
        </w:trPr>
        <w:tc>
          <w:tcPr>
            <w:tcW w:w="3239" w:type="dxa"/>
            <w:shd w:val="clear" w:color="auto" w:fill="auto"/>
            <w:noWrap/>
            <w:vAlign w:val="bottom"/>
            <w:hideMark/>
          </w:tcPr>
          <w:p w14:paraId="6AE499FD" w14:textId="77777777" w:rsidR="00007754" w:rsidRPr="00007754" w:rsidRDefault="00007754" w:rsidP="00007754">
            <w:pPr>
              <w:rPr>
                <w:snapToGrid/>
                <w:sz w:val="16"/>
                <w:szCs w:val="16"/>
                <w:lang w:val="lv-LV" w:eastAsia="lv-LV"/>
              </w:rPr>
            </w:pPr>
            <w:r w:rsidRPr="00007754">
              <w:rPr>
                <w:snapToGrid/>
                <w:sz w:val="16"/>
                <w:szCs w:val="16"/>
                <w:lang w:val="lv-LV" w:eastAsia="lv-LV"/>
              </w:rPr>
              <w:t xml:space="preserve">    Ziemāji, tai skaitā</w:t>
            </w:r>
          </w:p>
        </w:tc>
        <w:tc>
          <w:tcPr>
            <w:tcW w:w="1296" w:type="dxa"/>
            <w:shd w:val="clear" w:color="auto" w:fill="auto"/>
            <w:noWrap/>
            <w:vAlign w:val="bottom"/>
          </w:tcPr>
          <w:p w14:paraId="5EF4638A" w14:textId="77777777" w:rsidR="00007754" w:rsidRPr="00007754" w:rsidRDefault="00007754" w:rsidP="00CF2CDD">
            <w:pPr>
              <w:jc w:val="center"/>
              <w:rPr>
                <w:snapToGrid/>
                <w:sz w:val="16"/>
                <w:szCs w:val="16"/>
                <w:lang w:val="lv-LV" w:eastAsia="lv-LV"/>
              </w:rPr>
            </w:pPr>
            <w:r w:rsidRPr="00007754">
              <w:rPr>
                <w:snapToGrid/>
                <w:sz w:val="16"/>
                <w:szCs w:val="16"/>
                <w:lang w:val="lv-LV" w:eastAsia="lv-LV"/>
              </w:rPr>
              <w:t>243,2</w:t>
            </w:r>
          </w:p>
        </w:tc>
        <w:tc>
          <w:tcPr>
            <w:tcW w:w="1224" w:type="dxa"/>
            <w:shd w:val="clear" w:color="auto" w:fill="auto"/>
            <w:noWrap/>
            <w:vAlign w:val="bottom"/>
          </w:tcPr>
          <w:p w14:paraId="609B7CDF" w14:textId="77777777" w:rsidR="00007754" w:rsidRPr="00007754" w:rsidRDefault="00007754" w:rsidP="00CF2CDD">
            <w:pPr>
              <w:jc w:val="center"/>
              <w:rPr>
                <w:snapToGrid/>
                <w:sz w:val="16"/>
                <w:szCs w:val="16"/>
                <w:lang w:val="lv-LV" w:eastAsia="lv-LV"/>
              </w:rPr>
            </w:pPr>
            <w:r w:rsidRPr="001951BF">
              <w:rPr>
                <w:snapToGrid/>
                <w:sz w:val="16"/>
                <w:szCs w:val="16"/>
                <w:lang w:val="lv-LV" w:eastAsia="lv-LV"/>
              </w:rPr>
              <w:t>311</w:t>
            </w:r>
            <w:r w:rsidR="00D44A14" w:rsidRPr="00CF2CDD">
              <w:rPr>
                <w:snapToGrid/>
                <w:sz w:val="16"/>
                <w:szCs w:val="16"/>
                <w:lang w:val="lv-LV" w:eastAsia="lv-LV"/>
              </w:rPr>
              <w:t>,</w:t>
            </w:r>
            <w:r w:rsidRPr="001951BF">
              <w:rPr>
                <w:snapToGrid/>
                <w:sz w:val="16"/>
                <w:szCs w:val="16"/>
                <w:lang w:val="lv-LV" w:eastAsia="lv-LV"/>
              </w:rPr>
              <w:t>0</w:t>
            </w:r>
          </w:p>
        </w:tc>
        <w:tc>
          <w:tcPr>
            <w:tcW w:w="1186" w:type="dxa"/>
            <w:shd w:val="clear" w:color="auto" w:fill="auto"/>
            <w:noWrap/>
            <w:vAlign w:val="bottom"/>
          </w:tcPr>
          <w:p w14:paraId="48126BC0" w14:textId="77777777" w:rsidR="00007754" w:rsidRPr="00007754" w:rsidRDefault="00D44A14" w:rsidP="00CF2CDD">
            <w:pPr>
              <w:jc w:val="center"/>
              <w:rPr>
                <w:snapToGrid/>
                <w:sz w:val="16"/>
                <w:szCs w:val="16"/>
                <w:lang w:val="lv-LV" w:eastAsia="lv-LV"/>
              </w:rPr>
            </w:pPr>
            <w:r w:rsidRPr="00007754">
              <w:rPr>
                <w:snapToGrid/>
                <w:sz w:val="16"/>
                <w:szCs w:val="16"/>
                <w:lang w:val="lv-LV" w:eastAsia="lv-LV"/>
              </w:rPr>
              <w:t>127</w:t>
            </w:r>
            <w:r w:rsidRPr="00CF2CDD">
              <w:rPr>
                <w:snapToGrid/>
                <w:sz w:val="16"/>
                <w:szCs w:val="16"/>
                <w:lang w:val="lv-LV" w:eastAsia="lv-LV"/>
              </w:rPr>
              <w:t>,</w:t>
            </w:r>
            <w:r w:rsidRPr="00007754">
              <w:rPr>
                <w:snapToGrid/>
                <w:sz w:val="16"/>
                <w:szCs w:val="16"/>
                <w:lang w:val="lv-LV" w:eastAsia="lv-LV"/>
              </w:rPr>
              <w:t>9</w:t>
            </w:r>
          </w:p>
        </w:tc>
      </w:tr>
      <w:tr w:rsidR="00007754" w:rsidRPr="00CF2CDD" w14:paraId="6AA984FC" w14:textId="77777777" w:rsidTr="00CF2CDD">
        <w:trPr>
          <w:trHeight w:hRule="exact" w:val="227"/>
          <w:jc w:val="center"/>
        </w:trPr>
        <w:tc>
          <w:tcPr>
            <w:tcW w:w="3239" w:type="dxa"/>
            <w:shd w:val="clear" w:color="auto" w:fill="auto"/>
            <w:noWrap/>
            <w:vAlign w:val="bottom"/>
            <w:hideMark/>
          </w:tcPr>
          <w:p w14:paraId="2B4B78CA" w14:textId="77777777" w:rsidR="00007754" w:rsidRPr="00007754" w:rsidRDefault="00007754" w:rsidP="00007754">
            <w:pPr>
              <w:rPr>
                <w:snapToGrid/>
                <w:sz w:val="16"/>
                <w:szCs w:val="16"/>
                <w:lang w:val="lv-LV" w:eastAsia="lv-LV"/>
              </w:rPr>
            </w:pPr>
            <w:r w:rsidRPr="00007754">
              <w:rPr>
                <w:snapToGrid/>
                <w:sz w:val="16"/>
                <w:szCs w:val="16"/>
                <w:lang w:val="lv-LV" w:eastAsia="lv-LV"/>
              </w:rPr>
              <w:t xml:space="preserve">      kvieši</w:t>
            </w:r>
          </w:p>
        </w:tc>
        <w:tc>
          <w:tcPr>
            <w:tcW w:w="1296" w:type="dxa"/>
            <w:shd w:val="clear" w:color="auto" w:fill="auto"/>
            <w:noWrap/>
            <w:vAlign w:val="bottom"/>
          </w:tcPr>
          <w:p w14:paraId="096598A8" w14:textId="77777777" w:rsidR="00007754" w:rsidRPr="00007754" w:rsidRDefault="00007754" w:rsidP="00CF2CDD">
            <w:pPr>
              <w:jc w:val="center"/>
              <w:rPr>
                <w:snapToGrid/>
                <w:sz w:val="16"/>
                <w:szCs w:val="16"/>
                <w:lang w:val="lv-LV" w:eastAsia="lv-LV"/>
              </w:rPr>
            </w:pPr>
            <w:r w:rsidRPr="00007754">
              <w:rPr>
                <w:snapToGrid/>
                <w:sz w:val="16"/>
                <w:szCs w:val="16"/>
                <w:lang w:val="lv-LV" w:eastAsia="lv-LV"/>
              </w:rPr>
              <w:t>200,9</w:t>
            </w:r>
          </w:p>
        </w:tc>
        <w:tc>
          <w:tcPr>
            <w:tcW w:w="1224" w:type="dxa"/>
            <w:shd w:val="clear" w:color="auto" w:fill="auto"/>
            <w:noWrap/>
            <w:vAlign w:val="bottom"/>
          </w:tcPr>
          <w:p w14:paraId="199E0C26" w14:textId="77777777" w:rsidR="00007754" w:rsidRPr="00007754" w:rsidRDefault="00007754" w:rsidP="00CF2CDD">
            <w:pPr>
              <w:jc w:val="center"/>
              <w:rPr>
                <w:snapToGrid/>
                <w:sz w:val="16"/>
                <w:szCs w:val="16"/>
                <w:lang w:val="lv-LV" w:eastAsia="lv-LV"/>
              </w:rPr>
            </w:pPr>
            <w:r w:rsidRPr="001951BF">
              <w:rPr>
                <w:snapToGrid/>
                <w:sz w:val="16"/>
                <w:szCs w:val="16"/>
                <w:lang w:val="lv-LV" w:eastAsia="lv-LV"/>
              </w:rPr>
              <w:t>258</w:t>
            </w:r>
            <w:r w:rsidR="00D44A14" w:rsidRPr="00CF2CDD">
              <w:rPr>
                <w:snapToGrid/>
                <w:sz w:val="16"/>
                <w:szCs w:val="16"/>
                <w:lang w:val="lv-LV" w:eastAsia="lv-LV"/>
              </w:rPr>
              <w:t>,</w:t>
            </w:r>
            <w:r w:rsidRPr="001951BF">
              <w:rPr>
                <w:snapToGrid/>
                <w:sz w:val="16"/>
                <w:szCs w:val="16"/>
                <w:lang w:val="lv-LV" w:eastAsia="lv-LV"/>
              </w:rPr>
              <w:t>0</w:t>
            </w:r>
          </w:p>
        </w:tc>
        <w:tc>
          <w:tcPr>
            <w:tcW w:w="1186" w:type="dxa"/>
            <w:shd w:val="clear" w:color="auto" w:fill="auto"/>
            <w:noWrap/>
            <w:vAlign w:val="bottom"/>
          </w:tcPr>
          <w:p w14:paraId="5F44BA3C" w14:textId="77777777" w:rsidR="00007754" w:rsidRPr="00007754" w:rsidRDefault="00D44A14" w:rsidP="00CF2CDD">
            <w:pPr>
              <w:jc w:val="center"/>
              <w:rPr>
                <w:snapToGrid/>
                <w:sz w:val="16"/>
                <w:szCs w:val="16"/>
                <w:lang w:val="lv-LV" w:eastAsia="lv-LV"/>
              </w:rPr>
            </w:pPr>
            <w:r w:rsidRPr="00007754">
              <w:rPr>
                <w:snapToGrid/>
                <w:sz w:val="16"/>
                <w:szCs w:val="16"/>
                <w:lang w:val="lv-LV" w:eastAsia="lv-LV"/>
              </w:rPr>
              <w:t>128</w:t>
            </w:r>
            <w:r w:rsidRPr="00CF2CDD">
              <w:rPr>
                <w:snapToGrid/>
                <w:sz w:val="16"/>
                <w:szCs w:val="16"/>
                <w:lang w:val="lv-LV" w:eastAsia="lv-LV"/>
              </w:rPr>
              <w:t>,</w:t>
            </w:r>
            <w:r w:rsidRPr="00007754">
              <w:rPr>
                <w:snapToGrid/>
                <w:sz w:val="16"/>
                <w:szCs w:val="16"/>
                <w:lang w:val="lv-LV" w:eastAsia="lv-LV"/>
              </w:rPr>
              <w:t>4</w:t>
            </w:r>
          </w:p>
        </w:tc>
      </w:tr>
      <w:tr w:rsidR="00007754" w:rsidRPr="00CF2CDD" w14:paraId="6F5DD9C1" w14:textId="77777777" w:rsidTr="00CF2CDD">
        <w:trPr>
          <w:trHeight w:hRule="exact" w:val="227"/>
          <w:jc w:val="center"/>
        </w:trPr>
        <w:tc>
          <w:tcPr>
            <w:tcW w:w="3239" w:type="dxa"/>
            <w:shd w:val="clear" w:color="auto" w:fill="auto"/>
            <w:noWrap/>
            <w:vAlign w:val="bottom"/>
            <w:hideMark/>
          </w:tcPr>
          <w:p w14:paraId="045F94B0" w14:textId="77777777" w:rsidR="00007754" w:rsidRPr="00007754" w:rsidRDefault="00007754" w:rsidP="00007754">
            <w:pPr>
              <w:rPr>
                <w:snapToGrid/>
                <w:sz w:val="16"/>
                <w:szCs w:val="16"/>
                <w:lang w:val="lv-LV" w:eastAsia="lv-LV"/>
              </w:rPr>
            </w:pPr>
            <w:r w:rsidRPr="00007754">
              <w:rPr>
                <w:snapToGrid/>
                <w:sz w:val="16"/>
                <w:szCs w:val="16"/>
                <w:lang w:val="lv-LV" w:eastAsia="lv-LV"/>
              </w:rPr>
              <w:t xml:space="preserve">      rudzi</w:t>
            </w:r>
          </w:p>
        </w:tc>
        <w:tc>
          <w:tcPr>
            <w:tcW w:w="1296" w:type="dxa"/>
            <w:shd w:val="clear" w:color="auto" w:fill="auto"/>
            <w:noWrap/>
            <w:vAlign w:val="bottom"/>
          </w:tcPr>
          <w:p w14:paraId="61D7CEF2" w14:textId="77777777" w:rsidR="00007754" w:rsidRPr="00007754" w:rsidRDefault="00007754" w:rsidP="00CF2CDD">
            <w:pPr>
              <w:jc w:val="center"/>
              <w:rPr>
                <w:snapToGrid/>
                <w:sz w:val="16"/>
                <w:szCs w:val="16"/>
                <w:lang w:val="lv-LV" w:eastAsia="lv-LV"/>
              </w:rPr>
            </w:pPr>
            <w:r w:rsidRPr="00007754">
              <w:rPr>
                <w:snapToGrid/>
                <w:sz w:val="16"/>
                <w:szCs w:val="16"/>
                <w:lang w:val="lv-LV" w:eastAsia="lv-LV"/>
              </w:rPr>
              <w:t>28,4</w:t>
            </w:r>
          </w:p>
        </w:tc>
        <w:tc>
          <w:tcPr>
            <w:tcW w:w="1224" w:type="dxa"/>
            <w:shd w:val="clear" w:color="auto" w:fill="auto"/>
            <w:noWrap/>
            <w:vAlign w:val="bottom"/>
          </w:tcPr>
          <w:p w14:paraId="2F2AFDCB" w14:textId="77777777" w:rsidR="00007754" w:rsidRPr="00007754" w:rsidRDefault="00007754" w:rsidP="00CF2CDD">
            <w:pPr>
              <w:jc w:val="center"/>
              <w:rPr>
                <w:snapToGrid/>
                <w:sz w:val="16"/>
                <w:szCs w:val="16"/>
                <w:lang w:val="lv-LV" w:eastAsia="lv-LV"/>
              </w:rPr>
            </w:pPr>
            <w:r w:rsidRPr="001951BF">
              <w:rPr>
                <w:snapToGrid/>
                <w:sz w:val="16"/>
                <w:szCs w:val="16"/>
                <w:lang w:val="lv-LV" w:eastAsia="lv-LV"/>
              </w:rPr>
              <w:t>37</w:t>
            </w:r>
            <w:r w:rsidR="00D44A14" w:rsidRPr="00CF2CDD">
              <w:rPr>
                <w:snapToGrid/>
                <w:sz w:val="16"/>
                <w:szCs w:val="16"/>
                <w:lang w:val="lv-LV" w:eastAsia="lv-LV"/>
              </w:rPr>
              <w:t>,</w:t>
            </w:r>
            <w:r w:rsidRPr="001951BF">
              <w:rPr>
                <w:snapToGrid/>
                <w:sz w:val="16"/>
                <w:szCs w:val="16"/>
                <w:lang w:val="lv-LV" w:eastAsia="lv-LV"/>
              </w:rPr>
              <w:t>0</w:t>
            </w:r>
          </w:p>
        </w:tc>
        <w:tc>
          <w:tcPr>
            <w:tcW w:w="1186" w:type="dxa"/>
            <w:shd w:val="clear" w:color="auto" w:fill="auto"/>
            <w:noWrap/>
            <w:vAlign w:val="bottom"/>
          </w:tcPr>
          <w:p w14:paraId="1F573375" w14:textId="77777777" w:rsidR="00007754" w:rsidRPr="00007754" w:rsidRDefault="00D44A14" w:rsidP="00CF2CDD">
            <w:pPr>
              <w:jc w:val="center"/>
              <w:rPr>
                <w:snapToGrid/>
                <w:sz w:val="16"/>
                <w:szCs w:val="16"/>
                <w:lang w:val="lv-LV" w:eastAsia="lv-LV"/>
              </w:rPr>
            </w:pPr>
            <w:r w:rsidRPr="00007754">
              <w:rPr>
                <w:snapToGrid/>
                <w:sz w:val="16"/>
                <w:szCs w:val="16"/>
                <w:lang w:val="lv-LV" w:eastAsia="lv-LV"/>
              </w:rPr>
              <w:t>130</w:t>
            </w:r>
            <w:r w:rsidRPr="00CF2CDD">
              <w:rPr>
                <w:snapToGrid/>
                <w:sz w:val="16"/>
                <w:szCs w:val="16"/>
                <w:lang w:val="lv-LV" w:eastAsia="lv-LV"/>
              </w:rPr>
              <w:t>,</w:t>
            </w:r>
            <w:r w:rsidRPr="00007754">
              <w:rPr>
                <w:snapToGrid/>
                <w:sz w:val="16"/>
                <w:szCs w:val="16"/>
                <w:lang w:val="lv-LV" w:eastAsia="lv-LV"/>
              </w:rPr>
              <w:t>7</w:t>
            </w:r>
          </w:p>
        </w:tc>
      </w:tr>
      <w:tr w:rsidR="00007754" w:rsidRPr="00CF2CDD" w14:paraId="0242493C" w14:textId="77777777" w:rsidTr="00CF2CDD">
        <w:trPr>
          <w:trHeight w:hRule="exact" w:val="227"/>
          <w:jc w:val="center"/>
        </w:trPr>
        <w:tc>
          <w:tcPr>
            <w:tcW w:w="3239" w:type="dxa"/>
            <w:shd w:val="clear" w:color="auto" w:fill="auto"/>
            <w:noWrap/>
            <w:vAlign w:val="bottom"/>
            <w:hideMark/>
          </w:tcPr>
          <w:p w14:paraId="7E77C189" w14:textId="77777777" w:rsidR="00007754" w:rsidRPr="00007754" w:rsidRDefault="00007754" w:rsidP="00007754">
            <w:pPr>
              <w:rPr>
                <w:snapToGrid/>
                <w:sz w:val="16"/>
                <w:szCs w:val="16"/>
                <w:lang w:val="lv-LV" w:eastAsia="lv-LV"/>
              </w:rPr>
            </w:pPr>
            <w:r w:rsidRPr="00007754">
              <w:rPr>
                <w:snapToGrid/>
                <w:sz w:val="16"/>
                <w:szCs w:val="16"/>
                <w:lang w:val="lv-LV" w:eastAsia="lv-LV"/>
              </w:rPr>
              <w:t xml:space="preserve">      tritikāle</w:t>
            </w:r>
          </w:p>
        </w:tc>
        <w:tc>
          <w:tcPr>
            <w:tcW w:w="1296" w:type="dxa"/>
            <w:shd w:val="clear" w:color="auto" w:fill="auto"/>
            <w:noWrap/>
            <w:vAlign w:val="bottom"/>
          </w:tcPr>
          <w:p w14:paraId="5348B1DC" w14:textId="77777777" w:rsidR="00007754" w:rsidRPr="00007754" w:rsidRDefault="00007754" w:rsidP="00CF2CDD">
            <w:pPr>
              <w:jc w:val="center"/>
              <w:rPr>
                <w:snapToGrid/>
                <w:sz w:val="16"/>
                <w:szCs w:val="16"/>
                <w:lang w:val="lv-LV" w:eastAsia="lv-LV"/>
              </w:rPr>
            </w:pPr>
            <w:r w:rsidRPr="00007754">
              <w:rPr>
                <w:snapToGrid/>
                <w:sz w:val="16"/>
                <w:szCs w:val="16"/>
                <w:lang w:val="lv-LV" w:eastAsia="lv-LV"/>
              </w:rPr>
              <w:t>9,9</w:t>
            </w:r>
          </w:p>
        </w:tc>
        <w:tc>
          <w:tcPr>
            <w:tcW w:w="1224" w:type="dxa"/>
            <w:shd w:val="clear" w:color="auto" w:fill="auto"/>
            <w:noWrap/>
            <w:vAlign w:val="bottom"/>
          </w:tcPr>
          <w:p w14:paraId="26DC1FF6" w14:textId="77777777" w:rsidR="00007754" w:rsidRPr="00007754" w:rsidRDefault="00D44A14" w:rsidP="00CF2CDD">
            <w:pPr>
              <w:jc w:val="center"/>
              <w:rPr>
                <w:snapToGrid/>
                <w:sz w:val="16"/>
                <w:szCs w:val="16"/>
                <w:lang w:val="lv-LV" w:eastAsia="lv-LV"/>
              </w:rPr>
            </w:pPr>
            <w:r w:rsidRPr="00007754">
              <w:rPr>
                <w:snapToGrid/>
                <w:sz w:val="16"/>
                <w:szCs w:val="16"/>
                <w:lang w:val="lv-LV" w:eastAsia="lv-LV"/>
              </w:rPr>
              <w:t>13</w:t>
            </w:r>
            <w:r w:rsidRPr="00CF2CDD">
              <w:rPr>
                <w:snapToGrid/>
                <w:sz w:val="16"/>
                <w:szCs w:val="16"/>
                <w:lang w:val="lv-LV" w:eastAsia="lv-LV"/>
              </w:rPr>
              <w:t>,</w:t>
            </w:r>
            <w:r w:rsidRPr="00007754">
              <w:rPr>
                <w:snapToGrid/>
                <w:sz w:val="16"/>
                <w:szCs w:val="16"/>
                <w:lang w:val="lv-LV" w:eastAsia="lv-LV"/>
              </w:rPr>
              <w:t>3</w:t>
            </w:r>
          </w:p>
        </w:tc>
        <w:tc>
          <w:tcPr>
            <w:tcW w:w="1186" w:type="dxa"/>
            <w:shd w:val="clear" w:color="auto" w:fill="auto"/>
            <w:noWrap/>
            <w:vAlign w:val="bottom"/>
          </w:tcPr>
          <w:p w14:paraId="65C2EE71" w14:textId="77777777" w:rsidR="00007754" w:rsidRPr="00007754" w:rsidRDefault="00D44A14" w:rsidP="00CF2CDD">
            <w:pPr>
              <w:jc w:val="center"/>
              <w:rPr>
                <w:snapToGrid/>
                <w:sz w:val="16"/>
                <w:szCs w:val="16"/>
                <w:lang w:val="lv-LV" w:eastAsia="lv-LV"/>
              </w:rPr>
            </w:pPr>
            <w:r w:rsidRPr="00007754">
              <w:rPr>
                <w:snapToGrid/>
                <w:sz w:val="16"/>
                <w:szCs w:val="16"/>
                <w:lang w:val="lv-LV" w:eastAsia="lv-LV"/>
              </w:rPr>
              <w:t>133</w:t>
            </w:r>
            <w:r w:rsidRPr="00CF2CDD">
              <w:rPr>
                <w:snapToGrid/>
                <w:sz w:val="16"/>
                <w:szCs w:val="16"/>
                <w:lang w:val="lv-LV" w:eastAsia="lv-LV"/>
              </w:rPr>
              <w:t>,</w:t>
            </w:r>
            <w:r w:rsidRPr="00007754">
              <w:rPr>
                <w:snapToGrid/>
                <w:sz w:val="16"/>
                <w:szCs w:val="16"/>
                <w:lang w:val="lv-LV" w:eastAsia="lv-LV"/>
              </w:rPr>
              <w:t>7</w:t>
            </w:r>
          </w:p>
        </w:tc>
      </w:tr>
      <w:tr w:rsidR="00007754" w:rsidRPr="00CF2CDD" w14:paraId="0368AB9C" w14:textId="77777777" w:rsidTr="00CF2CDD">
        <w:trPr>
          <w:trHeight w:hRule="exact" w:val="227"/>
          <w:jc w:val="center"/>
        </w:trPr>
        <w:tc>
          <w:tcPr>
            <w:tcW w:w="3239" w:type="dxa"/>
            <w:shd w:val="clear" w:color="auto" w:fill="auto"/>
            <w:noWrap/>
            <w:vAlign w:val="bottom"/>
            <w:hideMark/>
          </w:tcPr>
          <w:p w14:paraId="440030A7" w14:textId="77777777" w:rsidR="00007754" w:rsidRPr="00007754" w:rsidRDefault="00007754" w:rsidP="00007754">
            <w:pPr>
              <w:rPr>
                <w:snapToGrid/>
                <w:sz w:val="16"/>
                <w:szCs w:val="16"/>
                <w:lang w:val="lv-LV" w:eastAsia="lv-LV"/>
              </w:rPr>
            </w:pPr>
            <w:r w:rsidRPr="00007754">
              <w:rPr>
                <w:snapToGrid/>
                <w:sz w:val="16"/>
                <w:szCs w:val="16"/>
                <w:lang w:val="lv-LV" w:eastAsia="lv-LV"/>
              </w:rPr>
              <w:t xml:space="preserve">   Vasarāji, tai skaitā</w:t>
            </w:r>
          </w:p>
        </w:tc>
        <w:tc>
          <w:tcPr>
            <w:tcW w:w="1296" w:type="dxa"/>
            <w:shd w:val="clear" w:color="auto" w:fill="auto"/>
            <w:noWrap/>
            <w:vAlign w:val="bottom"/>
          </w:tcPr>
          <w:p w14:paraId="565756CD" w14:textId="77777777" w:rsidR="00007754" w:rsidRPr="00007754" w:rsidRDefault="00007754" w:rsidP="00CF2CDD">
            <w:pPr>
              <w:jc w:val="center"/>
              <w:rPr>
                <w:snapToGrid/>
                <w:sz w:val="16"/>
                <w:szCs w:val="16"/>
                <w:lang w:val="lv-LV" w:eastAsia="lv-LV"/>
              </w:rPr>
            </w:pPr>
            <w:r w:rsidRPr="00007754">
              <w:rPr>
                <w:snapToGrid/>
                <w:sz w:val="16"/>
                <w:szCs w:val="16"/>
                <w:lang w:val="lv-LV" w:eastAsia="lv-LV"/>
              </w:rPr>
              <w:t>283,4</w:t>
            </w:r>
          </w:p>
        </w:tc>
        <w:tc>
          <w:tcPr>
            <w:tcW w:w="1224" w:type="dxa"/>
            <w:shd w:val="clear" w:color="auto" w:fill="auto"/>
            <w:noWrap/>
            <w:vAlign w:val="bottom"/>
          </w:tcPr>
          <w:p w14:paraId="6FA9E909" w14:textId="77777777" w:rsidR="00007754" w:rsidRPr="00007754" w:rsidRDefault="00007754" w:rsidP="00CF2CDD">
            <w:pPr>
              <w:jc w:val="center"/>
              <w:rPr>
                <w:snapToGrid/>
                <w:sz w:val="16"/>
                <w:szCs w:val="16"/>
                <w:lang w:val="lv-LV" w:eastAsia="lv-LV"/>
              </w:rPr>
            </w:pPr>
            <w:r w:rsidRPr="001951BF">
              <w:rPr>
                <w:snapToGrid/>
                <w:sz w:val="16"/>
                <w:szCs w:val="16"/>
                <w:lang w:val="lv-LV" w:eastAsia="lv-LV"/>
              </w:rPr>
              <w:t>263</w:t>
            </w:r>
            <w:r w:rsidR="00D44A14" w:rsidRPr="00CF2CDD">
              <w:rPr>
                <w:snapToGrid/>
                <w:sz w:val="16"/>
                <w:szCs w:val="16"/>
                <w:lang w:val="lv-LV" w:eastAsia="lv-LV"/>
              </w:rPr>
              <w:t>,</w:t>
            </w:r>
            <w:r w:rsidRPr="001951BF">
              <w:rPr>
                <w:snapToGrid/>
                <w:sz w:val="16"/>
                <w:szCs w:val="16"/>
                <w:lang w:val="lv-LV" w:eastAsia="lv-LV"/>
              </w:rPr>
              <w:t>6</w:t>
            </w:r>
          </w:p>
        </w:tc>
        <w:tc>
          <w:tcPr>
            <w:tcW w:w="1186" w:type="dxa"/>
            <w:shd w:val="clear" w:color="auto" w:fill="auto"/>
            <w:noWrap/>
            <w:vAlign w:val="bottom"/>
          </w:tcPr>
          <w:p w14:paraId="645DF40E" w14:textId="77777777" w:rsidR="00007754" w:rsidRPr="00007754" w:rsidRDefault="00D44A14" w:rsidP="00CF2CDD">
            <w:pPr>
              <w:jc w:val="center"/>
              <w:rPr>
                <w:snapToGrid/>
                <w:sz w:val="16"/>
                <w:szCs w:val="16"/>
                <w:lang w:val="lv-LV" w:eastAsia="lv-LV"/>
              </w:rPr>
            </w:pPr>
            <w:r w:rsidRPr="00007754">
              <w:rPr>
                <w:snapToGrid/>
                <w:sz w:val="16"/>
                <w:szCs w:val="16"/>
                <w:lang w:val="lv-LV" w:eastAsia="lv-LV"/>
              </w:rPr>
              <w:t>93</w:t>
            </w:r>
            <w:r w:rsidRPr="00CF2CDD">
              <w:rPr>
                <w:snapToGrid/>
                <w:sz w:val="16"/>
                <w:szCs w:val="16"/>
                <w:lang w:val="lv-LV" w:eastAsia="lv-LV"/>
              </w:rPr>
              <w:t>,</w:t>
            </w:r>
            <w:r w:rsidRPr="00007754">
              <w:rPr>
                <w:snapToGrid/>
                <w:sz w:val="16"/>
                <w:szCs w:val="16"/>
                <w:lang w:val="lv-LV" w:eastAsia="lv-LV"/>
              </w:rPr>
              <w:t>0</w:t>
            </w:r>
          </w:p>
        </w:tc>
      </w:tr>
      <w:tr w:rsidR="00007754" w:rsidRPr="00CF2CDD" w14:paraId="245BDC98" w14:textId="77777777" w:rsidTr="00CF2CDD">
        <w:trPr>
          <w:trHeight w:hRule="exact" w:val="227"/>
          <w:jc w:val="center"/>
        </w:trPr>
        <w:tc>
          <w:tcPr>
            <w:tcW w:w="3239" w:type="dxa"/>
            <w:shd w:val="clear" w:color="auto" w:fill="auto"/>
            <w:noWrap/>
            <w:vAlign w:val="bottom"/>
            <w:hideMark/>
          </w:tcPr>
          <w:p w14:paraId="618C3013" w14:textId="77777777" w:rsidR="00007754" w:rsidRPr="00007754" w:rsidRDefault="00007754" w:rsidP="00007754">
            <w:pPr>
              <w:rPr>
                <w:snapToGrid/>
                <w:sz w:val="16"/>
                <w:szCs w:val="16"/>
                <w:lang w:val="lv-LV" w:eastAsia="lv-LV"/>
              </w:rPr>
            </w:pPr>
            <w:r w:rsidRPr="00007754">
              <w:rPr>
                <w:snapToGrid/>
                <w:sz w:val="16"/>
                <w:szCs w:val="16"/>
                <w:lang w:val="lv-LV" w:eastAsia="lv-LV"/>
              </w:rPr>
              <w:t xml:space="preserve">      kvieši</w:t>
            </w:r>
          </w:p>
        </w:tc>
        <w:tc>
          <w:tcPr>
            <w:tcW w:w="1296" w:type="dxa"/>
            <w:shd w:val="clear" w:color="auto" w:fill="auto"/>
            <w:noWrap/>
            <w:vAlign w:val="bottom"/>
          </w:tcPr>
          <w:p w14:paraId="5A1D2FC7" w14:textId="77777777" w:rsidR="00007754" w:rsidRPr="00007754" w:rsidRDefault="00007754" w:rsidP="00CF2CDD">
            <w:pPr>
              <w:jc w:val="center"/>
              <w:rPr>
                <w:snapToGrid/>
                <w:sz w:val="16"/>
                <w:szCs w:val="16"/>
                <w:lang w:val="lv-LV" w:eastAsia="lv-LV"/>
              </w:rPr>
            </w:pPr>
            <w:r w:rsidRPr="00007754">
              <w:rPr>
                <w:snapToGrid/>
                <w:sz w:val="16"/>
                <w:szCs w:val="16"/>
                <w:lang w:val="lv-LV" w:eastAsia="lv-LV"/>
              </w:rPr>
              <w:t>110,4</w:t>
            </w:r>
          </w:p>
        </w:tc>
        <w:tc>
          <w:tcPr>
            <w:tcW w:w="1224" w:type="dxa"/>
            <w:shd w:val="clear" w:color="auto" w:fill="auto"/>
            <w:noWrap/>
            <w:vAlign w:val="bottom"/>
          </w:tcPr>
          <w:p w14:paraId="2CBECE32" w14:textId="77777777" w:rsidR="00007754" w:rsidRPr="00007754" w:rsidRDefault="00007754" w:rsidP="00CF2CDD">
            <w:pPr>
              <w:jc w:val="center"/>
              <w:rPr>
                <w:snapToGrid/>
                <w:sz w:val="16"/>
                <w:szCs w:val="16"/>
                <w:lang w:val="lv-LV" w:eastAsia="lv-LV"/>
              </w:rPr>
            </w:pPr>
            <w:r w:rsidRPr="001951BF">
              <w:rPr>
                <w:snapToGrid/>
                <w:sz w:val="16"/>
                <w:szCs w:val="16"/>
                <w:lang w:val="lv-LV" w:eastAsia="lv-LV"/>
              </w:rPr>
              <w:t>96</w:t>
            </w:r>
            <w:r w:rsidR="00D44A14" w:rsidRPr="00CF2CDD">
              <w:rPr>
                <w:snapToGrid/>
                <w:sz w:val="16"/>
                <w:szCs w:val="16"/>
                <w:lang w:val="lv-LV" w:eastAsia="lv-LV"/>
              </w:rPr>
              <w:t>,</w:t>
            </w:r>
            <w:r w:rsidRPr="001951BF">
              <w:rPr>
                <w:snapToGrid/>
                <w:sz w:val="16"/>
                <w:szCs w:val="16"/>
                <w:lang w:val="lv-LV" w:eastAsia="lv-LV"/>
              </w:rPr>
              <w:t>7</w:t>
            </w:r>
          </w:p>
        </w:tc>
        <w:tc>
          <w:tcPr>
            <w:tcW w:w="1186" w:type="dxa"/>
            <w:shd w:val="clear" w:color="auto" w:fill="auto"/>
            <w:noWrap/>
            <w:vAlign w:val="bottom"/>
          </w:tcPr>
          <w:p w14:paraId="2EF91308" w14:textId="77777777" w:rsidR="00007754" w:rsidRPr="00007754" w:rsidRDefault="00D44A14" w:rsidP="00CF2CDD">
            <w:pPr>
              <w:jc w:val="center"/>
              <w:rPr>
                <w:snapToGrid/>
                <w:sz w:val="16"/>
                <w:szCs w:val="16"/>
                <w:lang w:val="lv-LV" w:eastAsia="lv-LV"/>
              </w:rPr>
            </w:pPr>
            <w:r w:rsidRPr="00007754">
              <w:rPr>
                <w:snapToGrid/>
                <w:sz w:val="16"/>
                <w:szCs w:val="16"/>
                <w:lang w:val="lv-LV" w:eastAsia="lv-LV"/>
              </w:rPr>
              <w:t>87</w:t>
            </w:r>
            <w:r w:rsidRPr="00CF2CDD">
              <w:rPr>
                <w:snapToGrid/>
                <w:sz w:val="16"/>
                <w:szCs w:val="16"/>
                <w:lang w:val="lv-LV" w:eastAsia="lv-LV"/>
              </w:rPr>
              <w:t>,</w:t>
            </w:r>
            <w:r w:rsidRPr="00007754">
              <w:rPr>
                <w:snapToGrid/>
                <w:sz w:val="16"/>
                <w:szCs w:val="16"/>
                <w:lang w:val="lv-LV" w:eastAsia="lv-LV"/>
              </w:rPr>
              <w:t>6</w:t>
            </w:r>
          </w:p>
        </w:tc>
      </w:tr>
      <w:tr w:rsidR="00007754" w:rsidRPr="00CF2CDD" w14:paraId="54E01EBD" w14:textId="77777777" w:rsidTr="00CF2CDD">
        <w:trPr>
          <w:trHeight w:hRule="exact" w:val="227"/>
          <w:jc w:val="center"/>
        </w:trPr>
        <w:tc>
          <w:tcPr>
            <w:tcW w:w="3239" w:type="dxa"/>
            <w:shd w:val="clear" w:color="auto" w:fill="auto"/>
            <w:noWrap/>
            <w:vAlign w:val="bottom"/>
            <w:hideMark/>
          </w:tcPr>
          <w:p w14:paraId="732A8004" w14:textId="77777777" w:rsidR="00007754" w:rsidRPr="00007754" w:rsidRDefault="00007754" w:rsidP="00007754">
            <w:pPr>
              <w:rPr>
                <w:snapToGrid/>
                <w:sz w:val="16"/>
                <w:szCs w:val="16"/>
                <w:lang w:val="lv-LV" w:eastAsia="lv-LV"/>
              </w:rPr>
            </w:pPr>
            <w:r w:rsidRPr="00007754">
              <w:rPr>
                <w:snapToGrid/>
                <w:sz w:val="16"/>
                <w:szCs w:val="16"/>
                <w:lang w:val="lv-LV" w:eastAsia="lv-LV"/>
              </w:rPr>
              <w:t xml:space="preserve">      mieži</w:t>
            </w:r>
          </w:p>
        </w:tc>
        <w:tc>
          <w:tcPr>
            <w:tcW w:w="1296" w:type="dxa"/>
            <w:shd w:val="clear" w:color="auto" w:fill="auto"/>
            <w:noWrap/>
            <w:vAlign w:val="bottom"/>
          </w:tcPr>
          <w:p w14:paraId="407E20A0" w14:textId="77777777" w:rsidR="00007754" w:rsidRPr="00007754" w:rsidRDefault="00007754" w:rsidP="00CF2CDD">
            <w:pPr>
              <w:jc w:val="center"/>
              <w:rPr>
                <w:snapToGrid/>
                <w:sz w:val="16"/>
                <w:szCs w:val="16"/>
                <w:lang w:val="lv-LV" w:eastAsia="lv-LV"/>
              </w:rPr>
            </w:pPr>
            <w:r w:rsidRPr="00007754">
              <w:rPr>
                <w:snapToGrid/>
                <w:sz w:val="16"/>
                <w:szCs w:val="16"/>
                <w:lang w:val="lv-LV" w:eastAsia="lv-LV"/>
              </w:rPr>
              <w:t>94,7</w:t>
            </w:r>
          </w:p>
        </w:tc>
        <w:tc>
          <w:tcPr>
            <w:tcW w:w="1224" w:type="dxa"/>
            <w:shd w:val="clear" w:color="auto" w:fill="auto"/>
            <w:noWrap/>
            <w:vAlign w:val="bottom"/>
          </w:tcPr>
          <w:p w14:paraId="41B667AD" w14:textId="77777777" w:rsidR="00007754" w:rsidRPr="00007754" w:rsidRDefault="00007754" w:rsidP="00CF2CDD">
            <w:pPr>
              <w:jc w:val="center"/>
              <w:rPr>
                <w:snapToGrid/>
                <w:sz w:val="16"/>
                <w:szCs w:val="16"/>
                <w:lang w:val="lv-LV" w:eastAsia="lv-LV"/>
              </w:rPr>
            </w:pPr>
            <w:r w:rsidRPr="001951BF">
              <w:rPr>
                <w:snapToGrid/>
                <w:sz w:val="16"/>
                <w:szCs w:val="16"/>
                <w:lang w:val="lv-LV" w:eastAsia="lv-LV"/>
              </w:rPr>
              <w:t>85</w:t>
            </w:r>
            <w:r w:rsidR="00D44A14" w:rsidRPr="00CF2CDD">
              <w:rPr>
                <w:snapToGrid/>
                <w:sz w:val="16"/>
                <w:szCs w:val="16"/>
                <w:lang w:val="lv-LV" w:eastAsia="lv-LV"/>
              </w:rPr>
              <w:t>,</w:t>
            </w:r>
            <w:r w:rsidRPr="001951BF">
              <w:rPr>
                <w:snapToGrid/>
                <w:sz w:val="16"/>
                <w:szCs w:val="16"/>
                <w:lang w:val="lv-LV" w:eastAsia="lv-LV"/>
              </w:rPr>
              <w:t>2</w:t>
            </w:r>
          </w:p>
        </w:tc>
        <w:tc>
          <w:tcPr>
            <w:tcW w:w="1186" w:type="dxa"/>
            <w:shd w:val="clear" w:color="auto" w:fill="auto"/>
            <w:noWrap/>
            <w:vAlign w:val="bottom"/>
          </w:tcPr>
          <w:p w14:paraId="0DB4319D" w14:textId="77777777" w:rsidR="00007754" w:rsidRPr="00007754" w:rsidRDefault="00D44A14" w:rsidP="00CF2CDD">
            <w:pPr>
              <w:jc w:val="center"/>
              <w:rPr>
                <w:snapToGrid/>
                <w:sz w:val="16"/>
                <w:szCs w:val="16"/>
                <w:lang w:val="lv-LV" w:eastAsia="lv-LV"/>
              </w:rPr>
            </w:pPr>
            <w:r w:rsidRPr="00007754">
              <w:rPr>
                <w:snapToGrid/>
                <w:sz w:val="16"/>
                <w:szCs w:val="16"/>
                <w:lang w:val="lv-LV" w:eastAsia="lv-LV"/>
              </w:rPr>
              <w:t>90</w:t>
            </w:r>
            <w:r w:rsidRPr="00CF2CDD">
              <w:rPr>
                <w:snapToGrid/>
                <w:sz w:val="16"/>
                <w:szCs w:val="16"/>
                <w:lang w:val="lv-LV" w:eastAsia="lv-LV"/>
              </w:rPr>
              <w:t>,</w:t>
            </w:r>
            <w:r w:rsidRPr="00007754">
              <w:rPr>
                <w:snapToGrid/>
                <w:sz w:val="16"/>
                <w:szCs w:val="16"/>
                <w:lang w:val="lv-LV" w:eastAsia="lv-LV"/>
              </w:rPr>
              <w:t>0</w:t>
            </w:r>
          </w:p>
        </w:tc>
      </w:tr>
      <w:tr w:rsidR="00007754" w:rsidRPr="00CF2CDD" w14:paraId="00262248" w14:textId="77777777" w:rsidTr="00CF2CDD">
        <w:trPr>
          <w:trHeight w:hRule="exact" w:val="227"/>
          <w:jc w:val="center"/>
        </w:trPr>
        <w:tc>
          <w:tcPr>
            <w:tcW w:w="3239" w:type="dxa"/>
            <w:shd w:val="clear" w:color="auto" w:fill="auto"/>
            <w:noWrap/>
            <w:vAlign w:val="bottom"/>
            <w:hideMark/>
          </w:tcPr>
          <w:p w14:paraId="3508162C" w14:textId="77777777" w:rsidR="00007754" w:rsidRPr="00007754" w:rsidRDefault="00007754" w:rsidP="00007754">
            <w:pPr>
              <w:rPr>
                <w:snapToGrid/>
                <w:sz w:val="16"/>
                <w:szCs w:val="16"/>
                <w:lang w:val="lv-LV" w:eastAsia="lv-LV"/>
              </w:rPr>
            </w:pPr>
            <w:r w:rsidRPr="00007754">
              <w:rPr>
                <w:snapToGrid/>
                <w:sz w:val="16"/>
                <w:szCs w:val="16"/>
                <w:lang w:val="lv-LV" w:eastAsia="lv-LV"/>
              </w:rPr>
              <w:t xml:space="preserve">      auzas</w:t>
            </w:r>
          </w:p>
        </w:tc>
        <w:tc>
          <w:tcPr>
            <w:tcW w:w="1296" w:type="dxa"/>
            <w:shd w:val="clear" w:color="auto" w:fill="auto"/>
            <w:noWrap/>
            <w:vAlign w:val="bottom"/>
          </w:tcPr>
          <w:p w14:paraId="124763D7" w14:textId="77777777" w:rsidR="00007754" w:rsidRPr="00007754" w:rsidRDefault="00007754" w:rsidP="00CF2CDD">
            <w:pPr>
              <w:jc w:val="center"/>
              <w:rPr>
                <w:snapToGrid/>
                <w:sz w:val="16"/>
                <w:szCs w:val="16"/>
                <w:lang w:val="lv-LV" w:eastAsia="lv-LV"/>
              </w:rPr>
            </w:pPr>
            <w:r w:rsidRPr="00007754">
              <w:rPr>
                <w:snapToGrid/>
                <w:sz w:val="16"/>
                <w:szCs w:val="16"/>
                <w:lang w:val="lv-LV" w:eastAsia="lv-LV"/>
              </w:rPr>
              <w:t>59,3</w:t>
            </w:r>
          </w:p>
        </w:tc>
        <w:tc>
          <w:tcPr>
            <w:tcW w:w="1224" w:type="dxa"/>
            <w:shd w:val="clear" w:color="auto" w:fill="auto"/>
            <w:noWrap/>
            <w:vAlign w:val="bottom"/>
          </w:tcPr>
          <w:p w14:paraId="57CDD804" w14:textId="77777777" w:rsidR="00007754" w:rsidRPr="00007754" w:rsidRDefault="00007754" w:rsidP="00CF2CDD">
            <w:pPr>
              <w:jc w:val="center"/>
              <w:rPr>
                <w:snapToGrid/>
                <w:sz w:val="16"/>
                <w:szCs w:val="16"/>
                <w:lang w:val="lv-LV" w:eastAsia="lv-LV"/>
              </w:rPr>
            </w:pPr>
            <w:r w:rsidRPr="001951BF">
              <w:rPr>
                <w:snapToGrid/>
                <w:sz w:val="16"/>
                <w:szCs w:val="16"/>
                <w:lang w:val="lv-LV" w:eastAsia="lv-LV"/>
              </w:rPr>
              <w:t>62</w:t>
            </w:r>
            <w:r w:rsidR="00D44A14" w:rsidRPr="00CF2CDD">
              <w:rPr>
                <w:snapToGrid/>
                <w:sz w:val="16"/>
                <w:szCs w:val="16"/>
                <w:lang w:val="lv-LV" w:eastAsia="lv-LV"/>
              </w:rPr>
              <w:t>,</w:t>
            </w:r>
            <w:r w:rsidRPr="001951BF">
              <w:rPr>
                <w:snapToGrid/>
                <w:sz w:val="16"/>
                <w:szCs w:val="16"/>
                <w:lang w:val="lv-LV" w:eastAsia="lv-LV"/>
              </w:rPr>
              <w:t>0</w:t>
            </w:r>
          </w:p>
        </w:tc>
        <w:tc>
          <w:tcPr>
            <w:tcW w:w="1186" w:type="dxa"/>
            <w:shd w:val="clear" w:color="auto" w:fill="auto"/>
            <w:noWrap/>
            <w:vAlign w:val="bottom"/>
          </w:tcPr>
          <w:p w14:paraId="0EE4F20A" w14:textId="77777777" w:rsidR="00007754" w:rsidRPr="00007754" w:rsidRDefault="00D44A14" w:rsidP="00CF2CDD">
            <w:pPr>
              <w:jc w:val="center"/>
              <w:rPr>
                <w:snapToGrid/>
                <w:sz w:val="16"/>
                <w:szCs w:val="16"/>
                <w:lang w:val="lv-LV" w:eastAsia="lv-LV"/>
              </w:rPr>
            </w:pPr>
            <w:r w:rsidRPr="00007754">
              <w:rPr>
                <w:snapToGrid/>
                <w:sz w:val="16"/>
                <w:szCs w:val="16"/>
                <w:lang w:val="lv-LV" w:eastAsia="lv-LV"/>
              </w:rPr>
              <w:t>104</w:t>
            </w:r>
            <w:r w:rsidRPr="00CF2CDD">
              <w:rPr>
                <w:snapToGrid/>
                <w:sz w:val="16"/>
                <w:szCs w:val="16"/>
                <w:lang w:val="lv-LV" w:eastAsia="lv-LV"/>
              </w:rPr>
              <w:t>,</w:t>
            </w:r>
            <w:r w:rsidRPr="00007754">
              <w:rPr>
                <w:snapToGrid/>
                <w:sz w:val="16"/>
                <w:szCs w:val="16"/>
                <w:lang w:val="lv-LV" w:eastAsia="lv-LV"/>
              </w:rPr>
              <w:t>6</w:t>
            </w:r>
          </w:p>
        </w:tc>
      </w:tr>
      <w:tr w:rsidR="00007754" w:rsidRPr="00CF2CDD" w14:paraId="1B6CEB7B" w14:textId="77777777" w:rsidTr="00CF2CDD">
        <w:trPr>
          <w:trHeight w:hRule="exact" w:val="227"/>
          <w:jc w:val="center"/>
        </w:trPr>
        <w:tc>
          <w:tcPr>
            <w:tcW w:w="3239" w:type="dxa"/>
            <w:shd w:val="clear" w:color="auto" w:fill="auto"/>
            <w:noWrap/>
            <w:vAlign w:val="bottom"/>
            <w:hideMark/>
          </w:tcPr>
          <w:p w14:paraId="51FDE3EB" w14:textId="77777777" w:rsidR="00007754" w:rsidRPr="00007754" w:rsidRDefault="00007754" w:rsidP="00007754">
            <w:pPr>
              <w:rPr>
                <w:snapToGrid/>
                <w:sz w:val="16"/>
                <w:szCs w:val="16"/>
                <w:lang w:val="lv-LV" w:eastAsia="lv-LV"/>
              </w:rPr>
            </w:pPr>
            <w:r w:rsidRPr="00007754">
              <w:rPr>
                <w:snapToGrid/>
                <w:sz w:val="16"/>
                <w:szCs w:val="16"/>
                <w:lang w:val="lv-LV" w:eastAsia="lv-LV"/>
              </w:rPr>
              <w:t xml:space="preserve">      griķi</w:t>
            </w:r>
          </w:p>
        </w:tc>
        <w:tc>
          <w:tcPr>
            <w:tcW w:w="1296" w:type="dxa"/>
            <w:shd w:val="clear" w:color="auto" w:fill="auto"/>
            <w:noWrap/>
            <w:vAlign w:val="bottom"/>
            <w:hideMark/>
          </w:tcPr>
          <w:p w14:paraId="141D9E52" w14:textId="77777777" w:rsidR="00007754" w:rsidRPr="00007754" w:rsidRDefault="00D44A14" w:rsidP="00CF2CDD">
            <w:pPr>
              <w:jc w:val="center"/>
              <w:rPr>
                <w:snapToGrid/>
                <w:sz w:val="16"/>
                <w:szCs w:val="16"/>
                <w:lang w:val="lv-LV" w:eastAsia="lv-LV"/>
              </w:rPr>
            </w:pPr>
            <w:r w:rsidRPr="00007754">
              <w:rPr>
                <w:snapToGrid/>
                <w:sz w:val="16"/>
                <w:szCs w:val="16"/>
                <w:lang w:val="lv-LV" w:eastAsia="lv-LV"/>
              </w:rPr>
              <w:t>9</w:t>
            </w:r>
            <w:r w:rsidRPr="00CF2CDD">
              <w:rPr>
                <w:snapToGrid/>
                <w:sz w:val="16"/>
                <w:szCs w:val="16"/>
                <w:lang w:val="lv-LV" w:eastAsia="lv-LV"/>
              </w:rPr>
              <w:t>,</w:t>
            </w:r>
            <w:r w:rsidRPr="00007754">
              <w:rPr>
                <w:snapToGrid/>
                <w:sz w:val="16"/>
                <w:szCs w:val="16"/>
                <w:lang w:val="lv-LV" w:eastAsia="lv-LV"/>
              </w:rPr>
              <w:t>5</w:t>
            </w:r>
          </w:p>
        </w:tc>
        <w:tc>
          <w:tcPr>
            <w:tcW w:w="1224" w:type="dxa"/>
            <w:shd w:val="clear" w:color="auto" w:fill="auto"/>
            <w:noWrap/>
            <w:vAlign w:val="bottom"/>
          </w:tcPr>
          <w:p w14:paraId="4F4F5986" w14:textId="77777777" w:rsidR="00007754" w:rsidRPr="00007754" w:rsidRDefault="00D44A14" w:rsidP="00CF2CDD">
            <w:pPr>
              <w:jc w:val="center"/>
              <w:rPr>
                <w:snapToGrid/>
                <w:sz w:val="16"/>
                <w:szCs w:val="16"/>
                <w:lang w:val="lv-LV" w:eastAsia="lv-LV"/>
              </w:rPr>
            </w:pPr>
            <w:r w:rsidRPr="00007754">
              <w:rPr>
                <w:snapToGrid/>
                <w:sz w:val="16"/>
                <w:szCs w:val="16"/>
                <w:lang w:val="lv-LV" w:eastAsia="lv-LV"/>
              </w:rPr>
              <w:t>11</w:t>
            </w:r>
            <w:r w:rsidRPr="00CF2CDD">
              <w:rPr>
                <w:snapToGrid/>
                <w:sz w:val="16"/>
                <w:szCs w:val="16"/>
                <w:lang w:val="lv-LV" w:eastAsia="lv-LV"/>
              </w:rPr>
              <w:t>,</w:t>
            </w:r>
            <w:r w:rsidRPr="00007754">
              <w:rPr>
                <w:snapToGrid/>
                <w:sz w:val="16"/>
                <w:szCs w:val="16"/>
                <w:lang w:val="lv-LV" w:eastAsia="lv-LV"/>
              </w:rPr>
              <w:t>7</w:t>
            </w:r>
          </w:p>
        </w:tc>
        <w:tc>
          <w:tcPr>
            <w:tcW w:w="1186" w:type="dxa"/>
            <w:shd w:val="clear" w:color="auto" w:fill="auto"/>
            <w:noWrap/>
            <w:vAlign w:val="bottom"/>
          </w:tcPr>
          <w:p w14:paraId="322A4A30" w14:textId="77777777" w:rsidR="00007754" w:rsidRPr="00007754" w:rsidRDefault="00D44A14" w:rsidP="00CF2CDD">
            <w:pPr>
              <w:jc w:val="center"/>
              <w:rPr>
                <w:snapToGrid/>
                <w:sz w:val="16"/>
                <w:szCs w:val="16"/>
                <w:lang w:val="lv-LV" w:eastAsia="lv-LV"/>
              </w:rPr>
            </w:pPr>
            <w:r w:rsidRPr="00007754">
              <w:rPr>
                <w:snapToGrid/>
                <w:sz w:val="16"/>
                <w:szCs w:val="16"/>
                <w:lang w:val="lv-LV" w:eastAsia="lv-LV"/>
              </w:rPr>
              <w:t>122</w:t>
            </w:r>
            <w:r w:rsidRPr="00CF2CDD">
              <w:rPr>
                <w:snapToGrid/>
                <w:sz w:val="16"/>
                <w:szCs w:val="16"/>
                <w:lang w:val="lv-LV" w:eastAsia="lv-LV"/>
              </w:rPr>
              <w:t>,</w:t>
            </w:r>
            <w:r w:rsidRPr="00007754">
              <w:rPr>
                <w:snapToGrid/>
                <w:sz w:val="16"/>
                <w:szCs w:val="16"/>
                <w:lang w:val="lv-LV" w:eastAsia="lv-LV"/>
              </w:rPr>
              <w:t>3</w:t>
            </w:r>
          </w:p>
        </w:tc>
      </w:tr>
      <w:tr w:rsidR="00007754" w:rsidRPr="00CF2CDD" w14:paraId="431F7DFB" w14:textId="77777777" w:rsidTr="00CF2CDD">
        <w:trPr>
          <w:trHeight w:hRule="exact" w:val="227"/>
          <w:jc w:val="center"/>
        </w:trPr>
        <w:tc>
          <w:tcPr>
            <w:tcW w:w="3239" w:type="dxa"/>
            <w:shd w:val="clear" w:color="auto" w:fill="auto"/>
            <w:noWrap/>
            <w:vAlign w:val="bottom"/>
            <w:hideMark/>
          </w:tcPr>
          <w:p w14:paraId="3C929192" w14:textId="77777777" w:rsidR="00007754" w:rsidRPr="00007754" w:rsidRDefault="00007754" w:rsidP="00007754">
            <w:pPr>
              <w:rPr>
                <w:snapToGrid/>
                <w:sz w:val="16"/>
                <w:szCs w:val="16"/>
                <w:lang w:val="lv-LV" w:eastAsia="lv-LV"/>
              </w:rPr>
            </w:pPr>
            <w:r w:rsidRPr="00007754">
              <w:rPr>
                <w:snapToGrid/>
                <w:sz w:val="16"/>
                <w:szCs w:val="16"/>
                <w:lang w:val="lv-LV" w:eastAsia="lv-LV"/>
              </w:rPr>
              <w:t xml:space="preserve"> Rapsis</w:t>
            </w:r>
          </w:p>
        </w:tc>
        <w:tc>
          <w:tcPr>
            <w:tcW w:w="1296" w:type="dxa"/>
            <w:shd w:val="clear" w:color="auto" w:fill="auto"/>
            <w:noWrap/>
            <w:vAlign w:val="bottom"/>
            <w:hideMark/>
          </w:tcPr>
          <w:p w14:paraId="5DE7573E" w14:textId="77777777" w:rsidR="00007754" w:rsidRPr="00007754" w:rsidRDefault="00D44A14" w:rsidP="00CF2CDD">
            <w:pPr>
              <w:jc w:val="center"/>
              <w:rPr>
                <w:snapToGrid/>
                <w:sz w:val="16"/>
                <w:szCs w:val="16"/>
                <w:lang w:val="lv-LV" w:eastAsia="lv-LV"/>
              </w:rPr>
            </w:pPr>
            <w:r w:rsidRPr="00007754">
              <w:rPr>
                <w:snapToGrid/>
                <w:sz w:val="16"/>
                <w:szCs w:val="16"/>
                <w:lang w:val="lv-LV" w:eastAsia="lv-LV"/>
              </w:rPr>
              <w:t>121</w:t>
            </w:r>
            <w:r w:rsidRPr="00CF2CDD">
              <w:rPr>
                <w:snapToGrid/>
                <w:sz w:val="16"/>
                <w:szCs w:val="16"/>
                <w:lang w:val="lv-LV" w:eastAsia="lv-LV"/>
              </w:rPr>
              <w:t>,</w:t>
            </w:r>
            <w:r w:rsidRPr="00007754">
              <w:rPr>
                <w:snapToGrid/>
                <w:sz w:val="16"/>
                <w:szCs w:val="16"/>
                <w:lang w:val="lv-LV" w:eastAsia="lv-LV"/>
              </w:rPr>
              <w:t>3</w:t>
            </w:r>
          </w:p>
        </w:tc>
        <w:tc>
          <w:tcPr>
            <w:tcW w:w="1224" w:type="dxa"/>
            <w:shd w:val="clear" w:color="auto" w:fill="auto"/>
            <w:noWrap/>
            <w:vAlign w:val="bottom"/>
          </w:tcPr>
          <w:p w14:paraId="0F0AD120" w14:textId="77777777" w:rsidR="00007754" w:rsidRPr="00007754" w:rsidRDefault="00A57772" w:rsidP="00CF2CDD">
            <w:pPr>
              <w:jc w:val="center"/>
              <w:rPr>
                <w:snapToGrid/>
                <w:sz w:val="16"/>
                <w:szCs w:val="16"/>
                <w:lang w:val="lv-LV" w:eastAsia="lv-LV"/>
              </w:rPr>
            </w:pPr>
            <w:r w:rsidRPr="00CF2CDD">
              <w:rPr>
                <w:snapToGrid/>
                <w:sz w:val="16"/>
                <w:szCs w:val="16"/>
                <w:lang w:val="lv-LV" w:eastAsia="lv-LV"/>
              </w:rPr>
              <w:t>117</w:t>
            </w:r>
            <w:r w:rsidR="00D44A14" w:rsidRPr="00CF2CDD">
              <w:rPr>
                <w:snapToGrid/>
                <w:sz w:val="16"/>
                <w:szCs w:val="16"/>
                <w:lang w:val="lv-LV" w:eastAsia="lv-LV"/>
              </w:rPr>
              <w:t>,</w:t>
            </w:r>
            <w:r w:rsidR="00007754" w:rsidRPr="001951BF">
              <w:rPr>
                <w:snapToGrid/>
                <w:sz w:val="16"/>
                <w:szCs w:val="16"/>
                <w:lang w:val="lv-LV" w:eastAsia="lv-LV"/>
              </w:rPr>
              <w:t>5</w:t>
            </w:r>
          </w:p>
        </w:tc>
        <w:tc>
          <w:tcPr>
            <w:tcW w:w="1186" w:type="dxa"/>
            <w:shd w:val="clear" w:color="auto" w:fill="auto"/>
            <w:noWrap/>
            <w:vAlign w:val="bottom"/>
          </w:tcPr>
          <w:p w14:paraId="2D0565CF" w14:textId="77777777" w:rsidR="00007754" w:rsidRPr="00007754" w:rsidRDefault="00D44A14" w:rsidP="00CF2CDD">
            <w:pPr>
              <w:jc w:val="center"/>
              <w:rPr>
                <w:snapToGrid/>
                <w:sz w:val="16"/>
                <w:szCs w:val="16"/>
                <w:lang w:val="lv-LV" w:eastAsia="lv-LV"/>
              </w:rPr>
            </w:pPr>
            <w:r w:rsidRPr="00007754">
              <w:rPr>
                <w:snapToGrid/>
                <w:sz w:val="16"/>
                <w:szCs w:val="16"/>
                <w:lang w:val="lv-LV" w:eastAsia="lv-LV"/>
              </w:rPr>
              <w:t>96</w:t>
            </w:r>
            <w:r w:rsidRPr="00CF2CDD">
              <w:rPr>
                <w:snapToGrid/>
                <w:sz w:val="16"/>
                <w:szCs w:val="16"/>
                <w:lang w:val="lv-LV" w:eastAsia="lv-LV"/>
              </w:rPr>
              <w:t>,</w:t>
            </w:r>
            <w:r w:rsidRPr="00007754">
              <w:rPr>
                <w:snapToGrid/>
                <w:sz w:val="16"/>
                <w:szCs w:val="16"/>
                <w:lang w:val="lv-LV" w:eastAsia="lv-LV"/>
              </w:rPr>
              <w:t>9</w:t>
            </w:r>
          </w:p>
        </w:tc>
      </w:tr>
    </w:tbl>
    <w:p w14:paraId="2A30E079" w14:textId="77777777" w:rsidR="00007754" w:rsidRPr="00CF2CDD" w:rsidRDefault="00007754" w:rsidP="00007754">
      <w:pPr>
        <w:ind w:left="851"/>
        <w:rPr>
          <w:snapToGrid/>
          <w:sz w:val="16"/>
          <w:szCs w:val="16"/>
          <w:lang w:val="lv-LV" w:eastAsia="lv-LV"/>
        </w:rPr>
      </w:pPr>
      <w:r w:rsidRPr="00007754">
        <w:rPr>
          <w:rFonts w:eastAsia="Calibri"/>
          <w:bCs/>
          <w:i/>
          <w:snapToGrid/>
          <w:sz w:val="16"/>
          <w:szCs w:val="16"/>
          <w:lang w:val="lv-LV" w:eastAsia="lv-LV"/>
        </w:rPr>
        <w:t>Avots: CSP.</w:t>
      </w:r>
    </w:p>
    <w:p w14:paraId="30205714" w14:textId="77777777" w:rsidR="00007754" w:rsidRDefault="00007754" w:rsidP="001951BF">
      <w:pPr>
        <w:ind w:firstLine="567"/>
        <w:jc w:val="both"/>
        <w:rPr>
          <w:rFonts w:eastAsia="Calibri" w:cs="Tahoma"/>
          <w:snapToGrid/>
          <w:sz w:val="28"/>
          <w:szCs w:val="28"/>
          <w:lang w:val="lv-LV" w:eastAsia="en-US"/>
        </w:rPr>
      </w:pPr>
    </w:p>
    <w:p w14:paraId="63B95AED" w14:textId="77777777" w:rsidR="000B4B26" w:rsidRDefault="001951BF" w:rsidP="000B4B26">
      <w:pPr>
        <w:ind w:firstLine="567"/>
        <w:jc w:val="both"/>
        <w:rPr>
          <w:rFonts w:eastAsia="Calibri" w:cs="Tahoma"/>
          <w:snapToGrid/>
          <w:sz w:val="28"/>
          <w:szCs w:val="28"/>
          <w:lang w:val="lv-LV" w:eastAsia="en-US"/>
        </w:rPr>
      </w:pPr>
      <w:r w:rsidRPr="00B2445B">
        <w:rPr>
          <w:rFonts w:eastAsia="Calibri" w:cs="Tahoma"/>
          <w:snapToGrid/>
          <w:sz w:val="28"/>
          <w:szCs w:val="28"/>
          <w:lang w:val="lv-LV" w:eastAsia="en-US"/>
        </w:rPr>
        <w:t>CSP informācija par lauksaimniecības kultūru sējumu platībām liecina, ka 201</w:t>
      </w:r>
      <w:r w:rsidR="00BE73F5">
        <w:rPr>
          <w:rFonts w:eastAsia="Calibri" w:cs="Tahoma"/>
          <w:snapToGrid/>
          <w:sz w:val="28"/>
          <w:szCs w:val="28"/>
          <w:lang w:val="lv-LV" w:eastAsia="en-US"/>
        </w:rPr>
        <w:t>2</w:t>
      </w:r>
      <w:r w:rsidRPr="00B2445B">
        <w:rPr>
          <w:rFonts w:eastAsia="Calibri" w:cs="Tahoma"/>
          <w:snapToGrid/>
          <w:sz w:val="28"/>
          <w:szCs w:val="28"/>
          <w:lang w:val="lv-LV" w:eastAsia="en-US"/>
        </w:rPr>
        <w:t xml:space="preserve">. gadā graudaugu sējumi bija </w:t>
      </w:r>
      <w:r w:rsidR="00BE73F5">
        <w:rPr>
          <w:rFonts w:eastAsia="Calibri" w:cs="Tahoma"/>
          <w:snapToGrid/>
          <w:sz w:val="28"/>
          <w:szCs w:val="28"/>
          <w:lang w:val="lv-LV" w:eastAsia="en-US"/>
        </w:rPr>
        <w:t xml:space="preserve">692,1 </w:t>
      </w:r>
      <w:proofErr w:type="spellStart"/>
      <w:r w:rsidRPr="00B2445B">
        <w:rPr>
          <w:rFonts w:eastAsia="Calibri" w:cs="Tahoma"/>
          <w:snapToGrid/>
          <w:sz w:val="28"/>
          <w:szCs w:val="28"/>
          <w:lang w:val="lv-LV" w:eastAsia="en-US"/>
        </w:rPr>
        <w:t>tūkst</w:t>
      </w:r>
      <w:proofErr w:type="spellEnd"/>
      <w:r w:rsidRPr="00B2445B">
        <w:rPr>
          <w:rFonts w:eastAsia="Calibri" w:cs="Tahoma"/>
          <w:snapToGrid/>
          <w:sz w:val="28"/>
          <w:szCs w:val="28"/>
          <w:lang w:val="lv-LV" w:eastAsia="en-US"/>
        </w:rPr>
        <w:t xml:space="preserve">. ha, kas ir par </w:t>
      </w:r>
      <w:r w:rsidR="00BE73F5">
        <w:rPr>
          <w:rFonts w:eastAsia="Calibri" w:cs="Tahoma"/>
          <w:snapToGrid/>
          <w:sz w:val="28"/>
          <w:szCs w:val="28"/>
          <w:lang w:val="lv-LV" w:eastAsia="en-US"/>
        </w:rPr>
        <w:t>44</w:t>
      </w:r>
      <w:r w:rsidR="00BE73F5" w:rsidRPr="00B2445B">
        <w:rPr>
          <w:rFonts w:eastAsia="Calibri" w:cs="Tahoma"/>
          <w:snapToGrid/>
          <w:sz w:val="28"/>
          <w:szCs w:val="28"/>
          <w:lang w:val="lv-LV" w:eastAsia="en-US"/>
        </w:rPr>
        <w:t>,</w:t>
      </w:r>
      <w:r w:rsidR="00BE73F5">
        <w:rPr>
          <w:rFonts w:eastAsia="Calibri" w:cs="Tahoma"/>
          <w:snapToGrid/>
          <w:sz w:val="28"/>
          <w:szCs w:val="28"/>
          <w:lang w:val="lv-LV" w:eastAsia="en-US"/>
        </w:rPr>
        <w:t>2</w:t>
      </w:r>
      <w:r w:rsidR="00BE73F5" w:rsidRPr="00B2445B">
        <w:rPr>
          <w:rFonts w:eastAsia="Calibri" w:cs="Tahoma"/>
          <w:snapToGrid/>
          <w:sz w:val="28"/>
          <w:szCs w:val="28"/>
          <w:lang w:val="lv-LV" w:eastAsia="en-US"/>
        </w:rPr>
        <w:t> </w:t>
      </w:r>
      <w:proofErr w:type="spellStart"/>
      <w:r w:rsidRPr="00B2445B">
        <w:rPr>
          <w:rFonts w:eastAsia="Calibri" w:cs="Tahoma"/>
          <w:snapToGrid/>
          <w:sz w:val="28"/>
          <w:szCs w:val="28"/>
          <w:lang w:val="lv-LV" w:eastAsia="en-US"/>
        </w:rPr>
        <w:t>tūkst</w:t>
      </w:r>
      <w:proofErr w:type="spellEnd"/>
      <w:r w:rsidRPr="00B2445B">
        <w:rPr>
          <w:rFonts w:eastAsia="Calibri" w:cs="Tahoma"/>
          <w:snapToGrid/>
          <w:sz w:val="28"/>
          <w:szCs w:val="28"/>
          <w:lang w:val="lv-LV" w:eastAsia="en-US"/>
        </w:rPr>
        <w:t xml:space="preserve">. ha jeb </w:t>
      </w:r>
      <w:r w:rsidR="00BE73F5">
        <w:rPr>
          <w:rFonts w:eastAsia="Calibri" w:cs="Tahoma"/>
          <w:snapToGrid/>
          <w:sz w:val="28"/>
          <w:szCs w:val="28"/>
          <w:lang w:val="lv-LV" w:eastAsia="en-US"/>
        </w:rPr>
        <w:t>6</w:t>
      </w:r>
      <w:r w:rsidRPr="00B2445B">
        <w:rPr>
          <w:rFonts w:eastAsia="Calibri" w:cs="Tahoma"/>
          <w:snapToGrid/>
          <w:sz w:val="28"/>
          <w:szCs w:val="28"/>
          <w:lang w:val="lv-LV" w:eastAsia="en-US"/>
        </w:rPr>
        <w:t xml:space="preserve">,8% </w:t>
      </w:r>
      <w:r w:rsidR="00BE73F5">
        <w:rPr>
          <w:rFonts w:eastAsia="Calibri" w:cs="Tahoma"/>
          <w:snapToGrid/>
          <w:sz w:val="28"/>
          <w:szCs w:val="28"/>
          <w:lang w:val="lv-LV" w:eastAsia="en-US"/>
        </w:rPr>
        <w:t>vairāk</w:t>
      </w:r>
      <w:r>
        <w:rPr>
          <w:rFonts w:eastAsia="Calibri" w:cs="Tahoma"/>
          <w:snapToGrid/>
          <w:sz w:val="28"/>
          <w:szCs w:val="28"/>
          <w:lang w:val="lv-LV" w:eastAsia="en-US"/>
        </w:rPr>
        <w:t xml:space="preserve"> nekā 201</w:t>
      </w:r>
      <w:r w:rsidR="00BE73F5">
        <w:rPr>
          <w:rFonts w:eastAsia="Calibri" w:cs="Tahoma"/>
          <w:snapToGrid/>
          <w:sz w:val="28"/>
          <w:szCs w:val="28"/>
          <w:lang w:val="lv-LV" w:eastAsia="en-US"/>
        </w:rPr>
        <w:t>1</w:t>
      </w:r>
      <w:r>
        <w:rPr>
          <w:rFonts w:eastAsia="Calibri" w:cs="Tahoma"/>
          <w:snapToGrid/>
          <w:sz w:val="28"/>
          <w:szCs w:val="28"/>
          <w:lang w:val="lv-LV" w:eastAsia="en-US"/>
        </w:rPr>
        <w:t>. gadā</w:t>
      </w:r>
      <w:r w:rsidRPr="00B2445B">
        <w:rPr>
          <w:rFonts w:eastAsia="Calibri" w:cs="Tahoma"/>
          <w:snapToGrid/>
          <w:sz w:val="28"/>
          <w:szCs w:val="28"/>
          <w:lang w:val="lv-LV" w:eastAsia="en-US"/>
        </w:rPr>
        <w:t xml:space="preserve">. </w:t>
      </w:r>
    </w:p>
    <w:p w14:paraId="58E22CEF" w14:textId="768D00A7" w:rsidR="00C55FAD" w:rsidRPr="00CF2CDD" w:rsidRDefault="00284350" w:rsidP="000B4B26">
      <w:pPr>
        <w:ind w:firstLine="567"/>
        <w:jc w:val="both"/>
        <w:rPr>
          <w:rFonts w:eastAsia="Calibri" w:cs="Tahoma"/>
          <w:snapToGrid/>
          <w:sz w:val="28"/>
          <w:szCs w:val="28"/>
          <w:lang w:val="lv-LV" w:eastAsia="en-US"/>
        </w:rPr>
      </w:pPr>
      <w:r w:rsidRPr="00284350">
        <w:rPr>
          <w:sz w:val="28"/>
          <w:szCs w:val="28"/>
          <w:lang w:val="lv-LV"/>
        </w:rPr>
        <w:t xml:space="preserve">Lai novērtētu SEG emisijas, ko rada lauksaimniecības izejvielu audzēšana, </w:t>
      </w:r>
      <w:r w:rsidR="00F71090">
        <w:rPr>
          <w:sz w:val="28"/>
          <w:szCs w:val="28"/>
          <w:lang w:val="lv-LV"/>
        </w:rPr>
        <w:t>EM</w:t>
      </w:r>
      <w:r w:rsidRPr="00284350">
        <w:rPr>
          <w:sz w:val="28"/>
          <w:szCs w:val="28"/>
          <w:lang w:val="lv-LV"/>
        </w:rPr>
        <w:t xml:space="preserve"> 2011. gadā veica pētījumu par SEG emisijām, ko rada biodegvielu izejvielu – rapša un kvieša audzēšana Latvijā. Saskaņā ar </w:t>
      </w:r>
      <w:r w:rsidR="00F47C26">
        <w:rPr>
          <w:sz w:val="28"/>
          <w:szCs w:val="28"/>
          <w:lang w:val="lv-LV"/>
        </w:rPr>
        <w:t>p</w:t>
      </w:r>
      <w:r w:rsidRPr="00284350">
        <w:rPr>
          <w:sz w:val="28"/>
          <w:szCs w:val="28"/>
          <w:lang w:val="lv-LV"/>
        </w:rPr>
        <w:t xml:space="preserve">ētījuma rezultātiem SEG emisijas, ko rada rapša audzēšana Latvijā ir </w:t>
      </w:r>
      <w:r w:rsidRPr="00284350">
        <w:rPr>
          <w:bCs/>
          <w:sz w:val="28"/>
          <w:szCs w:val="28"/>
          <w:lang w:val="lv-LV"/>
        </w:rPr>
        <w:t>21,8</w:t>
      </w:r>
      <w:r w:rsidRPr="00284350">
        <w:rPr>
          <w:sz w:val="28"/>
          <w:szCs w:val="28"/>
          <w:lang w:val="lv-LV"/>
        </w:rPr>
        <w:t> gCO2</w:t>
      </w:r>
      <w:r w:rsidRPr="00284350">
        <w:rPr>
          <w:sz w:val="28"/>
          <w:szCs w:val="28"/>
          <w:vertAlign w:val="subscript"/>
          <w:lang w:val="lv-LV"/>
        </w:rPr>
        <w:t>ekv</w:t>
      </w:r>
      <w:r w:rsidRPr="00284350">
        <w:rPr>
          <w:sz w:val="28"/>
          <w:szCs w:val="28"/>
          <w:lang w:val="lv-LV"/>
        </w:rPr>
        <w:t xml:space="preserve">/MJ jeb par aptuveni 25% zemākas par Direktīvas 2009/28/EK V pielikuma D daļā norādītajām SEG emisijām, no rapša audzēšanas, savukārt, SEG emisijas, ko rada kvieša audzēšana Latvijā, ir </w:t>
      </w:r>
      <w:r w:rsidRPr="00284350">
        <w:rPr>
          <w:bCs/>
          <w:sz w:val="28"/>
          <w:szCs w:val="28"/>
          <w:lang w:val="lv-LV"/>
        </w:rPr>
        <w:t>23,5</w:t>
      </w:r>
      <w:r w:rsidRPr="00284350">
        <w:rPr>
          <w:sz w:val="28"/>
          <w:szCs w:val="28"/>
          <w:lang w:val="lv-LV"/>
        </w:rPr>
        <w:t> gCO2</w:t>
      </w:r>
      <w:r w:rsidRPr="00284350">
        <w:rPr>
          <w:sz w:val="28"/>
          <w:szCs w:val="28"/>
          <w:vertAlign w:val="subscript"/>
          <w:lang w:val="lv-LV"/>
        </w:rPr>
        <w:t>ekv</w:t>
      </w:r>
      <w:r w:rsidRPr="00284350">
        <w:rPr>
          <w:sz w:val="28"/>
          <w:szCs w:val="28"/>
          <w:lang w:val="lv-LV"/>
        </w:rPr>
        <w:t xml:space="preserve">/MJ jeb par aptuveni 2,2% augstākas par Direktīvas 2009/28/EK V pielikuma D daļā norādītajām SEG emisijām no kviešu audzēšanas. Līdz ar to Pētījuma rezultāti parādīja, ka Latvijā audzētās un biodegvielas ražošanā izmantojamās lauksaimniecības izejvielas (rapsis un kvieši) </w:t>
      </w:r>
      <w:r w:rsidRPr="00CF2CDD">
        <w:rPr>
          <w:sz w:val="28"/>
          <w:szCs w:val="28"/>
          <w:lang w:val="lv-LV"/>
        </w:rPr>
        <w:t>atbilst Direktīvas 2009/28/EK V pielikuma D daļā norādītajām SEG emisijām no lauksaimniecības izejvielu audzēšanas</w:t>
      </w:r>
      <w:r w:rsidR="009A0A02" w:rsidRPr="00CF2CDD">
        <w:rPr>
          <w:sz w:val="28"/>
          <w:szCs w:val="28"/>
          <w:lang w:val="lv-LV"/>
        </w:rPr>
        <w:t>.</w:t>
      </w:r>
      <w:r w:rsidR="007E2583">
        <w:rPr>
          <w:sz w:val="28"/>
          <w:szCs w:val="28"/>
          <w:lang w:val="lv-LV"/>
        </w:rPr>
        <w:t xml:space="preserve"> Pētījumā izmantotajai metodei (</w:t>
      </w:r>
      <w:r w:rsidR="007E2583" w:rsidRPr="007E2583">
        <w:rPr>
          <w:i/>
          <w:sz w:val="28"/>
          <w:szCs w:val="28"/>
          <w:lang w:val="lv-LV"/>
        </w:rPr>
        <w:t xml:space="preserve">IPCC </w:t>
      </w:r>
      <w:proofErr w:type="spellStart"/>
      <w:r w:rsidR="007E2583" w:rsidRPr="007E2583">
        <w:rPr>
          <w:i/>
          <w:sz w:val="28"/>
          <w:szCs w:val="28"/>
          <w:lang w:val="lv-LV"/>
        </w:rPr>
        <w:t>Tier</w:t>
      </w:r>
      <w:proofErr w:type="spellEnd"/>
      <w:r w:rsidR="007E2583" w:rsidRPr="007E2583">
        <w:rPr>
          <w:i/>
          <w:sz w:val="28"/>
          <w:szCs w:val="28"/>
          <w:lang w:val="lv-LV"/>
        </w:rPr>
        <w:t xml:space="preserve"> </w:t>
      </w:r>
      <w:r w:rsidR="007E2583">
        <w:rPr>
          <w:sz w:val="28"/>
          <w:szCs w:val="28"/>
          <w:lang w:val="lv-LV"/>
        </w:rPr>
        <w:t>1) ir liels nenoteiktības intervāls, bet precīzākas metodes N</w:t>
      </w:r>
      <w:r w:rsidR="007E2583" w:rsidRPr="007E2583">
        <w:rPr>
          <w:sz w:val="28"/>
          <w:szCs w:val="28"/>
          <w:vertAlign w:val="subscript"/>
          <w:lang w:val="lv-LV"/>
        </w:rPr>
        <w:t>2</w:t>
      </w:r>
      <w:r w:rsidR="007E2583">
        <w:rPr>
          <w:sz w:val="28"/>
          <w:szCs w:val="28"/>
          <w:lang w:val="lv-LV"/>
        </w:rPr>
        <w:t>O zemes izmantošanas emisiju aprēķināšanai (</w:t>
      </w:r>
      <w:r w:rsidR="007E2583" w:rsidRPr="0055197D">
        <w:rPr>
          <w:i/>
          <w:sz w:val="28"/>
          <w:szCs w:val="28"/>
          <w:lang w:val="lv-LV"/>
        </w:rPr>
        <w:t xml:space="preserve">IPCC </w:t>
      </w:r>
      <w:proofErr w:type="spellStart"/>
      <w:r w:rsidR="007E2583" w:rsidRPr="0055197D">
        <w:rPr>
          <w:i/>
          <w:sz w:val="28"/>
          <w:szCs w:val="28"/>
          <w:lang w:val="lv-LV"/>
        </w:rPr>
        <w:t>Tier</w:t>
      </w:r>
      <w:proofErr w:type="spellEnd"/>
      <w:r w:rsidR="007E2583" w:rsidRPr="0055197D">
        <w:rPr>
          <w:i/>
          <w:sz w:val="28"/>
          <w:szCs w:val="28"/>
          <w:lang w:val="lv-LV"/>
        </w:rPr>
        <w:t xml:space="preserve"> </w:t>
      </w:r>
      <w:r w:rsidR="007E2583">
        <w:rPr>
          <w:sz w:val="28"/>
          <w:szCs w:val="28"/>
          <w:lang w:val="lv-LV"/>
        </w:rPr>
        <w:t xml:space="preserve">2 un </w:t>
      </w:r>
      <w:proofErr w:type="spellStart"/>
      <w:r w:rsidR="007E2583" w:rsidRPr="0055197D">
        <w:rPr>
          <w:i/>
          <w:sz w:val="28"/>
          <w:szCs w:val="28"/>
          <w:lang w:val="lv-LV"/>
        </w:rPr>
        <w:t>Tier</w:t>
      </w:r>
      <w:proofErr w:type="spellEnd"/>
      <w:r w:rsidR="007E2583" w:rsidRPr="0055197D">
        <w:rPr>
          <w:i/>
          <w:sz w:val="28"/>
          <w:szCs w:val="28"/>
          <w:lang w:val="lv-LV"/>
        </w:rPr>
        <w:t xml:space="preserve"> </w:t>
      </w:r>
      <w:r w:rsidR="007E2583">
        <w:rPr>
          <w:sz w:val="28"/>
          <w:szCs w:val="28"/>
          <w:lang w:val="lv-LV"/>
        </w:rPr>
        <w:t>3) Latvijas siltumnīcefekta gāzu emisiju inventarizācijā netiek izmantotas.</w:t>
      </w:r>
    </w:p>
    <w:p w14:paraId="77E2A9CF" w14:textId="77777777" w:rsidR="00C55FAD" w:rsidRDefault="00CF2CDD" w:rsidP="00197F24">
      <w:pPr>
        <w:ind w:firstLine="709"/>
        <w:jc w:val="both"/>
        <w:rPr>
          <w:sz w:val="28"/>
          <w:szCs w:val="28"/>
          <w:lang w:val="lv-LV"/>
        </w:rPr>
      </w:pPr>
      <w:r w:rsidRPr="00CF2CDD">
        <w:rPr>
          <w:sz w:val="28"/>
          <w:szCs w:val="28"/>
          <w:lang w:val="lv-LV"/>
        </w:rPr>
        <w:t xml:space="preserve">Latvijā </w:t>
      </w:r>
      <w:r w:rsidR="005E328B">
        <w:rPr>
          <w:sz w:val="28"/>
          <w:szCs w:val="28"/>
          <w:lang w:val="lv-LV"/>
        </w:rPr>
        <w:t xml:space="preserve">atskaites periodā </w:t>
      </w:r>
      <w:r w:rsidRPr="00CF2CDD">
        <w:rPr>
          <w:sz w:val="28"/>
          <w:szCs w:val="28"/>
          <w:lang w:val="lv-LV"/>
        </w:rPr>
        <w:t>nav veikti pētījumi, lai novērtētu biodegvielas un bioloģisko šķidro kurināmo ražošanas ietekmi uz bioloģisko daudzveidību, ūdens resursiem, ūdens kvalitāti un augsnes kvalitāti.</w:t>
      </w:r>
    </w:p>
    <w:p w14:paraId="60BFDB82" w14:textId="77777777" w:rsidR="00B041A3" w:rsidRPr="00CF2CDD" w:rsidRDefault="00B041A3" w:rsidP="00197F24">
      <w:pPr>
        <w:ind w:firstLine="709"/>
        <w:jc w:val="both"/>
        <w:rPr>
          <w:sz w:val="28"/>
          <w:szCs w:val="28"/>
          <w:lang w:val="lv-LV"/>
        </w:rPr>
      </w:pPr>
    </w:p>
    <w:p w14:paraId="4D9953FF" w14:textId="77777777" w:rsidR="00EF6CE7" w:rsidRPr="00D6616C" w:rsidRDefault="00EF6CE7" w:rsidP="00EF6CE7">
      <w:pPr>
        <w:pStyle w:val="Heading1"/>
        <w:numPr>
          <w:ilvl w:val="0"/>
          <w:numId w:val="0"/>
        </w:numPr>
        <w:jc w:val="center"/>
        <w:rPr>
          <w:smallCaps w:val="0"/>
          <w:lang w:val="lv-LV"/>
        </w:rPr>
      </w:pPr>
      <w:bookmarkStart w:id="37" w:name="_Toc367196068"/>
      <w:bookmarkStart w:id="38" w:name="_Toc373229252"/>
      <w:r w:rsidRPr="00935562">
        <w:rPr>
          <w:smallCaps w:val="0"/>
          <w:sz w:val="28"/>
          <w:lang w:val="lv-LV"/>
        </w:rPr>
        <w:lastRenderedPageBreak/>
        <w:t>10. SEG emisijas neto ietaupījums, kas panākts</w:t>
      </w:r>
      <w:r w:rsidR="00046FE9" w:rsidRPr="00935562">
        <w:rPr>
          <w:smallCaps w:val="0"/>
          <w:sz w:val="28"/>
          <w:lang w:val="lv-LV"/>
        </w:rPr>
        <w:t>,</w:t>
      </w:r>
      <w:r w:rsidRPr="00935562">
        <w:rPr>
          <w:smallCaps w:val="0"/>
          <w:sz w:val="28"/>
          <w:lang w:val="lv-LV"/>
        </w:rPr>
        <w:t xml:space="preserve"> izmantojot atjaunojamo enerģiju</w:t>
      </w:r>
      <w:bookmarkEnd w:id="37"/>
      <w:bookmarkEnd w:id="38"/>
    </w:p>
    <w:p w14:paraId="0E3849C3" w14:textId="77777777" w:rsidR="00FF4D7B" w:rsidRPr="00C80170" w:rsidRDefault="00FF4D7B" w:rsidP="00FF4D7B">
      <w:pPr>
        <w:jc w:val="right"/>
        <w:rPr>
          <w:b/>
          <w:i/>
          <w:sz w:val="20"/>
          <w:szCs w:val="20"/>
          <w:lang w:val="lv-LV"/>
        </w:rPr>
      </w:pPr>
      <w:bookmarkStart w:id="39" w:name="_Toc367196069"/>
      <w:r w:rsidRPr="00C80170">
        <w:rPr>
          <w:b/>
          <w:i/>
          <w:sz w:val="20"/>
          <w:szCs w:val="20"/>
          <w:lang w:val="lv-LV"/>
        </w:rPr>
        <w:t>6. tabula</w:t>
      </w:r>
    </w:p>
    <w:p w14:paraId="20727570" w14:textId="77777777" w:rsidR="00820C75" w:rsidRPr="00FF4D7B" w:rsidRDefault="00820C75" w:rsidP="00FF4D7B">
      <w:pPr>
        <w:jc w:val="center"/>
        <w:rPr>
          <w:b/>
          <w:sz w:val="20"/>
          <w:szCs w:val="20"/>
          <w:lang w:val="lv-LV"/>
        </w:rPr>
      </w:pPr>
      <w:r w:rsidRPr="00FF4D7B">
        <w:rPr>
          <w:b/>
          <w:sz w:val="20"/>
          <w:szCs w:val="20"/>
          <w:lang w:val="lv-LV"/>
        </w:rPr>
        <w:t xml:space="preserve">Aplēstie SEG emisijas ietaupījumi, kas panākti, izmantojot atjaunojamo enerģiju (t CO2 </w:t>
      </w:r>
      <w:proofErr w:type="spellStart"/>
      <w:r w:rsidRPr="00FF4D7B">
        <w:rPr>
          <w:b/>
          <w:sz w:val="20"/>
          <w:szCs w:val="20"/>
          <w:lang w:val="lv-LV"/>
        </w:rPr>
        <w:t>ekv</w:t>
      </w:r>
      <w:proofErr w:type="spellEnd"/>
      <w:r w:rsidRPr="00FF4D7B">
        <w:rPr>
          <w:b/>
          <w:sz w:val="20"/>
          <w:szCs w:val="20"/>
          <w:lang w:val="lv-LV"/>
        </w:rPr>
        <w:t>.)</w:t>
      </w:r>
      <w:bookmarkEnd w:id="39"/>
    </w:p>
    <w:tbl>
      <w:tblPr>
        <w:tblW w:w="0" w:type="auto"/>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0"/>
        <w:gridCol w:w="992"/>
        <w:gridCol w:w="922"/>
      </w:tblGrid>
      <w:tr w:rsidR="00820C75" w14:paraId="0088AE20" w14:textId="77777777" w:rsidTr="00B75211">
        <w:trPr>
          <w:jc w:val="center"/>
        </w:trPr>
        <w:tc>
          <w:tcPr>
            <w:tcW w:w="6980" w:type="dxa"/>
            <w:shd w:val="clear" w:color="auto" w:fill="E6E6E6"/>
            <w:noWrap/>
          </w:tcPr>
          <w:p w14:paraId="62101AFC" w14:textId="77777777" w:rsidR="00820C75" w:rsidRDefault="00820C75">
            <w:pPr>
              <w:jc w:val="center"/>
            </w:pPr>
            <w:r>
              <w:rPr>
                <w:b/>
                <w:sz w:val="16"/>
                <w:lang w:val="lv-LV"/>
              </w:rPr>
              <w:t>Vides aspekti</w:t>
            </w:r>
          </w:p>
        </w:tc>
        <w:tc>
          <w:tcPr>
            <w:tcW w:w="992" w:type="dxa"/>
            <w:shd w:val="clear" w:color="auto" w:fill="E6E6E6"/>
            <w:noWrap/>
          </w:tcPr>
          <w:p w14:paraId="1EE81276" w14:textId="77777777" w:rsidR="00820C75" w:rsidRDefault="00820C75">
            <w:pPr>
              <w:jc w:val="center"/>
            </w:pPr>
            <w:r>
              <w:rPr>
                <w:b/>
                <w:sz w:val="16"/>
                <w:lang w:val="lv-LV"/>
              </w:rPr>
              <w:t>Gads n-2</w:t>
            </w:r>
          </w:p>
        </w:tc>
        <w:tc>
          <w:tcPr>
            <w:tcW w:w="922" w:type="dxa"/>
            <w:shd w:val="clear" w:color="auto" w:fill="E6E6E6"/>
            <w:noWrap/>
          </w:tcPr>
          <w:p w14:paraId="4818F556" w14:textId="77777777" w:rsidR="00820C75" w:rsidRDefault="00820C75">
            <w:pPr>
              <w:jc w:val="center"/>
            </w:pPr>
            <w:r>
              <w:rPr>
                <w:b/>
                <w:sz w:val="16"/>
                <w:lang w:val="lv-LV"/>
              </w:rPr>
              <w:t>Gads n-1</w:t>
            </w:r>
          </w:p>
        </w:tc>
      </w:tr>
      <w:tr w:rsidR="00B75211" w14:paraId="5777FB65" w14:textId="77777777" w:rsidTr="00B75211">
        <w:trPr>
          <w:jc w:val="center"/>
        </w:trPr>
        <w:tc>
          <w:tcPr>
            <w:tcW w:w="6980" w:type="dxa"/>
          </w:tcPr>
          <w:p w14:paraId="168CB8DA" w14:textId="77777777" w:rsidR="00B75211" w:rsidRDefault="00B75211">
            <w:pPr>
              <w:rPr>
                <w:b/>
                <w:i/>
                <w:sz w:val="16"/>
              </w:rPr>
            </w:pPr>
            <w:r>
              <w:rPr>
                <w:b/>
                <w:i/>
                <w:sz w:val="16"/>
                <w:lang w:val="lv-LV"/>
              </w:rPr>
              <w:t>Kopējie aplēstie SEG emisijas ietaupījumi no atjaunojamās enerģijas izmantošanas</w:t>
            </w:r>
            <w:r>
              <w:rPr>
                <w:rStyle w:val="FootnoteReference"/>
                <w:b/>
                <w:i/>
                <w:sz w:val="16"/>
                <w:lang w:val="lv-LV"/>
              </w:rPr>
              <w:footnoteReference w:id="40"/>
            </w:r>
          </w:p>
        </w:tc>
        <w:tc>
          <w:tcPr>
            <w:tcW w:w="992" w:type="dxa"/>
            <w:noWrap/>
          </w:tcPr>
          <w:p w14:paraId="2F9C31A7" w14:textId="77777777" w:rsidR="00B75211" w:rsidRPr="00B75211" w:rsidRDefault="00B75211" w:rsidP="00B75211">
            <w:pPr>
              <w:jc w:val="center"/>
              <w:rPr>
                <w:sz w:val="16"/>
              </w:rPr>
            </w:pPr>
            <w:r w:rsidRPr="00B75211">
              <w:rPr>
                <w:sz w:val="16"/>
              </w:rPr>
              <w:t>4</w:t>
            </w:r>
            <w:r>
              <w:rPr>
                <w:sz w:val="16"/>
              </w:rPr>
              <w:t> </w:t>
            </w:r>
            <w:r w:rsidRPr="00B75211">
              <w:rPr>
                <w:sz w:val="16"/>
              </w:rPr>
              <w:t>661</w:t>
            </w:r>
            <w:r>
              <w:rPr>
                <w:sz w:val="16"/>
              </w:rPr>
              <w:t> </w:t>
            </w:r>
            <w:r w:rsidRPr="00B75211">
              <w:rPr>
                <w:sz w:val="16"/>
              </w:rPr>
              <w:t>013</w:t>
            </w:r>
          </w:p>
        </w:tc>
        <w:tc>
          <w:tcPr>
            <w:tcW w:w="922" w:type="dxa"/>
            <w:noWrap/>
          </w:tcPr>
          <w:p w14:paraId="1629AA53" w14:textId="77777777" w:rsidR="00B75211" w:rsidRPr="00B75211" w:rsidRDefault="00B75211" w:rsidP="00B75211">
            <w:pPr>
              <w:jc w:val="center"/>
              <w:rPr>
                <w:sz w:val="16"/>
              </w:rPr>
            </w:pPr>
            <w:r w:rsidRPr="00B75211">
              <w:rPr>
                <w:sz w:val="16"/>
              </w:rPr>
              <w:t>4</w:t>
            </w:r>
            <w:r>
              <w:rPr>
                <w:sz w:val="16"/>
              </w:rPr>
              <w:t> </w:t>
            </w:r>
            <w:r w:rsidRPr="00B75211">
              <w:rPr>
                <w:sz w:val="16"/>
              </w:rPr>
              <w:t>569</w:t>
            </w:r>
            <w:r>
              <w:rPr>
                <w:sz w:val="16"/>
              </w:rPr>
              <w:t> </w:t>
            </w:r>
            <w:r w:rsidRPr="00B75211">
              <w:rPr>
                <w:sz w:val="16"/>
              </w:rPr>
              <w:t>785</w:t>
            </w:r>
          </w:p>
        </w:tc>
      </w:tr>
      <w:tr w:rsidR="00820C75" w14:paraId="1FE227C8" w14:textId="77777777" w:rsidTr="00B75211">
        <w:trPr>
          <w:jc w:val="center"/>
        </w:trPr>
        <w:tc>
          <w:tcPr>
            <w:tcW w:w="6980" w:type="dxa"/>
            <w:noWrap/>
          </w:tcPr>
          <w:p w14:paraId="30F42D98" w14:textId="77777777" w:rsidR="00820C75" w:rsidRDefault="00820C75">
            <w:r>
              <w:rPr>
                <w:sz w:val="16"/>
                <w:lang w:val="lv-LV"/>
              </w:rPr>
              <w:t>- Aplēstie SEG neto ietaupījumi no atjaunojamās elektroenerģijas izmantošanas</w:t>
            </w:r>
          </w:p>
        </w:tc>
        <w:tc>
          <w:tcPr>
            <w:tcW w:w="992" w:type="dxa"/>
            <w:noWrap/>
          </w:tcPr>
          <w:p w14:paraId="2285DE90" w14:textId="77777777" w:rsidR="00820C75" w:rsidRDefault="00B75211">
            <w:pPr>
              <w:jc w:val="center"/>
              <w:rPr>
                <w:sz w:val="16"/>
              </w:rPr>
            </w:pPr>
            <w:r>
              <w:rPr>
                <w:sz w:val="16"/>
              </w:rPr>
              <w:t>758 866</w:t>
            </w:r>
          </w:p>
        </w:tc>
        <w:tc>
          <w:tcPr>
            <w:tcW w:w="922" w:type="dxa"/>
            <w:noWrap/>
          </w:tcPr>
          <w:p w14:paraId="04B7F296" w14:textId="77777777" w:rsidR="00820C75" w:rsidRDefault="00B75211">
            <w:pPr>
              <w:jc w:val="center"/>
              <w:rPr>
                <w:sz w:val="16"/>
              </w:rPr>
            </w:pPr>
            <w:r>
              <w:rPr>
                <w:sz w:val="16"/>
              </w:rPr>
              <w:t>816 158</w:t>
            </w:r>
          </w:p>
        </w:tc>
      </w:tr>
      <w:tr w:rsidR="00B75211" w14:paraId="51202B06" w14:textId="77777777" w:rsidTr="00B75211">
        <w:trPr>
          <w:jc w:val="center"/>
        </w:trPr>
        <w:tc>
          <w:tcPr>
            <w:tcW w:w="6980" w:type="dxa"/>
            <w:noWrap/>
          </w:tcPr>
          <w:p w14:paraId="421CDB7A" w14:textId="77777777" w:rsidR="00B75211" w:rsidRDefault="00B75211">
            <w:r>
              <w:rPr>
                <w:sz w:val="16"/>
                <w:lang w:val="lv-LV"/>
              </w:rPr>
              <w:t>- Aplēstie SEG neto ietaupījumi no atjaunojamās enerģijas izmantošanas apsildes un dzesēšanas nolūkā</w:t>
            </w:r>
          </w:p>
        </w:tc>
        <w:tc>
          <w:tcPr>
            <w:tcW w:w="992" w:type="dxa"/>
            <w:noWrap/>
          </w:tcPr>
          <w:p w14:paraId="681CBD85" w14:textId="77777777" w:rsidR="00B75211" w:rsidRPr="00B75211" w:rsidRDefault="00B75211" w:rsidP="00B75211">
            <w:pPr>
              <w:rPr>
                <w:sz w:val="16"/>
              </w:rPr>
            </w:pPr>
            <w:r w:rsidRPr="00B75211">
              <w:rPr>
                <w:sz w:val="16"/>
              </w:rPr>
              <w:t>3</w:t>
            </w:r>
            <w:r>
              <w:rPr>
                <w:sz w:val="16"/>
              </w:rPr>
              <w:t> </w:t>
            </w:r>
            <w:r w:rsidRPr="00B75211">
              <w:rPr>
                <w:sz w:val="16"/>
              </w:rPr>
              <w:t>858</w:t>
            </w:r>
            <w:r>
              <w:rPr>
                <w:sz w:val="16"/>
              </w:rPr>
              <w:t> </w:t>
            </w:r>
            <w:r w:rsidRPr="00B75211">
              <w:rPr>
                <w:sz w:val="16"/>
              </w:rPr>
              <w:t>153</w:t>
            </w:r>
          </w:p>
        </w:tc>
        <w:tc>
          <w:tcPr>
            <w:tcW w:w="922" w:type="dxa"/>
            <w:noWrap/>
          </w:tcPr>
          <w:p w14:paraId="319F8E3B" w14:textId="77777777" w:rsidR="00B75211" w:rsidRPr="00B75211" w:rsidRDefault="00B75211" w:rsidP="00B75211">
            <w:pPr>
              <w:rPr>
                <w:sz w:val="16"/>
              </w:rPr>
            </w:pPr>
            <w:r w:rsidRPr="00B75211">
              <w:rPr>
                <w:sz w:val="16"/>
              </w:rPr>
              <w:t>3</w:t>
            </w:r>
            <w:r>
              <w:rPr>
                <w:sz w:val="16"/>
              </w:rPr>
              <w:t> </w:t>
            </w:r>
            <w:r w:rsidRPr="00B75211">
              <w:rPr>
                <w:sz w:val="16"/>
              </w:rPr>
              <w:t>713</w:t>
            </w:r>
            <w:r>
              <w:rPr>
                <w:sz w:val="16"/>
              </w:rPr>
              <w:t> </w:t>
            </w:r>
            <w:r w:rsidRPr="00B75211">
              <w:rPr>
                <w:sz w:val="16"/>
              </w:rPr>
              <w:t>545</w:t>
            </w:r>
          </w:p>
        </w:tc>
      </w:tr>
      <w:tr w:rsidR="00820C75" w14:paraId="313E7EBD" w14:textId="77777777" w:rsidTr="00B75211">
        <w:trPr>
          <w:jc w:val="center"/>
        </w:trPr>
        <w:tc>
          <w:tcPr>
            <w:tcW w:w="6980" w:type="dxa"/>
            <w:noWrap/>
          </w:tcPr>
          <w:p w14:paraId="5A1F6ADB" w14:textId="77777777" w:rsidR="00820C75" w:rsidRDefault="00820C75">
            <w:r>
              <w:rPr>
                <w:sz w:val="16"/>
                <w:lang w:val="lv-LV"/>
              </w:rPr>
              <w:t>- Aplēstie SEG neto ietaupījumi no atjaunojamās enerģijas izmantošanas transportā</w:t>
            </w:r>
            <w:r>
              <w:rPr>
                <w:sz w:val="16"/>
              </w:rPr>
              <w:t xml:space="preserve"> </w:t>
            </w:r>
          </w:p>
        </w:tc>
        <w:tc>
          <w:tcPr>
            <w:tcW w:w="992" w:type="dxa"/>
            <w:noWrap/>
          </w:tcPr>
          <w:p w14:paraId="0253400F" w14:textId="77777777" w:rsidR="00820C75" w:rsidRDefault="005D76C0">
            <w:pPr>
              <w:jc w:val="center"/>
              <w:rPr>
                <w:sz w:val="16"/>
              </w:rPr>
            </w:pPr>
            <w:r>
              <w:rPr>
                <w:sz w:val="16"/>
              </w:rPr>
              <w:t>43</w:t>
            </w:r>
            <w:r w:rsidR="00B75211">
              <w:rPr>
                <w:sz w:val="16"/>
              </w:rPr>
              <w:t> </w:t>
            </w:r>
            <w:r>
              <w:rPr>
                <w:sz w:val="16"/>
              </w:rPr>
              <w:t>993</w:t>
            </w:r>
          </w:p>
        </w:tc>
        <w:tc>
          <w:tcPr>
            <w:tcW w:w="922" w:type="dxa"/>
            <w:noWrap/>
          </w:tcPr>
          <w:p w14:paraId="4ECD3386" w14:textId="77777777" w:rsidR="00820C75" w:rsidRDefault="00B75211">
            <w:pPr>
              <w:jc w:val="center"/>
              <w:rPr>
                <w:sz w:val="16"/>
              </w:rPr>
            </w:pPr>
            <w:r>
              <w:rPr>
                <w:sz w:val="16"/>
              </w:rPr>
              <w:t>40 082</w:t>
            </w:r>
          </w:p>
        </w:tc>
      </w:tr>
    </w:tbl>
    <w:p w14:paraId="4590E816" w14:textId="77777777" w:rsidR="00CE4499" w:rsidRDefault="00CE4499" w:rsidP="00CE4499">
      <w:pPr>
        <w:ind w:firstLine="709"/>
        <w:jc w:val="both"/>
        <w:rPr>
          <w:snapToGrid/>
          <w:sz w:val="28"/>
          <w:szCs w:val="28"/>
          <w:lang w:val="lv-LV" w:eastAsia="lv-LV"/>
        </w:rPr>
      </w:pPr>
      <w:r w:rsidRPr="002F0006">
        <w:rPr>
          <w:snapToGrid/>
          <w:sz w:val="28"/>
          <w:szCs w:val="28"/>
          <w:lang w:val="lv-LV" w:eastAsia="lv-LV"/>
        </w:rPr>
        <w:t>Direktīvas 2009/28/EK 22. panta 1. punkta k) apakšpunkts paredz, ka EK iesniedzamajā ziņojumā par tādas enerģijas, ko iegūst no atjaunojamiem energoresursiem, veicināšanas un izmantošanas progresu, ir jāiekļauj informācija par paredzamo siltumnīcas efekta gāzu (turpmāk – SEG) emisijas neto ietaupījumu, kas panākts, izmantojot no atjaunojamajiem energoresursiem saražotu enerģiju.</w:t>
      </w:r>
    </w:p>
    <w:p w14:paraId="63245C25" w14:textId="77777777" w:rsidR="00CE4499" w:rsidRPr="00653E5C" w:rsidRDefault="00CE4499" w:rsidP="00CE4499">
      <w:pPr>
        <w:ind w:firstLine="709"/>
        <w:jc w:val="both"/>
        <w:rPr>
          <w:snapToGrid/>
          <w:sz w:val="28"/>
          <w:szCs w:val="28"/>
          <w:lang w:val="lv-LV" w:eastAsia="lv-LV"/>
        </w:rPr>
      </w:pPr>
      <w:proofErr w:type="spellStart"/>
      <w:r w:rsidRPr="002F0006">
        <w:rPr>
          <w:snapToGrid/>
          <w:sz w:val="28"/>
          <w:szCs w:val="28"/>
          <w:lang w:val="lv-LV" w:eastAsia="lv-LV"/>
        </w:rPr>
        <w:t>Biodegvielām</w:t>
      </w:r>
      <w:proofErr w:type="spellEnd"/>
      <w:r w:rsidRPr="002F0006">
        <w:rPr>
          <w:snapToGrid/>
          <w:sz w:val="28"/>
          <w:szCs w:val="28"/>
          <w:lang w:val="lv-LV" w:eastAsia="lv-LV"/>
        </w:rPr>
        <w:t xml:space="preserve">, bioloģiskajiem šķidrajiem kurināmiem un to fosilo kurināmo komparatoru SEG ietekmes aprēķina nosacījumi ir noteikti Direktīvas 2009/28/EK 22. panta 2. punktā. </w:t>
      </w:r>
      <w:r w:rsidRPr="002B1831">
        <w:rPr>
          <w:snapToGrid/>
          <w:sz w:val="28"/>
          <w:szCs w:val="28"/>
          <w:lang w:val="lv-LV" w:eastAsia="lv-LV"/>
        </w:rPr>
        <w:t xml:space="preserve">Latvijā kā biodegviela tiek izmantots kviešu </w:t>
      </w:r>
      <w:proofErr w:type="spellStart"/>
      <w:r w:rsidRPr="002B1831">
        <w:rPr>
          <w:snapToGrid/>
          <w:sz w:val="28"/>
          <w:szCs w:val="28"/>
          <w:lang w:val="lv-LV" w:eastAsia="lv-LV"/>
        </w:rPr>
        <w:t>etanols</w:t>
      </w:r>
      <w:proofErr w:type="spellEnd"/>
      <w:r w:rsidRPr="002B1831">
        <w:rPr>
          <w:snapToGrid/>
          <w:sz w:val="28"/>
          <w:szCs w:val="28"/>
          <w:lang w:val="lv-LV" w:eastAsia="lv-LV"/>
        </w:rPr>
        <w:t xml:space="preserve"> un rapšu sēklu biodīzeļdegviela. 20</w:t>
      </w:r>
      <w:r w:rsidR="002B1831" w:rsidRPr="002B1831">
        <w:rPr>
          <w:snapToGrid/>
          <w:sz w:val="28"/>
          <w:szCs w:val="28"/>
          <w:lang w:val="lv-LV" w:eastAsia="lv-LV"/>
        </w:rPr>
        <w:t>11</w:t>
      </w:r>
      <w:r w:rsidRPr="002B1831">
        <w:rPr>
          <w:snapToGrid/>
          <w:sz w:val="28"/>
          <w:szCs w:val="28"/>
          <w:lang w:val="lv-LV" w:eastAsia="lv-LV"/>
        </w:rPr>
        <w:t xml:space="preserve">. gadā enerģijas galapatēriņā transportā bioetanols bija </w:t>
      </w:r>
      <w:r w:rsidR="002B1831" w:rsidRPr="002B1831">
        <w:rPr>
          <w:snapToGrid/>
          <w:sz w:val="28"/>
          <w:szCs w:val="28"/>
          <w:lang w:val="lv-LV" w:eastAsia="lv-LV"/>
        </w:rPr>
        <w:t>31</w:t>
      </w:r>
      <w:r w:rsidRPr="002B1831">
        <w:rPr>
          <w:snapToGrid/>
          <w:sz w:val="28"/>
          <w:szCs w:val="28"/>
          <w:lang w:val="lv-LV" w:eastAsia="lv-LV"/>
        </w:rPr>
        <w:t>8 TJ, biodīzeļdegviela – 6</w:t>
      </w:r>
      <w:r w:rsidR="002B1831" w:rsidRPr="002B1831">
        <w:rPr>
          <w:snapToGrid/>
          <w:sz w:val="28"/>
          <w:szCs w:val="28"/>
          <w:lang w:val="lv-LV" w:eastAsia="lv-LV"/>
        </w:rPr>
        <w:t>16</w:t>
      </w:r>
      <w:r w:rsidRPr="002B1831">
        <w:rPr>
          <w:snapToGrid/>
          <w:sz w:val="28"/>
          <w:szCs w:val="28"/>
          <w:lang w:val="lv-LV" w:eastAsia="lv-LV"/>
        </w:rPr>
        <w:t> TJ. 201</w:t>
      </w:r>
      <w:r w:rsidR="002B1831" w:rsidRPr="002B1831">
        <w:rPr>
          <w:snapToGrid/>
          <w:sz w:val="28"/>
          <w:szCs w:val="28"/>
          <w:lang w:val="lv-LV" w:eastAsia="lv-LV"/>
        </w:rPr>
        <w:t>2</w:t>
      </w:r>
      <w:r w:rsidRPr="002B1831">
        <w:rPr>
          <w:snapToGrid/>
          <w:sz w:val="28"/>
          <w:szCs w:val="28"/>
          <w:lang w:val="lv-LV" w:eastAsia="lv-LV"/>
        </w:rPr>
        <w:t xml:space="preserve">. gadā bioetanols bija </w:t>
      </w:r>
      <w:r w:rsidR="002B1831" w:rsidRPr="002B1831">
        <w:rPr>
          <w:snapToGrid/>
          <w:sz w:val="28"/>
          <w:szCs w:val="28"/>
          <w:lang w:val="lv-LV" w:eastAsia="lv-LV"/>
        </w:rPr>
        <w:t>279</w:t>
      </w:r>
      <w:r w:rsidRPr="002B1831">
        <w:rPr>
          <w:snapToGrid/>
          <w:sz w:val="28"/>
          <w:szCs w:val="28"/>
          <w:lang w:val="lv-LV" w:eastAsia="lv-LV"/>
        </w:rPr>
        <w:t xml:space="preserve"> TJ un biodīzeļdegviela – </w:t>
      </w:r>
      <w:r w:rsidR="002B1831" w:rsidRPr="002B1831">
        <w:rPr>
          <w:snapToGrid/>
          <w:sz w:val="28"/>
          <w:szCs w:val="28"/>
          <w:lang w:val="lv-LV" w:eastAsia="lv-LV"/>
        </w:rPr>
        <w:t>52</w:t>
      </w:r>
      <w:r w:rsidRPr="002B1831">
        <w:rPr>
          <w:snapToGrid/>
          <w:sz w:val="28"/>
          <w:szCs w:val="28"/>
          <w:lang w:val="lv-LV" w:eastAsia="lv-LV"/>
        </w:rPr>
        <w:t xml:space="preserve">7 TJ. </w:t>
      </w:r>
      <w:r w:rsidRPr="00653E5C">
        <w:rPr>
          <w:snapToGrid/>
          <w:sz w:val="28"/>
          <w:szCs w:val="28"/>
          <w:lang w:val="lv-LV" w:eastAsia="lv-LV"/>
        </w:rPr>
        <w:t>SEG emisiju ietaupījumi no biodegvielu izmantošanas transportā 20</w:t>
      </w:r>
      <w:r w:rsidR="00653E5C" w:rsidRPr="00653E5C">
        <w:rPr>
          <w:snapToGrid/>
          <w:sz w:val="28"/>
          <w:szCs w:val="28"/>
          <w:lang w:val="lv-LV" w:eastAsia="lv-LV"/>
        </w:rPr>
        <w:t>11</w:t>
      </w:r>
      <w:r w:rsidRPr="00653E5C">
        <w:rPr>
          <w:snapToGrid/>
          <w:sz w:val="28"/>
          <w:szCs w:val="28"/>
          <w:lang w:val="lv-LV" w:eastAsia="lv-LV"/>
        </w:rPr>
        <w:t xml:space="preserve">. gadā bija </w:t>
      </w:r>
      <w:r w:rsidR="00653E5C" w:rsidRPr="00653E5C">
        <w:rPr>
          <w:snapToGrid/>
          <w:sz w:val="28"/>
          <w:szCs w:val="28"/>
          <w:lang w:val="lv-LV" w:eastAsia="lv-LV"/>
        </w:rPr>
        <w:t>31771</w:t>
      </w:r>
      <w:r w:rsidRPr="00653E5C">
        <w:rPr>
          <w:snapToGrid/>
          <w:sz w:val="28"/>
          <w:szCs w:val="28"/>
          <w:lang w:val="lv-LV" w:eastAsia="lv-LV"/>
        </w:rPr>
        <w:t>,</w:t>
      </w:r>
      <w:r w:rsidR="00653E5C" w:rsidRPr="00653E5C">
        <w:rPr>
          <w:snapToGrid/>
          <w:sz w:val="28"/>
          <w:szCs w:val="28"/>
          <w:lang w:val="lv-LV" w:eastAsia="lv-LV"/>
        </w:rPr>
        <w:t>53</w:t>
      </w:r>
      <w:r w:rsidRPr="00653E5C">
        <w:rPr>
          <w:snapToGrid/>
          <w:sz w:val="28"/>
          <w:szCs w:val="28"/>
          <w:lang w:val="lv-LV" w:eastAsia="lv-LV"/>
        </w:rPr>
        <w:t> t CO</w:t>
      </w:r>
      <w:r w:rsidRPr="00653E5C">
        <w:rPr>
          <w:snapToGrid/>
          <w:sz w:val="28"/>
          <w:szCs w:val="28"/>
          <w:vertAlign w:val="subscript"/>
          <w:lang w:val="lv-LV" w:eastAsia="lv-LV"/>
        </w:rPr>
        <w:t>2</w:t>
      </w:r>
      <w:r w:rsidRPr="00653E5C">
        <w:rPr>
          <w:snapToGrid/>
          <w:sz w:val="28"/>
          <w:szCs w:val="28"/>
          <w:lang w:val="lv-LV" w:eastAsia="lv-LV"/>
        </w:rPr>
        <w:t> </w:t>
      </w:r>
      <w:proofErr w:type="spellStart"/>
      <w:r w:rsidRPr="00653E5C">
        <w:rPr>
          <w:snapToGrid/>
          <w:sz w:val="28"/>
          <w:szCs w:val="28"/>
          <w:lang w:val="lv-LV" w:eastAsia="lv-LV"/>
        </w:rPr>
        <w:t>ekv</w:t>
      </w:r>
      <w:proofErr w:type="spellEnd"/>
      <w:r w:rsidRPr="00653E5C">
        <w:rPr>
          <w:snapToGrid/>
          <w:sz w:val="28"/>
          <w:szCs w:val="28"/>
          <w:lang w:val="lv-LV" w:eastAsia="lv-LV"/>
        </w:rPr>
        <w:t>., savukārt 201</w:t>
      </w:r>
      <w:r w:rsidR="00653E5C" w:rsidRPr="00653E5C">
        <w:rPr>
          <w:snapToGrid/>
          <w:sz w:val="28"/>
          <w:szCs w:val="28"/>
          <w:lang w:val="lv-LV" w:eastAsia="lv-LV"/>
        </w:rPr>
        <w:t>2</w:t>
      </w:r>
      <w:r w:rsidRPr="00653E5C">
        <w:rPr>
          <w:snapToGrid/>
          <w:sz w:val="28"/>
          <w:szCs w:val="28"/>
          <w:lang w:val="lv-LV" w:eastAsia="lv-LV"/>
        </w:rPr>
        <w:t xml:space="preserve">. gadā tie bija </w:t>
      </w:r>
      <w:r w:rsidR="00653E5C" w:rsidRPr="00653E5C">
        <w:rPr>
          <w:snapToGrid/>
          <w:sz w:val="28"/>
          <w:szCs w:val="28"/>
          <w:lang w:val="lv-LV" w:eastAsia="lv-LV"/>
        </w:rPr>
        <w:t>27333</w:t>
      </w:r>
      <w:r w:rsidRPr="00653E5C">
        <w:rPr>
          <w:snapToGrid/>
          <w:sz w:val="28"/>
          <w:szCs w:val="28"/>
          <w:lang w:val="lv-LV" w:eastAsia="lv-LV"/>
        </w:rPr>
        <w:t>,6</w:t>
      </w:r>
      <w:r w:rsidR="00653E5C" w:rsidRPr="00653E5C">
        <w:rPr>
          <w:snapToGrid/>
          <w:sz w:val="28"/>
          <w:szCs w:val="28"/>
          <w:lang w:val="lv-LV" w:eastAsia="lv-LV"/>
        </w:rPr>
        <w:t>6</w:t>
      </w:r>
      <w:r w:rsidRPr="00653E5C">
        <w:rPr>
          <w:snapToGrid/>
          <w:sz w:val="28"/>
          <w:szCs w:val="28"/>
          <w:lang w:val="lv-LV" w:eastAsia="lv-LV"/>
        </w:rPr>
        <w:t> t CO</w:t>
      </w:r>
      <w:r w:rsidRPr="00653E5C">
        <w:rPr>
          <w:snapToGrid/>
          <w:sz w:val="28"/>
          <w:szCs w:val="28"/>
          <w:vertAlign w:val="subscript"/>
          <w:lang w:val="lv-LV" w:eastAsia="lv-LV"/>
        </w:rPr>
        <w:t>2</w:t>
      </w:r>
      <w:r w:rsidRPr="00653E5C">
        <w:rPr>
          <w:snapToGrid/>
          <w:sz w:val="28"/>
          <w:szCs w:val="28"/>
          <w:lang w:val="lv-LV" w:eastAsia="lv-LV"/>
        </w:rPr>
        <w:t> </w:t>
      </w:r>
      <w:proofErr w:type="spellStart"/>
      <w:r w:rsidRPr="00653E5C">
        <w:rPr>
          <w:snapToGrid/>
          <w:sz w:val="28"/>
          <w:szCs w:val="28"/>
          <w:lang w:val="lv-LV" w:eastAsia="lv-LV"/>
        </w:rPr>
        <w:t>ekv</w:t>
      </w:r>
      <w:proofErr w:type="spellEnd"/>
      <w:r w:rsidRPr="00653E5C">
        <w:rPr>
          <w:snapToGrid/>
          <w:sz w:val="28"/>
          <w:szCs w:val="28"/>
          <w:lang w:val="lv-LV" w:eastAsia="lv-LV"/>
        </w:rPr>
        <w:t>.</w:t>
      </w:r>
    </w:p>
    <w:p w14:paraId="04EFF493" w14:textId="77777777" w:rsidR="00CE4499" w:rsidRPr="008518AA" w:rsidRDefault="00CE4499" w:rsidP="00CE4499">
      <w:pPr>
        <w:ind w:firstLine="709"/>
        <w:jc w:val="both"/>
        <w:rPr>
          <w:snapToGrid/>
          <w:sz w:val="28"/>
          <w:szCs w:val="28"/>
          <w:lang w:val="lv-LV" w:eastAsia="lv-LV"/>
        </w:rPr>
      </w:pPr>
      <w:r w:rsidRPr="008518AA">
        <w:rPr>
          <w:snapToGrid/>
          <w:sz w:val="28"/>
          <w:szCs w:val="28"/>
          <w:lang w:val="lv-LV" w:eastAsia="lv-LV"/>
        </w:rPr>
        <w:t xml:space="preserve">Attiecībā uz citiem atjaunojamo energoresursu veidiem SEG emisijas ietaupījumu aprēķina metodoloģija Direktīvā 2009/28/EK nav sniegta. Veidlapā dalībvalstu progresa ziņojumiem saskaņā ar Direktīvu 2009/28/EK norādīts, ka, aprēķinot SEG emisijas neto ietaupījumus, kas panākti, izmantojot no atjaunojamajiem energoresursiem saražotu enerģiju, elektroenerģijai un siltumenerģijai ieteicams izmantot ES mēroga fosilā kurināmā komparatorus, kas noteikti EK ziņojumā Eiropas Padomei un Eiropas Parlamentam par </w:t>
      </w:r>
      <w:proofErr w:type="spellStart"/>
      <w:r w:rsidRPr="008518AA">
        <w:rPr>
          <w:snapToGrid/>
          <w:sz w:val="28"/>
          <w:szCs w:val="28"/>
          <w:lang w:val="lv-LV" w:eastAsia="lv-LV"/>
        </w:rPr>
        <w:t>ilgtspējības</w:t>
      </w:r>
      <w:proofErr w:type="spellEnd"/>
      <w:r w:rsidRPr="008518AA">
        <w:rPr>
          <w:snapToGrid/>
          <w:sz w:val="28"/>
          <w:szCs w:val="28"/>
          <w:lang w:val="lv-LV" w:eastAsia="lv-LV"/>
        </w:rPr>
        <w:t xml:space="preserve"> prasībām, kas attiecas uz cietās un gāzveida biomasas izmantošanu elektroenerģijas, siltumenerģijas un dzesēšanas enerģijas ražošanai, ja nav pieejamas jaunākas aplēses. Latvijas iestāžu rīcībā nav pieejama informācija par tehnoloģiju raksturlielumiem, kas ir nepieciešama, lai aprēķinātu SEG emisijas ietaupījumu siltumenerģijas, dzesēšanas un elektroenerģijas ražošanā no cietās un gāzveida biomasas saskaņā ar šajā ziņojumā piedāvāto SEG emisijas aprēķina metodoloģiju.</w:t>
      </w:r>
    </w:p>
    <w:p w14:paraId="04866BEB" w14:textId="77777777" w:rsidR="00CE4499" w:rsidRPr="008518AA" w:rsidRDefault="00CE4499" w:rsidP="00CE4499">
      <w:pPr>
        <w:ind w:firstLine="709"/>
        <w:jc w:val="both"/>
        <w:rPr>
          <w:snapToGrid/>
          <w:sz w:val="28"/>
          <w:szCs w:val="28"/>
          <w:lang w:val="lv-LV" w:eastAsia="lv-LV"/>
        </w:rPr>
      </w:pPr>
      <w:r w:rsidRPr="008518AA">
        <w:rPr>
          <w:snapToGrid/>
          <w:sz w:val="28"/>
          <w:szCs w:val="28"/>
          <w:lang w:val="lv-LV" w:eastAsia="lv-LV"/>
        </w:rPr>
        <w:t>Izmantojot pieeju, kas tiek izmantota emisiju tirdzniecības sistēmā, cietajai un gāzveida biomasai SEG emisijas faktoru enerģijas (gan elektroenerģijas, gan siltumenerģijas) ražošanai pieņem par „0”.</w:t>
      </w:r>
    </w:p>
    <w:p w14:paraId="33E6D8E9" w14:textId="77777777" w:rsidR="00CE4499" w:rsidRPr="008518AA" w:rsidRDefault="00CE4499" w:rsidP="00CE4499">
      <w:pPr>
        <w:ind w:firstLine="709"/>
        <w:jc w:val="both"/>
        <w:rPr>
          <w:snapToGrid/>
          <w:sz w:val="28"/>
          <w:szCs w:val="28"/>
          <w:lang w:val="lv-LV" w:eastAsia="lv-LV"/>
        </w:rPr>
      </w:pPr>
      <w:r w:rsidRPr="008518AA">
        <w:rPr>
          <w:snapToGrid/>
          <w:sz w:val="28"/>
          <w:szCs w:val="28"/>
          <w:lang w:val="lv-LV" w:eastAsia="lv-LV"/>
        </w:rPr>
        <w:lastRenderedPageBreak/>
        <w:t xml:space="preserve">Latvijas iestādes uzskata, ka SEG emisijas faktors enerģijas ražošanai no saules kolektoriem, saules elektrostacijām un hidroelektrostacijām ir jāpieņem par „0”, jo minēto iekārtu darbībai nav nepieciešama energoresursu ražošana, pārstrāde un transportēšana. Attiecībā uz SEG emisijas ietaupījumu enerģijas ražošanai no </w:t>
      </w:r>
      <w:proofErr w:type="spellStart"/>
      <w:r w:rsidRPr="008518AA">
        <w:rPr>
          <w:snapToGrid/>
          <w:sz w:val="28"/>
          <w:szCs w:val="28"/>
          <w:lang w:val="lv-LV" w:eastAsia="lv-LV"/>
        </w:rPr>
        <w:t>siltumsūkņiem</w:t>
      </w:r>
      <w:proofErr w:type="spellEnd"/>
      <w:r w:rsidRPr="008518AA">
        <w:rPr>
          <w:snapToGrid/>
          <w:sz w:val="28"/>
          <w:szCs w:val="28"/>
          <w:lang w:val="lv-LV" w:eastAsia="lv-LV"/>
        </w:rPr>
        <w:t xml:space="preserve"> ir jāņem vērā </w:t>
      </w:r>
      <w:proofErr w:type="spellStart"/>
      <w:r w:rsidRPr="008518AA">
        <w:rPr>
          <w:snapToGrid/>
          <w:sz w:val="28"/>
          <w:szCs w:val="28"/>
          <w:lang w:val="lv-LV" w:eastAsia="lv-LV"/>
        </w:rPr>
        <w:t>siltumsūkņu</w:t>
      </w:r>
      <w:proofErr w:type="spellEnd"/>
      <w:r w:rsidRPr="008518AA">
        <w:rPr>
          <w:snapToGrid/>
          <w:sz w:val="28"/>
          <w:szCs w:val="28"/>
          <w:lang w:val="lv-LV" w:eastAsia="lv-LV"/>
        </w:rPr>
        <w:t xml:space="preserve"> darbības nodrošināšanai izmantotais elektroenerģijas apjoms, kas atsevišķi nav uzskaitīts.</w:t>
      </w:r>
    </w:p>
    <w:p w14:paraId="3A1C2183" w14:textId="77777777" w:rsidR="00CE4499" w:rsidRPr="008518AA" w:rsidRDefault="00CE4499" w:rsidP="008518AA">
      <w:pPr>
        <w:ind w:firstLine="709"/>
        <w:jc w:val="both"/>
        <w:rPr>
          <w:snapToGrid/>
          <w:sz w:val="28"/>
          <w:szCs w:val="28"/>
          <w:lang w:val="lv-LV" w:eastAsia="lv-LV"/>
        </w:rPr>
      </w:pPr>
      <w:r w:rsidRPr="008518AA">
        <w:rPr>
          <w:snapToGrid/>
          <w:sz w:val="28"/>
          <w:szCs w:val="28"/>
          <w:lang w:val="lv-LV" w:eastAsia="lv-LV"/>
        </w:rPr>
        <w:t>Latvijā CO</w:t>
      </w:r>
      <w:r w:rsidRPr="008518AA">
        <w:rPr>
          <w:snapToGrid/>
          <w:sz w:val="28"/>
          <w:szCs w:val="28"/>
          <w:vertAlign w:val="subscript"/>
          <w:lang w:val="lv-LV" w:eastAsia="lv-LV"/>
        </w:rPr>
        <w:t>2</w:t>
      </w:r>
      <w:r w:rsidRPr="008518AA">
        <w:rPr>
          <w:snapToGrid/>
          <w:sz w:val="28"/>
          <w:szCs w:val="28"/>
          <w:lang w:val="lv-LV" w:eastAsia="lv-LV"/>
        </w:rPr>
        <w:t xml:space="preserve"> emisijas faktors bruto elektroenerģijas patēriņam no fosilajiem kurināmajiem ar koģenerācijas korekciju </w:t>
      </w:r>
      <w:r w:rsidR="008518AA" w:rsidRPr="008518AA">
        <w:rPr>
          <w:snapToGrid/>
          <w:sz w:val="28"/>
          <w:szCs w:val="28"/>
          <w:lang w:val="lv-LV" w:eastAsia="lv-LV"/>
        </w:rPr>
        <w:t xml:space="preserve">2010. gadā bija </w:t>
      </w:r>
      <w:r w:rsidRPr="008518AA">
        <w:rPr>
          <w:snapToGrid/>
          <w:sz w:val="28"/>
          <w:szCs w:val="28"/>
          <w:lang w:val="lv-LV" w:eastAsia="lv-LV"/>
        </w:rPr>
        <w:t>0,235</w:t>
      </w:r>
      <w:r w:rsidR="008518AA" w:rsidRPr="008518AA">
        <w:rPr>
          <w:snapToGrid/>
          <w:sz w:val="28"/>
          <w:szCs w:val="28"/>
          <w:lang w:val="lv-LV" w:eastAsia="lv-LV"/>
        </w:rPr>
        <w:t> t CO</w:t>
      </w:r>
      <w:r w:rsidR="008518AA" w:rsidRPr="008518AA">
        <w:rPr>
          <w:snapToGrid/>
          <w:sz w:val="28"/>
          <w:szCs w:val="28"/>
          <w:vertAlign w:val="subscript"/>
          <w:lang w:val="lv-LV" w:eastAsia="lv-LV"/>
        </w:rPr>
        <w:t>2 </w:t>
      </w:r>
      <w:r w:rsidR="008518AA" w:rsidRPr="008518AA">
        <w:rPr>
          <w:snapToGrid/>
          <w:sz w:val="28"/>
          <w:szCs w:val="28"/>
          <w:lang w:val="lv-LV" w:eastAsia="lv-LV"/>
        </w:rPr>
        <w:t>/ </w:t>
      </w:r>
      <w:proofErr w:type="spellStart"/>
      <w:r w:rsidR="008518AA" w:rsidRPr="008518AA">
        <w:rPr>
          <w:snapToGrid/>
          <w:sz w:val="28"/>
          <w:szCs w:val="28"/>
          <w:lang w:val="lv-LV" w:eastAsia="lv-LV"/>
        </w:rPr>
        <w:t>MWh</w:t>
      </w:r>
      <w:proofErr w:type="spellEnd"/>
      <w:r w:rsidR="008518AA" w:rsidRPr="008518AA">
        <w:rPr>
          <w:snapToGrid/>
          <w:sz w:val="28"/>
          <w:szCs w:val="28"/>
          <w:lang w:val="lv-LV" w:eastAsia="lv-LV"/>
        </w:rPr>
        <w:t xml:space="preserve">. Tas </w:t>
      </w:r>
      <w:r w:rsidRPr="008518AA">
        <w:rPr>
          <w:snapToGrid/>
          <w:sz w:val="28"/>
          <w:szCs w:val="28"/>
          <w:lang w:val="lv-LV" w:eastAsia="lv-LV"/>
        </w:rPr>
        <w:t>tiek izmantots SEG emisiju ietaupījumu no atjaunojamās elektroenerģijas izmantošanas aprēķinam.</w:t>
      </w:r>
    </w:p>
    <w:p w14:paraId="643E6146" w14:textId="77777777" w:rsidR="00CE4499" w:rsidRPr="00CE4499" w:rsidRDefault="00CE4499" w:rsidP="00CE4499">
      <w:pPr>
        <w:ind w:firstLine="709"/>
        <w:jc w:val="both"/>
        <w:rPr>
          <w:snapToGrid/>
          <w:sz w:val="28"/>
          <w:szCs w:val="28"/>
          <w:lang w:val="lv-LV" w:eastAsia="lv-LV"/>
        </w:rPr>
      </w:pPr>
      <w:r w:rsidRPr="008518AA">
        <w:rPr>
          <w:snapToGrid/>
          <w:sz w:val="28"/>
          <w:szCs w:val="28"/>
          <w:lang w:val="lv-LV" w:eastAsia="lv-LV"/>
        </w:rPr>
        <w:t>Aprēķinot SEG emisiju ietaupījumu no atjaunojamās enerģijas izmantošanas apsildes un dzesēšanas nolūkā, tiek izmantots fosilā kurināmā komparators 87 g CO</w:t>
      </w:r>
      <w:r w:rsidRPr="008518AA">
        <w:rPr>
          <w:snapToGrid/>
          <w:sz w:val="28"/>
          <w:szCs w:val="28"/>
          <w:vertAlign w:val="subscript"/>
          <w:lang w:val="lv-LV" w:eastAsia="lv-LV"/>
        </w:rPr>
        <w:t>2 </w:t>
      </w:r>
      <w:r w:rsidRPr="008518AA">
        <w:rPr>
          <w:snapToGrid/>
          <w:sz w:val="28"/>
          <w:szCs w:val="28"/>
          <w:lang w:val="lv-LV" w:eastAsia="lv-LV"/>
        </w:rPr>
        <w:t xml:space="preserve">/ MJ, kas noteikts EK ziņojumā Eiropas Padomei un Eiropas Parlamentam par </w:t>
      </w:r>
      <w:proofErr w:type="spellStart"/>
      <w:r w:rsidRPr="008518AA">
        <w:rPr>
          <w:snapToGrid/>
          <w:sz w:val="28"/>
          <w:szCs w:val="28"/>
          <w:lang w:val="lv-LV" w:eastAsia="lv-LV"/>
        </w:rPr>
        <w:t>ilgtspējības</w:t>
      </w:r>
      <w:proofErr w:type="spellEnd"/>
      <w:r w:rsidRPr="008518AA">
        <w:rPr>
          <w:snapToGrid/>
          <w:sz w:val="28"/>
          <w:szCs w:val="28"/>
          <w:lang w:val="lv-LV" w:eastAsia="lv-LV"/>
        </w:rPr>
        <w:t xml:space="preserve"> prasībām, kas attiecas uz cietās un gāzveida biomasas izmantošanu elektroenerģijas, siltumenerģijas un dzesēšanas enerģijas ražošanai.</w:t>
      </w:r>
    </w:p>
    <w:p w14:paraId="4826AD98" w14:textId="77777777" w:rsidR="00820C75" w:rsidRPr="00935562" w:rsidRDefault="00820C75" w:rsidP="0068454A">
      <w:pPr>
        <w:pStyle w:val="Heading1"/>
        <w:numPr>
          <w:ilvl w:val="0"/>
          <w:numId w:val="0"/>
        </w:numPr>
        <w:jc w:val="center"/>
        <w:rPr>
          <w:smallCaps w:val="0"/>
          <w:sz w:val="28"/>
          <w:lang w:val="lv-LV"/>
        </w:rPr>
      </w:pPr>
      <w:bookmarkStart w:id="40" w:name="_Toc373229253"/>
      <w:r w:rsidRPr="00935562">
        <w:rPr>
          <w:smallCaps w:val="0"/>
          <w:sz w:val="28"/>
          <w:lang w:val="lv-LV"/>
        </w:rPr>
        <w:t xml:space="preserve">11. </w:t>
      </w:r>
      <w:r w:rsidR="0068454A" w:rsidRPr="00935562">
        <w:rPr>
          <w:smallCaps w:val="0"/>
          <w:sz w:val="28"/>
          <w:lang w:val="lv-LV"/>
        </w:rPr>
        <w:t>Dati un aplēses par</w:t>
      </w:r>
      <w:r w:rsidRPr="00935562">
        <w:rPr>
          <w:smallCaps w:val="0"/>
          <w:sz w:val="28"/>
          <w:lang w:val="lv-LV"/>
        </w:rPr>
        <w:t xml:space="preserve"> no atjaunojamajiem energoresursiem saražotās enerģijas pārprodukciju/deficītu, </w:t>
      </w:r>
      <w:r w:rsidR="0068454A" w:rsidRPr="00935562">
        <w:rPr>
          <w:smallCaps w:val="0"/>
          <w:sz w:val="28"/>
          <w:lang w:val="lv-LV"/>
        </w:rPr>
        <w:t>salīdzinot ar indikatīvo līkni</w:t>
      </w:r>
      <w:bookmarkEnd w:id="40"/>
    </w:p>
    <w:p w14:paraId="0EDE8108" w14:textId="77777777" w:rsidR="00392962" w:rsidRDefault="00820C75" w:rsidP="00392962">
      <w:pPr>
        <w:pStyle w:val="NormalCentered"/>
        <w:jc w:val="right"/>
        <w:rPr>
          <w:b/>
          <w:i/>
          <w:sz w:val="20"/>
          <w:lang w:val="lv-LV"/>
        </w:rPr>
      </w:pPr>
      <w:r>
        <w:rPr>
          <w:b/>
          <w:i/>
          <w:sz w:val="20"/>
          <w:lang w:val="lv-LV"/>
        </w:rPr>
        <w:t>7. tabula</w:t>
      </w:r>
    </w:p>
    <w:p w14:paraId="0908B719" w14:textId="77777777" w:rsidR="00820C75" w:rsidRPr="00D6616C" w:rsidRDefault="00820C75">
      <w:pPr>
        <w:pStyle w:val="NormalCentered"/>
        <w:rPr>
          <w:lang w:val="lv-LV"/>
        </w:rPr>
      </w:pPr>
      <w:r>
        <w:rPr>
          <w:b/>
          <w:sz w:val="20"/>
          <w:lang w:val="lv-LV"/>
        </w:rPr>
        <w:t xml:space="preserve">No atjaunojamajiem energoresursiem saražotās enerģijas faktiskā un aplēstā pārprodukcija vai deficīts [dalībvalstī], ko var pārdalīt uz/ no citām dalībvalstīm un/vai </w:t>
      </w:r>
      <w:proofErr w:type="spellStart"/>
      <w:r>
        <w:rPr>
          <w:b/>
          <w:sz w:val="20"/>
          <w:lang w:val="lv-LV"/>
        </w:rPr>
        <w:t>trešām</w:t>
      </w:r>
      <w:proofErr w:type="spellEnd"/>
      <w:r>
        <w:rPr>
          <w:b/>
          <w:sz w:val="20"/>
          <w:lang w:val="lv-LV"/>
        </w:rPr>
        <w:t xml:space="preserve"> valstīm — salīdzinājumā ar indikatīvo līkni (</w:t>
      </w:r>
      <w:proofErr w:type="spellStart"/>
      <w:r>
        <w:rPr>
          <w:b/>
          <w:sz w:val="20"/>
          <w:lang w:val="lv-LV"/>
        </w:rPr>
        <w:t>tūkst</w:t>
      </w:r>
      <w:proofErr w:type="spellEnd"/>
      <w:r>
        <w:rPr>
          <w:b/>
          <w:sz w:val="20"/>
          <w:lang w:val="lv-LV"/>
        </w:rPr>
        <w:t xml:space="preserve">. tonnu naftas </w:t>
      </w:r>
      <w:proofErr w:type="spellStart"/>
      <w:r>
        <w:rPr>
          <w:b/>
          <w:sz w:val="20"/>
          <w:lang w:val="lv-LV"/>
        </w:rPr>
        <w:t>ekv</w:t>
      </w:r>
      <w:proofErr w:type="spellEnd"/>
      <w:r>
        <w:rPr>
          <w:b/>
          <w:sz w:val="20"/>
          <w:lang w:val="lv-LV"/>
        </w:rPr>
        <w:t>.)</w:t>
      </w:r>
      <w:r>
        <w:rPr>
          <w:rStyle w:val="FootnoteReference"/>
          <w:b/>
          <w:sz w:val="20"/>
          <w:lang w:val="lv-LV"/>
        </w:rPr>
        <w:footnoteReference w:id="41"/>
      </w:r>
      <w:r>
        <w:rPr>
          <w:b/>
          <w:sz w:val="20"/>
          <w:lang w:val="lv-LV"/>
        </w:rPr>
        <w:t>,</w:t>
      </w:r>
      <w:r>
        <w:rPr>
          <w:rStyle w:val="FootnoteReference"/>
          <w:b/>
          <w:sz w:val="20"/>
          <w:lang w:val="lv-LV"/>
        </w:rPr>
        <w:footnoteReference w:id="42"/>
      </w:r>
    </w:p>
    <w:tbl>
      <w:tblPr>
        <w:tblW w:w="41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7"/>
        <w:gridCol w:w="11"/>
        <w:gridCol w:w="3464"/>
        <w:gridCol w:w="20"/>
        <w:gridCol w:w="546"/>
        <w:gridCol w:w="20"/>
        <w:gridCol w:w="603"/>
        <w:gridCol w:w="23"/>
      </w:tblGrid>
      <w:tr w:rsidR="003D19BE" w:rsidRPr="00797AA1" w14:paraId="770DF212" w14:textId="77777777" w:rsidTr="003D19BE">
        <w:trPr>
          <w:gridAfter w:val="1"/>
          <w:wAfter w:w="15" w:type="pct"/>
          <w:jc w:val="center"/>
        </w:trPr>
        <w:tc>
          <w:tcPr>
            <w:tcW w:w="1938" w:type="pct"/>
            <w:shd w:val="clear" w:color="auto" w:fill="E6E6E6"/>
          </w:tcPr>
          <w:p w14:paraId="2E64ED7C" w14:textId="77777777" w:rsidR="00650572" w:rsidRPr="00D6616C" w:rsidRDefault="00650572" w:rsidP="00797AA1">
            <w:pPr>
              <w:pStyle w:val="NormalCentered"/>
              <w:suppressAutoHyphens/>
              <w:spacing w:before="0" w:after="0"/>
              <w:rPr>
                <w:b/>
                <w:sz w:val="16"/>
                <w:lang w:val="lv-LV"/>
              </w:rPr>
            </w:pPr>
          </w:p>
        </w:tc>
        <w:tc>
          <w:tcPr>
            <w:tcW w:w="2270" w:type="pct"/>
            <w:gridSpan w:val="2"/>
            <w:shd w:val="clear" w:color="auto" w:fill="E6E6E6"/>
          </w:tcPr>
          <w:p w14:paraId="70F778BF" w14:textId="77777777" w:rsidR="00650572" w:rsidRPr="00D6616C" w:rsidRDefault="00650572" w:rsidP="00797AA1">
            <w:pPr>
              <w:pStyle w:val="NormalCentered"/>
              <w:suppressAutoHyphens/>
              <w:spacing w:before="0" w:after="0"/>
              <w:rPr>
                <w:sz w:val="16"/>
                <w:lang w:val="lv-LV"/>
              </w:rPr>
            </w:pPr>
          </w:p>
        </w:tc>
        <w:tc>
          <w:tcPr>
            <w:tcW w:w="370" w:type="pct"/>
            <w:gridSpan w:val="2"/>
            <w:shd w:val="clear" w:color="auto" w:fill="E6E6E6"/>
          </w:tcPr>
          <w:p w14:paraId="60E03B42" w14:textId="77777777" w:rsidR="00650572" w:rsidRPr="00797AA1" w:rsidRDefault="00650572" w:rsidP="00797AA1">
            <w:pPr>
              <w:pStyle w:val="NormalCentered"/>
              <w:suppressAutoHyphens/>
              <w:spacing w:before="0" w:after="0"/>
              <w:rPr>
                <w:sz w:val="16"/>
              </w:rPr>
            </w:pPr>
            <w:r w:rsidRPr="00797AA1">
              <w:rPr>
                <w:sz w:val="16"/>
              </w:rPr>
              <w:t>2011</w:t>
            </w:r>
          </w:p>
        </w:tc>
        <w:tc>
          <w:tcPr>
            <w:tcW w:w="407" w:type="pct"/>
            <w:gridSpan w:val="2"/>
            <w:shd w:val="clear" w:color="auto" w:fill="E6E6E6"/>
          </w:tcPr>
          <w:p w14:paraId="154E4731" w14:textId="77777777" w:rsidR="00650572" w:rsidRPr="00797AA1" w:rsidRDefault="00650572" w:rsidP="00797AA1">
            <w:pPr>
              <w:pStyle w:val="NormalCentered"/>
              <w:suppressAutoHyphens/>
              <w:spacing w:before="0" w:after="0"/>
              <w:rPr>
                <w:sz w:val="16"/>
              </w:rPr>
            </w:pPr>
            <w:r w:rsidRPr="00797AA1">
              <w:rPr>
                <w:sz w:val="16"/>
              </w:rPr>
              <w:t>2012</w:t>
            </w:r>
          </w:p>
        </w:tc>
      </w:tr>
      <w:tr w:rsidR="003D19BE" w:rsidRPr="00797AA1" w14:paraId="478F291E" w14:textId="77777777" w:rsidTr="003D19BE">
        <w:trPr>
          <w:jc w:val="center"/>
        </w:trPr>
        <w:tc>
          <w:tcPr>
            <w:tcW w:w="1945" w:type="pct"/>
            <w:gridSpan w:val="2"/>
            <w:vMerge w:val="restart"/>
            <w:shd w:val="clear" w:color="auto" w:fill="auto"/>
          </w:tcPr>
          <w:p w14:paraId="6D0CA37C" w14:textId="77777777" w:rsidR="003D19BE" w:rsidRPr="00797AA1" w:rsidRDefault="003D19BE" w:rsidP="00797AA1">
            <w:pPr>
              <w:pStyle w:val="NormalCentered"/>
              <w:suppressAutoHyphens/>
              <w:spacing w:before="0" w:after="0"/>
              <w:rPr>
                <w:sz w:val="16"/>
                <w:lang w:val="lv-LV"/>
              </w:rPr>
            </w:pPr>
            <w:r w:rsidRPr="00797AA1">
              <w:rPr>
                <w:sz w:val="16"/>
                <w:lang w:val="lv-LV"/>
              </w:rPr>
              <w:t>Faktiskā/aplēstā pārprodukcija vai produkcijas iztrūkums (sadalīt pēc atjaunojamās enerģijas veida un pēc importa/eksporta izcelsmes/galamērķa)</w:t>
            </w:r>
            <w:r w:rsidRPr="00797AA1">
              <w:rPr>
                <w:sz w:val="16"/>
              </w:rPr>
              <w:t xml:space="preserve"> </w:t>
            </w:r>
          </w:p>
        </w:tc>
        <w:tc>
          <w:tcPr>
            <w:tcW w:w="2276" w:type="pct"/>
            <w:gridSpan w:val="2"/>
          </w:tcPr>
          <w:p w14:paraId="18E8AB22" w14:textId="77777777" w:rsidR="003D19BE" w:rsidRPr="00F26DD1" w:rsidRDefault="003D19BE" w:rsidP="00650572">
            <w:pPr>
              <w:pStyle w:val="NormalCentered"/>
              <w:suppressAutoHyphens/>
              <w:spacing w:before="0" w:after="0"/>
              <w:rPr>
                <w:sz w:val="16"/>
                <w:lang w:val="lv-LV"/>
              </w:rPr>
            </w:pPr>
            <w:r>
              <w:rPr>
                <w:rStyle w:val="italic1"/>
                <w:i w:val="0"/>
                <w:iCs w:val="0"/>
                <w:sz w:val="16"/>
                <w:lang w:val="lv-LV"/>
              </w:rPr>
              <w:t>AE bruto galapatēriņš apsildē un dzesēšanā</w:t>
            </w:r>
          </w:p>
        </w:tc>
        <w:tc>
          <w:tcPr>
            <w:tcW w:w="370" w:type="pct"/>
            <w:gridSpan w:val="2"/>
            <w:shd w:val="clear" w:color="auto" w:fill="auto"/>
          </w:tcPr>
          <w:p w14:paraId="30F9FE29" w14:textId="77777777" w:rsidR="003D19BE" w:rsidRPr="00797AA1" w:rsidRDefault="003D19BE" w:rsidP="00797AA1">
            <w:pPr>
              <w:pStyle w:val="NormalCentered"/>
              <w:suppressAutoHyphens/>
              <w:spacing w:before="0" w:after="0"/>
              <w:rPr>
                <w:sz w:val="16"/>
              </w:rPr>
            </w:pPr>
            <w:r>
              <w:rPr>
                <w:sz w:val="16"/>
              </w:rPr>
              <w:t>-9</w:t>
            </w:r>
          </w:p>
        </w:tc>
        <w:tc>
          <w:tcPr>
            <w:tcW w:w="409" w:type="pct"/>
            <w:gridSpan w:val="2"/>
            <w:shd w:val="clear" w:color="auto" w:fill="auto"/>
          </w:tcPr>
          <w:p w14:paraId="01983753" w14:textId="57073FEB" w:rsidR="003D19BE" w:rsidRPr="00797AA1" w:rsidRDefault="00842448" w:rsidP="00797AA1">
            <w:pPr>
              <w:pStyle w:val="NormalCentered"/>
              <w:suppressAutoHyphens/>
              <w:spacing w:before="0" w:after="0"/>
              <w:rPr>
                <w:sz w:val="16"/>
              </w:rPr>
            </w:pPr>
            <w:r>
              <w:rPr>
                <w:sz w:val="16"/>
              </w:rPr>
              <w:t>+84</w:t>
            </w:r>
          </w:p>
        </w:tc>
      </w:tr>
      <w:tr w:rsidR="003D19BE" w:rsidRPr="00797AA1" w14:paraId="7A52F1D9" w14:textId="77777777" w:rsidTr="003D19BE">
        <w:trPr>
          <w:jc w:val="center"/>
        </w:trPr>
        <w:tc>
          <w:tcPr>
            <w:tcW w:w="1945" w:type="pct"/>
            <w:gridSpan w:val="2"/>
            <w:vMerge/>
            <w:shd w:val="clear" w:color="auto" w:fill="auto"/>
          </w:tcPr>
          <w:p w14:paraId="5A29460E" w14:textId="77777777" w:rsidR="003D19BE" w:rsidRPr="00797AA1" w:rsidRDefault="003D19BE" w:rsidP="00797AA1">
            <w:pPr>
              <w:pStyle w:val="NormalCentered"/>
              <w:suppressAutoHyphens/>
              <w:spacing w:before="0" w:after="0"/>
              <w:rPr>
                <w:sz w:val="16"/>
                <w:lang w:val="lv-LV"/>
              </w:rPr>
            </w:pPr>
          </w:p>
        </w:tc>
        <w:tc>
          <w:tcPr>
            <w:tcW w:w="2276" w:type="pct"/>
            <w:gridSpan w:val="2"/>
          </w:tcPr>
          <w:p w14:paraId="7C716A70" w14:textId="77777777" w:rsidR="003D19BE" w:rsidRPr="00797AA1" w:rsidRDefault="003D19BE" w:rsidP="00797AA1">
            <w:pPr>
              <w:pStyle w:val="NormalCentered"/>
              <w:suppressAutoHyphens/>
              <w:spacing w:before="0" w:after="0"/>
              <w:rPr>
                <w:sz w:val="16"/>
              </w:rPr>
            </w:pPr>
            <w:r>
              <w:rPr>
                <w:rStyle w:val="italic1"/>
                <w:i w:val="0"/>
                <w:iCs w:val="0"/>
                <w:sz w:val="16"/>
                <w:lang w:val="lv-LV"/>
              </w:rPr>
              <w:t>No AE ražotas elektroenerģijas bruto galapatēriņš</w:t>
            </w:r>
          </w:p>
        </w:tc>
        <w:tc>
          <w:tcPr>
            <w:tcW w:w="370" w:type="pct"/>
            <w:gridSpan w:val="2"/>
            <w:shd w:val="clear" w:color="auto" w:fill="auto"/>
          </w:tcPr>
          <w:p w14:paraId="260D4559" w14:textId="703C64BD" w:rsidR="003D19BE" w:rsidRPr="00797AA1" w:rsidRDefault="003D19BE" w:rsidP="00797AA1">
            <w:pPr>
              <w:pStyle w:val="NormalCentered"/>
              <w:suppressAutoHyphens/>
              <w:spacing w:before="0" w:after="0"/>
              <w:rPr>
                <w:sz w:val="16"/>
              </w:rPr>
            </w:pPr>
            <w:r>
              <w:rPr>
                <w:sz w:val="16"/>
              </w:rPr>
              <w:t>+</w:t>
            </w:r>
            <w:r w:rsidR="00842448">
              <w:rPr>
                <w:sz w:val="16"/>
              </w:rPr>
              <w:t>2</w:t>
            </w:r>
          </w:p>
        </w:tc>
        <w:tc>
          <w:tcPr>
            <w:tcW w:w="409" w:type="pct"/>
            <w:gridSpan w:val="2"/>
            <w:shd w:val="clear" w:color="auto" w:fill="auto"/>
          </w:tcPr>
          <w:p w14:paraId="662A2825" w14:textId="16EC665F" w:rsidR="003D19BE" w:rsidRPr="00797AA1" w:rsidRDefault="003D19BE" w:rsidP="00797AA1">
            <w:pPr>
              <w:pStyle w:val="NormalCentered"/>
              <w:suppressAutoHyphens/>
              <w:spacing w:before="0" w:after="0"/>
              <w:rPr>
                <w:sz w:val="16"/>
              </w:rPr>
            </w:pPr>
            <w:r>
              <w:rPr>
                <w:sz w:val="16"/>
              </w:rPr>
              <w:t>+</w:t>
            </w:r>
            <w:r w:rsidRPr="00842448">
              <w:rPr>
                <w:sz w:val="16"/>
              </w:rPr>
              <w:t>1</w:t>
            </w:r>
            <w:r w:rsidR="00842448">
              <w:rPr>
                <w:sz w:val="16"/>
              </w:rPr>
              <w:t>3</w:t>
            </w:r>
          </w:p>
        </w:tc>
      </w:tr>
      <w:tr w:rsidR="003D19BE" w:rsidRPr="00797AA1" w14:paraId="54FCC228" w14:textId="77777777" w:rsidTr="003D19BE">
        <w:trPr>
          <w:jc w:val="center"/>
        </w:trPr>
        <w:tc>
          <w:tcPr>
            <w:tcW w:w="1945" w:type="pct"/>
            <w:gridSpan w:val="2"/>
            <w:vMerge/>
            <w:shd w:val="clear" w:color="auto" w:fill="auto"/>
          </w:tcPr>
          <w:p w14:paraId="5B150CF0" w14:textId="77777777" w:rsidR="003D19BE" w:rsidRPr="00797AA1" w:rsidRDefault="003D19BE" w:rsidP="00797AA1">
            <w:pPr>
              <w:pStyle w:val="NormalCentered"/>
              <w:suppressAutoHyphens/>
              <w:spacing w:before="0" w:after="0"/>
              <w:rPr>
                <w:sz w:val="16"/>
                <w:lang w:val="lv-LV"/>
              </w:rPr>
            </w:pPr>
          </w:p>
        </w:tc>
        <w:tc>
          <w:tcPr>
            <w:tcW w:w="2276" w:type="pct"/>
            <w:gridSpan w:val="2"/>
          </w:tcPr>
          <w:p w14:paraId="519E3DCF" w14:textId="77777777" w:rsidR="003D19BE" w:rsidRPr="00797AA1" w:rsidRDefault="003D19BE" w:rsidP="00650572">
            <w:pPr>
              <w:pStyle w:val="NormalCentered"/>
              <w:suppressAutoHyphens/>
              <w:spacing w:before="0" w:after="0"/>
              <w:jc w:val="left"/>
              <w:rPr>
                <w:sz w:val="16"/>
              </w:rPr>
            </w:pPr>
            <w:r>
              <w:rPr>
                <w:rStyle w:val="italic1"/>
                <w:i w:val="0"/>
                <w:iCs w:val="0"/>
                <w:sz w:val="16"/>
                <w:lang w:val="lv-LV"/>
              </w:rPr>
              <w:t>No AE ražotas enerģijas galapatēriņš transportā</w:t>
            </w:r>
          </w:p>
        </w:tc>
        <w:tc>
          <w:tcPr>
            <w:tcW w:w="370" w:type="pct"/>
            <w:gridSpan w:val="2"/>
            <w:shd w:val="clear" w:color="auto" w:fill="auto"/>
          </w:tcPr>
          <w:p w14:paraId="3EB61A3F" w14:textId="6AD9629F" w:rsidR="003D19BE" w:rsidRPr="00797AA1" w:rsidRDefault="003D19BE" w:rsidP="00797AA1">
            <w:pPr>
              <w:pStyle w:val="NormalCentered"/>
              <w:suppressAutoHyphens/>
              <w:spacing w:before="0" w:after="0"/>
              <w:rPr>
                <w:sz w:val="16"/>
              </w:rPr>
            </w:pPr>
            <w:r>
              <w:rPr>
                <w:sz w:val="16"/>
              </w:rPr>
              <w:t>-</w:t>
            </w:r>
            <w:r w:rsidR="00842448" w:rsidRPr="00842448">
              <w:rPr>
                <w:sz w:val="16"/>
              </w:rPr>
              <w:t>1</w:t>
            </w:r>
            <w:r w:rsidR="00842448">
              <w:rPr>
                <w:sz w:val="16"/>
              </w:rPr>
              <w:t>7</w:t>
            </w:r>
          </w:p>
        </w:tc>
        <w:tc>
          <w:tcPr>
            <w:tcW w:w="409" w:type="pct"/>
            <w:gridSpan w:val="2"/>
            <w:shd w:val="clear" w:color="auto" w:fill="auto"/>
          </w:tcPr>
          <w:p w14:paraId="6B19B9E0" w14:textId="418DE6A0" w:rsidR="003D19BE" w:rsidRPr="00797AA1" w:rsidRDefault="003D19BE" w:rsidP="00797AA1">
            <w:pPr>
              <w:pStyle w:val="NormalCentered"/>
              <w:suppressAutoHyphens/>
              <w:spacing w:before="0" w:after="0"/>
              <w:rPr>
                <w:sz w:val="16"/>
              </w:rPr>
            </w:pPr>
            <w:r>
              <w:rPr>
                <w:sz w:val="16"/>
              </w:rPr>
              <w:t>-</w:t>
            </w:r>
            <w:r w:rsidR="00842448">
              <w:rPr>
                <w:sz w:val="16"/>
              </w:rPr>
              <w:t>22</w:t>
            </w:r>
          </w:p>
        </w:tc>
      </w:tr>
      <w:tr w:rsidR="003D19BE" w:rsidRPr="00797AA1" w14:paraId="66C7E452" w14:textId="77777777" w:rsidTr="003D19BE">
        <w:trPr>
          <w:jc w:val="center"/>
        </w:trPr>
        <w:tc>
          <w:tcPr>
            <w:tcW w:w="1945" w:type="pct"/>
            <w:gridSpan w:val="2"/>
            <w:vMerge/>
            <w:shd w:val="clear" w:color="auto" w:fill="auto"/>
          </w:tcPr>
          <w:p w14:paraId="7FB15510" w14:textId="77777777" w:rsidR="003D19BE" w:rsidRDefault="003D19BE" w:rsidP="00797AA1">
            <w:pPr>
              <w:pStyle w:val="NormalCentered"/>
              <w:suppressAutoHyphens/>
              <w:spacing w:before="0" w:after="0"/>
            </w:pPr>
          </w:p>
        </w:tc>
        <w:tc>
          <w:tcPr>
            <w:tcW w:w="2276" w:type="pct"/>
            <w:gridSpan w:val="2"/>
          </w:tcPr>
          <w:p w14:paraId="51195387" w14:textId="77777777" w:rsidR="003D19BE" w:rsidRPr="00797AA1" w:rsidRDefault="003D19BE" w:rsidP="00797AA1">
            <w:pPr>
              <w:pStyle w:val="NormalCentered"/>
              <w:suppressAutoHyphens/>
              <w:spacing w:before="0" w:after="0"/>
              <w:rPr>
                <w:sz w:val="16"/>
              </w:rPr>
            </w:pPr>
            <w:r>
              <w:rPr>
                <w:sz w:val="16"/>
                <w:lang w:val="lv-LV"/>
              </w:rPr>
              <w:t>Kopējais AE bruto galapatēriņš</w:t>
            </w:r>
          </w:p>
        </w:tc>
        <w:tc>
          <w:tcPr>
            <w:tcW w:w="370" w:type="pct"/>
            <w:gridSpan w:val="2"/>
            <w:shd w:val="clear" w:color="auto" w:fill="auto"/>
          </w:tcPr>
          <w:p w14:paraId="53A640AD" w14:textId="77777777" w:rsidR="003D19BE" w:rsidRPr="00797AA1" w:rsidRDefault="003D19BE" w:rsidP="00797AA1">
            <w:pPr>
              <w:pStyle w:val="NormalCentered"/>
              <w:suppressAutoHyphens/>
              <w:spacing w:before="0" w:after="0"/>
              <w:rPr>
                <w:sz w:val="16"/>
              </w:rPr>
            </w:pPr>
            <w:r>
              <w:rPr>
                <w:sz w:val="16"/>
              </w:rPr>
              <w:t>-20</w:t>
            </w:r>
          </w:p>
        </w:tc>
        <w:tc>
          <w:tcPr>
            <w:tcW w:w="409" w:type="pct"/>
            <w:gridSpan w:val="2"/>
            <w:shd w:val="clear" w:color="auto" w:fill="auto"/>
          </w:tcPr>
          <w:p w14:paraId="2C0C1680" w14:textId="4A7629DE" w:rsidR="003D19BE" w:rsidRPr="00797AA1" w:rsidRDefault="00842448" w:rsidP="00797AA1">
            <w:pPr>
              <w:pStyle w:val="NormalCentered"/>
              <w:suppressAutoHyphens/>
              <w:spacing w:before="0" w:after="0"/>
              <w:rPr>
                <w:sz w:val="16"/>
              </w:rPr>
            </w:pPr>
            <w:r>
              <w:rPr>
                <w:sz w:val="16"/>
              </w:rPr>
              <w:t>+78</w:t>
            </w:r>
          </w:p>
        </w:tc>
      </w:tr>
    </w:tbl>
    <w:p w14:paraId="1D8F03FE" w14:textId="77777777" w:rsidR="00820C75" w:rsidRDefault="00820C75">
      <w:pPr>
        <w:rPr>
          <w:lang w:val="en-US"/>
        </w:rPr>
      </w:pPr>
    </w:p>
    <w:p w14:paraId="1298F7D3" w14:textId="0680D637" w:rsidR="00A968A1" w:rsidRPr="00D6616C" w:rsidRDefault="00A968A1" w:rsidP="00AB2037">
      <w:pPr>
        <w:ind w:firstLine="709"/>
        <w:jc w:val="both"/>
        <w:rPr>
          <w:sz w:val="28"/>
          <w:szCs w:val="28"/>
          <w:lang w:val="lv-LV"/>
        </w:rPr>
      </w:pPr>
      <w:r w:rsidRPr="00A968A1">
        <w:rPr>
          <w:snapToGrid/>
          <w:sz w:val="28"/>
          <w:szCs w:val="28"/>
          <w:lang w:val="lv-LV" w:eastAsia="lv-LV"/>
        </w:rPr>
        <w:t xml:space="preserve">Kopējais AE galapatēriņš </w:t>
      </w:r>
      <w:r w:rsidR="00842448">
        <w:rPr>
          <w:snapToGrid/>
          <w:sz w:val="28"/>
          <w:szCs w:val="28"/>
          <w:lang w:val="lv-LV" w:eastAsia="lv-LV"/>
        </w:rPr>
        <w:t>apsteidz</w:t>
      </w:r>
      <w:r w:rsidRPr="00842448">
        <w:rPr>
          <w:snapToGrid/>
          <w:sz w:val="28"/>
          <w:szCs w:val="28"/>
          <w:lang w:val="lv-LV" w:eastAsia="lv-LV"/>
        </w:rPr>
        <w:t xml:space="preserve"> </w:t>
      </w:r>
      <w:r w:rsidRPr="00A968A1">
        <w:rPr>
          <w:snapToGrid/>
          <w:sz w:val="28"/>
          <w:szCs w:val="28"/>
          <w:lang w:val="lv-LV" w:eastAsia="lv-LV"/>
        </w:rPr>
        <w:t xml:space="preserve">rīcības plānā </w:t>
      </w:r>
      <w:r w:rsidR="00842448" w:rsidRPr="00842448">
        <w:rPr>
          <w:snapToGrid/>
          <w:sz w:val="28"/>
          <w:szCs w:val="28"/>
          <w:lang w:val="lv-LV" w:eastAsia="lv-LV"/>
        </w:rPr>
        <w:t>paredzēt</w:t>
      </w:r>
      <w:r w:rsidR="00842448">
        <w:rPr>
          <w:snapToGrid/>
          <w:sz w:val="28"/>
          <w:szCs w:val="28"/>
          <w:lang w:val="lv-LV" w:eastAsia="lv-LV"/>
        </w:rPr>
        <w:t>o</w:t>
      </w:r>
      <w:r w:rsidRPr="00A968A1">
        <w:rPr>
          <w:snapToGrid/>
          <w:sz w:val="28"/>
          <w:szCs w:val="28"/>
          <w:lang w:val="lv-LV" w:eastAsia="lv-LV"/>
        </w:rPr>
        <w:t xml:space="preserve">, taču AE daļa </w:t>
      </w:r>
      <w:r w:rsidR="00842448">
        <w:rPr>
          <w:snapToGrid/>
          <w:sz w:val="28"/>
          <w:szCs w:val="28"/>
          <w:lang w:val="lv-LV" w:eastAsia="lv-LV"/>
        </w:rPr>
        <w:t>transporta</w:t>
      </w:r>
      <w:r w:rsidRPr="00A968A1">
        <w:rPr>
          <w:snapToGrid/>
          <w:sz w:val="28"/>
          <w:szCs w:val="28"/>
          <w:lang w:val="lv-LV" w:eastAsia="lv-LV"/>
        </w:rPr>
        <w:t xml:space="preserve"> sektorā </w:t>
      </w:r>
      <w:r w:rsidR="00842448">
        <w:rPr>
          <w:snapToGrid/>
          <w:sz w:val="28"/>
          <w:szCs w:val="28"/>
          <w:lang w:val="lv-LV" w:eastAsia="lv-LV"/>
        </w:rPr>
        <w:t>atpaliek no</w:t>
      </w:r>
      <w:r w:rsidR="00842448" w:rsidRPr="00842448">
        <w:rPr>
          <w:snapToGrid/>
          <w:sz w:val="28"/>
          <w:szCs w:val="28"/>
          <w:lang w:val="lv-LV" w:eastAsia="lv-LV"/>
        </w:rPr>
        <w:t xml:space="preserve"> plānot</w:t>
      </w:r>
      <w:r w:rsidR="00842448">
        <w:rPr>
          <w:snapToGrid/>
          <w:sz w:val="28"/>
          <w:szCs w:val="28"/>
          <w:lang w:val="lv-LV" w:eastAsia="lv-LV"/>
        </w:rPr>
        <w:t>ās</w:t>
      </w:r>
      <w:r w:rsidR="00842448" w:rsidRPr="00842448">
        <w:rPr>
          <w:snapToGrid/>
          <w:sz w:val="28"/>
          <w:szCs w:val="28"/>
          <w:lang w:val="lv-LV" w:eastAsia="lv-LV"/>
        </w:rPr>
        <w:t xml:space="preserve"> vērtīb</w:t>
      </w:r>
      <w:r w:rsidR="00842448">
        <w:rPr>
          <w:snapToGrid/>
          <w:sz w:val="28"/>
          <w:szCs w:val="28"/>
          <w:lang w:val="lv-LV" w:eastAsia="lv-LV"/>
        </w:rPr>
        <w:t>as</w:t>
      </w:r>
      <w:r w:rsidRPr="00842448">
        <w:rPr>
          <w:snapToGrid/>
          <w:sz w:val="28"/>
          <w:szCs w:val="28"/>
          <w:lang w:val="lv-LV" w:eastAsia="lv-LV"/>
        </w:rPr>
        <w:t>.</w:t>
      </w:r>
      <w:r w:rsidRPr="00A968A1">
        <w:rPr>
          <w:snapToGrid/>
          <w:sz w:val="28"/>
          <w:szCs w:val="28"/>
          <w:lang w:val="lv-LV" w:eastAsia="lv-LV"/>
        </w:rPr>
        <w:t xml:space="preserve"> </w:t>
      </w:r>
      <w:r>
        <w:rPr>
          <w:snapToGrid/>
          <w:sz w:val="28"/>
          <w:szCs w:val="28"/>
          <w:lang w:val="lv-LV" w:eastAsia="lv-LV"/>
        </w:rPr>
        <w:t>Lai</w:t>
      </w:r>
      <w:r w:rsidR="00842448">
        <w:rPr>
          <w:snapToGrid/>
          <w:sz w:val="28"/>
          <w:szCs w:val="28"/>
          <w:lang w:val="lv-LV" w:eastAsia="lv-LV"/>
        </w:rPr>
        <w:t xml:space="preserve"> arī turpmāk</w:t>
      </w:r>
      <w:r>
        <w:rPr>
          <w:snapToGrid/>
          <w:sz w:val="28"/>
          <w:szCs w:val="28"/>
          <w:lang w:val="lv-LV" w:eastAsia="lv-LV"/>
        </w:rPr>
        <w:t xml:space="preserve"> sasniegtu rīcības plānā paredzēto n</w:t>
      </w:r>
      <w:r w:rsidRPr="00A968A1">
        <w:rPr>
          <w:snapToGrid/>
          <w:sz w:val="28"/>
          <w:szCs w:val="28"/>
          <w:lang w:val="lv-LV" w:eastAsia="lv-LV"/>
        </w:rPr>
        <w:t xml:space="preserve">o </w:t>
      </w:r>
      <w:r>
        <w:rPr>
          <w:snapToGrid/>
          <w:sz w:val="28"/>
          <w:szCs w:val="28"/>
          <w:lang w:val="lv-LV" w:eastAsia="lv-LV"/>
        </w:rPr>
        <w:t>AER</w:t>
      </w:r>
      <w:r w:rsidRPr="00A968A1">
        <w:rPr>
          <w:snapToGrid/>
          <w:sz w:val="28"/>
          <w:szCs w:val="28"/>
          <w:lang w:val="lv-LV" w:eastAsia="lv-LV"/>
        </w:rPr>
        <w:t xml:space="preserve"> saražotās enerģijas </w:t>
      </w:r>
      <w:r>
        <w:rPr>
          <w:snapToGrid/>
          <w:sz w:val="28"/>
          <w:szCs w:val="28"/>
          <w:lang w:val="lv-LV" w:eastAsia="lv-LV"/>
        </w:rPr>
        <w:t xml:space="preserve">apjomu, īpaša uzmanība jāpievērš </w:t>
      </w:r>
      <w:r w:rsidR="00357F4E">
        <w:rPr>
          <w:snapToGrid/>
          <w:sz w:val="28"/>
          <w:szCs w:val="28"/>
          <w:lang w:val="lv-LV" w:eastAsia="lv-LV"/>
        </w:rPr>
        <w:t>atjaunojamās enerģijas</w:t>
      </w:r>
      <w:r>
        <w:rPr>
          <w:snapToGrid/>
          <w:sz w:val="28"/>
          <w:szCs w:val="28"/>
          <w:lang w:val="lv-LV" w:eastAsia="lv-LV"/>
        </w:rPr>
        <w:t xml:space="preserve"> izmantošanas palielināšanai apsildē un dzesē</w:t>
      </w:r>
      <w:r w:rsidR="00357F4E">
        <w:rPr>
          <w:snapToGrid/>
          <w:sz w:val="28"/>
          <w:szCs w:val="28"/>
          <w:lang w:val="lv-LV" w:eastAsia="lv-LV"/>
        </w:rPr>
        <w:t xml:space="preserve">šanā, kur atjaunojamās enerģijas </w:t>
      </w:r>
      <w:r w:rsidR="00842448">
        <w:rPr>
          <w:snapToGrid/>
          <w:sz w:val="28"/>
          <w:szCs w:val="28"/>
          <w:lang w:val="lv-LV" w:eastAsia="lv-LV"/>
        </w:rPr>
        <w:t xml:space="preserve">izmantošana ir ekonomiski </w:t>
      </w:r>
      <w:r w:rsidR="00AE253A">
        <w:rPr>
          <w:snapToGrid/>
          <w:sz w:val="28"/>
          <w:szCs w:val="28"/>
          <w:lang w:val="lv-LV" w:eastAsia="lv-LV"/>
        </w:rPr>
        <w:t>efektīvākā</w:t>
      </w:r>
      <w:r w:rsidR="00357F4E">
        <w:rPr>
          <w:snapToGrid/>
          <w:sz w:val="28"/>
          <w:szCs w:val="28"/>
          <w:lang w:val="lv-LV" w:eastAsia="lv-LV"/>
        </w:rPr>
        <w:t>.</w:t>
      </w:r>
      <w:r>
        <w:rPr>
          <w:snapToGrid/>
          <w:sz w:val="28"/>
          <w:szCs w:val="28"/>
          <w:lang w:val="lv-LV" w:eastAsia="lv-LV"/>
        </w:rPr>
        <w:t xml:space="preserve"> </w:t>
      </w:r>
      <w:r w:rsidR="00357F4E">
        <w:rPr>
          <w:snapToGrid/>
          <w:sz w:val="28"/>
          <w:szCs w:val="28"/>
          <w:lang w:val="lv-LV" w:eastAsia="lv-LV"/>
        </w:rPr>
        <w:t>Papildus nepieciešams veicināt</w:t>
      </w:r>
      <w:r w:rsidRPr="00A968A1">
        <w:rPr>
          <w:snapToGrid/>
          <w:sz w:val="28"/>
          <w:szCs w:val="28"/>
          <w:lang w:val="lv-LV" w:eastAsia="lv-LV"/>
        </w:rPr>
        <w:t xml:space="preserve"> energoefektivitātes pasākum</w:t>
      </w:r>
      <w:r w:rsidR="00357F4E">
        <w:rPr>
          <w:snapToGrid/>
          <w:sz w:val="28"/>
          <w:szCs w:val="28"/>
          <w:lang w:val="lv-LV" w:eastAsia="lv-LV"/>
        </w:rPr>
        <w:t>u veikšanu</w:t>
      </w:r>
      <w:r w:rsidRPr="00A968A1">
        <w:rPr>
          <w:snapToGrid/>
          <w:sz w:val="28"/>
          <w:szCs w:val="28"/>
          <w:lang w:val="lv-LV" w:eastAsia="lv-LV"/>
        </w:rPr>
        <w:t>, lai nemazinātos AE īpatsvars kopējā bruto enerģijas galapatēriņā</w:t>
      </w:r>
      <w:r w:rsidRPr="00D6616C">
        <w:rPr>
          <w:sz w:val="28"/>
          <w:szCs w:val="28"/>
          <w:lang w:val="lv-LV"/>
        </w:rPr>
        <w:t>.</w:t>
      </w:r>
    </w:p>
    <w:p w14:paraId="1168173F" w14:textId="77777777" w:rsidR="003D19BE" w:rsidRDefault="00A968A1" w:rsidP="00AB2037">
      <w:pPr>
        <w:ind w:firstLine="709"/>
        <w:jc w:val="both"/>
        <w:rPr>
          <w:snapToGrid/>
          <w:sz w:val="28"/>
          <w:szCs w:val="28"/>
          <w:lang w:val="lv-LV" w:eastAsia="lv-LV"/>
        </w:rPr>
      </w:pPr>
      <w:r w:rsidRPr="00A968A1">
        <w:rPr>
          <w:snapToGrid/>
          <w:sz w:val="28"/>
          <w:szCs w:val="28"/>
          <w:lang w:val="lv-LV" w:eastAsia="lv-LV"/>
        </w:rPr>
        <w:t>Paredzams, ka turpmāk AE izmantošana būs aptuveni vienāda ar rīcības plānā paredzētajām vērtībām.</w:t>
      </w:r>
    </w:p>
    <w:p w14:paraId="61508B33" w14:textId="77777777" w:rsidR="00A968A1" w:rsidRPr="00D6616C" w:rsidRDefault="00A968A1">
      <w:pPr>
        <w:rPr>
          <w:lang w:val="lv-LV"/>
        </w:rPr>
      </w:pPr>
    </w:p>
    <w:p w14:paraId="69F91005" w14:textId="77777777" w:rsidR="00820C75" w:rsidRPr="00D6616C" w:rsidRDefault="00820C75" w:rsidP="00935562">
      <w:pPr>
        <w:pStyle w:val="Heading2"/>
        <w:numPr>
          <w:ilvl w:val="0"/>
          <w:numId w:val="0"/>
        </w:numPr>
        <w:jc w:val="center"/>
        <w:rPr>
          <w:sz w:val="28"/>
          <w:szCs w:val="32"/>
          <w:lang w:val="lv-LV"/>
        </w:rPr>
      </w:pPr>
      <w:bookmarkStart w:id="41" w:name="_Toc371357214"/>
      <w:bookmarkStart w:id="42" w:name="_Toc373229254"/>
      <w:r w:rsidRPr="00D6616C">
        <w:rPr>
          <w:sz w:val="28"/>
          <w:szCs w:val="32"/>
          <w:lang w:val="lv-LV"/>
        </w:rPr>
        <w:lastRenderedPageBreak/>
        <w:t xml:space="preserve">11.1. </w:t>
      </w:r>
      <w:r w:rsidR="0068454A" w:rsidRPr="00D6616C">
        <w:rPr>
          <w:sz w:val="28"/>
          <w:szCs w:val="32"/>
          <w:lang w:val="lv-LV"/>
        </w:rPr>
        <w:t>S</w:t>
      </w:r>
      <w:r w:rsidRPr="00D6616C">
        <w:rPr>
          <w:sz w:val="28"/>
          <w:szCs w:val="32"/>
          <w:lang w:val="lv-LV"/>
        </w:rPr>
        <w:t>tatistisk</w:t>
      </w:r>
      <w:r w:rsidR="0068454A" w:rsidRPr="00D6616C">
        <w:rPr>
          <w:sz w:val="28"/>
          <w:szCs w:val="32"/>
          <w:lang w:val="lv-LV"/>
        </w:rPr>
        <w:t>ie pārvedumi,</w:t>
      </w:r>
      <w:r w:rsidRPr="00D6616C">
        <w:rPr>
          <w:sz w:val="28"/>
          <w:szCs w:val="32"/>
          <w:lang w:val="lv-LV"/>
        </w:rPr>
        <w:t xml:space="preserve"> kopīgi īstenotie projekti un kopīgu </w:t>
      </w:r>
      <w:r w:rsidR="009E650B" w:rsidRPr="00D6616C">
        <w:rPr>
          <w:sz w:val="28"/>
          <w:szCs w:val="32"/>
          <w:lang w:val="lv-LV"/>
        </w:rPr>
        <w:t>atbalsta shēmu lēmumu noteikumi</w:t>
      </w:r>
      <w:bookmarkEnd w:id="41"/>
      <w:bookmarkEnd w:id="42"/>
    </w:p>
    <w:p w14:paraId="12E8909F" w14:textId="77777777" w:rsidR="00392962" w:rsidRPr="00D6616C" w:rsidRDefault="00392962" w:rsidP="00392962">
      <w:pPr>
        <w:rPr>
          <w:lang w:val="lv-LV"/>
        </w:rPr>
      </w:pPr>
    </w:p>
    <w:p w14:paraId="7F00E073" w14:textId="77777777" w:rsidR="00392962" w:rsidRDefault="00392962" w:rsidP="00392962">
      <w:pPr>
        <w:ind w:firstLine="709"/>
        <w:jc w:val="both"/>
        <w:rPr>
          <w:snapToGrid/>
          <w:sz w:val="28"/>
          <w:szCs w:val="28"/>
          <w:lang w:val="lv-LV" w:eastAsia="lv-LV"/>
        </w:rPr>
      </w:pPr>
      <w:r w:rsidRPr="00B76CCA">
        <w:rPr>
          <w:snapToGrid/>
          <w:sz w:val="28"/>
          <w:szCs w:val="28"/>
          <w:lang w:val="lv-LV" w:eastAsia="lv-LV"/>
        </w:rPr>
        <w:t>20</w:t>
      </w:r>
      <w:r w:rsidR="00273D7A" w:rsidRPr="00B76CCA">
        <w:rPr>
          <w:snapToGrid/>
          <w:sz w:val="28"/>
          <w:szCs w:val="28"/>
          <w:lang w:val="lv-LV" w:eastAsia="lv-LV"/>
        </w:rPr>
        <w:t>11</w:t>
      </w:r>
      <w:r w:rsidRPr="00B76CCA">
        <w:rPr>
          <w:snapToGrid/>
          <w:sz w:val="28"/>
          <w:szCs w:val="28"/>
          <w:lang w:val="lv-LV" w:eastAsia="lv-LV"/>
        </w:rPr>
        <w:t>. un 201</w:t>
      </w:r>
      <w:r w:rsidR="00273D7A" w:rsidRPr="00B76CCA">
        <w:rPr>
          <w:snapToGrid/>
          <w:sz w:val="28"/>
          <w:szCs w:val="28"/>
          <w:lang w:val="lv-LV" w:eastAsia="lv-LV"/>
        </w:rPr>
        <w:t>2</w:t>
      </w:r>
      <w:r w:rsidRPr="00B76CCA">
        <w:rPr>
          <w:snapToGrid/>
          <w:sz w:val="28"/>
          <w:szCs w:val="28"/>
          <w:lang w:val="lv-LV" w:eastAsia="lv-LV"/>
        </w:rPr>
        <w:t xml:space="preserve">. gadā Latvija nav sadarbojusies un neplāno sadarbību ar ES dalībvalstīm un trešajām valstīm kopējos projektos, kas saistīti ar elektroenerģijas, siltumapgādei un dzesēšanai izmantojamās enerģijas ražošanu no atjaunojamajiem energoresursiem. Latvija šajā periodā nav pieņēmusi lēmumus par valsts atbalsta </w:t>
      </w:r>
      <w:r w:rsidR="00067B8D">
        <w:rPr>
          <w:snapToGrid/>
          <w:sz w:val="28"/>
          <w:szCs w:val="28"/>
          <w:lang w:val="lv-LV" w:eastAsia="lv-LV"/>
        </w:rPr>
        <w:t>mehānismu</w:t>
      </w:r>
      <w:r w:rsidR="00067B8D" w:rsidRPr="00B76CCA">
        <w:rPr>
          <w:snapToGrid/>
          <w:sz w:val="28"/>
          <w:szCs w:val="28"/>
          <w:lang w:val="lv-LV" w:eastAsia="lv-LV"/>
        </w:rPr>
        <w:t xml:space="preserve"> </w:t>
      </w:r>
      <w:r w:rsidRPr="00B76CCA">
        <w:rPr>
          <w:snapToGrid/>
          <w:sz w:val="28"/>
          <w:szCs w:val="28"/>
          <w:lang w:val="lv-LV" w:eastAsia="lv-LV"/>
        </w:rPr>
        <w:t>apvienošanu vai daļēju koordinēšanu. Latvija nav vienojusies ar citām ES dalībvalstīm par noteikta no AER saražotas enerģijas daudzuma statistisku nodošanu vai saņemšanu.</w:t>
      </w:r>
    </w:p>
    <w:p w14:paraId="5FAFA0EC" w14:textId="77777777" w:rsidR="00C80170" w:rsidRPr="00392962" w:rsidRDefault="00C80170" w:rsidP="00392962">
      <w:pPr>
        <w:ind w:firstLine="709"/>
        <w:jc w:val="both"/>
        <w:rPr>
          <w:snapToGrid/>
          <w:sz w:val="28"/>
          <w:szCs w:val="28"/>
          <w:lang w:val="lv-LV" w:eastAsia="lv-LV"/>
        </w:rPr>
      </w:pPr>
    </w:p>
    <w:p w14:paraId="6FBD7564" w14:textId="13624511" w:rsidR="00820C75" w:rsidRPr="00935562" w:rsidRDefault="00820C75" w:rsidP="0068454A">
      <w:pPr>
        <w:pStyle w:val="Heading1"/>
        <w:numPr>
          <w:ilvl w:val="0"/>
          <w:numId w:val="0"/>
        </w:numPr>
        <w:ind w:left="850" w:hanging="850"/>
        <w:rPr>
          <w:smallCaps w:val="0"/>
          <w:sz w:val="28"/>
          <w:lang w:val="lv-LV"/>
        </w:rPr>
      </w:pPr>
      <w:bookmarkStart w:id="43" w:name="_Toc373229255"/>
      <w:r w:rsidRPr="00935562">
        <w:rPr>
          <w:smallCaps w:val="0"/>
          <w:sz w:val="28"/>
          <w:lang w:val="lv-LV"/>
        </w:rPr>
        <w:t xml:space="preserve">12. </w:t>
      </w:r>
      <w:r w:rsidR="00A80F5F" w:rsidRPr="00935562">
        <w:rPr>
          <w:smallCaps w:val="0"/>
          <w:sz w:val="28"/>
          <w:lang w:val="lv-LV"/>
        </w:rPr>
        <w:t>Informācija</w:t>
      </w:r>
      <w:r w:rsidRPr="00935562">
        <w:rPr>
          <w:smallCaps w:val="0"/>
          <w:sz w:val="28"/>
          <w:lang w:val="lv-LV"/>
        </w:rPr>
        <w:t xml:space="preserve"> par to, kā veiktas aplēses par bioloģiski noārdāmo atkritumu īpatsvaru enerģijas ražošanai izmantojamos atkritumos</w:t>
      </w:r>
      <w:bookmarkEnd w:id="43"/>
    </w:p>
    <w:p w14:paraId="524D809A" w14:textId="77777777" w:rsidR="00820C75" w:rsidRPr="00D6616C" w:rsidRDefault="00820C75">
      <w:pPr>
        <w:jc w:val="both"/>
        <w:rPr>
          <w:lang w:val="lv-LV"/>
        </w:rPr>
      </w:pPr>
    </w:p>
    <w:p w14:paraId="024B76C8" w14:textId="77777777" w:rsidR="00590514" w:rsidRPr="00590514" w:rsidRDefault="00462F9B" w:rsidP="00590514">
      <w:pPr>
        <w:ind w:firstLine="709"/>
        <w:jc w:val="both"/>
        <w:rPr>
          <w:snapToGrid/>
          <w:sz w:val="28"/>
          <w:szCs w:val="28"/>
          <w:lang w:val="lv-LV" w:eastAsia="lv-LV"/>
        </w:rPr>
      </w:pPr>
      <w:r w:rsidRPr="00462F9B">
        <w:rPr>
          <w:snapToGrid/>
          <w:sz w:val="28"/>
          <w:szCs w:val="28"/>
          <w:lang w:val="lv-LV" w:eastAsia="lv-LV"/>
        </w:rPr>
        <w:t xml:space="preserve">Ar </w:t>
      </w:r>
      <w:r w:rsidR="00F71090">
        <w:rPr>
          <w:snapToGrid/>
          <w:sz w:val="28"/>
          <w:szCs w:val="28"/>
          <w:lang w:val="lv-LV" w:eastAsia="lv-LV"/>
        </w:rPr>
        <w:t>MK</w:t>
      </w:r>
      <w:r w:rsidRPr="00462F9B">
        <w:rPr>
          <w:snapToGrid/>
          <w:sz w:val="28"/>
          <w:szCs w:val="28"/>
          <w:lang w:val="lv-LV" w:eastAsia="lv-LV"/>
        </w:rPr>
        <w:t xml:space="preserve"> </w:t>
      </w:r>
      <w:r w:rsidR="00067B8D" w:rsidRPr="00462F9B">
        <w:rPr>
          <w:snapToGrid/>
          <w:sz w:val="28"/>
          <w:szCs w:val="28"/>
          <w:lang w:val="lv-LV" w:eastAsia="lv-LV"/>
        </w:rPr>
        <w:t>2007.</w:t>
      </w:r>
      <w:r w:rsidR="00067B8D">
        <w:rPr>
          <w:snapToGrid/>
          <w:sz w:val="28"/>
          <w:szCs w:val="28"/>
          <w:lang w:val="lv-LV" w:eastAsia="lv-LV"/>
        </w:rPr>
        <w:t> </w:t>
      </w:r>
      <w:r w:rsidR="00067B8D" w:rsidRPr="00462F9B">
        <w:rPr>
          <w:snapToGrid/>
          <w:sz w:val="28"/>
          <w:szCs w:val="28"/>
          <w:lang w:val="lv-LV" w:eastAsia="lv-LV"/>
        </w:rPr>
        <w:t>g</w:t>
      </w:r>
      <w:r w:rsidR="00067B8D">
        <w:rPr>
          <w:snapToGrid/>
          <w:sz w:val="28"/>
          <w:szCs w:val="28"/>
          <w:lang w:val="lv-LV" w:eastAsia="lv-LV"/>
        </w:rPr>
        <w:t xml:space="preserve">ada </w:t>
      </w:r>
      <w:r w:rsidR="00067B8D" w:rsidRPr="00462F9B">
        <w:rPr>
          <w:snapToGrid/>
          <w:sz w:val="28"/>
          <w:szCs w:val="28"/>
          <w:lang w:val="lv-LV" w:eastAsia="lv-LV"/>
        </w:rPr>
        <w:t>14.</w:t>
      </w:r>
      <w:r w:rsidR="00067B8D">
        <w:rPr>
          <w:snapToGrid/>
          <w:sz w:val="28"/>
          <w:szCs w:val="28"/>
          <w:lang w:val="lv-LV" w:eastAsia="lv-LV"/>
        </w:rPr>
        <w:t> </w:t>
      </w:r>
      <w:r w:rsidR="00067B8D" w:rsidRPr="00462F9B">
        <w:rPr>
          <w:snapToGrid/>
          <w:sz w:val="28"/>
          <w:szCs w:val="28"/>
          <w:lang w:val="lv-LV" w:eastAsia="lv-LV"/>
        </w:rPr>
        <w:t xml:space="preserve">jūnija </w:t>
      </w:r>
      <w:r w:rsidRPr="00462F9B">
        <w:rPr>
          <w:snapToGrid/>
          <w:sz w:val="28"/>
          <w:szCs w:val="28"/>
          <w:lang w:val="lv-LV" w:eastAsia="lv-LV"/>
        </w:rPr>
        <w:t xml:space="preserve">rīkojumu </w:t>
      </w:r>
      <w:proofErr w:type="spellStart"/>
      <w:r w:rsidRPr="00462F9B">
        <w:rPr>
          <w:snapToGrid/>
          <w:sz w:val="28"/>
          <w:szCs w:val="28"/>
          <w:lang w:val="lv-LV" w:eastAsia="lv-LV"/>
        </w:rPr>
        <w:t>Nr</w:t>
      </w:r>
      <w:proofErr w:type="spellEnd"/>
      <w:r w:rsidRPr="00462F9B">
        <w:rPr>
          <w:snapToGrid/>
          <w:sz w:val="28"/>
          <w:szCs w:val="28"/>
          <w:lang w:val="lv-LV" w:eastAsia="lv-LV"/>
        </w:rPr>
        <w:t>. 371 tika apstiprināts</w:t>
      </w:r>
      <w:r w:rsidRPr="00B250AA">
        <w:rPr>
          <w:snapToGrid/>
          <w:sz w:val="28"/>
          <w:szCs w:val="28"/>
          <w:lang w:val="lv-LV" w:eastAsia="lv-LV"/>
        </w:rPr>
        <w:t xml:space="preserve"> </w:t>
      </w:r>
      <w:r w:rsidRPr="00462F9B">
        <w:rPr>
          <w:snapToGrid/>
          <w:sz w:val="28"/>
          <w:szCs w:val="28"/>
          <w:lang w:val="lv-LV" w:eastAsia="lv-LV"/>
        </w:rPr>
        <w:t>„Biogāzes ražošanas un izmantošanas attīstības programmas projekts 2007.-</w:t>
      </w:r>
      <w:r w:rsidRPr="00B250AA">
        <w:rPr>
          <w:snapToGrid/>
          <w:sz w:val="28"/>
          <w:szCs w:val="28"/>
          <w:lang w:val="lv-LV" w:eastAsia="lv-LV"/>
        </w:rPr>
        <w:t xml:space="preserve"> </w:t>
      </w:r>
      <w:r w:rsidRPr="00462F9B">
        <w:rPr>
          <w:snapToGrid/>
          <w:sz w:val="28"/>
          <w:szCs w:val="28"/>
          <w:lang w:val="lv-LV" w:eastAsia="lv-LV"/>
        </w:rPr>
        <w:t xml:space="preserve">2011.gadam”. </w:t>
      </w:r>
      <w:r w:rsidR="00B250AA" w:rsidRPr="00B250AA">
        <w:rPr>
          <w:snapToGrid/>
          <w:sz w:val="28"/>
          <w:szCs w:val="28"/>
          <w:lang w:val="lv-LV" w:eastAsia="lv-LV"/>
        </w:rPr>
        <w:t xml:space="preserve">Projekta ietvaros Latvijas Vides, ģeoloģijas un meteoroloģijas </w:t>
      </w:r>
      <w:r w:rsidR="00B250AA" w:rsidRPr="00590514">
        <w:rPr>
          <w:snapToGrid/>
          <w:sz w:val="28"/>
          <w:szCs w:val="28"/>
          <w:lang w:val="lv-LV" w:eastAsia="lv-LV"/>
        </w:rPr>
        <w:t>centrs gatavo ikgadējo pārskatus par noārdāmiem atkritumiem un materiāliem. Pēdējais publicētais pārskats ir par 201</w:t>
      </w:r>
      <w:r w:rsidR="00480F68">
        <w:rPr>
          <w:snapToGrid/>
          <w:sz w:val="28"/>
          <w:szCs w:val="28"/>
          <w:lang w:val="lv-LV" w:eastAsia="lv-LV"/>
        </w:rPr>
        <w:t>2</w:t>
      </w:r>
      <w:r w:rsidR="00B250AA" w:rsidRPr="00590514">
        <w:rPr>
          <w:snapToGrid/>
          <w:sz w:val="28"/>
          <w:szCs w:val="28"/>
          <w:lang w:val="lv-LV" w:eastAsia="lv-LV"/>
        </w:rPr>
        <w:t xml:space="preserve">. gadu. </w:t>
      </w:r>
    </w:p>
    <w:p w14:paraId="24187A2D" w14:textId="77777777" w:rsidR="00462F9B" w:rsidRPr="00462F9B" w:rsidRDefault="00462F9B" w:rsidP="00590514">
      <w:pPr>
        <w:ind w:firstLine="709"/>
        <w:jc w:val="both"/>
        <w:rPr>
          <w:snapToGrid/>
          <w:sz w:val="28"/>
          <w:szCs w:val="28"/>
          <w:lang w:val="lv-LV" w:eastAsia="lv-LV"/>
        </w:rPr>
      </w:pPr>
      <w:r w:rsidRPr="00462F9B">
        <w:rPr>
          <w:snapToGrid/>
          <w:sz w:val="28"/>
          <w:szCs w:val="28"/>
          <w:lang w:val="lv-LV" w:eastAsia="lv-LV"/>
        </w:rPr>
        <w:t>Lai veiktu nepieciešamo datu pilnīgu apkopojumu, ir jāizmanto vairāki datu avoti:</w:t>
      </w:r>
    </w:p>
    <w:p w14:paraId="5A13C792" w14:textId="77777777" w:rsidR="00462F9B" w:rsidRPr="00462F9B" w:rsidRDefault="00462F9B" w:rsidP="00CA120A">
      <w:pPr>
        <w:ind w:left="709" w:hanging="142"/>
        <w:jc w:val="both"/>
        <w:rPr>
          <w:snapToGrid/>
          <w:sz w:val="28"/>
          <w:szCs w:val="28"/>
          <w:lang w:val="lv-LV" w:eastAsia="lv-LV"/>
        </w:rPr>
      </w:pPr>
      <w:r w:rsidRPr="00462F9B">
        <w:rPr>
          <w:snapToGrid/>
          <w:sz w:val="28"/>
          <w:szCs w:val="28"/>
          <w:lang w:val="lv-LV" w:eastAsia="lv-LV"/>
        </w:rPr>
        <w:t>1. Latvijas Vides, ģeoloģijas un meteoroloģijas centra datu bāze „Nr.3 –Atkritumi”,</w:t>
      </w:r>
      <w:r w:rsidR="00590514">
        <w:rPr>
          <w:snapToGrid/>
          <w:sz w:val="28"/>
          <w:szCs w:val="28"/>
          <w:lang w:val="lv-LV" w:eastAsia="lv-LV"/>
        </w:rPr>
        <w:t xml:space="preserve"> </w:t>
      </w:r>
      <w:r w:rsidRPr="00462F9B">
        <w:rPr>
          <w:snapToGrid/>
          <w:sz w:val="28"/>
          <w:szCs w:val="28"/>
          <w:lang w:val="lv-LV" w:eastAsia="lv-LV"/>
        </w:rPr>
        <w:t>kurā ir uzkrāti valsts statistikas pārskata “</w:t>
      </w:r>
      <w:proofErr w:type="spellStart"/>
      <w:r w:rsidRPr="00462F9B">
        <w:rPr>
          <w:snapToGrid/>
          <w:sz w:val="28"/>
          <w:szCs w:val="28"/>
          <w:lang w:val="lv-LV" w:eastAsia="lv-LV"/>
        </w:rPr>
        <w:t>Nr</w:t>
      </w:r>
      <w:proofErr w:type="spellEnd"/>
      <w:r w:rsidRPr="00462F9B">
        <w:rPr>
          <w:snapToGrid/>
          <w:sz w:val="28"/>
          <w:szCs w:val="28"/>
          <w:lang w:val="lv-LV" w:eastAsia="lv-LV"/>
        </w:rPr>
        <w:t>. 3. – Pārskats par atkritumiem” dati;</w:t>
      </w:r>
    </w:p>
    <w:p w14:paraId="43DC17DC" w14:textId="77777777" w:rsidR="00462F9B" w:rsidRPr="00462F9B" w:rsidRDefault="00462F9B" w:rsidP="00CA120A">
      <w:pPr>
        <w:ind w:left="709" w:hanging="142"/>
        <w:jc w:val="both"/>
        <w:rPr>
          <w:snapToGrid/>
          <w:sz w:val="28"/>
          <w:szCs w:val="28"/>
          <w:lang w:val="lv-LV" w:eastAsia="lv-LV"/>
        </w:rPr>
      </w:pPr>
      <w:r w:rsidRPr="00462F9B">
        <w:rPr>
          <w:snapToGrid/>
          <w:sz w:val="28"/>
          <w:szCs w:val="28"/>
          <w:lang w:val="lv-LV" w:eastAsia="lv-LV"/>
        </w:rPr>
        <w:t>2. Latvijas Vides, ģeoloģijas un meteoroloģijas centra datu bāze „</w:t>
      </w:r>
      <w:proofErr w:type="spellStart"/>
      <w:r w:rsidRPr="00462F9B">
        <w:rPr>
          <w:snapToGrid/>
          <w:sz w:val="28"/>
          <w:szCs w:val="28"/>
          <w:lang w:val="lv-LV" w:eastAsia="lv-LV"/>
        </w:rPr>
        <w:t>Nr</w:t>
      </w:r>
      <w:proofErr w:type="spellEnd"/>
      <w:r w:rsidRPr="00462F9B">
        <w:rPr>
          <w:snapToGrid/>
          <w:sz w:val="28"/>
          <w:szCs w:val="28"/>
          <w:lang w:val="lv-LV" w:eastAsia="lv-LV"/>
        </w:rPr>
        <w:t>. 2 – Ūdens”, kas</w:t>
      </w:r>
      <w:r w:rsidR="00590514">
        <w:rPr>
          <w:snapToGrid/>
          <w:sz w:val="28"/>
          <w:szCs w:val="28"/>
          <w:lang w:val="lv-LV" w:eastAsia="lv-LV"/>
        </w:rPr>
        <w:t xml:space="preserve"> </w:t>
      </w:r>
      <w:r w:rsidRPr="00462F9B">
        <w:rPr>
          <w:snapToGrid/>
          <w:sz w:val="28"/>
          <w:szCs w:val="28"/>
          <w:lang w:val="lv-LV" w:eastAsia="lv-LV"/>
        </w:rPr>
        <w:t>aptver datus par notekūdeņu attīrīšanas rezultātā izdalītajām dūņām;</w:t>
      </w:r>
    </w:p>
    <w:p w14:paraId="6D8C3B5F" w14:textId="77777777" w:rsidR="00462F9B" w:rsidRDefault="00462F9B" w:rsidP="00CA120A">
      <w:pPr>
        <w:ind w:left="709" w:hanging="142"/>
        <w:jc w:val="both"/>
        <w:rPr>
          <w:snapToGrid/>
          <w:sz w:val="28"/>
          <w:szCs w:val="28"/>
          <w:lang w:val="lv-LV" w:eastAsia="lv-LV"/>
        </w:rPr>
      </w:pPr>
      <w:r w:rsidRPr="00462F9B">
        <w:rPr>
          <w:snapToGrid/>
          <w:sz w:val="28"/>
          <w:szCs w:val="28"/>
          <w:lang w:val="lv-LV" w:eastAsia="lv-LV"/>
        </w:rPr>
        <w:t>3. Latvijas CSP datu apkopojums no apsekojuma par</w:t>
      </w:r>
      <w:r w:rsidR="00590514">
        <w:rPr>
          <w:snapToGrid/>
          <w:sz w:val="28"/>
          <w:szCs w:val="28"/>
          <w:lang w:val="lv-LV" w:eastAsia="lv-LV"/>
        </w:rPr>
        <w:t xml:space="preserve"> </w:t>
      </w:r>
      <w:r w:rsidRPr="00462F9B">
        <w:rPr>
          <w:snapToGrid/>
          <w:sz w:val="28"/>
          <w:szCs w:val="28"/>
          <w:lang w:val="lv-LV" w:eastAsia="lv-LV"/>
        </w:rPr>
        <w:t>lauksaimniecības sektora atkritumiem „1-Atkritumi (lauksaimniecība)”, apsekojums</w:t>
      </w:r>
      <w:r w:rsidR="00590514">
        <w:rPr>
          <w:snapToGrid/>
          <w:sz w:val="28"/>
          <w:szCs w:val="28"/>
          <w:lang w:val="lv-LV" w:eastAsia="lv-LV"/>
        </w:rPr>
        <w:t xml:space="preserve"> </w:t>
      </w:r>
      <w:r w:rsidRPr="00462F9B">
        <w:rPr>
          <w:snapToGrid/>
          <w:sz w:val="28"/>
          <w:szCs w:val="28"/>
          <w:lang w:val="lv-LV" w:eastAsia="lv-LV"/>
        </w:rPr>
        <w:t>tiek veikts ik pēc 2 gadiem, pēdējais - par 201</w:t>
      </w:r>
      <w:r w:rsidR="00857B86">
        <w:rPr>
          <w:snapToGrid/>
          <w:sz w:val="28"/>
          <w:szCs w:val="28"/>
          <w:lang w:val="lv-LV" w:eastAsia="lv-LV"/>
        </w:rPr>
        <w:t>2</w:t>
      </w:r>
      <w:r w:rsidRPr="00462F9B">
        <w:rPr>
          <w:snapToGrid/>
          <w:sz w:val="28"/>
          <w:szCs w:val="28"/>
          <w:lang w:val="lv-LV" w:eastAsia="lv-LV"/>
        </w:rPr>
        <w:t>.g</w:t>
      </w:r>
      <w:r w:rsidR="00480F68">
        <w:rPr>
          <w:snapToGrid/>
          <w:sz w:val="28"/>
          <w:szCs w:val="28"/>
          <w:lang w:val="lv-LV" w:eastAsia="lv-LV"/>
        </w:rPr>
        <w:t>.</w:t>
      </w:r>
    </w:p>
    <w:p w14:paraId="37CE8D4B" w14:textId="77777777" w:rsidR="00480F68" w:rsidRDefault="00480F68" w:rsidP="00480F68">
      <w:pPr>
        <w:ind w:firstLine="720"/>
        <w:jc w:val="both"/>
        <w:rPr>
          <w:snapToGrid/>
          <w:sz w:val="28"/>
          <w:szCs w:val="28"/>
          <w:lang w:val="lv-LV" w:eastAsia="lv-LV"/>
        </w:rPr>
      </w:pPr>
      <w:r>
        <w:rPr>
          <w:snapToGrid/>
          <w:sz w:val="28"/>
          <w:szCs w:val="28"/>
          <w:lang w:val="lv-LV" w:eastAsia="lv-LV"/>
        </w:rPr>
        <w:t xml:space="preserve">Latvijā </w:t>
      </w:r>
      <w:r w:rsidR="00AB2037">
        <w:rPr>
          <w:snapToGrid/>
          <w:sz w:val="28"/>
          <w:szCs w:val="28"/>
          <w:lang w:val="lv-LV" w:eastAsia="lv-LV"/>
        </w:rPr>
        <w:t xml:space="preserve">pārskata periodā </w:t>
      </w:r>
      <w:r>
        <w:rPr>
          <w:snapToGrid/>
          <w:sz w:val="28"/>
          <w:szCs w:val="28"/>
          <w:lang w:val="lv-LV" w:eastAsia="lv-LV"/>
        </w:rPr>
        <w:t>nav veikti pasākumi, lai uzlabotu vai pārbaudītu aplēses par bioloģiski noārdāmo atkritumu īpatsvaru enerģijas ražošanai izmantojamos atkritumos.</w:t>
      </w:r>
    </w:p>
    <w:p w14:paraId="0A0F51BD" w14:textId="77777777" w:rsidR="00A15D34" w:rsidRPr="00D6616C" w:rsidRDefault="00FC5C3D" w:rsidP="00A15D34">
      <w:pPr>
        <w:pStyle w:val="Heading1"/>
        <w:numPr>
          <w:ilvl w:val="0"/>
          <w:numId w:val="0"/>
        </w:numPr>
        <w:jc w:val="center"/>
        <w:rPr>
          <w:b w:val="0"/>
          <w:sz w:val="28"/>
          <w:szCs w:val="28"/>
          <w:lang w:val="lv-LV"/>
        </w:rPr>
      </w:pPr>
      <w:r>
        <w:rPr>
          <w:snapToGrid/>
          <w:sz w:val="28"/>
          <w:szCs w:val="28"/>
          <w:lang w:val="lv-LV" w:eastAsia="lv-LV"/>
        </w:rPr>
        <w:br w:type="page"/>
      </w:r>
    </w:p>
    <w:p w14:paraId="08BF6AD3" w14:textId="77777777" w:rsidR="00FC5C3D" w:rsidRPr="00F26DD1" w:rsidRDefault="00FC5C3D" w:rsidP="00FC5C3D">
      <w:pPr>
        <w:jc w:val="center"/>
        <w:rPr>
          <w:b/>
          <w:sz w:val="28"/>
          <w:lang w:val="lv-LV"/>
        </w:rPr>
      </w:pPr>
      <w:r w:rsidRPr="00F26DD1">
        <w:rPr>
          <w:b/>
          <w:sz w:val="28"/>
          <w:lang w:val="lv-LV"/>
        </w:rPr>
        <w:t>Mērvienības</w:t>
      </w:r>
    </w:p>
    <w:p w14:paraId="3271C5BE" w14:textId="77777777" w:rsidR="00FC5C3D" w:rsidRPr="00F26DD1" w:rsidRDefault="00FC5C3D" w:rsidP="00FC5C3D">
      <w:pPr>
        <w:rPr>
          <w:sz w:val="28"/>
          <w:lang w:val="lv-LV"/>
        </w:rPr>
      </w:pPr>
      <w:r w:rsidRPr="00F26DD1">
        <w:rPr>
          <w:sz w:val="28"/>
          <w:lang w:val="lv-LV"/>
        </w:rPr>
        <w:t>J – džouls</w:t>
      </w:r>
    </w:p>
    <w:p w14:paraId="51BBE07D" w14:textId="77777777" w:rsidR="00FC5C3D" w:rsidRPr="00F26DD1" w:rsidRDefault="00FC5C3D" w:rsidP="00FC5C3D">
      <w:pPr>
        <w:rPr>
          <w:sz w:val="28"/>
          <w:lang w:val="lv-LV"/>
        </w:rPr>
      </w:pPr>
      <w:r w:rsidRPr="00F26DD1">
        <w:rPr>
          <w:sz w:val="28"/>
          <w:lang w:val="lv-LV"/>
        </w:rPr>
        <w:t>W –vats</w:t>
      </w:r>
    </w:p>
    <w:p w14:paraId="2FA00CC7" w14:textId="77777777" w:rsidR="00FC5C3D" w:rsidRPr="00F26DD1" w:rsidRDefault="00FC5C3D" w:rsidP="00FC5C3D">
      <w:pPr>
        <w:rPr>
          <w:sz w:val="28"/>
          <w:lang w:val="lv-LV"/>
        </w:rPr>
      </w:pPr>
      <w:r w:rsidRPr="00F26DD1">
        <w:rPr>
          <w:sz w:val="28"/>
          <w:lang w:val="lv-LV"/>
        </w:rPr>
        <w:t xml:space="preserve">kWh –kilovatstunda </w:t>
      </w:r>
    </w:p>
    <w:p w14:paraId="2A170151" w14:textId="77777777" w:rsidR="00FC5C3D" w:rsidRPr="00F26DD1" w:rsidRDefault="00FC5C3D" w:rsidP="00FC5C3D">
      <w:pPr>
        <w:rPr>
          <w:sz w:val="28"/>
          <w:lang w:val="lv-LV"/>
        </w:rPr>
      </w:pPr>
      <w:proofErr w:type="spellStart"/>
      <w:r w:rsidRPr="00F26DD1">
        <w:rPr>
          <w:sz w:val="28"/>
          <w:lang w:val="lv-LV"/>
        </w:rPr>
        <w:t>toe</w:t>
      </w:r>
      <w:proofErr w:type="spellEnd"/>
      <w:r w:rsidRPr="00F26DD1">
        <w:rPr>
          <w:sz w:val="28"/>
          <w:lang w:val="lv-LV"/>
        </w:rPr>
        <w:t xml:space="preserve"> – tonna naftas ekvivalenta</w:t>
      </w:r>
    </w:p>
    <w:p w14:paraId="4F9A3DCB" w14:textId="77777777" w:rsidR="00FC5C3D" w:rsidRPr="00F26DD1" w:rsidRDefault="00FC5C3D" w:rsidP="00FC5C3D">
      <w:pPr>
        <w:rPr>
          <w:sz w:val="28"/>
          <w:lang w:val="lv-LV"/>
        </w:rPr>
      </w:pPr>
      <w:r w:rsidRPr="00F26DD1">
        <w:rPr>
          <w:sz w:val="28"/>
          <w:lang w:val="lv-LV"/>
        </w:rPr>
        <w:t>V</w:t>
      </w:r>
      <w:r w:rsidRPr="0001388D">
        <w:rPr>
          <w:sz w:val="28"/>
          <w:szCs w:val="28"/>
        </w:rPr>
        <w:sym w:font="Symbol" w:char="F02D"/>
      </w:r>
      <w:r w:rsidRPr="00F26DD1">
        <w:rPr>
          <w:sz w:val="28"/>
          <w:lang w:val="lv-LV"/>
        </w:rPr>
        <w:t xml:space="preserve"> volts </w:t>
      </w:r>
    </w:p>
    <w:p w14:paraId="6B416584" w14:textId="77777777" w:rsidR="00FC5C3D" w:rsidRPr="00F26DD1" w:rsidRDefault="00FC5C3D" w:rsidP="00FC5C3D">
      <w:pPr>
        <w:rPr>
          <w:sz w:val="28"/>
          <w:lang w:val="lv-LV"/>
        </w:rPr>
      </w:pPr>
      <w:r w:rsidRPr="00F26DD1">
        <w:rPr>
          <w:sz w:val="28"/>
          <w:lang w:val="lv-LV"/>
        </w:rPr>
        <w:t>m</w:t>
      </w:r>
      <w:r w:rsidRPr="00F26DD1">
        <w:rPr>
          <w:sz w:val="28"/>
          <w:vertAlign w:val="superscript"/>
          <w:lang w:val="lv-LV"/>
        </w:rPr>
        <w:t>3</w:t>
      </w:r>
      <w:r w:rsidRPr="00F26DD1">
        <w:rPr>
          <w:sz w:val="28"/>
          <w:lang w:val="lv-LV"/>
        </w:rPr>
        <w:t xml:space="preserve"> – kubikmetrs</w:t>
      </w:r>
    </w:p>
    <w:p w14:paraId="46E071D0" w14:textId="77777777" w:rsidR="00FC5C3D" w:rsidRPr="00F26DD1" w:rsidRDefault="00FC5C3D" w:rsidP="00FC5C3D">
      <w:pPr>
        <w:rPr>
          <w:sz w:val="28"/>
          <w:lang w:val="lv-LV"/>
        </w:rPr>
      </w:pPr>
      <w:r w:rsidRPr="00F26DD1">
        <w:rPr>
          <w:sz w:val="28"/>
          <w:lang w:val="lv-LV"/>
        </w:rPr>
        <w:t>l – litrs</w:t>
      </w:r>
    </w:p>
    <w:p w14:paraId="2B7B11F4" w14:textId="77777777" w:rsidR="00FC5C3D" w:rsidRPr="00F26DD1" w:rsidRDefault="00FC5C3D" w:rsidP="00FC5C3D">
      <w:pPr>
        <w:rPr>
          <w:sz w:val="28"/>
          <w:lang w:val="lv-LV"/>
        </w:rPr>
      </w:pPr>
      <w:r w:rsidRPr="00F26DD1">
        <w:rPr>
          <w:sz w:val="28"/>
          <w:lang w:val="lv-LV"/>
        </w:rPr>
        <w:t>kg – kilograms (10</w:t>
      </w:r>
      <w:r w:rsidRPr="00F26DD1">
        <w:rPr>
          <w:sz w:val="28"/>
          <w:vertAlign w:val="superscript"/>
          <w:lang w:val="lv-LV"/>
        </w:rPr>
        <w:t>3</w:t>
      </w:r>
      <w:r w:rsidRPr="00F26DD1">
        <w:rPr>
          <w:sz w:val="28"/>
          <w:lang w:val="lv-LV"/>
        </w:rPr>
        <w:t xml:space="preserve"> gramu)</w:t>
      </w:r>
    </w:p>
    <w:p w14:paraId="2B6C8BDE" w14:textId="77777777" w:rsidR="00FC5C3D" w:rsidRPr="00F26DD1" w:rsidRDefault="00FC5C3D" w:rsidP="00FC5C3D">
      <w:pPr>
        <w:rPr>
          <w:sz w:val="28"/>
          <w:lang w:val="lv-LV"/>
        </w:rPr>
      </w:pPr>
      <w:r w:rsidRPr="00F26DD1">
        <w:rPr>
          <w:sz w:val="28"/>
          <w:lang w:val="lv-LV"/>
        </w:rPr>
        <w:t>t – tonna</w:t>
      </w:r>
    </w:p>
    <w:p w14:paraId="7E3E8F66" w14:textId="77777777" w:rsidR="00FC5C3D" w:rsidRPr="00F26DD1" w:rsidRDefault="00FC5C3D" w:rsidP="00FC5C3D">
      <w:pPr>
        <w:rPr>
          <w:sz w:val="28"/>
          <w:lang w:val="lv-LV"/>
        </w:rPr>
      </w:pPr>
      <w:r w:rsidRPr="00F26DD1">
        <w:rPr>
          <w:sz w:val="28"/>
          <w:lang w:val="lv-LV"/>
        </w:rPr>
        <w:t>ha – hektārs</w:t>
      </w:r>
    </w:p>
    <w:p w14:paraId="41102E65" w14:textId="77777777" w:rsidR="00FC5C3D" w:rsidRPr="00F26DD1" w:rsidRDefault="00FC5C3D" w:rsidP="00FC5C3D">
      <w:pPr>
        <w:rPr>
          <w:sz w:val="28"/>
          <w:lang w:val="lv-LV"/>
        </w:rPr>
      </w:pPr>
    </w:p>
    <w:p w14:paraId="24D0B9BA" w14:textId="77777777" w:rsidR="00FC5C3D" w:rsidRPr="0001388D" w:rsidRDefault="00FC5C3D" w:rsidP="00FC5C3D">
      <w:pPr>
        <w:jc w:val="center"/>
        <w:rPr>
          <w:b/>
          <w:sz w:val="28"/>
          <w:szCs w:val="28"/>
        </w:rPr>
      </w:pPr>
      <w:proofErr w:type="spellStart"/>
      <w:r>
        <w:rPr>
          <w:b/>
          <w:sz w:val="28"/>
          <w:szCs w:val="28"/>
        </w:rPr>
        <w:t>Decimālie</w:t>
      </w:r>
      <w:proofErr w:type="spellEnd"/>
      <w:r>
        <w:rPr>
          <w:b/>
          <w:sz w:val="28"/>
          <w:szCs w:val="28"/>
        </w:rPr>
        <w:t xml:space="preserve"> </w:t>
      </w:r>
      <w:proofErr w:type="spellStart"/>
      <w:r>
        <w:rPr>
          <w:b/>
          <w:sz w:val="28"/>
          <w:szCs w:val="28"/>
        </w:rPr>
        <w:t>prefiksi</w:t>
      </w:r>
      <w:proofErr w:type="spellEnd"/>
    </w:p>
    <w:p w14:paraId="7671D0A9" w14:textId="77777777" w:rsidR="00FC5C3D" w:rsidRDefault="00FC5C3D" w:rsidP="00FC5C3D">
      <w:pPr>
        <w:rPr>
          <w:sz w:val="28"/>
          <w:szCs w:val="28"/>
        </w:rPr>
      </w:pPr>
      <w:r>
        <w:rPr>
          <w:sz w:val="28"/>
          <w:szCs w:val="28"/>
        </w:rPr>
        <w:t>k</w:t>
      </w:r>
      <w:r w:rsidRPr="0001388D">
        <w:rPr>
          <w:sz w:val="28"/>
          <w:szCs w:val="28"/>
        </w:rPr>
        <w:t xml:space="preserve"> – </w:t>
      </w:r>
      <w:proofErr w:type="gramStart"/>
      <w:r>
        <w:rPr>
          <w:sz w:val="28"/>
          <w:szCs w:val="28"/>
        </w:rPr>
        <w:t>kilo</w:t>
      </w:r>
      <w:proofErr w:type="gramEnd"/>
      <w:r>
        <w:rPr>
          <w:sz w:val="28"/>
          <w:szCs w:val="28"/>
        </w:rPr>
        <w:t xml:space="preserve"> (10</w:t>
      </w:r>
      <w:r w:rsidRPr="002E0DD8">
        <w:rPr>
          <w:sz w:val="28"/>
          <w:szCs w:val="28"/>
          <w:vertAlign w:val="superscript"/>
        </w:rPr>
        <w:t>3</w:t>
      </w:r>
      <w:r w:rsidRPr="00C27C92">
        <w:rPr>
          <w:sz w:val="28"/>
          <w:szCs w:val="28"/>
        </w:rPr>
        <w:t>)</w:t>
      </w:r>
    </w:p>
    <w:p w14:paraId="075ED72A" w14:textId="77777777" w:rsidR="00FC5C3D" w:rsidRPr="0001388D" w:rsidRDefault="00FC5C3D" w:rsidP="00FC5C3D">
      <w:pPr>
        <w:rPr>
          <w:sz w:val="28"/>
          <w:szCs w:val="28"/>
        </w:rPr>
      </w:pPr>
      <w:r>
        <w:rPr>
          <w:sz w:val="28"/>
          <w:szCs w:val="28"/>
        </w:rPr>
        <w:t xml:space="preserve">M </w:t>
      </w:r>
      <w:r w:rsidRPr="0001388D">
        <w:rPr>
          <w:sz w:val="28"/>
          <w:szCs w:val="28"/>
        </w:rPr>
        <w:t>–</w:t>
      </w:r>
      <w:r>
        <w:rPr>
          <w:sz w:val="28"/>
          <w:szCs w:val="28"/>
        </w:rPr>
        <w:t xml:space="preserve"> </w:t>
      </w:r>
      <w:proofErr w:type="gramStart"/>
      <w:r>
        <w:rPr>
          <w:sz w:val="28"/>
          <w:szCs w:val="28"/>
        </w:rPr>
        <w:t>mega</w:t>
      </w:r>
      <w:proofErr w:type="gramEnd"/>
      <w:r>
        <w:rPr>
          <w:sz w:val="28"/>
          <w:szCs w:val="28"/>
        </w:rPr>
        <w:t xml:space="preserve"> (10</w:t>
      </w:r>
      <w:r>
        <w:rPr>
          <w:sz w:val="28"/>
          <w:szCs w:val="28"/>
          <w:vertAlign w:val="superscript"/>
        </w:rPr>
        <w:t>6</w:t>
      </w:r>
      <w:r w:rsidRPr="00C27C92">
        <w:rPr>
          <w:sz w:val="28"/>
          <w:szCs w:val="28"/>
        </w:rPr>
        <w:t>)</w:t>
      </w:r>
    </w:p>
    <w:p w14:paraId="5C710BCC" w14:textId="77777777" w:rsidR="00FC5C3D" w:rsidRPr="00F26DD1" w:rsidRDefault="00FC5C3D" w:rsidP="00FC5C3D">
      <w:pPr>
        <w:rPr>
          <w:sz w:val="28"/>
          <w:lang w:val="fr-FR"/>
        </w:rPr>
      </w:pPr>
      <w:r w:rsidRPr="00F26DD1">
        <w:rPr>
          <w:sz w:val="28"/>
          <w:szCs w:val="28"/>
        </w:rPr>
        <w:t>G</w:t>
      </w:r>
      <w:r w:rsidRPr="00F26DD1">
        <w:rPr>
          <w:sz w:val="28"/>
          <w:lang w:val="fr-FR"/>
        </w:rPr>
        <w:t xml:space="preserve"> –</w:t>
      </w:r>
      <w:r w:rsidRPr="00F26DD1">
        <w:rPr>
          <w:sz w:val="28"/>
          <w:szCs w:val="28"/>
        </w:rPr>
        <w:t xml:space="preserve"> </w:t>
      </w:r>
      <w:proofErr w:type="gramStart"/>
      <w:r w:rsidRPr="00F26DD1">
        <w:rPr>
          <w:sz w:val="28"/>
          <w:szCs w:val="28"/>
        </w:rPr>
        <w:t>gig</w:t>
      </w:r>
      <w:r w:rsidRPr="00F26DD1">
        <w:rPr>
          <w:sz w:val="28"/>
          <w:lang w:val="fr-FR"/>
        </w:rPr>
        <w:t>a</w:t>
      </w:r>
      <w:proofErr w:type="gramEnd"/>
      <w:r w:rsidRPr="00F26DD1">
        <w:rPr>
          <w:sz w:val="28"/>
          <w:lang w:val="fr-FR"/>
        </w:rPr>
        <w:t xml:space="preserve"> </w:t>
      </w:r>
      <w:r w:rsidRPr="00F26DD1">
        <w:rPr>
          <w:sz w:val="28"/>
          <w:szCs w:val="28"/>
        </w:rPr>
        <w:t>(10</w:t>
      </w:r>
      <w:r w:rsidRPr="00F26DD1">
        <w:rPr>
          <w:sz w:val="28"/>
          <w:szCs w:val="28"/>
          <w:vertAlign w:val="superscript"/>
        </w:rPr>
        <w:t>9</w:t>
      </w:r>
      <w:r w:rsidRPr="00F26DD1">
        <w:rPr>
          <w:sz w:val="28"/>
          <w:lang w:val="fr-FR"/>
        </w:rPr>
        <w:t>)</w:t>
      </w:r>
    </w:p>
    <w:p w14:paraId="77DE6B05" w14:textId="77777777" w:rsidR="00FC5C3D" w:rsidRPr="00F26DD1" w:rsidRDefault="00FC5C3D" w:rsidP="00FC5C3D">
      <w:pPr>
        <w:rPr>
          <w:sz w:val="28"/>
          <w:lang w:val="fr-FR"/>
        </w:rPr>
      </w:pPr>
      <w:r w:rsidRPr="00F26DD1">
        <w:rPr>
          <w:sz w:val="28"/>
          <w:szCs w:val="28"/>
        </w:rPr>
        <w:t xml:space="preserve">T – </w:t>
      </w:r>
      <w:proofErr w:type="spellStart"/>
      <w:proofErr w:type="gramStart"/>
      <w:r w:rsidRPr="00F26DD1">
        <w:rPr>
          <w:sz w:val="28"/>
          <w:szCs w:val="28"/>
        </w:rPr>
        <w:t>tera</w:t>
      </w:r>
      <w:proofErr w:type="spellEnd"/>
      <w:proofErr w:type="gramEnd"/>
      <w:r w:rsidRPr="00F26DD1">
        <w:rPr>
          <w:sz w:val="28"/>
          <w:szCs w:val="28"/>
        </w:rPr>
        <w:t xml:space="preserve"> (10</w:t>
      </w:r>
      <w:r w:rsidRPr="00F26DD1">
        <w:rPr>
          <w:sz w:val="28"/>
          <w:szCs w:val="28"/>
          <w:vertAlign w:val="superscript"/>
        </w:rPr>
        <w:t>12</w:t>
      </w:r>
      <w:r w:rsidRPr="00F26DD1">
        <w:rPr>
          <w:sz w:val="28"/>
          <w:lang w:val="fr-FR"/>
        </w:rPr>
        <w:t>)</w:t>
      </w:r>
    </w:p>
    <w:p w14:paraId="2ABC9DD2" w14:textId="77777777" w:rsidR="00FC5C3D" w:rsidRPr="00F26DD1" w:rsidRDefault="00FC5C3D" w:rsidP="00FC5C3D">
      <w:pPr>
        <w:rPr>
          <w:sz w:val="28"/>
          <w:szCs w:val="28"/>
        </w:rPr>
      </w:pPr>
      <w:r w:rsidRPr="00F26DD1">
        <w:rPr>
          <w:sz w:val="28"/>
          <w:szCs w:val="28"/>
        </w:rPr>
        <w:t>P</w:t>
      </w:r>
      <w:r w:rsidRPr="0001388D">
        <w:rPr>
          <w:sz w:val="28"/>
          <w:szCs w:val="28"/>
        </w:rPr>
        <w:sym w:font="Symbol" w:char="F02D"/>
      </w:r>
      <w:r w:rsidRPr="00F26DD1">
        <w:rPr>
          <w:sz w:val="28"/>
          <w:lang w:val="fr-FR"/>
        </w:rPr>
        <w:t xml:space="preserve"> </w:t>
      </w:r>
      <w:proofErr w:type="spellStart"/>
      <w:r w:rsidRPr="00F26DD1">
        <w:rPr>
          <w:sz w:val="28"/>
          <w:szCs w:val="28"/>
        </w:rPr>
        <w:t>peta</w:t>
      </w:r>
      <w:proofErr w:type="spellEnd"/>
      <w:r w:rsidRPr="00F26DD1">
        <w:rPr>
          <w:sz w:val="28"/>
          <w:lang w:val="fr-FR"/>
        </w:rPr>
        <w:t xml:space="preserve"> </w:t>
      </w:r>
      <w:r w:rsidRPr="00F26DD1">
        <w:rPr>
          <w:sz w:val="28"/>
          <w:szCs w:val="28"/>
        </w:rPr>
        <w:t>(10</w:t>
      </w:r>
      <w:r w:rsidRPr="00F26DD1">
        <w:rPr>
          <w:sz w:val="28"/>
          <w:szCs w:val="28"/>
          <w:vertAlign w:val="superscript"/>
        </w:rPr>
        <w:t>15</w:t>
      </w:r>
      <w:r w:rsidRPr="00F26DD1">
        <w:rPr>
          <w:sz w:val="28"/>
          <w:lang w:val="fr-FR"/>
        </w:rPr>
        <w:t>)</w:t>
      </w:r>
    </w:p>
    <w:p w14:paraId="20FF56A2" w14:textId="77777777" w:rsidR="00FC5C3D" w:rsidRPr="00F26DD1" w:rsidRDefault="00FC5C3D" w:rsidP="00FC5C3D">
      <w:pPr>
        <w:rPr>
          <w:sz w:val="28"/>
          <w:szCs w:val="28"/>
        </w:rPr>
      </w:pPr>
    </w:p>
    <w:p w14:paraId="7EAB5A6B" w14:textId="77777777" w:rsidR="00FC5C3D" w:rsidRPr="00F26DD1" w:rsidRDefault="00FC5C3D" w:rsidP="00FC5C3D">
      <w:pPr>
        <w:jc w:val="both"/>
        <w:rPr>
          <w:bCs/>
          <w:sz w:val="28"/>
          <w:szCs w:val="28"/>
        </w:rPr>
      </w:pPr>
    </w:p>
    <w:p w14:paraId="0EB8A559" w14:textId="77777777" w:rsidR="00FC5C3D" w:rsidRPr="00F26DD1" w:rsidRDefault="00FC5C3D" w:rsidP="00FC5C3D">
      <w:pPr>
        <w:jc w:val="both"/>
        <w:rPr>
          <w:bCs/>
          <w:sz w:val="28"/>
          <w:szCs w:val="28"/>
        </w:rPr>
      </w:pPr>
    </w:p>
    <w:p w14:paraId="5CABFF27" w14:textId="77777777" w:rsidR="00FC5C3D" w:rsidRPr="00F26DD1" w:rsidRDefault="00FC5C3D" w:rsidP="00FC5C3D">
      <w:pPr>
        <w:jc w:val="both"/>
        <w:rPr>
          <w:sz w:val="28"/>
          <w:lang w:val="fr-FR"/>
        </w:rPr>
      </w:pPr>
      <w:r w:rsidRPr="00F26DD1">
        <w:rPr>
          <w:bCs/>
          <w:sz w:val="28"/>
          <w:szCs w:val="20"/>
        </w:rPr>
        <w:t>I</w:t>
      </w:r>
      <w:proofErr w:type="spellStart"/>
      <w:r w:rsidRPr="00F26DD1">
        <w:rPr>
          <w:sz w:val="28"/>
          <w:lang w:val="fr-FR"/>
        </w:rPr>
        <w:t>esniedzējs</w:t>
      </w:r>
      <w:proofErr w:type="spellEnd"/>
      <w:r w:rsidRPr="00F26DD1">
        <w:rPr>
          <w:sz w:val="28"/>
          <w:lang w:val="fr-FR"/>
        </w:rPr>
        <w:t xml:space="preserve">: </w:t>
      </w:r>
    </w:p>
    <w:p w14:paraId="4D68615F" w14:textId="77777777" w:rsidR="00FC5C3D" w:rsidRPr="00B32D28" w:rsidRDefault="00FC5C3D" w:rsidP="00FC5C3D">
      <w:pPr>
        <w:pStyle w:val="Title"/>
        <w:tabs>
          <w:tab w:val="right" w:pos="9071"/>
        </w:tabs>
        <w:jc w:val="left"/>
        <w:rPr>
          <w:b w:val="0"/>
        </w:rPr>
      </w:pPr>
      <w:r>
        <w:rPr>
          <w:b w:val="0"/>
          <w:bCs w:val="0"/>
        </w:rPr>
        <w:t>e</w:t>
      </w:r>
      <w:r w:rsidRPr="00B32D28">
        <w:rPr>
          <w:b w:val="0"/>
          <w:bCs w:val="0"/>
        </w:rPr>
        <w:t>konomikas ministrs</w:t>
      </w:r>
      <w:r>
        <w:rPr>
          <w:b w:val="0"/>
          <w:bCs w:val="0"/>
        </w:rPr>
        <w:tab/>
        <w:t>D</w:t>
      </w:r>
      <w:r w:rsidRPr="00B32D28">
        <w:rPr>
          <w:b w:val="0"/>
          <w:bCs w:val="0"/>
        </w:rPr>
        <w:t>.</w:t>
      </w:r>
      <w:r>
        <w:rPr>
          <w:b w:val="0"/>
          <w:bCs w:val="0"/>
        </w:rPr>
        <w:t xml:space="preserve"> </w:t>
      </w:r>
      <w:proofErr w:type="spellStart"/>
      <w:r>
        <w:rPr>
          <w:b w:val="0"/>
          <w:bCs w:val="0"/>
        </w:rPr>
        <w:t>Pavļuts</w:t>
      </w:r>
      <w:proofErr w:type="spellEnd"/>
    </w:p>
    <w:p w14:paraId="386C4A0F" w14:textId="77777777" w:rsidR="00FC5C3D" w:rsidRDefault="00FC5C3D" w:rsidP="00FC5C3D">
      <w:pPr>
        <w:pStyle w:val="naisf"/>
        <w:spacing w:before="0" w:after="0"/>
        <w:ind w:firstLine="0"/>
        <w:rPr>
          <w:bCs/>
          <w:sz w:val="28"/>
          <w:szCs w:val="20"/>
        </w:rPr>
      </w:pPr>
    </w:p>
    <w:p w14:paraId="2D620568" w14:textId="77777777" w:rsidR="00FC5C3D" w:rsidRDefault="00FC5C3D" w:rsidP="00FC5C3D">
      <w:pPr>
        <w:pStyle w:val="naisf"/>
        <w:spacing w:before="0" w:after="0"/>
        <w:ind w:firstLine="0"/>
        <w:rPr>
          <w:bCs/>
          <w:sz w:val="28"/>
          <w:szCs w:val="20"/>
        </w:rPr>
      </w:pPr>
    </w:p>
    <w:p w14:paraId="24762619" w14:textId="77777777" w:rsidR="00FC5C3D" w:rsidRDefault="00FC5C3D" w:rsidP="00FC5C3D">
      <w:pPr>
        <w:pStyle w:val="naisf"/>
        <w:spacing w:before="0" w:after="120"/>
        <w:ind w:firstLine="0"/>
        <w:rPr>
          <w:b/>
          <w:bCs/>
          <w:sz w:val="28"/>
          <w:szCs w:val="20"/>
        </w:rPr>
      </w:pPr>
      <w:r w:rsidRPr="00DE47F1">
        <w:rPr>
          <w:bCs/>
          <w:sz w:val="28"/>
          <w:szCs w:val="20"/>
        </w:rPr>
        <w:t>Vīza</w:t>
      </w:r>
      <w:r>
        <w:rPr>
          <w:bCs/>
          <w:sz w:val="28"/>
          <w:szCs w:val="20"/>
        </w:rPr>
        <w:t>:</w:t>
      </w:r>
    </w:p>
    <w:p w14:paraId="105DA584" w14:textId="330358BF" w:rsidR="001457C2" w:rsidRPr="001457C2" w:rsidRDefault="001457C2" w:rsidP="001457C2">
      <w:pPr>
        <w:widowControl w:val="0"/>
        <w:ind w:left="1418" w:hanging="1418"/>
        <w:jc w:val="both"/>
        <w:rPr>
          <w:snapToGrid/>
          <w:sz w:val="28"/>
          <w:szCs w:val="28"/>
          <w:lang w:val="lv-LV" w:eastAsia="en-US"/>
        </w:rPr>
      </w:pPr>
      <w:r>
        <w:rPr>
          <w:snapToGrid/>
          <w:sz w:val="28"/>
          <w:szCs w:val="28"/>
          <w:lang w:val="lv-LV" w:eastAsia="en-US"/>
        </w:rPr>
        <w:t>V</w:t>
      </w:r>
      <w:r w:rsidRPr="001457C2">
        <w:rPr>
          <w:snapToGrid/>
          <w:sz w:val="28"/>
          <w:szCs w:val="28"/>
          <w:lang w:val="lv-LV" w:eastAsia="en-US"/>
        </w:rPr>
        <w:t>alsts sekretāra pienākumu izpildītājs,</w:t>
      </w:r>
    </w:p>
    <w:p w14:paraId="73A3733F" w14:textId="38A6F41A" w:rsidR="001457C2" w:rsidRPr="001457C2" w:rsidRDefault="001457C2" w:rsidP="001457C2">
      <w:pPr>
        <w:widowControl w:val="0"/>
        <w:ind w:left="1418" w:hanging="1418"/>
        <w:jc w:val="both"/>
        <w:rPr>
          <w:snapToGrid/>
          <w:sz w:val="28"/>
          <w:szCs w:val="28"/>
          <w:lang w:val="lv-LV" w:eastAsia="en-US"/>
        </w:rPr>
      </w:pPr>
      <w:r w:rsidRPr="001457C2">
        <w:rPr>
          <w:snapToGrid/>
          <w:sz w:val="28"/>
          <w:szCs w:val="28"/>
          <w:lang w:val="lv-LV" w:eastAsia="en-US"/>
        </w:rPr>
        <w:t xml:space="preserve">valsts sekretāra vietnieks                                                               </w:t>
      </w:r>
      <w:r>
        <w:rPr>
          <w:snapToGrid/>
          <w:sz w:val="28"/>
          <w:szCs w:val="28"/>
          <w:lang w:val="lv-LV" w:eastAsia="en-US"/>
        </w:rPr>
        <w:t xml:space="preserve">      </w:t>
      </w:r>
      <w:r w:rsidRPr="001457C2">
        <w:rPr>
          <w:snapToGrid/>
          <w:sz w:val="28"/>
          <w:szCs w:val="28"/>
          <w:lang w:val="lv-LV" w:eastAsia="en-US"/>
        </w:rPr>
        <w:t xml:space="preserve">   A.Liepiņš</w:t>
      </w:r>
    </w:p>
    <w:p w14:paraId="18A53F6C" w14:textId="77777777" w:rsidR="00FC5C3D" w:rsidRPr="001457C2" w:rsidRDefault="00FC5C3D" w:rsidP="00FC5C3D">
      <w:pPr>
        <w:pStyle w:val="naisf"/>
        <w:spacing w:before="0" w:after="120"/>
        <w:ind w:firstLine="0"/>
        <w:rPr>
          <w:bCs/>
          <w:sz w:val="28"/>
          <w:szCs w:val="28"/>
        </w:rPr>
      </w:pPr>
    </w:p>
    <w:p w14:paraId="167ECEEE" w14:textId="77777777" w:rsidR="00FC5C3D" w:rsidRPr="00D6616C" w:rsidRDefault="00FC5C3D" w:rsidP="00FC5C3D">
      <w:pPr>
        <w:pStyle w:val="Header"/>
        <w:rPr>
          <w:sz w:val="20"/>
          <w:szCs w:val="20"/>
          <w:lang w:val="lv-LV"/>
        </w:rPr>
      </w:pPr>
    </w:p>
    <w:p w14:paraId="19D538E2" w14:textId="77777777" w:rsidR="00FC5C3D" w:rsidRDefault="00FC5C3D" w:rsidP="00FC5C3D">
      <w:pPr>
        <w:pStyle w:val="Header"/>
        <w:rPr>
          <w:sz w:val="20"/>
          <w:szCs w:val="20"/>
          <w:lang w:val="lv-LV"/>
        </w:rPr>
      </w:pPr>
    </w:p>
    <w:p w14:paraId="23F40753" w14:textId="77777777" w:rsidR="00FC5C3D" w:rsidRPr="00022085" w:rsidRDefault="00FC5C3D" w:rsidP="00FC5C3D">
      <w:pPr>
        <w:pStyle w:val="Header"/>
        <w:rPr>
          <w:sz w:val="20"/>
          <w:szCs w:val="20"/>
          <w:lang w:val="lv-LV"/>
        </w:rPr>
      </w:pPr>
    </w:p>
    <w:p w14:paraId="63C9D118" w14:textId="752F46D8" w:rsidR="00FC5C3D" w:rsidRPr="00F24CEF" w:rsidRDefault="006911BA" w:rsidP="00FC5C3D">
      <w:pPr>
        <w:pStyle w:val="Header"/>
        <w:tabs>
          <w:tab w:val="left" w:pos="2640"/>
        </w:tabs>
        <w:rPr>
          <w:sz w:val="20"/>
          <w:szCs w:val="20"/>
          <w:lang w:val="lv-LV"/>
        </w:rPr>
      </w:pPr>
      <w:r>
        <w:rPr>
          <w:sz w:val="20"/>
          <w:szCs w:val="20"/>
          <w:lang w:val="lv-LV"/>
        </w:rPr>
        <w:t>1</w:t>
      </w:r>
      <w:r w:rsidR="00E41568">
        <w:rPr>
          <w:sz w:val="20"/>
          <w:szCs w:val="20"/>
          <w:lang w:val="lv-LV"/>
        </w:rPr>
        <w:t>2</w:t>
      </w:r>
      <w:r w:rsidR="00FC5C3D" w:rsidRPr="00D6616C">
        <w:rPr>
          <w:sz w:val="20"/>
          <w:szCs w:val="20"/>
          <w:lang w:val="lv-LV"/>
        </w:rPr>
        <w:t>.</w:t>
      </w:r>
      <w:r w:rsidR="00D7655B">
        <w:rPr>
          <w:sz w:val="20"/>
          <w:szCs w:val="20"/>
          <w:lang w:val="lv-LV"/>
        </w:rPr>
        <w:t>12</w:t>
      </w:r>
      <w:r w:rsidR="00FC5C3D" w:rsidRPr="00D6616C">
        <w:rPr>
          <w:sz w:val="20"/>
          <w:szCs w:val="20"/>
          <w:lang w:val="lv-LV"/>
        </w:rPr>
        <w:t>.201</w:t>
      </w:r>
      <w:r w:rsidR="00A34015">
        <w:rPr>
          <w:sz w:val="20"/>
          <w:szCs w:val="20"/>
          <w:lang w:val="lv-LV"/>
        </w:rPr>
        <w:t>3</w:t>
      </w:r>
      <w:r w:rsidR="00FC5C3D" w:rsidRPr="00D6616C">
        <w:rPr>
          <w:sz w:val="20"/>
          <w:szCs w:val="20"/>
          <w:lang w:val="lv-LV"/>
        </w:rPr>
        <w:t>.</w:t>
      </w:r>
      <w:r w:rsidR="00FC5C3D">
        <w:rPr>
          <w:sz w:val="20"/>
          <w:szCs w:val="20"/>
          <w:lang w:val="lv-LV"/>
        </w:rPr>
        <w:t xml:space="preserve"> </w:t>
      </w:r>
      <w:r w:rsidR="00ED26E6">
        <w:rPr>
          <w:sz w:val="20"/>
          <w:szCs w:val="20"/>
          <w:lang w:val="lv-LV"/>
        </w:rPr>
        <w:t>11</w:t>
      </w:r>
      <w:r>
        <w:rPr>
          <w:sz w:val="20"/>
          <w:szCs w:val="20"/>
          <w:lang w:val="lv-LV"/>
        </w:rPr>
        <w:t>:</w:t>
      </w:r>
      <w:r w:rsidR="00ED26E6">
        <w:rPr>
          <w:sz w:val="20"/>
          <w:szCs w:val="20"/>
          <w:lang w:val="lv-LV"/>
        </w:rPr>
        <w:t>22</w:t>
      </w:r>
      <w:bookmarkStart w:id="44" w:name="_GoBack"/>
      <w:bookmarkEnd w:id="44"/>
    </w:p>
    <w:p w14:paraId="50676CAB" w14:textId="487F6DC3" w:rsidR="00FC5C3D" w:rsidRPr="00D6616C" w:rsidRDefault="00C03C00" w:rsidP="00FC5C3D">
      <w:pPr>
        <w:jc w:val="both"/>
        <w:rPr>
          <w:sz w:val="20"/>
          <w:szCs w:val="20"/>
          <w:lang w:val="lv-LV"/>
        </w:rPr>
      </w:pPr>
      <w:r w:rsidRPr="00D6616C">
        <w:rPr>
          <w:sz w:val="20"/>
          <w:szCs w:val="20"/>
          <w:lang w:val="lv-LV"/>
        </w:rPr>
        <w:t>9</w:t>
      </w:r>
      <w:r w:rsidR="006911BA">
        <w:rPr>
          <w:sz w:val="20"/>
          <w:szCs w:val="20"/>
          <w:lang w:val="lv-LV"/>
        </w:rPr>
        <w:t>5</w:t>
      </w:r>
      <w:r w:rsidR="001457C2">
        <w:rPr>
          <w:sz w:val="20"/>
          <w:szCs w:val="20"/>
          <w:lang w:val="lv-LV"/>
        </w:rPr>
        <w:t>5</w:t>
      </w:r>
      <w:r w:rsidR="00ED26E6">
        <w:rPr>
          <w:sz w:val="20"/>
          <w:szCs w:val="20"/>
          <w:lang w:val="lv-LV"/>
        </w:rPr>
        <w:t>8</w:t>
      </w:r>
    </w:p>
    <w:p w14:paraId="2AC0CBFE" w14:textId="77777777" w:rsidR="00FC5C3D" w:rsidRPr="00D6616C" w:rsidRDefault="00FC5C3D" w:rsidP="00FC5C3D">
      <w:pPr>
        <w:jc w:val="both"/>
        <w:rPr>
          <w:sz w:val="20"/>
          <w:szCs w:val="20"/>
          <w:lang w:val="lv-LV"/>
        </w:rPr>
      </w:pPr>
    </w:p>
    <w:p w14:paraId="415E8A04" w14:textId="77777777" w:rsidR="00FC5C3D" w:rsidRPr="00D6616C" w:rsidRDefault="00FC5C3D" w:rsidP="00FC5C3D">
      <w:pPr>
        <w:jc w:val="both"/>
        <w:rPr>
          <w:sz w:val="20"/>
          <w:szCs w:val="20"/>
          <w:lang w:val="lv-LV"/>
        </w:rPr>
      </w:pPr>
    </w:p>
    <w:p w14:paraId="62E1A4E0" w14:textId="77777777" w:rsidR="00A34015" w:rsidRPr="00D6616C" w:rsidRDefault="00A34015" w:rsidP="00FC5C3D">
      <w:pPr>
        <w:jc w:val="both"/>
        <w:rPr>
          <w:sz w:val="20"/>
          <w:szCs w:val="20"/>
          <w:lang w:val="lv-LV"/>
        </w:rPr>
      </w:pPr>
      <w:r w:rsidRPr="00D6616C">
        <w:rPr>
          <w:sz w:val="20"/>
          <w:szCs w:val="20"/>
          <w:lang w:val="lv-LV"/>
        </w:rPr>
        <w:t>B</w:t>
      </w:r>
      <w:r w:rsidR="00FC5C3D" w:rsidRPr="00D6616C">
        <w:rPr>
          <w:sz w:val="20"/>
          <w:szCs w:val="20"/>
          <w:lang w:val="lv-LV"/>
        </w:rPr>
        <w:t>.</w:t>
      </w:r>
      <w:r w:rsidRPr="00D6616C">
        <w:rPr>
          <w:sz w:val="20"/>
          <w:szCs w:val="20"/>
          <w:lang w:val="lv-LV"/>
        </w:rPr>
        <w:t>Rudzīte</w:t>
      </w:r>
    </w:p>
    <w:p w14:paraId="057F1506" w14:textId="77777777" w:rsidR="00A34015" w:rsidRPr="00D7655B" w:rsidRDefault="00A34015" w:rsidP="00FC5C3D">
      <w:pPr>
        <w:jc w:val="both"/>
        <w:rPr>
          <w:sz w:val="20"/>
          <w:szCs w:val="20"/>
          <w:lang w:val="lv-LV"/>
        </w:rPr>
      </w:pPr>
      <w:r w:rsidRPr="00D7655B">
        <w:rPr>
          <w:sz w:val="20"/>
          <w:szCs w:val="20"/>
          <w:lang w:val="lv-LV"/>
        </w:rPr>
        <w:t xml:space="preserve">67013065, </w:t>
      </w:r>
      <w:hyperlink r:id="rId10" w:history="1">
        <w:r w:rsidRPr="00D7655B">
          <w:rPr>
            <w:rStyle w:val="Hyperlink"/>
            <w:sz w:val="20"/>
            <w:szCs w:val="20"/>
            <w:lang w:val="lv-LV"/>
          </w:rPr>
          <w:t>Baiba.Rudzite@em.gov.lv</w:t>
        </w:r>
      </w:hyperlink>
      <w:r w:rsidRPr="00D7655B">
        <w:rPr>
          <w:sz w:val="20"/>
          <w:szCs w:val="20"/>
          <w:lang w:val="lv-LV"/>
        </w:rPr>
        <w:t xml:space="preserve"> </w:t>
      </w:r>
    </w:p>
    <w:p w14:paraId="77562D04" w14:textId="77777777" w:rsidR="00FC5C3D" w:rsidRPr="002A69DC" w:rsidRDefault="00A34015" w:rsidP="00FC5C3D">
      <w:pPr>
        <w:jc w:val="both"/>
        <w:rPr>
          <w:sz w:val="20"/>
          <w:szCs w:val="20"/>
        </w:rPr>
      </w:pPr>
      <w:proofErr w:type="spellStart"/>
      <w:r>
        <w:rPr>
          <w:sz w:val="20"/>
          <w:szCs w:val="20"/>
        </w:rPr>
        <w:t>I.</w:t>
      </w:r>
      <w:r w:rsidR="00FC5C3D">
        <w:rPr>
          <w:sz w:val="20"/>
          <w:szCs w:val="20"/>
        </w:rPr>
        <w:t>Umbraško</w:t>
      </w:r>
      <w:proofErr w:type="spellEnd"/>
    </w:p>
    <w:p w14:paraId="4009E83E" w14:textId="77777777" w:rsidR="00820C75" w:rsidRPr="00A34015" w:rsidRDefault="00FC5C3D" w:rsidP="00A34015">
      <w:pPr>
        <w:jc w:val="both"/>
        <w:rPr>
          <w:rFonts w:ascii="Arial" w:hAnsi="Arial" w:cs="Arial"/>
          <w:b/>
          <w:bCs/>
          <w:iCs/>
          <w:kern w:val="32"/>
          <w:sz w:val="28"/>
          <w:szCs w:val="28"/>
        </w:rPr>
      </w:pPr>
      <w:r w:rsidRPr="00537799">
        <w:rPr>
          <w:sz w:val="20"/>
          <w:szCs w:val="20"/>
        </w:rPr>
        <w:t>67013</w:t>
      </w:r>
      <w:r>
        <w:rPr>
          <w:sz w:val="20"/>
          <w:szCs w:val="20"/>
        </w:rPr>
        <w:t>149</w:t>
      </w:r>
      <w:r w:rsidRPr="00537799">
        <w:rPr>
          <w:sz w:val="20"/>
          <w:szCs w:val="20"/>
        </w:rPr>
        <w:t>,</w:t>
      </w:r>
      <w:r w:rsidRPr="002A69DC">
        <w:rPr>
          <w:sz w:val="20"/>
          <w:szCs w:val="20"/>
        </w:rPr>
        <w:t xml:space="preserve"> </w:t>
      </w:r>
      <w:hyperlink r:id="rId11" w:history="1">
        <w:r w:rsidRPr="00CE7389">
          <w:rPr>
            <w:rStyle w:val="Hyperlink"/>
            <w:sz w:val="20"/>
            <w:szCs w:val="20"/>
          </w:rPr>
          <w:t>Inga.Umbrasko@em.gov.lv</w:t>
        </w:r>
      </w:hyperlink>
    </w:p>
    <w:sectPr w:rsidR="00820C75" w:rsidRPr="00A34015" w:rsidSect="0045453F">
      <w:headerReference w:type="default" r:id="rId12"/>
      <w:footerReference w:type="default" r:id="rId13"/>
      <w:pgSz w:w="11906" w:h="16838" w:code="9"/>
      <w:pgMar w:top="1418" w:right="1418" w:bottom="141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20ED1C" w14:textId="77777777" w:rsidR="00C61B2D" w:rsidRDefault="00C61B2D">
      <w:r>
        <w:separator/>
      </w:r>
    </w:p>
  </w:endnote>
  <w:endnote w:type="continuationSeparator" w:id="0">
    <w:p w14:paraId="5C29DB32" w14:textId="77777777" w:rsidR="00C61B2D" w:rsidRDefault="00C61B2D">
      <w:r>
        <w:continuationSeparator/>
      </w:r>
    </w:p>
  </w:endnote>
  <w:endnote w:type="continuationNotice" w:id="1">
    <w:p w14:paraId="1F494052" w14:textId="77777777" w:rsidR="00C61B2D" w:rsidRDefault="00C61B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10002FF" w:usb1="4000ACFF" w:usb2="00000009"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37C3D" w14:textId="6795B7BA" w:rsidR="006F42E0" w:rsidRPr="00A95EA6" w:rsidRDefault="006F42E0" w:rsidP="00741EF1">
    <w:pPr>
      <w:tabs>
        <w:tab w:val="center" w:pos="4153"/>
        <w:tab w:val="right" w:pos="8306"/>
      </w:tabs>
      <w:jc w:val="both"/>
      <w:rPr>
        <w:snapToGrid/>
        <w:sz w:val="20"/>
        <w:szCs w:val="20"/>
        <w:lang w:val="lv-LV" w:eastAsia="x-none"/>
      </w:rPr>
    </w:pPr>
    <w:r w:rsidRPr="00A95EA6">
      <w:rPr>
        <w:snapToGrid/>
        <w:sz w:val="20"/>
        <w:szCs w:val="20"/>
        <w:lang w:val="x-none" w:eastAsia="x-none"/>
      </w:rPr>
      <w:t>EMZino_</w:t>
    </w:r>
    <w:r>
      <w:rPr>
        <w:snapToGrid/>
        <w:sz w:val="20"/>
        <w:szCs w:val="20"/>
        <w:lang w:val="lv-LV" w:eastAsia="x-none"/>
      </w:rPr>
      <w:t>1212</w:t>
    </w:r>
    <w:r w:rsidRPr="00A95EA6">
      <w:rPr>
        <w:snapToGrid/>
        <w:sz w:val="20"/>
        <w:szCs w:val="20"/>
        <w:lang w:val="lv-LV" w:eastAsia="x-none"/>
      </w:rPr>
      <w:t>13</w:t>
    </w:r>
    <w:r w:rsidRPr="00A95EA6">
      <w:rPr>
        <w:snapToGrid/>
        <w:sz w:val="20"/>
        <w:szCs w:val="20"/>
        <w:lang w:val="x-none" w:eastAsia="x-none"/>
      </w:rPr>
      <w:t>_</w:t>
    </w:r>
    <w:r w:rsidRPr="00A95EA6">
      <w:rPr>
        <w:snapToGrid/>
        <w:sz w:val="20"/>
        <w:szCs w:val="20"/>
        <w:lang w:val="lv-LV" w:eastAsia="x-none"/>
      </w:rPr>
      <w:t>AER</w:t>
    </w:r>
    <w:r w:rsidRPr="00A95EA6">
      <w:rPr>
        <w:snapToGrid/>
        <w:sz w:val="20"/>
        <w:szCs w:val="20"/>
        <w:lang w:val="x-none" w:eastAsia="x-none"/>
      </w:rPr>
      <w:t xml:space="preserve">; Informatīvais ziņojums „Latvijas Republikas </w:t>
    </w:r>
    <w:r>
      <w:rPr>
        <w:snapToGrid/>
        <w:sz w:val="20"/>
        <w:szCs w:val="20"/>
        <w:lang w:val="lv-LV" w:eastAsia="x-none"/>
      </w:rPr>
      <w:t>Otrais r</w:t>
    </w:r>
    <w:r w:rsidRPr="00A95EA6">
      <w:rPr>
        <w:snapToGrid/>
        <w:sz w:val="20"/>
        <w:szCs w:val="20"/>
        <w:lang w:val="lv-LV" w:eastAsia="x-none"/>
      </w:rPr>
      <w:t>egulārais</w:t>
    </w:r>
    <w:r w:rsidRPr="00A95EA6">
      <w:rPr>
        <w:snapToGrid/>
        <w:sz w:val="20"/>
        <w:szCs w:val="20"/>
        <w:lang w:val="x-none" w:eastAsia="x-none"/>
      </w:rPr>
      <w:t xml:space="preserve"> ziņojums atbilstoši Eiropas Parlamenta un Padomes 2009. gada 23. aprīļa Direktīvas 2009/28/EK par atjaunojamo energoresursu izmantošanas veicināšanu un ar ko groza un sekojoši atceļ Direktīvas 2001/77/EK un 2003/30/EK 22. pantam”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86752E" w14:textId="77777777" w:rsidR="00C61B2D" w:rsidRDefault="00C61B2D">
      <w:r>
        <w:separator/>
      </w:r>
    </w:p>
  </w:footnote>
  <w:footnote w:type="continuationSeparator" w:id="0">
    <w:p w14:paraId="73F63012" w14:textId="77777777" w:rsidR="00C61B2D" w:rsidRDefault="00C61B2D">
      <w:r>
        <w:continuationSeparator/>
      </w:r>
    </w:p>
  </w:footnote>
  <w:footnote w:type="continuationNotice" w:id="1">
    <w:p w14:paraId="62E7BAA0" w14:textId="77777777" w:rsidR="00C61B2D" w:rsidRDefault="00C61B2D"/>
  </w:footnote>
  <w:footnote w:id="2">
    <w:p w14:paraId="571F5AAE" w14:textId="20891EDF" w:rsidR="006F42E0" w:rsidRPr="000B7251" w:rsidRDefault="006F42E0" w:rsidP="000B7251">
      <w:pPr>
        <w:pStyle w:val="FootnoteText"/>
        <w:jc w:val="both"/>
        <w:rPr>
          <w:snapToGrid/>
          <w:lang w:val="lv-LV" w:eastAsia="lv-LV"/>
        </w:rPr>
      </w:pPr>
      <w:r>
        <w:rPr>
          <w:rStyle w:val="FootnoteReference"/>
        </w:rPr>
        <w:footnoteRef/>
      </w:r>
      <w:r>
        <w:t xml:space="preserve"> </w:t>
      </w:r>
      <w:r w:rsidRPr="000B7251">
        <w:rPr>
          <w:snapToGrid/>
          <w:lang w:val="lv-LV" w:eastAsia="lv-LV"/>
        </w:rPr>
        <w:t xml:space="preserve">Informatīvais ziņojums „Latvijas Republikas Rīcība atjaunojamās enerģijas jomā Eiropas Parlamenta un Padomes 2009. gada 23. aprīļa direktīvas 2009/28/EK par atjaunojamo energoresursu izmantošanas veicināšanu un ar ko groza un sekojoši atceļ Direktīvas 2001/77/EK un 2003/30/EK ieviešanai līdz 2020. gadam”, </w:t>
      </w:r>
      <w:hyperlink r:id="rId1" w:history="1">
        <w:r w:rsidRPr="000B7251">
          <w:rPr>
            <w:snapToGrid/>
            <w:color w:val="0000FF"/>
            <w:u w:val="single"/>
            <w:lang w:val="lv-LV" w:eastAsia="lv-LV"/>
          </w:rPr>
          <w:t>http://www.likumi.lv/doc.php?id=219547</w:t>
        </w:r>
      </w:hyperlink>
    </w:p>
  </w:footnote>
  <w:footnote w:id="3">
    <w:p w14:paraId="68E69BFA" w14:textId="7498AF47" w:rsidR="006F42E0" w:rsidRPr="005710BB" w:rsidRDefault="006F42E0" w:rsidP="00A17197">
      <w:pPr>
        <w:pStyle w:val="FootnoteText"/>
        <w:jc w:val="both"/>
        <w:rPr>
          <w:lang w:val="lv-LV"/>
        </w:rPr>
      </w:pPr>
      <w:r>
        <w:rPr>
          <w:rStyle w:val="FootnoteReference"/>
        </w:rPr>
        <w:footnoteRef/>
      </w:r>
      <w:r w:rsidRPr="00F26DD1">
        <w:rPr>
          <w:lang w:val="lv-LV"/>
        </w:rPr>
        <w:t> </w:t>
      </w:r>
      <w:r>
        <w:rPr>
          <w:lang w:val="lv-LV"/>
        </w:rPr>
        <w:t xml:space="preserve">Veidlapa dalībvalstu progresa ziņojumiem saskaņā ar Direktīvu 2009/28/EK, </w:t>
      </w:r>
      <w:hyperlink r:id="rId2" w:history="1">
        <w:r w:rsidRPr="00A736B5">
          <w:rPr>
            <w:rStyle w:val="Hyperlink"/>
            <w:lang w:val="lv-LV"/>
          </w:rPr>
          <w:t>http://ec.europa.eu/energy/renewables/reports/2011_en.htm</w:t>
        </w:r>
      </w:hyperlink>
      <w:r>
        <w:rPr>
          <w:lang w:val="lv-LV"/>
        </w:rPr>
        <w:t xml:space="preserve">   </w:t>
      </w:r>
    </w:p>
  </w:footnote>
  <w:footnote w:id="4">
    <w:p w14:paraId="71FAACB2" w14:textId="77777777" w:rsidR="006F42E0" w:rsidRPr="00D6616C" w:rsidRDefault="006F42E0" w:rsidP="00F7732E">
      <w:pPr>
        <w:pStyle w:val="FootnoteText"/>
        <w:jc w:val="both"/>
        <w:rPr>
          <w:szCs w:val="24"/>
          <w:lang w:val="lv-LV"/>
        </w:rPr>
      </w:pPr>
      <w:r>
        <w:rPr>
          <w:rStyle w:val="FootnoteReference"/>
          <w:sz w:val="18"/>
          <w:szCs w:val="24"/>
        </w:rPr>
        <w:footnoteRef/>
      </w:r>
      <w:r w:rsidRPr="00D6616C">
        <w:rPr>
          <w:sz w:val="18"/>
          <w:szCs w:val="24"/>
          <w:lang w:val="lv-LV"/>
        </w:rPr>
        <w:t xml:space="preserve"> </w:t>
      </w:r>
      <w:r>
        <w:rPr>
          <w:szCs w:val="24"/>
          <w:lang w:val="lv-LV"/>
        </w:rPr>
        <w:t>Atjaunojamās enerģijas īpatsvars apsildē un dzesēšanā:</w:t>
      </w:r>
      <w:r w:rsidRPr="00D6616C">
        <w:rPr>
          <w:szCs w:val="24"/>
          <w:lang w:val="lv-LV"/>
        </w:rPr>
        <w:t xml:space="preserve"> </w:t>
      </w:r>
      <w:r>
        <w:rPr>
          <w:szCs w:val="24"/>
          <w:lang w:val="lv-LV"/>
        </w:rPr>
        <w:t>apsildei un dzesēšanai izmantotās no atjaunojamajiem energoresursiem saražotās enerģijas bruto galapatēriņš, dalīts ar enerģijas bruto galapatēriņu apsildē un dzesēšanā.</w:t>
      </w:r>
    </w:p>
  </w:footnote>
  <w:footnote w:id="5">
    <w:p w14:paraId="38C01190" w14:textId="77777777" w:rsidR="006F42E0" w:rsidRPr="00D6616C" w:rsidRDefault="006F42E0" w:rsidP="00F7732E">
      <w:pPr>
        <w:pStyle w:val="FootnoteText"/>
        <w:jc w:val="both"/>
        <w:rPr>
          <w:szCs w:val="24"/>
          <w:lang w:val="lv-LV"/>
        </w:rPr>
      </w:pPr>
      <w:r>
        <w:rPr>
          <w:rStyle w:val="FootnoteReference"/>
          <w:sz w:val="18"/>
          <w:szCs w:val="24"/>
        </w:rPr>
        <w:footnoteRef/>
      </w:r>
      <w:r w:rsidRPr="00D6616C">
        <w:rPr>
          <w:sz w:val="18"/>
          <w:szCs w:val="24"/>
          <w:lang w:val="lv-LV"/>
        </w:rPr>
        <w:t xml:space="preserve"> </w:t>
      </w:r>
      <w:r>
        <w:rPr>
          <w:szCs w:val="24"/>
          <w:lang w:val="lv-LV"/>
        </w:rPr>
        <w:t>Atjaunojamās enerģijas īpatsvars elektroenerģijā:</w:t>
      </w:r>
      <w:r w:rsidRPr="00D6616C">
        <w:rPr>
          <w:szCs w:val="24"/>
          <w:lang w:val="lv-LV"/>
        </w:rPr>
        <w:t xml:space="preserve"> </w:t>
      </w:r>
      <w:r>
        <w:rPr>
          <w:szCs w:val="24"/>
          <w:lang w:val="lv-LV"/>
        </w:rPr>
        <w:t>no atjaunojamajiem energoresursiem saražotas elektroenerģijas bruto galapatēriņš, dalīts ar elektroenerģijas bruto galapatēriņu.</w:t>
      </w:r>
    </w:p>
  </w:footnote>
  <w:footnote w:id="6">
    <w:p w14:paraId="3B6EA68B" w14:textId="77777777" w:rsidR="006F42E0" w:rsidRPr="00D6616C" w:rsidRDefault="006F42E0" w:rsidP="00F7732E">
      <w:pPr>
        <w:pStyle w:val="FootnoteText"/>
        <w:jc w:val="both"/>
        <w:rPr>
          <w:szCs w:val="24"/>
          <w:lang w:val="lv-LV"/>
        </w:rPr>
      </w:pPr>
      <w:r>
        <w:rPr>
          <w:rStyle w:val="FootnoteReference"/>
          <w:sz w:val="18"/>
          <w:szCs w:val="24"/>
        </w:rPr>
        <w:footnoteRef/>
      </w:r>
      <w:r w:rsidRPr="00D6616C">
        <w:rPr>
          <w:sz w:val="18"/>
          <w:szCs w:val="24"/>
          <w:lang w:val="lv-LV"/>
        </w:rPr>
        <w:t xml:space="preserve"> </w:t>
      </w:r>
      <w:r>
        <w:rPr>
          <w:szCs w:val="24"/>
          <w:lang w:val="lv-LV"/>
        </w:rPr>
        <w:t>Atjaunojamās enerģijas īpatsvars transportā:</w:t>
      </w:r>
      <w:r w:rsidRPr="00D6616C">
        <w:rPr>
          <w:szCs w:val="24"/>
          <w:lang w:val="lv-LV"/>
        </w:rPr>
        <w:t xml:space="preserve"> </w:t>
      </w:r>
      <w:r>
        <w:rPr>
          <w:szCs w:val="24"/>
          <w:lang w:val="lv-LV"/>
        </w:rPr>
        <w:t>no atjaunojamajiem energoresursiem saražotas enerģijas galapatēriņš transportā, ko dala ar šādu degvielu patēriņu transportā — 1) benzīns, 2) dīzeļdegviela, 3) biodegviela autotransportā un dzelzceļa transportā un 4) elektroenerģija sauszemes transportā.</w:t>
      </w:r>
    </w:p>
  </w:footnote>
  <w:footnote w:id="7">
    <w:p w14:paraId="1EF7E52F" w14:textId="77777777" w:rsidR="006F42E0" w:rsidRDefault="006F42E0" w:rsidP="00F7732E">
      <w:pPr>
        <w:pStyle w:val="FootnoteText"/>
        <w:jc w:val="both"/>
        <w:rPr>
          <w:szCs w:val="24"/>
        </w:rPr>
      </w:pPr>
      <w:r>
        <w:rPr>
          <w:rStyle w:val="FootnoteReference"/>
          <w:sz w:val="18"/>
          <w:szCs w:val="24"/>
        </w:rPr>
        <w:footnoteRef/>
      </w:r>
      <w:r>
        <w:rPr>
          <w:sz w:val="18"/>
          <w:szCs w:val="24"/>
        </w:rPr>
        <w:t xml:space="preserve"> </w:t>
      </w:r>
      <w:r>
        <w:rPr>
          <w:szCs w:val="24"/>
          <w:lang w:val="lv-LV"/>
        </w:rPr>
        <w:t>Atjaunojamās enerģijas īpatsvars enerģijas bruto galapatēriņā.</w:t>
      </w:r>
    </w:p>
  </w:footnote>
  <w:footnote w:id="8">
    <w:p w14:paraId="272008E1" w14:textId="77777777" w:rsidR="006F42E0" w:rsidRDefault="006F42E0" w:rsidP="00C165DE">
      <w:pPr>
        <w:pStyle w:val="FootnoteText"/>
        <w:rPr>
          <w:szCs w:val="24"/>
          <w:lang w:val="fr-FR"/>
        </w:rPr>
      </w:pPr>
      <w:r>
        <w:rPr>
          <w:rStyle w:val="FootnoteReference"/>
          <w:szCs w:val="24"/>
        </w:rPr>
        <w:footnoteRef/>
      </w:r>
      <w:r>
        <w:rPr>
          <w:szCs w:val="24"/>
          <w:lang w:val="fr-FR"/>
        </w:rPr>
        <w:t xml:space="preserve"> </w:t>
      </w:r>
      <w:r>
        <w:rPr>
          <w:szCs w:val="24"/>
          <w:lang w:val="lv-LV"/>
        </w:rPr>
        <w:t xml:space="preserve">Normalizēta atbilstoši Direktīvai 2009/28/EK un </w:t>
      </w:r>
      <w:proofErr w:type="spellStart"/>
      <w:r>
        <w:rPr>
          <w:szCs w:val="24"/>
          <w:lang w:val="lv-LV"/>
        </w:rPr>
        <w:t>Eurostat</w:t>
      </w:r>
      <w:proofErr w:type="spellEnd"/>
      <w:r>
        <w:rPr>
          <w:szCs w:val="24"/>
          <w:lang w:val="lv-LV"/>
        </w:rPr>
        <w:t xml:space="preserve"> metodikai.</w:t>
      </w:r>
    </w:p>
  </w:footnote>
  <w:footnote w:id="9">
    <w:p w14:paraId="13015A2F" w14:textId="77777777" w:rsidR="006F42E0" w:rsidRDefault="006F42E0" w:rsidP="00F03DBB">
      <w:pPr>
        <w:pStyle w:val="FootnoteText"/>
        <w:rPr>
          <w:szCs w:val="24"/>
          <w:lang w:val="fr-FR"/>
        </w:rPr>
      </w:pPr>
      <w:r>
        <w:rPr>
          <w:rStyle w:val="FootnoteReference"/>
          <w:szCs w:val="24"/>
        </w:rPr>
        <w:footnoteRef/>
      </w:r>
      <w:r>
        <w:rPr>
          <w:szCs w:val="24"/>
          <w:lang w:val="fr-FR"/>
        </w:rPr>
        <w:t xml:space="preserve"> </w:t>
      </w:r>
      <w:r>
        <w:rPr>
          <w:szCs w:val="24"/>
          <w:lang w:val="lv-LV"/>
        </w:rPr>
        <w:t xml:space="preserve">Normalizēta atbilstoši Direktīvai 2009/28/EK un </w:t>
      </w:r>
      <w:proofErr w:type="spellStart"/>
      <w:r>
        <w:rPr>
          <w:szCs w:val="24"/>
          <w:lang w:val="lv-LV"/>
        </w:rPr>
        <w:t>Eurostat</w:t>
      </w:r>
      <w:proofErr w:type="spellEnd"/>
      <w:r>
        <w:rPr>
          <w:szCs w:val="24"/>
          <w:lang w:val="lv-LV"/>
        </w:rPr>
        <w:t xml:space="preserve"> metodikai.</w:t>
      </w:r>
    </w:p>
  </w:footnote>
  <w:footnote w:id="10">
    <w:p w14:paraId="35ED8AA0" w14:textId="77777777" w:rsidR="006F42E0" w:rsidRPr="00D6616C" w:rsidRDefault="006F42E0" w:rsidP="00C165DE">
      <w:pPr>
        <w:pStyle w:val="FootnoteText"/>
        <w:jc w:val="both"/>
        <w:rPr>
          <w:szCs w:val="24"/>
          <w:lang w:val="fr-FR"/>
        </w:rPr>
      </w:pPr>
      <w:r>
        <w:rPr>
          <w:rStyle w:val="FootnoteReference"/>
          <w:sz w:val="18"/>
          <w:szCs w:val="24"/>
        </w:rPr>
        <w:footnoteRef/>
      </w:r>
      <w:r w:rsidRPr="00D6616C">
        <w:rPr>
          <w:sz w:val="18"/>
          <w:szCs w:val="24"/>
          <w:lang w:val="fr-FR"/>
        </w:rPr>
        <w:t xml:space="preserve"> </w:t>
      </w:r>
      <w:r>
        <w:rPr>
          <w:szCs w:val="24"/>
          <w:lang w:val="lv-LV"/>
        </w:rPr>
        <w:t>Ņemot vērā tikai tos, kas atbilst attiecīgajiem ilgtspējas kritērijiem, saskaņā ar Direktīvas 2009/28/EK 5. panta 1. punkta pēdējo daļu.</w:t>
      </w:r>
    </w:p>
  </w:footnote>
  <w:footnote w:id="11">
    <w:p w14:paraId="74EBF5E3" w14:textId="77777777" w:rsidR="006F42E0" w:rsidRPr="00D6616C" w:rsidRDefault="006F42E0">
      <w:pPr>
        <w:pStyle w:val="FootnoteText"/>
        <w:jc w:val="both"/>
        <w:rPr>
          <w:szCs w:val="24"/>
          <w:lang w:val="fr-FR"/>
        </w:rPr>
      </w:pPr>
      <w:r>
        <w:rPr>
          <w:rStyle w:val="FootnoteReference"/>
          <w:sz w:val="18"/>
          <w:szCs w:val="24"/>
        </w:rPr>
        <w:footnoteRef/>
      </w:r>
      <w:r w:rsidRPr="00D6616C">
        <w:rPr>
          <w:sz w:val="18"/>
          <w:szCs w:val="24"/>
          <w:lang w:val="fr-FR"/>
        </w:rPr>
        <w:t xml:space="preserve"> </w:t>
      </w:r>
      <w:r>
        <w:rPr>
          <w:szCs w:val="24"/>
          <w:lang w:val="lv-LV"/>
        </w:rPr>
        <w:t>Tiešais patēriņš un centralizētā siltumapgāde, kā definēts Direktīvas 2009/28/EK 5. panta 4. punktā.</w:t>
      </w:r>
    </w:p>
  </w:footnote>
  <w:footnote w:id="12">
    <w:p w14:paraId="1CDC50F8" w14:textId="77777777" w:rsidR="006F42E0" w:rsidRPr="00E24053" w:rsidRDefault="006F42E0" w:rsidP="0025399B">
      <w:pPr>
        <w:pStyle w:val="FootnoteText"/>
        <w:rPr>
          <w:lang w:val="lv-LV"/>
        </w:rPr>
      </w:pPr>
      <w:r>
        <w:rPr>
          <w:rStyle w:val="FootnoteReference"/>
        </w:rPr>
        <w:footnoteRef/>
      </w:r>
      <w:r w:rsidRPr="008D6765">
        <w:rPr>
          <w:lang w:val="lv-LV"/>
        </w:rPr>
        <w:t xml:space="preserve"> </w:t>
      </w:r>
      <w:r w:rsidRPr="00E24053">
        <w:rPr>
          <w:lang w:val="lv-LV"/>
        </w:rPr>
        <w:t>Dati nav pieejami.</w:t>
      </w:r>
    </w:p>
  </w:footnote>
  <w:footnote w:id="13">
    <w:p w14:paraId="1B44F689" w14:textId="77777777" w:rsidR="006F42E0" w:rsidRPr="00D6616C" w:rsidRDefault="006F42E0" w:rsidP="002B7079">
      <w:pPr>
        <w:pStyle w:val="FootnoteText"/>
        <w:jc w:val="both"/>
        <w:rPr>
          <w:szCs w:val="24"/>
          <w:lang w:val="fr-FR"/>
        </w:rPr>
      </w:pPr>
      <w:r>
        <w:rPr>
          <w:rStyle w:val="FootnoteReference"/>
          <w:sz w:val="18"/>
          <w:szCs w:val="24"/>
        </w:rPr>
        <w:footnoteRef/>
      </w:r>
      <w:r w:rsidRPr="00D6616C">
        <w:rPr>
          <w:sz w:val="18"/>
          <w:szCs w:val="24"/>
          <w:lang w:val="fr-FR"/>
        </w:rPr>
        <w:t xml:space="preserve"> </w:t>
      </w:r>
      <w:r>
        <w:rPr>
          <w:szCs w:val="24"/>
          <w:lang w:val="lv-LV"/>
        </w:rPr>
        <w:t>Ņemot vērā tikai tos, kas atbilst attiecīgajiem ilgtspējas kritērijiem, saskaņā ar Direktīvas 2009/28/EK 5. panta 1. punkta pēdējo daļu.</w:t>
      </w:r>
    </w:p>
  </w:footnote>
  <w:footnote w:id="14">
    <w:p w14:paraId="3FB29CFE" w14:textId="77777777" w:rsidR="006F42E0" w:rsidRPr="00D6616C" w:rsidRDefault="006F42E0">
      <w:pPr>
        <w:pStyle w:val="FootnoteText"/>
        <w:jc w:val="both"/>
        <w:rPr>
          <w:szCs w:val="24"/>
          <w:lang w:val="fr-FR"/>
        </w:rPr>
      </w:pPr>
      <w:r>
        <w:rPr>
          <w:rStyle w:val="FootnoteReference"/>
          <w:sz w:val="18"/>
          <w:szCs w:val="24"/>
        </w:rPr>
        <w:footnoteRef/>
      </w:r>
      <w:r w:rsidRPr="00D6616C">
        <w:rPr>
          <w:sz w:val="18"/>
          <w:szCs w:val="24"/>
          <w:lang w:val="fr-FR"/>
        </w:rPr>
        <w:t xml:space="preserve"> </w:t>
      </w:r>
      <w:r>
        <w:rPr>
          <w:szCs w:val="24"/>
          <w:lang w:val="lv-LV"/>
        </w:rPr>
        <w:t>Centralizētā siltumapgāde un/vai dzesēšana kopējā atjaunojamās siltumapgādes un dzesēšanas patēriņā.</w:t>
      </w:r>
    </w:p>
  </w:footnote>
  <w:footnote w:id="15">
    <w:p w14:paraId="423D9118" w14:textId="77777777" w:rsidR="006F42E0" w:rsidRPr="00D6616C" w:rsidRDefault="006F42E0">
      <w:pPr>
        <w:pStyle w:val="FootnoteText"/>
        <w:jc w:val="both"/>
        <w:rPr>
          <w:szCs w:val="24"/>
          <w:lang w:val="fr-FR"/>
        </w:rPr>
      </w:pPr>
      <w:r>
        <w:rPr>
          <w:rStyle w:val="FootnoteReference"/>
          <w:sz w:val="18"/>
          <w:szCs w:val="24"/>
        </w:rPr>
        <w:footnoteRef/>
      </w:r>
      <w:r w:rsidRPr="00D6616C">
        <w:rPr>
          <w:sz w:val="18"/>
          <w:szCs w:val="24"/>
          <w:lang w:val="fr-FR"/>
        </w:rPr>
        <w:t xml:space="preserve"> </w:t>
      </w:r>
      <w:r>
        <w:rPr>
          <w:szCs w:val="24"/>
          <w:lang w:val="lv-LV"/>
        </w:rPr>
        <w:t>Kopējā atjaunojamās siltumapgādes un dzesēšanas patēriņā.</w:t>
      </w:r>
    </w:p>
  </w:footnote>
  <w:footnote w:id="16">
    <w:p w14:paraId="4EF410DF" w14:textId="77777777" w:rsidR="006F42E0" w:rsidRPr="00D6616C" w:rsidRDefault="006F42E0">
      <w:pPr>
        <w:pStyle w:val="FootnoteText"/>
        <w:jc w:val="both"/>
        <w:rPr>
          <w:szCs w:val="24"/>
          <w:lang w:val="fr-FR"/>
        </w:rPr>
      </w:pPr>
      <w:r>
        <w:rPr>
          <w:rStyle w:val="FootnoteReference"/>
          <w:sz w:val="18"/>
          <w:szCs w:val="24"/>
        </w:rPr>
        <w:footnoteRef/>
      </w:r>
      <w:r w:rsidRPr="00D6616C">
        <w:rPr>
          <w:sz w:val="18"/>
          <w:szCs w:val="24"/>
          <w:lang w:val="fr-FR"/>
        </w:rPr>
        <w:t xml:space="preserve"> </w:t>
      </w:r>
      <w:r>
        <w:rPr>
          <w:szCs w:val="24"/>
          <w:lang w:val="lv-LV"/>
        </w:rPr>
        <w:t xml:space="preserve">Ņem vērā tikai biodegvielas, kas atbilst ilgtspējas kritērijiem, </w:t>
      </w:r>
      <w:proofErr w:type="spellStart"/>
      <w:r>
        <w:rPr>
          <w:szCs w:val="24"/>
          <w:lang w:val="lv-LV"/>
        </w:rPr>
        <w:t>sal</w:t>
      </w:r>
      <w:proofErr w:type="spellEnd"/>
      <w:r>
        <w:rPr>
          <w:szCs w:val="24"/>
          <w:lang w:val="lv-LV"/>
        </w:rPr>
        <w:t>. ar 5. panta 1. punkta pēdējo daļu.</w:t>
      </w:r>
    </w:p>
  </w:footnote>
  <w:footnote w:id="17">
    <w:p w14:paraId="04381BF9" w14:textId="77777777" w:rsidR="006F42E0" w:rsidRDefault="006F42E0" w:rsidP="00D13302">
      <w:pPr>
        <w:pStyle w:val="FootnoteText"/>
        <w:jc w:val="both"/>
        <w:rPr>
          <w:szCs w:val="24"/>
        </w:rPr>
      </w:pPr>
      <w:r>
        <w:rPr>
          <w:rStyle w:val="FootnoteReference"/>
          <w:sz w:val="18"/>
          <w:szCs w:val="24"/>
        </w:rPr>
        <w:footnoteRef/>
      </w:r>
      <w:r>
        <w:rPr>
          <w:sz w:val="18"/>
          <w:szCs w:val="24"/>
        </w:rPr>
        <w:t xml:space="preserve"> </w:t>
      </w:r>
      <w:r>
        <w:rPr>
          <w:szCs w:val="24"/>
          <w:lang w:val="lv-LV"/>
        </w:rPr>
        <w:t>Biodegvielas, kas definētas Direktīvas 2009/28/EK 21. panta 2. punktā.</w:t>
      </w:r>
    </w:p>
  </w:footnote>
  <w:footnote w:id="18">
    <w:p w14:paraId="7795D494" w14:textId="77777777" w:rsidR="006F42E0" w:rsidRDefault="006F42E0" w:rsidP="00D13302">
      <w:pPr>
        <w:pStyle w:val="FootnoteText"/>
        <w:jc w:val="both"/>
        <w:rPr>
          <w:szCs w:val="24"/>
        </w:rPr>
      </w:pPr>
      <w:r>
        <w:rPr>
          <w:rStyle w:val="FootnoteReference"/>
          <w:sz w:val="18"/>
          <w:szCs w:val="24"/>
        </w:rPr>
        <w:footnoteRef/>
      </w:r>
      <w:r>
        <w:rPr>
          <w:sz w:val="18"/>
          <w:szCs w:val="24"/>
        </w:rPr>
        <w:t xml:space="preserve"> </w:t>
      </w:r>
      <w:r>
        <w:rPr>
          <w:szCs w:val="24"/>
          <w:lang w:val="lv-LV"/>
        </w:rPr>
        <w:t>Biodegvielas, kas definētas Direktīvas 2009/28/EK 21. panta 2. punktā.</w:t>
      </w:r>
    </w:p>
  </w:footnote>
  <w:footnote w:id="19">
    <w:p w14:paraId="4A0929A7" w14:textId="77777777" w:rsidR="006F42E0" w:rsidRDefault="006F42E0" w:rsidP="00D13302">
      <w:pPr>
        <w:pStyle w:val="FootnoteText"/>
        <w:rPr>
          <w:szCs w:val="24"/>
        </w:rPr>
      </w:pPr>
      <w:r>
        <w:rPr>
          <w:rStyle w:val="FootnoteReference"/>
          <w:sz w:val="18"/>
          <w:szCs w:val="24"/>
        </w:rPr>
        <w:footnoteRef/>
      </w:r>
      <w:r>
        <w:rPr>
          <w:sz w:val="18"/>
          <w:szCs w:val="24"/>
        </w:rPr>
        <w:t xml:space="preserve"> </w:t>
      </w:r>
      <w:r>
        <w:rPr>
          <w:szCs w:val="24"/>
          <w:lang w:val="lv-LV"/>
        </w:rPr>
        <w:t>Faktiskā vērtība.</w:t>
      </w:r>
    </w:p>
  </w:footnote>
  <w:footnote w:id="20">
    <w:p w14:paraId="5C8FB71F" w14:textId="77777777" w:rsidR="006F42E0" w:rsidRDefault="006F42E0" w:rsidP="00D13302">
      <w:pPr>
        <w:pStyle w:val="FootnoteText"/>
        <w:jc w:val="both"/>
        <w:rPr>
          <w:szCs w:val="24"/>
        </w:rPr>
      </w:pPr>
      <w:r>
        <w:rPr>
          <w:rStyle w:val="FootnoteReference"/>
          <w:sz w:val="18"/>
          <w:szCs w:val="24"/>
        </w:rPr>
        <w:footnoteRef/>
      </w:r>
      <w:r>
        <w:rPr>
          <w:sz w:val="18"/>
          <w:szCs w:val="24"/>
        </w:rPr>
        <w:t xml:space="preserve"> </w:t>
      </w:r>
      <w:r>
        <w:rPr>
          <w:szCs w:val="24"/>
          <w:lang w:val="lv-LV"/>
        </w:rPr>
        <w:t>Biodegvielas, kas definētas Direktīvas 2009/28/EK 21. panta 2. punktā.</w:t>
      </w:r>
    </w:p>
  </w:footnote>
  <w:footnote w:id="21">
    <w:p w14:paraId="1070F6BB" w14:textId="77777777" w:rsidR="006F42E0" w:rsidRDefault="006F42E0" w:rsidP="00A002C4">
      <w:pPr>
        <w:pStyle w:val="FootnoteText"/>
        <w:rPr>
          <w:szCs w:val="24"/>
        </w:rPr>
      </w:pPr>
      <w:r>
        <w:rPr>
          <w:rStyle w:val="FootnoteReference"/>
          <w:sz w:val="18"/>
          <w:szCs w:val="24"/>
        </w:rPr>
        <w:footnoteRef/>
      </w:r>
      <w:r>
        <w:rPr>
          <w:sz w:val="18"/>
          <w:szCs w:val="24"/>
        </w:rPr>
        <w:t xml:space="preserve"> </w:t>
      </w:r>
      <w:r>
        <w:rPr>
          <w:szCs w:val="24"/>
          <w:lang w:val="lv-LV"/>
        </w:rPr>
        <w:t>Saskaņā ar Direktīvas 2009/28/EK 3. panta 4. punkta c daļu.</w:t>
      </w:r>
    </w:p>
  </w:footnote>
  <w:footnote w:id="22">
    <w:p w14:paraId="58B62EF0" w14:textId="77777777" w:rsidR="006F42E0" w:rsidRDefault="006F42E0" w:rsidP="00A002C4">
      <w:pPr>
        <w:pStyle w:val="FootnoteText"/>
        <w:rPr>
          <w:szCs w:val="24"/>
        </w:rPr>
      </w:pPr>
      <w:r>
        <w:rPr>
          <w:rStyle w:val="FootnoteReference"/>
          <w:sz w:val="18"/>
          <w:szCs w:val="24"/>
        </w:rPr>
        <w:footnoteRef/>
      </w:r>
      <w:r>
        <w:rPr>
          <w:sz w:val="18"/>
          <w:szCs w:val="24"/>
        </w:rPr>
        <w:t xml:space="preserve"> </w:t>
      </w:r>
      <w:r>
        <w:rPr>
          <w:szCs w:val="24"/>
          <w:lang w:val="lv-LV"/>
        </w:rPr>
        <w:t>Faktiskā vērtība.</w:t>
      </w:r>
    </w:p>
  </w:footnote>
  <w:footnote w:id="23">
    <w:p w14:paraId="60338035" w14:textId="77777777" w:rsidR="006F42E0" w:rsidRPr="00650A5C" w:rsidRDefault="006F42E0" w:rsidP="00650A5C">
      <w:pPr>
        <w:pStyle w:val="FootnoteText"/>
        <w:jc w:val="both"/>
        <w:rPr>
          <w:lang w:val="lv-LV"/>
        </w:rPr>
      </w:pPr>
      <w:r>
        <w:rPr>
          <w:rStyle w:val="FootnoteReference"/>
        </w:rPr>
        <w:footnoteRef/>
      </w:r>
      <w:r>
        <w:t xml:space="preserve"> </w:t>
      </w:r>
      <w:r w:rsidRPr="00650A5C">
        <w:t>N</w:t>
      </w:r>
      <w:r w:rsidRPr="00650A5C">
        <w:rPr>
          <w:lang w:val="lv-LV"/>
        </w:rPr>
        <w:t>o 2011.gada 26.maija līdz 2016.gada 1.janvārim jaunu tiesību piešķiršana ir apturēta (</w:t>
      </w:r>
      <w:r>
        <w:rPr>
          <w:lang w:val="lv-LV"/>
        </w:rPr>
        <w:t xml:space="preserve">saskaņā ar </w:t>
      </w:r>
      <w:r w:rsidRPr="00650A5C">
        <w:rPr>
          <w:lang w:val="lv-LV"/>
        </w:rPr>
        <w:t>17.05.2011. MK noteikumiem Nr.365 "Grozījums Ministru kabineta 2010.gada 16.marta noteikumos Nr.262 "Noteikumi par elektroenerģijas ražošanu, izmantojot atjaunojamos energoresursus, un cenu noteikšanas kārtību"" (turpmāk –</w:t>
      </w:r>
      <w:r>
        <w:rPr>
          <w:lang w:val="lv-LV"/>
        </w:rPr>
        <w:t xml:space="preserve"> grozījumi MK noteikumos Nr.262.)</w:t>
      </w:r>
      <w:r w:rsidRPr="00650A5C">
        <w:rPr>
          <w:lang w:val="lv-LV"/>
        </w:rPr>
        <w:t>)</w:t>
      </w:r>
    </w:p>
  </w:footnote>
  <w:footnote w:id="24">
    <w:p w14:paraId="32CA54FC" w14:textId="77777777" w:rsidR="006F42E0" w:rsidRPr="00AB4BD2" w:rsidRDefault="006F42E0" w:rsidP="00413A13">
      <w:pPr>
        <w:pStyle w:val="NormalWeb"/>
        <w:jc w:val="both"/>
      </w:pPr>
      <w:r>
        <w:rPr>
          <w:rStyle w:val="FootnoteReference"/>
        </w:rPr>
        <w:footnoteRef/>
      </w:r>
      <w:r>
        <w:t xml:space="preserve"> </w:t>
      </w:r>
      <w:r w:rsidRPr="00413A13">
        <w:rPr>
          <w:sz w:val="20"/>
          <w:szCs w:val="20"/>
        </w:rPr>
        <w:t>No 2012.gada 10.septembra līdz 2016.gada1.janvārim jaunu tiesību piešķiršana ir apturēta (</w:t>
      </w:r>
      <w:r w:rsidRPr="00413A13">
        <w:rPr>
          <w:bCs/>
          <w:sz w:val="20"/>
          <w:szCs w:val="20"/>
        </w:rPr>
        <w:t>Ministru kabineta 2012.gada 28.augusta noteikumi Nr.604 „</w:t>
      </w:r>
      <w:r w:rsidRPr="00413A13">
        <w:rPr>
          <w:sz w:val="20"/>
          <w:szCs w:val="20"/>
        </w:rPr>
        <w:t>Grozījumi Ministru kabineta 2009.gada 10.marta noteikumos Nr.221 „Noteikumi par elektroenerģijas ražošanu un cenu noteikšanu, ražojot elektroenerģiju koģenerācijā” (turpmāk – grozījumi MK noteikumos Nr.221</w:t>
      </w:r>
      <w:r>
        <w:rPr>
          <w:sz w:val="20"/>
          <w:szCs w:val="20"/>
        </w:rPr>
        <w:t>.</w:t>
      </w:r>
      <w:r w:rsidRPr="00413A13">
        <w:rPr>
          <w:sz w:val="20"/>
          <w:szCs w:val="20"/>
        </w:rPr>
        <w:t>)</w:t>
      </w:r>
      <w:r>
        <w:rPr>
          <w:sz w:val="20"/>
          <w:szCs w:val="20"/>
        </w:rPr>
        <w:t>)</w:t>
      </w:r>
    </w:p>
  </w:footnote>
  <w:footnote w:id="25">
    <w:p w14:paraId="172B1853" w14:textId="77777777" w:rsidR="006F42E0" w:rsidRPr="00AB4BD2" w:rsidRDefault="006F42E0" w:rsidP="00AB4BD2">
      <w:pPr>
        <w:pStyle w:val="FootnoteText"/>
        <w:jc w:val="both"/>
        <w:rPr>
          <w:lang w:val="lv-LV"/>
        </w:rPr>
      </w:pPr>
      <w:r>
        <w:rPr>
          <w:rStyle w:val="FootnoteReference"/>
        </w:rPr>
        <w:footnoteRef/>
      </w:r>
      <w:r w:rsidRPr="00D6616C">
        <w:rPr>
          <w:lang w:val="lv-LV"/>
        </w:rPr>
        <w:t xml:space="preserve"> </w:t>
      </w:r>
      <w:r w:rsidRPr="00AE4375">
        <w:rPr>
          <w:snapToGrid/>
          <w:lang w:val="lv-LV" w:eastAsia="lv-LV"/>
        </w:rPr>
        <w:t>No 2012.gada 10.septembra līdz 2016.gada</w:t>
      </w:r>
      <w:r w:rsidRPr="00C74BDE">
        <w:rPr>
          <w:lang w:val="lv-LV"/>
        </w:rPr>
        <w:t xml:space="preserve">1.janvārim jaunu tiesību piešķiršana ir apturēta </w:t>
      </w:r>
      <w:r>
        <w:rPr>
          <w:lang w:val="lv-LV"/>
        </w:rPr>
        <w:t>(</w:t>
      </w:r>
      <w:r w:rsidRPr="00D6616C">
        <w:rPr>
          <w:lang w:val="lv-LV"/>
        </w:rPr>
        <w:t>grozījumi MK noteikumos Nr.221</w:t>
      </w:r>
      <w:r w:rsidRPr="00C74BDE">
        <w:rPr>
          <w:lang w:val="lv-LV"/>
        </w:rPr>
        <w:t>)</w:t>
      </w:r>
    </w:p>
  </w:footnote>
  <w:footnote w:id="26">
    <w:p w14:paraId="6B50D448" w14:textId="77777777" w:rsidR="006F42E0" w:rsidRPr="00557925" w:rsidRDefault="006F42E0" w:rsidP="00A40720">
      <w:pPr>
        <w:pStyle w:val="FootnoteText"/>
        <w:jc w:val="both"/>
        <w:rPr>
          <w:color w:val="000000"/>
          <w:lang w:val="lv-LV"/>
        </w:rPr>
      </w:pPr>
      <w:r w:rsidRPr="00323DDA">
        <w:rPr>
          <w:rStyle w:val="FootnoteReference"/>
          <w:lang w:val="lv-LV"/>
        </w:rPr>
        <w:footnoteRef/>
      </w:r>
      <w:r w:rsidRPr="00323DDA">
        <w:rPr>
          <w:lang w:val="lv-LV"/>
        </w:rPr>
        <w:t xml:space="preserve"> </w:t>
      </w:r>
      <w:r w:rsidRPr="00557925">
        <w:rPr>
          <w:color w:val="000000"/>
          <w:lang w:val="lv-LV"/>
        </w:rPr>
        <w:t>Ministru kabineta 2012.gada 28.augusta noteikumi Nr.604 “Grozījumi Ministru kabineta 2009.gada 10.marta noteikumos Nr.221 ”</w:t>
      </w:r>
      <w:hyperlink r:id="rId3" w:tgtFrame="_blank" w:history="1">
        <w:r w:rsidRPr="00557925">
          <w:rPr>
            <w:rStyle w:val="Hyperlink"/>
            <w:color w:val="000000"/>
            <w:lang w:val="lv-LV"/>
          </w:rPr>
          <w:t>Noteikumi par elektroenerģijas ražošanu un cenu noteikšanu, ražojot elektroenerģiju koģenerācijā</w:t>
        </w:r>
      </w:hyperlink>
      <w:r w:rsidRPr="00557925">
        <w:rPr>
          <w:color w:val="000000"/>
          <w:lang w:val="lv-LV"/>
        </w:rPr>
        <w:t>” ”</w:t>
      </w:r>
    </w:p>
  </w:footnote>
  <w:footnote w:id="27">
    <w:p w14:paraId="16ECCDD6" w14:textId="77777777" w:rsidR="006F42E0" w:rsidRPr="00A40720" w:rsidRDefault="006F42E0" w:rsidP="00A40720">
      <w:pPr>
        <w:pStyle w:val="FootnoteText"/>
        <w:jc w:val="both"/>
        <w:rPr>
          <w:lang w:val="lv-LV"/>
        </w:rPr>
      </w:pPr>
      <w:r>
        <w:rPr>
          <w:rStyle w:val="FootnoteReference"/>
        </w:rPr>
        <w:footnoteRef/>
      </w:r>
      <w:r w:rsidRPr="00D6616C">
        <w:rPr>
          <w:lang w:val="lv-LV"/>
        </w:rPr>
        <w:t xml:space="preserve"> </w:t>
      </w:r>
      <w:r w:rsidRPr="00557925">
        <w:rPr>
          <w:color w:val="000000"/>
          <w:lang w:val="lv-LV"/>
        </w:rPr>
        <w:t>Ministru kabineta 2012.gada 28.augusta noteikumi Nr.606 “Grozījumi Ministru kabineta 2010.gada 16.marta noteikumos Nr.262 ”Noteikumi par</w:t>
      </w:r>
      <w:r w:rsidRPr="00323DDA">
        <w:rPr>
          <w:lang w:val="lv-LV"/>
        </w:rPr>
        <w:t xml:space="preserve"> elektroenerģijas ražošanu, izmantojot atjaunojamos energoresursus, un cenu noteikšanas kārtību””</w:t>
      </w:r>
    </w:p>
  </w:footnote>
  <w:footnote w:id="28">
    <w:p w14:paraId="15A15200" w14:textId="77777777" w:rsidR="006F42E0" w:rsidRPr="001D248A" w:rsidRDefault="006F42E0" w:rsidP="00CB0F76">
      <w:pPr>
        <w:pStyle w:val="FootnoteText"/>
        <w:rPr>
          <w:lang w:val="lv-LV"/>
        </w:rPr>
      </w:pPr>
      <w:r w:rsidRPr="00FB23A4">
        <w:rPr>
          <w:rStyle w:val="FootnoteReference"/>
        </w:rPr>
        <w:footnoteRef/>
      </w:r>
      <w:r w:rsidRPr="00D6616C">
        <w:rPr>
          <w:lang w:val="lv-LV"/>
        </w:rPr>
        <w:t xml:space="preserve"> Informatīvais ziņojums "Latvijas Enerģētikas ilgtermiņa stratēģija 2030 – konkurētspējīga enerģētika sabiedrībai" izskatīts Ministru kabineta 2013.gada 28.maija sēdē (prot.Nr.32, </w:t>
      </w:r>
      <w:bookmarkStart w:id="12" w:name="59"/>
      <w:r w:rsidRPr="00D6616C">
        <w:rPr>
          <w:lang w:val="lv-LV"/>
        </w:rPr>
        <w:t>59.§</w:t>
      </w:r>
      <w:bookmarkEnd w:id="12"/>
      <w:r w:rsidRPr="00D6616C">
        <w:rPr>
          <w:lang w:val="lv-LV"/>
        </w:rPr>
        <w:t>).</w:t>
      </w:r>
    </w:p>
  </w:footnote>
  <w:footnote w:id="29">
    <w:p w14:paraId="68D399DF" w14:textId="77777777" w:rsidR="006F42E0" w:rsidRPr="008473D4" w:rsidRDefault="006F42E0" w:rsidP="00A33606">
      <w:pPr>
        <w:pStyle w:val="FootnoteText"/>
        <w:jc w:val="both"/>
        <w:rPr>
          <w:lang w:val="lv-LV"/>
        </w:rPr>
      </w:pPr>
      <w:r w:rsidRPr="008473D4">
        <w:rPr>
          <w:rStyle w:val="FootnoteReference"/>
          <w:lang w:val="lv-LV"/>
        </w:rPr>
        <w:footnoteRef/>
      </w:r>
      <w:r w:rsidRPr="008473D4">
        <w:rPr>
          <w:lang w:val="lv-LV"/>
        </w:rPr>
        <w:t xml:space="preserve"> Elektroenerģijas tirgus likuma 9.panta otrā daļa:</w:t>
      </w:r>
    </w:p>
    <w:p w14:paraId="18C2F1FB" w14:textId="77777777" w:rsidR="006F42E0" w:rsidRPr="008473D4" w:rsidRDefault="006F42E0" w:rsidP="00A33606">
      <w:pPr>
        <w:pStyle w:val="tv2131"/>
        <w:spacing w:before="0" w:line="240" w:lineRule="auto"/>
        <w:ind w:firstLine="0"/>
        <w:rPr>
          <w:rFonts w:ascii="Times New Roman" w:hAnsi="Times New Roman"/>
          <w:sz w:val="20"/>
          <w:szCs w:val="20"/>
        </w:rPr>
      </w:pPr>
      <w:r w:rsidRPr="008473D4">
        <w:rPr>
          <w:rFonts w:ascii="Times New Roman" w:hAnsi="Times New Roman"/>
          <w:sz w:val="20"/>
          <w:szCs w:val="20"/>
        </w:rPr>
        <w:t>„(2) Sistēmas operatoram tā licences darbības zonā un termiņā ir pastāvīgas saistības nodrošināt sistēmas dalībniekiem nepieciešamo pieslēgumu attiecīgai sistēmai saskaņā ar regulatora noteiktajiem vienotiem sistēmas pieslēguma noteikumiem, ja sistēmas dalībnieks izpilda sistēmas operatora noteiktās tehniskās prasības pieslēguma ierīkošanai. Pieslēguma maksa atbilst pamatotām attiecīgā sistēmas pieslēguma ierīkošanas izmaksām. Izmaksu sadalījumu starp sistēmas dalībnieku un sistēmas.”</w:t>
      </w:r>
    </w:p>
  </w:footnote>
  <w:footnote w:id="30">
    <w:p w14:paraId="09C9E83A" w14:textId="77777777" w:rsidR="006F42E0" w:rsidRPr="008473D4" w:rsidRDefault="006F42E0" w:rsidP="00A33606">
      <w:pPr>
        <w:pStyle w:val="FootnoteText"/>
        <w:jc w:val="both"/>
        <w:rPr>
          <w:lang w:val="lv-LV"/>
        </w:rPr>
      </w:pPr>
      <w:r w:rsidRPr="008473D4">
        <w:rPr>
          <w:rStyle w:val="FootnoteReference"/>
          <w:lang w:val="lv-LV"/>
        </w:rPr>
        <w:footnoteRef/>
      </w:r>
      <w:r w:rsidRPr="008473D4">
        <w:rPr>
          <w:lang w:val="lv-LV"/>
        </w:rPr>
        <w:t xml:space="preserve"> Sabiedrisko pakalpojumu regulēšanas komisijas 2012. gada 22. februāra padomes lēmums Nr.1/6 „Sistēmas pieslēguma noteikumi elektroenerģijas ražotājiem” 2.3. apakšpunkts:</w:t>
      </w:r>
    </w:p>
    <w:p w14:paraId="21DEBBD5" w14:textId="77777777" w:rsidR="006F42E0" w:rsidRPr="008473D4" w:rsidRDefault="006F42E0" w:rsidP="00A33606">
      <w:pPr>
        <w:jc w:val="both"/>
        <w:rPr>
          <w:sz w:val="20"/>
          <w:szCs w:val="20"/>
          <w:lang w:val="lv-LV"/>
        </w:rPr>
      </w:pPr>
      <w:r w:rsidRPr="008473D4">
        <w:rPr>
          <w:sz w:val="20"/>
          <w:szCs w:val="20"/>
          <w:lang w:val="lv-LV"/>
        </w:rPr>
        <w:t>„2.3. pieslēguma vieta - pieslēguma punkts elektroenerģijas pārvades vai sadales sistēmā, pie kura atbilstoši pamatotām tehniskām prasībām un par ekonomiski pamatotām izmaksām iespējams pieslēgt ražotāja elektrostaciju.”</w:t>
      </w:r>
    </w:p>
  </w:footnote>
  <w:footnote w:id="31">
    <w:p w14:paraId="78D8AE25" w14:textId="77777777" w:rsidR="006F42E0" w:rsidRPr="008473D4" w:rsidRDefault="006F42E0" w:rsidP="00A33606">
      <w:pPr>
        <w:pStyle w:val="FootnoteText"/>
        <w:jc w:val="both"/>
        <w:rPr>
          <w:lang w:val="lv-LV"/>
        </w:rPr>
      </w:pPr>
      <w:r w:rsidRPr="008473D4">
        <w:rPr>
          <w:rStyle w:val="FootnoteReference"/>
          <w:lang w:val="lv-LV"/>
        </w:rPr>
        <w:footnoteRef/>
      </w:r>
      <w:r w:rsidRPr="008473D4">
        <w:rPr>
          <w:lang w:val="lv-LV"/>
        </w:rPr>
        <w:t xml:space="preserve"> </w:t>
      </w:r>
      <w:r>
        <w:rPr>
          <w:lang w:val="lv-LV"/>
        </w:rPr>
        <w:t>Regulatora</w:t>
      </w:r>
      <w:r w:rsidRPr="008473D4">
        <w:rPr>
          <w:lang w:val="lv-LV"/>
        </w:rPr>
        <w:t xml:space="preserve"> 2012. gada 22. februāra padomes lēmums </w:t>
      </w:r>
      <w:proofErr w:type="spellStart"/>
      <w:r w:rsidRPr="008473D4">
        <w:rPr>
          <w:lang w:val="lv-LV"/>
        </w:rPr>
        <w:t>Nr</w:t>
      </w:r>
      <w:proofErr w:type="spellEnd"/>
      <w:r w:rsidRPr="008473D4">
        <w:rPr>
          <w:lang w:val="lv-LV"/>
        </w:rPr>
        <w:t>. 1/6 „Sistēmas pieslēguma noteikumi elektroenerģijas ražotājiem” 7. punkts:</w:t>
      </w:r>
    </w:p>
    <w:p w14:paraId="2B9DC47E" w14:textId="77777777" w:rsidR="006F42E0" w:rsidRPr="008473D4" w:rsidRDefault="006F42E0" w:rsidP="00A33606">
      <w:pPr>
        <w:pStyle w:val="FootnoteText"/>
        <w:rPr>
          <w:lang w:val="lv-LV"/>
        </w:rPr>
      </w:pPr>
      <w:r w:rsidRPr="008473D4">
        <w:rPr>
          <w:lang w:val="lv-LV"/>
        </w:rPr>
        <w:t>„7. Pieslēguma vietu un nosacījumus nosaka sistēmas operators, sešdesmit dienu laikā pēc pieteikuma saņemšanas, izsniedzot ražotājam skaidrus un tehniski pamatotus tehniskos noteikumus, kuru derīguma termiņš ir divi gadi.”</w:t>
      </w:r>
    </w:p>
  </w:footnote>
  <w:footnote w:id="32">
    <w:p w14:paraId="5E87E3C6" w14:textId="77777777" w:rsidR="006F42E0" w:rsidRPr="008473D4" w:rsidRDefault="006F42E0" w:rsidP="00A33606">
      <w:pPr>
        <w:pStyle w:val="FootnoteText"/>
        <w:jc w:val="both"/>
        <w:rPr>
          <w:lang w:val="lv-LV"/>
        </w:rPr>
      </w:pPr>
      <w:r w:rsidRPr="008473D4">
        <w:rPr>
          <w:rStyle w:val="FootnoteReference"/>
          <w:lang w:val="lv-LV"/>
        </w:rPr>
        <w:footnoteRef/>
      </w:r>
      <w:r w:rsidRPr="008473D4">
        <w:rPr>
          <w:lang w:val="lv-LV"/>
        </w:rPr>
        <w:t xml:space="preserve"> </w:t>
      </w:r>
      <w:r>
        <w:rPr>
          <w:lang w:val="lv-LV"/>
        </w:rPr>
        <w:t>Regulatora</w:t>
      </w:r>
      <w:r w:rsidRPr="008473D4">
        <w:rPr>
          <w:lang w:val="lv-LV"/>
        </w:rPr>
        <w:t xml:space="preserve"> 2012. gada 22. februāra padomes lēmums </w:t>
      </w:r>
      <w:proofErr w:type="spellStart"/>
      <w:r w:rsidRPr="008473D4">
        <w:rPr>
          <w:lang w:val="lv-LV"/>
        </w:rPr>
        <w:t>Nr</w:t>
      </w:r>
      <w:proofErr w:type="spellEnd"/>
      <w:r w:rsidRPr="008473D4">
        <w:rPr>
          <w:lang w:val="lv-LV"/>
        </w:rPr>
        <w:t>. 1/6 „Sistēmas pieslēguma noteikumi elektroenerģijas ražotājiem” 10. apakšpunkts:</w:t>
      </w:r>
    </w:p>
    <w:p w14:paraId="1E3A0025" w14:textId="77777777" w:rsidR="006F42E0" w:rsidRPr="008473D4" w:rsidRDefault="006F42E0" w:rsidP="00A33606">
      <w:pPr>
        <w:jc w:val="both"/>
        <w:rPr>
          <w:sz w:val="20"/>
          <w:szCs w:val="20"/>
          <w:lang w:val="lv-LV"/>
        </w:rPr>
      </w:pPr>
      <w:r w:rsidRPr="008473D4">
        <w:rPr>
          <w:sz w:val="20"/>
          <w:szCs w:val="20"/>
          <w:lang w:val="lv-LV"/>
        </w:rPr>
        <w:t>„10. Pieslēguma maksu nosaka atbilstoši pieslēguma ierīkošanas ekonomiski pamatotajām izmaksām.”</w:t>
      </w:r>
    </w:p>
    <w:p w14:paraId="32243D6B" w14:textId="77777777" w:rsidR="006F42E0" w:rsidRDefault="006F42E0" w:rsidP="00A33606">
      <w:pPr>
        <w:pStyle w:val="FootnoteText"/>
      </w:pPr>
    </w:p>
  </w:footnote>
  <w:footnote w:id="33">
    <w:p w14:paraId="335511A1" w14:textId="77777777" w:rsidR="006F42E0" w:rsidRPr="005C1BFC" w:rsidRDefault="006F42E0" w:rsidP="00A33606">
      <w:pPr>
        <w:pStyle w:val="FootnoteText"/>
      </w:pPr>
      <w:r w:rsidRPr="005C1BFC">
        <w:rPr>
          <w:rStyle w:val="FootnoteReference"/>
        </w:rPr>
        <w:footnoteRef/>
      </w:r>
      <w:r w:rsidRPr="005C1BFC">
        <w:t xml:space="preserve"> </w:t>
      </w:r>
      <w:proofErr w:type="spellStart"/>
      <w:proofErr w:type="gramStart"/>
      <w:r w:rsidRPr="005C1BFC">
        <w:t>Elektroenerģijas</w:t>
      </w:r>
      <w:proofErr w:type="spellEnd"/>
      <w:r w:rsidRPr="005C1BFC">
        <w:t xml:space="preserve"> </w:t>
      </w:r>
      <w:proofErr w:type="spellStart"/>
      <w:r w:rsidRPr="005C1BFC">
        <w:t>tirgus</w:t>
      </w:r>
      <w:proofErr w:type="spellEnd"/>
      <w:r w:rsidRPr="005C1BFC">
        <w:t xml:space="preserve"> </w:t>
      </w:r>
      <w:proofErr w:type="spellStart"/>
      <w:r w:rsidRPr="005C1BFC">
        <w:t>likuma</w:t>
      </w:r>
      <w:proofErr w:type="spellEnd"/>
      <w:r w:rsidRPr="005C1BFC">
        <w:t xml:space="preserve"> 9.</w:t>
      </w:r>
      <w:proofErr w:type="gramEnd"/>
      <w:r>
        <w:t> </w:t>
      </w:r>
      <w:proofErr w:type="spellStart"/>
      <w:r>
        <w:t>panta</w:t>
      </w:r>
      <w:proofErr w:type="spellEnd"/>
      <w:r>
        <w:t xml:space="preserve"> </w:t>
      </w:r>
      <w:proofErr w:type="spellStart"/>
      <w:r>
        <w:t>otrā</w:t>
      </w:r>
      <w:proofErr w:type="spellEnd"/>
      <w:r>
        <w:t xml:space="preserve"> </w:t>
      </w:r>
      <w:proofErr w:type="spellStart"/>
      <w:r>
        <w:t>daļa</w:t>
      </w:r>
      <w:proofErr w:type="spellEnd"/>
      <w:r w:rsidRPr="005C1BFC">
        <w:t>:</w:t>
      </w:r>
    </w:p>
    <w:p w14:paraId="61922C92" w14:textId="77777777" w:rsidR="006F42E0" w:rsidRPr="00C343E9" w:rsidRDefault="006F42E0" w:rsidP="00A33606">
      <w:pPr>
        <w:pStyle w:val="tv2131"/>
        <w:spacing w:before="0" w:line="240" w:lineRule="auto"/>
        <w:ind w:firstLine="0"/>
        <w:rPr>
          <w:rFonts w:ascii="Times New Roman" w:hAnsi="Times New Roman"/>
          <w:sz w:val="20"/>
          <w:szCs w:val="20"/>
        </w:rPr>
      </w:pPr>
      <w:r>
        <w:rPr>
          <w:rFonts w:ascii="Times New Roman" w:hAnsi="Times New Roman"/>
          <w:sz w:val="20"/>
          <w:szCs w:val="20"/>
        </w:rPr>
        <w:t>„</w:t>
      </w:r>
      <w:r w:rsidRPr="005E7215">
        <w:rPr>
          <w:rFonts w:ascii="Times New Roman" w:hAnsi="Times New Roman"/>
          <w:sz w:val="20"/>
          <w:szCs w:val="20"/>
        </w:rPr>
        <w:t>(2) Sistēmas operatoram tā licences darbības zonā un termiņā ir pastāvīgas saistības nodrošināt sistēmas dalībniekiem nepieciešamo pieslēgumu attiecīgai sistēmai saskaņā ar regulatora noteiktajiem vienotiem sistēmas pieslēguma noteikumiem, ja sistēmas dalībnieks izpilda sistēmas operatora noteiktās tehniskās prasības pieslēguma ierīkošanai. Pieslēguma maksa atbilst pamatotām attiecīgā sistēmas pieslēguma ierīkošanas izmaksām. Izmaksu sadalījumu starp sistēmas dalībnieku un sistēmas operatoru šā panta 2.1 daļā noteiktajos gadījumos nosaka regulators. Jauna sistēmas dalībnieka pieslēguma maksa neietver sistēmas attīstības izmaksas.</w:t>
      </w:r>
      <w:r>
        <w:rPr>
          <w:rFonts w:ascii="Times New Roman" w:hAnsi="Times New Roman"/>
          <w:sz w:val="20"/>
          <w:szCs w:val="20"/>
        </w:rPr>
        <w:t>”</w:t>
      </w:r>
    </w:p>
  </w:footnote>
  <w:footnote w:id="34">
    <w:p w14:paraId="3FC4CA23" w14:textId="77777777" w:rsidR="006F42E0" w:rsidRPr="00144519" w:rsidRDefault="006F42E0" w:rsidP="00FD609E">
      <w:pPr>
        <w:pStyle w:val="FootnoteText"/>
        <w:rPr>
          <w:lang w:val="lv-LV"/>
        </w:rPr>
      </w:pPr>
      <w:r w:rsidRPr="00FD609E">
        <w:rPr>
          <w:rStyle w:val="FootnoteReference"/>
        </w:rPr>
        <w:footnoteRef/>
      </w:r>
      <w:r w:rsidRPr="00FD609E">
        <w:t xml:space="preserve"> </w:t>
      </w:r>
      <w:r w:rsidRPr="00144519">
        <w:rPr>
          <w:lang w:val="lv-LV"/>
        </w:rPr>
        <w:t xml:space="preserve">MK noteikumi </w:t>
      </w:r>
      <w:proofErr w:type="spellStart"/>
      <w:r w:rsidRPr="00144519">
        <w:rPr>
          <w:lang w:val="lv-LV"/>
        </w:rPr>
        <w:t>Nr</w:t>
      </w:r>
      <w:proofErr w:type="spellEnd"/>
      <w:r w:rsidRPr="00144519">
        <w:rPr>
          <w:lang w:val="lv-LV"/>
        </w:rPr>
        <w:t>. 900, 1.1., 1.2., 1.3., apakšpunkts:</w:t>
      </w:r>
    </w:p>
    <w:p w14:paraId="7B8B662C" w14:textId="77777777" w:rsidR="006F42E0" w:rsidRPr="00144519" w:rsidRDefault="006F42E0" w:rsidP="00FD609E">
      <w:pPr>
        <w:jc w:val="both"/>
        <w:rPr>
          <w:snapToGrid/>
          <w:sz w:val="20"/>
          <w:szCs w:val="20"/>
          <w:lang w:val="lv-LV" w:eastAsia="lv-LV"/>
        </w:rPr>
      </w:pPr>
      <w:r w:rsidRPr="00144519">
        <w:rPr>
          <w:snapToGrid/>
          <w:sz w:val="20"/>
          <w:szCs w:val="20"/>
          <w:lang w:val="lv-LV" w:eastAsia="lv-LV"/>
        </w:rPr>
        <w:t>„1. Noteikumi nosaka:</w:t>
      </w:r>
    </w:p>
    <w:p w14:paraId="2DDB8E70" w14:textId="77777777" w:rsidR="006F42E0" w:rsidRPr="00144519" w:rsidRDefault="006F42E0" w:rsidP="00FD609E">
      <w:pPr>
        <w:ind w:firstLine="300"/>
        <w:jc w:val="both"/>
        <w:rPr>
          <w:snapToGrid/>
          <w:sz w:val="20"/>
          <w:szCs w:val="20"/>
          <w:lang w:val="lv-LV" w:eastAsia="lv-LV"/>
        </w:rPr>
      </w:pPr>
      <w:r w:rsidRPr="00144519">
        <w:rPr>
          <w:snapToGrid/>
          <w:sz w:val="20"/>
          <w:szCs w:val="20"/>
          <w:lang w:val="lv-LV" w:eastAsia="lv-LV"/>
        </w:rPr>
        <w:t>1.1. kārtību, kādā elektroenerģijas ražotājs (turpmāk – ražotājs), kurš elektroenerģijas ražošanai izmanto atjaunojamos energoresursus, par saražotās elektroenerģijas daudzumu, kas izteikts megavatstundās (</w:t>
      </w:r>
      <w:proofErr w:type="spellStart"/>
      <w:r w:rsidRPr="00144519">
        <w:rPr>
          <w:snapToGrid/>
          <w:sz w:val="20"/>
          <w:szCs w:val="20"/>
          <w:lang w:val="lv-LV" w:eastAsia="lv-LV"/>
        </w:rPr>
        <w:t>MWh</w:t>
      </w:r>
      <w:proofErr w:type="spellEnd"/>
      <w:r w:rsidRPr="00144519">
        <w:rPr>
          <w:snapToGrid/>
          <w:sz w:val="20"/>
          <w:szCs w:val="20"/>
          <w:lang w:val="lv-LV" w:eastAsia="lv-LV"/>
        </w:rPr>
        <w:t>), var saņemt izcelsmes apliecinājumu;</w:t>
      </w:r>
    </w:p>
    <w:p w14:paraId="5AF41A41" w14:textId="77777777" w:rsidR="006F42E0" w:rsidRPr="00144519" w:rsidRDefault="006F42E0" w:rsidP="00FD609E">
      <w:pPr>
        <w:ind w:firstLine="300"/>
        <w:jc w:val="both"/>
        <w:rPr>
          <w:snapToGrid/>
          <w:sz w:val="20"/>
          <w:szCs w:val="20"/>
          <w:lang w:val="lv-LV" w:eastAsia="lv-LV"/>
        </w:rPr>
      </w:pPr>
      <w:r w:rsidRPr="00144519">
        <w:rPr>
          <w:snapToGrid/>
          <w:sz w:val="20"/>
          <w:szCs w:val="20"/>
          <w:lang w:val="lv-LV" w:eastAsia="lv-LV"/>
        </w:rPr>
        <w:t>1.2. kārtību, kādā ražotājs, kas elektroenerģijas ražošanai izmanto atjaunojamos energoresursus, var saņemt saražotās elektroenerģijas izcelsmes apliecinājumu;</w:t>
      </w:r>
    </w:p>
    <w:p w14:paraId="61A018F6" w14:textId="77777777" w:rsidR="006F42E0" w:rsidRPr="00144519" w:rsidRDefault="006F42E0" w:rsidP="00FD609E">
      <w:pPr>
        <w:ind w:firstLine="300"/>
        <w:jc w:val="both"/>
        <w:rPr>
          <w:sz w:val="20"/>
          <w:szCs w:val="20"/>
          <w:lang w:val="lv-LV"/>
        </w:rPr>
      </w:pPr>
      <w:r w:rsidRPr="00144519">
        <w:rPr>
          <w:snapToGrid/>
          <w:sz w:val="20"/>
          <w:szCs w:val="20"/>
          <w:lang w:val="lv-LV" w:eastAsia="lv-LV"/>
        </w:rPr>
        <w:t>1.3. kārtību, kādā ražotājs, kas elektroenerģijas ražošanai izmanto biomasu vai biogāzi, var saņemt saražotās elektroenerģijas izcelsmes apliecinājumu;”</w:t>
      </w:r>
    </w:p>
  </w:footnote>
  <w:footnote w:id="35">
    <w:p w14:paraId="55EA7E0A" w14:textId="77777777" w:rsidR="006F42E0" w:rsidRPr="00144519" w:rsidRDefault="006F42E0" w:rsidP="00A33606">
      <w:pPr>
        <w:pStyle w:val="tv2131"/>
        <w:spacing w:before="0" w:line="240" w:lineRule="auto"/>
        <w:ind w:firstLine="0"/>
        <w:rPr>
          <w:rFonts w:ascii="Times New Roman" w:hAnsi="Times New Roman"/>
          <w:sz w:val="20"/>
          <w:szCs w:val="20"/>
        </w:rPr>
      </w:pPr>
      <w:r w:rsidRPr="00144519">
        <w:rPr>
          <w:rStyle w:val="FootnoteReference"/>
          <w:rFonts w:ascii="Times New Roman" w:hAnsi="Times New Roman"/>
          <w:sz w:val="20"/>
          <w:szCs w:val="20"/>
        </w:rPr>
        <w:footnoteRef/>
      </w:r>
      <w:r w:rsidRPr="00144519">
        <w:rPr>
          <w:rFonts w:ascii="Times New Roman" w:hAnsi="Times New Roman"/>
          <w:sz w:val="20"/>
          <w:szCs w:val="20"/>
        </w:rPr>
        <w:t xml:space="preserve"> MK noteikumi </w:t>
      </w:r>
      <w:proofErr w:type="spellStart"/>
      <w:r w:rsidRPr="00144519">
        <w:rPr>
          <w:rFonts w:ascii="Times New Roman" w:hAnsi="Times New Roman"/>
          <w:sz w:val="20"/>
          <w:szCs w:val="20"/>
        </w:rPr>
        <w:t>Nr</w:t>
      </w:r>
      <w:proofErr w:type="spellEnd"/>
      <w:r w:rsidRPr="00144519">
        <w:rPr>
          <w:rFonts w:ascii="Times New Roman" w:hAnsi="Times New Roman"/>
          <w:sz w:val="20"/>
          <w:szCs w:val="20"/>
        </w:rPr>
        <w:t xml:space="preserve"> 900, 3.punkts:</w:t>
      </w:r>
    </w:p>
    <w:p w14:paraId="1FF23C52" w14:textId="77777777" w:rsidR="006F42E0" w:rsidRPr="00144519" w:rsidRDefault="006F42E0" w:rsidP="00A33606">
      <w:pPr>
        <w:pStyle w:val="tv2131"/>
        <w:spacing w:before="0" w:line="240" w:lineRule="auto"/>
        <w:ind w:firstLine="0"/>
        <w:rPr>
          <w:rFonts w:ascii="Times New Roman" w:hAnsi="Times New Roman"/>
          <w:sz w:val="20"/>
          <w:szCs w:val="20"/>
        </w:rPr>
      </w:pPr>
      <w:r w:rsidRPr="00144519">
        <w:rPr>
          <w:rFonts w:ascii="Times New Roman" w:hAnsi="Times New Roman"/>
          <w:sz w:val="20"/>
          <w:szCs w:val="20"/>
        </w:rPr>
        <w:t xml:space="preserve">„3. Ekonomikas ministrija (turpmāk – ministrija) šo noteikumu </w:t>
      </w:r>
      <w:hyperlink r:id="rId4" w:anchor="p2" w:history="1">
        <w:r w:rsidRPr="00144519">
          <w:rPr>
            <w:rFonts w:ascii="Times New Roman" w:hAnsi="Times New Roman"/>
            <w:sz w:val="20"/>
            <w:szCs w:val="20"/>
            <w:u w:val="single"/>
          </w:rPr>
          <w:t>2.punktā</w:t>
        </w:r>
      </w:hyperlink>
      <w:r w:rsidRPr="00144519">
        <w:rPr>
          <w:rFonts w:ascii="Times New Roman" w:hAnsi="Times New Roman"/>
          <w:sz w:val="20"/>
          <w:szCs w:val="20"/>
        </w:rPr>
        <w:t xml:space="preserve"> minēto izcelsmes apliecinājumu izsniedz un uzskaita elektroniski.”</w:t>
      </w:r>
    </w:p>
  </w:footnote>
  <w:footnote w:id="36">
    <w:p w14:paraId="2B00E4D7" w14:textId="77777777" w:rsidR="006F42E0" w:rsidRPr="00144519" w:rsidRDefault="006F42E0" w:rsidP="00A33606">
      <w:pPr>
        <w:pStyle w:val="FootnoteText"/>
        <w:jc w:val="both"/>
        <w:rPr>
          <w:lang w:val="lv-LV"/>
        </w:rPr>
      </w:pPr>
      <w:r w:rsidRPr="00144519">
        <w:rPr>
          <w:rStyle w:val="FootnoteReference"/>
          <w:lang w:val="lv-LV"/>
        </w:rPr>
        <w:footnoteRef/>
      </w:r>
      <w:r w:rsidRPr="00144519">
        <w:rPr>
          <w:lang w:val="lv-LV"/>
        </w:rPr>
        <w:t xml:space="preserve"> MK noteikumi </w:t>
      </w:r>
      <w:proofErr w:type="spellStart"/>
      <w:r w:rsidRPr="00144519">
        <w:rPr>
          <w:lang w:val="lv-LV"/>
        </w:rPr>
        <w:t>Nr</w:t>
      </w:r>
      <w:proofErr w:type="spellEnd"/>
      <w:r w:rsidRPr="00144519">
        <w:rPr>
          <w:lang w:val="lv-LV"/>
        </w:rPr>
        <w:t xml:space="preserve"> 900, 4.punkts:</w:t>
      </w:r>
    </w:p>
    <w:p w14:paraId="5C57D7C8" w14:textId="77777777" w:rsidR="006F42E0" w:rsidRPr="00144519" w:rsidRDefault="006F42E0" w:rsidP="00A33606">
      <w:pPr>
        <w:pStyle w:val="FootnoteText"/>
        <w:jc w:val="both"/>
        <w:rPr>
          <w:lang w:val="lv-LV"/>
        </w:rPr>
      </w:pPr>
      <w:r w:rsidRPr="00144519">
        <w:rPr>
          <w:lang w:val="lv-LV"/>
        </w:rPr>
        <w:t>„4. Lai saņemtu izcelsmes apliecinājumu, ražotājs papīra formā vai elektroniska dokumenta veidā iesniedz ministrijā iesniegumu izcelsmes apliecinājuma saņemšanai (</w:t>
      </w:r>
      <w:hyperlink r:id="rId5" w:anchor="piel0" w:history="1">
        <w:r w:rsidRPr="00144519">
          <w:rPr>
            <w:u w:val="single"/>
            <w:lang w:val="lv-LV"/>
          </w:rPr>
          <w:t>pielikums</w:t>
        </w:r>
      </w:hyperlink>
      <w:r w:rsidRPr="00144519">
        <w:rPr>
          <w:lang w:val="lv-LV"/>
        </w:rPr>
        <w:t>) (turpmāk – iesniegums). Iesnieguma 7.punktā minētos datus apliecina tās sistēmas operators, kura elektrotīkliem elektrostacija ir pieslēgta.”</w:t>
      </w:r>
    </w:p>
  </w:footnote>
  <w:footnote w:id="37">
    <w:p w14:paraId="30FDFF08" w14:textId="77777777" w:rsidR="006F42E0" w:rsidRPr="00144519" w:rsidRDefault="006F42E0" w:rsidP="00A33606">
      <w:pPr>
        <w:pStyle w:val="FootnoteText"/>
        <w:jc w:val="both"/>
        <w:rPr>
          <w:lang w:val="lv-LV"/>
        </w:rPr>
      </w:pPr>
      <w:r w:rsidRPr="00144519">
        <w:rPr>
          <w:rStyle w:val="FootnoteReference"/>
          <w:lang w:val="lv-LV"/>
        </w:rPr>
        <w:footnoteRef/>
      </w:r>
      <w:r w:rsidRPr="00144519">
        <w:rPr>
          <w:lang w:val="lv-LV"/>
        </w:rPr>
        <w:t xml:space="preserve"> MK noteikumi </w:t>
      </w:r>
      <w:proofErr w:type="spellStart"/>
      <w:r w:rsidRPr="00144519">
        <w:rPr>
          <w:lang w:val="lv-LV"/>
        </w:rPr>
        <w:t>Nr</w:t>
      </w:r>
      <w:proofErr w:type="spellEnd"/>
      <w:r w:rsidRPr="00144519">
        <w:rPr>
          <w:lang w:val="lv-LV"/>
        </w:rPr>
        <w:t xml:space="preserve"> 900, 7.punkts:</w:t>
      </w:r>
    </w:p>
    <w:p w14:paraId="1B2D948D" w14:textId="77777777" w:rsidR="006F42E0" w:rsidRPr="00144519" w:rsidRDefault="006F42E0" w:rsidP="00A33606">
      <w:pPr>
        <w:pStyle w:val="FootnoteText"/>
        <w:jc w:val="both"/>
        <w:rPr>
          <w:lang w:val="lv-LV"/>
        </w:rPr>
      </w:pPr>
      <w:r w:rsidRPr="00144519">
        <w:rPr>
          <w:lang w:val="lv-LV"/>
        </w:rPr>
        <w:t>„7.Ja iesniegums satur visu nepieciešamo informāciju un ražotājs atbilst šo noteikumu prasībām, ministrija pieņem lēmumu izsniegt ražotājam izcelsmes apliecinājumu, attiecīgo lēmumu paziņo ražotājam un izsniedz tam izcelsmes apliecinājumu. Izcelsmes apliecinājumā norāda visu šo noteikumu pielikuma sadaļā "Informācija par elektrostaciju, kura elektroenerģijas ražošanai izmanto atjaunojamos energoresursus'' minēto informāciju.”</w:t>
      </w:r>
    </w:p>
  </w:footnote>
  <w:footnote w:id="38">
    <w:p w14:paraId="3EA89301" w14:textId="77777777" w:rsidR="006F42E0" w:rsidRPr="00D6616C" w:rsidRDefault="006F42E0" w:rsidP="00935991">
      <w:pPr>
        <w:pStyle w:val="FootnoteText"/>
        <w:jc w:val="both"/>
        <w:rPr>
          <w:szCs w:val="24"/>
          <w:lang w:val="lv-LV"/>
        </w:rPr>
      </w:pPr>
      <w:r>
        <w:rPr>
          <w:rStyle w:val="FootnoteReference"/>
          <w:sz w:val="18"/>
          <w:szCs w:val="24"/>
        </w:rPr>
        <w:footnoteRef/>
      </w:r>
      <w:r w:rsidRPr="00D6616C">
        <w:rPr>
          <w:sz w:val="18"/>
          <w:szCs w:val="24"/>
          <w:lang w:val="lv-LV"/>
        </w:rPr>
        <w:t xml:space="preserve"> </w:t>
      </w:r>
      <w:r>
        <w:rPr>
          <w:szCs w:val="24"/>
          <w:lang w:val="lv-LV"/>
        </w:rPr>
        <w:t xml:space="preserve">Biodegvielas, ko ražo no atkritumiem, atlikumiem, nepārtikas celulozes izejvielām un </w:t>
      </w:r>
      <w:proofErr w:type="spellStart"/>
      <w:r>
        <w:rPr>
          <w:szCs w:val="24"/>
          <w:lang w:val="lv-LV"/>
        </w:rPr>
        <w:t>lignocelulozes</w:t>
      </w:r>
      <w:proofErr w:type="spellEnd"/>
      <w:r>
        <w:rPr>
          <w:szCs w:val="24"/>
          <w:lang w:val="lv-LV"/>
        </w:rPr>
        <w:t xml:space="preserve"> izejvielām.</w:t>
      </w:r>
    </w:p>
  </w:footnote>
  <w:footnote w:id="39">
    <w:p w14:paraId="641C6687" w14:textId="77777777" w:rsidR="006F42E0" w:rsidRPr="00D6616C" w:rsidRDefault="006F42E0" w:rsidP="00792BC2">
      <w:pPr>
        <w:pStyle w:val="FootnoteText"/>
        <w:rPr>
          <w:szCs w:val="24"/>
          <w:lang w:val="lv-LV"/>
        </w:rPr>
      </w:pPr>
      <w:r>
        <w:rPr>
          <w:rStyle w:val="FootnoteReference"/>
          <w:sz w:val="18"/>
          <w:szCs w:val="24"/>
        </w:rPr>
        <w:footnoteRef/>
      </w:r>
      <w:r w:rsidRPr="00D6616C">
        <w:rPr>
          <w:sz w:val="18"/>
          <w:szCs w:val="24"/>
          <w:lang w:val="lv-LV"/>
        </w:rPr>
        <w:t xml:space="preserve"> </w:t>
      </w:r>
      <w:r>
        <w:rPr>
          <w:szCs w:val="24"/>
          <w:lang w:val="lv-LV"/>
        </w:rPr>
        <w:t xml:space="preserve">Pētījums </w:t>
      </w:r>
      <w:r w:rsidRPr="00417876">
        <w:rPr>
          <w:szCs w:val="24"/>
          <w:lang w:val="lv-LV"/>
        </w:rPr>
        <w:t xml:space="preserve">„Biomasas izmantošanas </w:t>
      </w:r>
      <w:r>
        <w:rPr>
          <w:szCs w:val="24"/>
          <w:lang w:val="lv-LV"/>
        </w:rPr>
        <w:t>ilgtspēja</w:t>
      </w:r>
      <w:r w:rsidRPr="00417876">
        <w:rPr>
          <w:szCs w:val="24"/>
          <w:lang w:val="lv-LV"/>
        </w:rPr>
        <w:t xml:space="preserve">s kritēriju pielietošana un pasākumu izstrāde” </w:t>
      </w:r>
      <w:r>
        <w:rPr>
          <w:szCs w:val="24"/>
          <w:lang w:val="lv-LV"/>
        </w:rPr>
        <w:t>(2009. </w:t>
      </w:r>
      <w:proofErr w:type="spellStart"/>
      <w:r>
        <w:rPr>
          <w:szCs w:val="24"/>
          <w:lang w:val="lv-LV"/>
        </w:rPr>
        <w:t>g</w:t>
      </w:r>
      <w:proofErr w:type="spellEnd"/>
      <w:r>
        <w:rPr>
          <w:szCs w:val="24"/>
          <w:lang w:val="lv-LV"/>
        </w:rPr>
        <w:t xml:space="preserve">.) – pieejams Latvijas vides administrācijas fonda interneta vietnē: </w:t>
      </w:r>
      <w:hyperlink r:id="rId6" w:history="1">
        <w:r w:rsidRPr="00DC62BB">
          <w:rPr>
            <w:rStyle w:val="Hyperlink"/>
            <w:szCs w:val="24"/>
            <w:lang w:val="lv-LV"/>
          </w:rPr>
          <w:t>http://lvafa.gov.lv/faili/petijumi/Biomasas_izmantosana.pdf</w:t>
        </w:r>
      </w:hyperlink>
      <w:r>
        <w:rPr>
          <w:szCs w:val="24"/>
          <w:lang w:val="lv-LV"/>
        </w:rPr>
        <w:t xml:space="preserve"> </w:t>
      </w:r>
    </w:p>
  </w:footnote>
  <w:footnote w:id="40">
    <w:p w14:paraId="309628BA" w14:textId="77777777" w:rsidR="006F42E0" w:rsidRPr="00D6616C" w:rsidRDefault="006F42E0" w:rsidP="00B75211">
      <w:pPr>
        <w:pStyle w:val="FootnoteText"/>
        <w:jc w:val="both"/>
        <w:rPr>
          <w:szCs w:val="24"/>
          <w:lang w:val="lv-LV"/>
        </w:rPr>
      </w:pPr>
      <w:r>
        <w:rPr>
          <w:rStyle w:val="FootnoteReference"/>
          <w:szCs w:val="24"/>
        </w:rPr>
        <w:footnoteRef/>
      </w:r>
      <w:r w:rsidRPr="00D6616C">
        <w:rPr>
          <w:szCs w:val="24"/>
          <w:lang w:val="lv-LV"/>
        </w:rPr>
        <w:t xml:space="preserve"> </w:t>
      </w:r>
      <w:r>
        <w:rPr>
          <w:szCs w:val="24"/>
          <w:lang w:val="lv-LV"/>
        </w:rPr>
        <w:t>Gāzes, elektroenerģijas un ūdeņraža īpatsvaru atjaunojamās enerģijas avotos norādīt pēc galapatēriņa (elektroenerģija, apsilde, dzesēšana vai transports) un kopējos aplēstajos SEG ietaupījumos uzskaitīt tikai vienu reizi.</w:t>
      </w:r>
    </w:p>
  </w:footnote>
  <w:footnote w:id="41">
    <w:p w14:paraId="0BA53FB1" w14:textId="77777777" w:rsidR="006F42E0" w:rsidRDefault="006F42E0">
      <w:pPr>
        <w:pStyle w:val="FootnoteText"/>
        <w:jc w:val="both"/>
        <w:rPr>
          <w:szCs w:val="24"/>
        </w:rPr>
      </w:pPr>
      <w:r>
        <w:rPr>
          <w:rStyle w:val="FootnoteReference"/>
          <w:sz w:val="18"/>
          <w:szCs w:val="24"/>
        </w:rPr>
        <w:footnoteRef/>
      </w:r>
      <w:r>
        <w:rPr>
          <w:sz w:val="18"/>
          <w:szCs w:val="24"/>
        </w:rPr>
        <w:t xml:space="preserve"> </w:t>
      </w:r>
      <w:r>
        <w:rPr>
          <w:szCs w:val="24"/>
          <w:lang w:val="lv-LV"/>
        </w:rPr>
        <w:t>Ziņojot par pārprodukciju divos gados pirms ziņojuma iesniegšanas, izmantot faktiskos skaitļus, bet par turpmākajiem gadiem līdz 2020. gadam – aplēses.</w:t>
      </w:r>
      <w:r>
        <w:rPr>
          <w:szCs w:val="24"/>
        </w:rPr>
        <w:t xml:space="preserve"> </w:t>
      </w:r>
      <w:r>
        <w:rPr>
          <w:szCs w:val="24"/>
          <w:lang w:val="lv-LV"/>
        </w:rPr>
        <w:t>Dalībvalstij ir iespēja katrā ziņojumā labot iepriekšējos ziņojumos sniegtos datus.</w:t>
      </w:r>
    </w:p>
  </w:footnote>
  <w:footnote w:id="42">
    <w:p w14:paraId="5D890DCA" w14:textId="77777777" w:rsidR="006F42E0" w:rsidRDefault="006F42E0">
      <w:pPr>
        <w:pStyle w:val="FootnoteText"/>
        <w:jc w:val="both"/>
        <w:rPr>
          <w:szCs w:val="24"/>
        </w:rPr>
      </w:pPr>
      <w:r>
        <w:rPr>
          <w:rStyle w:val="FootnoteReference"/>
          <w:sz w:val="18"/>
          <w:szCs w:val="24"/>
        </w:rPr>
        <w:footnoteRef/>
      </w:r>
      <w:r>
        <w:rPr>
          <w:sz w:val="18"/>
          <w:szCs w:val="24"/>
        </w:rPr>
        <w:t xml:space="preserve"> </w:t>
      </w:r>
      <w:r>
        <w:rPr>
          <w:szCs w:val="24"/>
          <w:lang w:val="lv-LV"/>
        </w:rPr>
        <w:t xml:space="preserve">Aizpildot tabulu, saražotās produkcijas deficītu norādīt ar negatīviem skaitļiem (piemēram, –x </w:t>
      </w:r>
      <w:proofErr w:type="spellStart"/>
      <w:r>
        <w:rPr>
          <w:szCs w:val="24"/>
          <w:lang w:val="lv-LV"/>
        </w:rPr>
        <w:t>tūkst</w:t>
      </w:r>
      <w:proofErr w:type="spellEnd"/>
      <w:r>
        <w:rPr>
          <w:szCs w:val="24"/>
          <w:lang w:val="lv-LV"/>
        </w:rPr>
        <w:t xml:space="preserve">. t naftas </w:t>
      </w:r>
      <w:proofErr w:type="spellStart"/>
      <w:r>
        <w:rPr>
          <w:szCs w:val="24"/>
          <w:lang w:val="lv-LV"/>
        </w:rPr>
        <w:t>ekv</w:t>
      </w:r>
      <w:proofErr w:type="spellEnd"/>
      <w:r>
        <w:rPr>
          <w:szCs w:val="24"/>
          <w:lang w:val="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2E9D4" w14:textId="77777777" w:rsidR="006F42E0" w:rsidRDefault="006F42E0">
    <w:pPr>
      <w:pStyle w:val="Header"/>
      <w:jc w:val="center"/>
    </w:pPr>
    <w:r>
      <w:fldChar w:fldCharType="begin"/>
    </w:r>
    <w:r>
      <w:instrText xml:space="preserve"> PAGE   \* MERGEFORMAT </w:instrText>
    </w:r>
    <w:r>
      <w:fldChar w:fldCharType="separate"/>
    </w:r>
    <w:r w:rsidR="00ED26E6">
      <w:rPr>
        <w:noProof/>
      </w:rPr>
      <w:t>34</w:t>
    </w:r>
    <w:r>
      <w:rPr>
        <w:noProof/>
      </w:rPr>
      <w:fldChar w:fldCharType="end"/>
    </w:r>
  </w:p>
  <w:p w14:paraId="353155FD" w14:textId="77777777" w:rsidR="006F42E0" w:rsidRDefault="006F4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56E"/>
    <w:multiLevelType w:val="hybridMultilevel"/>
    <w:tmpl w:val="47EEDD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53D2993"/>
    <w:multiLevelType w:val="hybridMultilevel"/>
    <w:tmpl w:val="A92EEFA8"/>
    <w:lvl w:ilvl="0" w:tplc="EF28940A">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0574706E"/>
    <w:multiLevelType w:val="hybridMultilevel"/>
    <w:tmpl w:val="18E206E8"/>
    <w:lvl w:ilvl="0" w:tplc="1884CAA8">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57E6548"/>
    <w:multiLevelType w:val="hybridMultilevel"/>
    <w:tmpl w:val="38346A7C"/>
    <w:lvl w:ilvl="0" w:tplc="ECBA608C">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13597F71"/>
    <w:multiLevelType w:val="hybridMultilevel"/>
    <w:tmpl w:val="247E5A5E"/>
    <w:lvl w:ilvl="0" w:tplc="DC82FF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24FF7FE9"/>
    <w:multiLevelType w:val="multilevel"/>
    <w:tmpl w:val="BE3E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BD1426"/>
    <w:multiLevelType w:val="hybridMultilevel"/>
    <w:tmpl w:val="672ED03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nsid w:val="38B4156B"/>
    <w:multiLevelType w:val="hybridMultilevel"/>
    <w:tmpl w:val="7DC216BE"/>
    <w:lvl w:ilvl="0" w:tplc="6DA825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nsid w:val="39077C5E"/>
    <w:multiLevelType w:val="multilevel"/>
    <w:tmpl w:val="D9F4F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1148D4"/>
    <w:multiLevelType w:val="hybridMultilevel"/>
    <w:tmpl w:val="D5E0B3B2"/>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56CB74B4"/>
    <w:multiLevelType w:val="multilevel"/>
    <w:tmpl w:val="E67CE90A"/>
    <w:lvl w:ilvl="0">
      <w:start w:val="1"/>
      <w:numFmt w:val="decimal"/>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61497394"/>
    <w:multiLevelType w:val="hybridMultilevel"/>
    <w:tmpl w:val="09C2DB62"/>
    <w:lvl w:ilvl="0" w:tplc="AD30983E">
      <w:start w:val="1"/>
      <w:numFmt w:val="lowerLetter"/>
      <w:lvlText w:val="%1)"/>
      <w:lvlJc w:val="left"/>
      <w:pPr>
        <w:ind w:left="1444" w:hanging="7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nsid w:val="61704A91"/>
    <w:multiLevelType w:val="hybridMultilevel"/>
    <w:tmpl w:val="B9EAD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26F07AD"/>
    <w:multiLevelType w:val="hybridMultilevel"/>
    <w:tmpl w:val="70A02328"/>
    <w:lvl w:ilvl="0" w:tplc="1884CAA8">
      <w:numFmt w:val="bullet"/>
      <w:lvlText w:val="-"/>
      <w:lvlJc w:val="left"/>
      <w:pPr>
        <w:ind w:left="1439" w:hanging="855"/>
      </w:pPr>
      <w:rPr>
        <w:rFonts w:ascii="Times New Roman" w:eastAsia="Times New Roman" w:hAnsi="Times New Roman" w:cs="Times New Roman" w:hint="default"/>
      </w:rPr>
    </w:lvl>
    <w:lvl w:ilvl="1" w:tplc="04260019" w:tentative="1">
      <w:start w:val="1"/>
      <w:numFmt w:val="lowerLetter"/>
      <w:lvlText w:val="%2."/>
      <w:lvlJc w:val="left"/>
      <w:pPr>
        <w:ind w:left="1664" w:hanging="360"/>
      </w:pPr>
    </w:lvl>
    <w:lvl w:ilvl="2" w:tplc="0426001B" w:tentative="1">
      <w:start w:val="1"/>
      <w:numFmt w:val="lowerRoman"/>
      <w:lvlText w:val="%3."/>
      <w:lvlJc w:val="right"/>
      <w:pPr>
        <w:ind w:left="2384" w:hanging="180"/>
      </w:pPr>
    </w:lvl>
    <w:lvl w:ilvl="3" w:tplc="0426000F" w:tentative="1">
      <w:start w:val="1"/>
      <w:numFmt w:val="decimal"/>
      <w:lvlText w:val="%4."/>
      <w:lvlJc w:val="left"/>
      <w:pPr>
        <w:ind w:left="3104" w:hanging="360"/>
      </w:pPr>
    </w:lvl>
    <w:lvl w:ilvl="4" w:tplc="04260019" w:tentative="1">
      <w:start w:val="1"/>
      <w:numFmt w:val="lowerLetter"/>
      <w:lvlText w:val="%5."/>
      <w:lvlJc w:val="left"/>
      <w:pPr>
        <w:ind w:left="3824" w:hanging="360"/>
      </w:pPr>
    </w:lvl>
    <w:lvl w:ilvl="5" w:tplc="0426001B" w:tentative="1">
      <w:start w:val="1"/>
      <w:numFmt w:val="lowerRoman"/>
      <w:lvlText w:val="%6."/>
      <w:lvlJc w:val="right"/>
      <w:pPr>
        <w:ind w:left="4544" w:hanging="180"/>
      </w:pPr>
    </w:lvl>
    <w:lvl w:ilvl="6" w:tplc="0426000F" w:tentative="1">
      <w:start w:val="1"/>
      <w:numFmt w:val="decimal"/>
      <w:lvlText w:val="%7."/>
      <w:lvlJc w:val="left"/>
      <w:pPr>
        <w:ind w:left="5264" w:hanging="360"/>
      </w:pPr>
    </w:lvl>
    <w:lvl w:ilvl="7" w:tplc="04260019" w:tentative="1">
      <w:start w:val="1"/>
      <w:numFmt w:val="lowerLetter"/>
      <w:lvlText w:val="%8."/>
      <w:lvlJc w:val="left"/>
      <w:pPr>
        <w:ind w:left="5984" w:hanging="360"/>
      </w:pPr>
    </w:lvl>
    <w:lvl w:ilvl="8" w:tplc="0426001B" w:tentative="1">
      <w:start w:val="1"/>
      <w:numFmt w:val="lowerRoman"/>
      <w:lvlText w:val="%9."/>
      <w:lvlJc w:val="right"/>
      <w:pPr>
        <w:ind w:left="6704" w:hanging="180"/>
      </w:pPr>
    </w:lvl>
  </w:abstractNum>
  <w:abstractNum w:abstractNumId="14">
    <w:nsid w:val="65640ADD"/>
    <w:multiLevelType w:val="multilevel"/>
    <w:tmpl w:val="E88E3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A82E0B"/>
    <w:multiLevelType w:val="hybridMultilevel"/>
    <w:tmpl w:val="163ECE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6CD611CC"/>
    <w:multiLevelType w:val="hybridMultilevel"/>
    <w:tmpl w:val="001EFE4A"/>
    <w:lvl w:ilvl="0" w:tplc="76565180">
      <w:start w:val="1"/>
      <w:numFmt w:val="decimal"/>
      <w:lvlText w:val="%1."/>
      <w:lvlJc w:val="left"/>
      <w:pPr>
        <w:ind w:left="72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EB15146"/>
    <w:multiLevelType w:val="hybridMultilevel"/>
    <w:tmpl w:val="7AA0D2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1B575C0"/>
    <w:multiLevelType w:val="hybridMultilevel"/>
    <w:tmpl w:val="54F818D4"/>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nsid w:val="726B42EA"/>
    <w:multiLevelType w:val="hybridMultilevel"/>
    <w:tmpl w:val="B44C3A7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nsid w:val="7A23659F"/>
    <w:multiLevelType w:val="hybridMultilevel"/>
    <w:tmpl w:val="4BC896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1"/>
  </w:num>
  <w:num w:numId="5">
    <w:abstractNumId w:val="2"/>
  </w:num>
  <w:num w:numId="6">
    <w:abstractNumId w:val="13"/>
  </w:num>
  <w:num w:numId="7">
    <w:abstractNumId w:val="4"/>
  </w:num>
  <w:num w:numId="8">
    <w:abstractNumId w:val="18"/>
  </w:num>
  <w:num w:numId="9">
    <w:abstractNumId w:val="7"/>
  </w:num>
  <w:num w:numId="10">
    <w:abstractNumId w:val="11"/>
  </w:num>
  <w:num w:numId="11">
    <w:abstractNumId w:val="19"/>
  </w:num>
  <w:num w:numId="12">
    <w:abstractNumId w:val="0"/>
  </w:num>
  <w:num w:numId="13">
    <w:abstractNumId w:val="17"/>
  </w:num>
  <w:num w:numId="14">
    <w:abstractNumId w:val="9"/>
  </w:num>
  <w:num w:numId="15">
    <w:abstractNumId w:val="6"/>
  </w:num>
  <w:num w:numId="16">
    <w:abstractNumId w:val="10"/>
  </w:num>
  <w:num w:numId="17">
    <w:abstractNumId w:val="10"/>
  </w:num>
  <w:num w:numId="18">
    <w:abstractNumId w:val="2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5"/>
  </w:num>
  <w:num w:numId="28">
    <w:abstractNumId w:val="16"/>
  </w:num>
  <w:num w:numId="29">
    <w:abstractNumId w:val="14"/>
  </w:num>
  <w:num w:numId="30">
    <w:abstractNumId w:val="5"/>
  </w:num>
  <w:num w:numId="3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F25C6F"/>
    <w:rsid w:val="00000D9B"/>
    <w:rsid w:val="0000554D"/>
    <w:rsid w:val="00005D35"/>
    <w:rsid w:val="000065F2"/>
    <w:rsid w:val="00007754"/>
    <w:rsid w:val="000118C6"/>
    <w:rsid w:val="00012DBA"/>
    <w:rsid w:val="0001318F"/>
    <w:rsid w:val="00016267"/>
    <w:rsid w:val="00020D75"/>
    <w:rsid w:val="00024E71"/>
    <w:rsid w:val="0003570F"/>
    <w:rsid w:val="00037303"/>
    <w:rsid w:val="0004249D"/>
    <w:rsid w:val="00043B9A"/>
    <w:rsid w:val="00046690"/>
    <w:rsid w:val="00046716"/>
    <w:rsid w:val="00046FE9"/>
    <w:rsid w:val="000477FA"/>
    <w:rsid w:val="0005051A"/>
    <w:rsid w:val="00051365"/>
    <w:rsid w:val="00051A73"/>
    <w:rsid w:val="0006727E"/>
    <w:rsid w:val="0006754C"/>
    <w:rsid w:val="00067B8D"/>
    <w:rsid w:val="000765C2"/>
    <w:rsid w:val="000767CF"/>
    <w:rsid w:val="00076979"/>
    <w:rsid w:val="000776FC"/>
    <w:rsid w:val="0008276D"/>
    <w:rsid w:val="00083654"/>
    <w:rsid w:val="00084AD9"/>
    <w:rsid w:val="00091E6D"/>
    <w:rsid w:val="000920E7"/>
    <w:rsid w:val="00092ADC"/>
    <w:rsid w:val="00096773"/>
    <w:rsid w:val="000972DB"/>
    <w:rsid w:val="000A06E0"/>
    <w:rsid w:val="000A1CD1"/>
    <w:rsid w:val="000A1D09"/>
    <w:rsid w:val="000A1F06"/>
    <w:rsid w:val="000A5144"/>
    <w:rsid w:val="000B0D80"/>
    <w:rsid w:val="000B376A"/>
    <w:rsid w:val="000B499D"/>
    <w:rsid w:val="000B4B26"/>
    <w:rsid w:val="000B61F6"/>
    <w:rsid w:val="000B61F9"/>
    <w:rsid w:val="000B7251"/>
    <w:rsid w:val="000C188B"/>
    <w:rsid w:val="000C6F5D"/>
    <w:rsid w:val="000D026B"/>
    <w:rsid w:val="000D5CBF"/>
    <w:rsid w:val="000D7D55"/>
    <w:rsid w:val="000E061D"/>
    <w:rsid w:val="000E13B3"/>
    <w:rsid w:val="000E4497"/>
    <w:rsid w:val="000E5B50"/>
    <w:rsid w:val="000E5C4B"/>
    <w:rsid w:val="000E6F57"/>
    <w:rsid w:val="000F1EA2"/>
    <w:rsid w:val="000F3CE5"/>
    <w:rsid w:val="000F5C0C"/>
    <w:rsid w:val="000F60F5"/>
    <w:rsid w:val="000F77C0"/>
    <w:rsid w:val="00101B4D"/>
    <w:rsid w:val="00105024"/>
    <w:rsid w:val="00105504"/>
    <w:rsid w:val="00107F66"/>
    <w:rsid w:val="001108FD"/>
    <w:rsid w:val="00111D04"/>
    <w:rsid w:val="00113DD2"/>
    <w:rsid w:val="00114434"/>
    <w:rsid w:val="001148B2"/>
    <w:rsid w:val="00114A79"/>
    <w:rsid w:val="00114F32"/>
    <w:rsid w:val="00115019"/>
    <w:rsid w:val="00115CD2"/>
    <w:rsid w:val="00117399"/>
    <w:rsid w:val="00117734"/>
    <w:rsid w:val="00122309"/>
    <w:rsid w:val="00122948"/>
    <w:rsid w:val="00123EAF"/>
    <w:rsid w:val="00125443"/>
    <w:rsid w:val="00125BCE"/>
    <w:rsid w:val="001261D4"/>
    <w:rsid w:val="00127CFC"/>
    <w:rsid w:val="00131B54"/>
    <w:rsid w:val="001344DE"/>
    <w:rsid w:val="001359B7"/>
    <w:rsid w:val="00144519"/>
    <w:rsid w:val="001457C2"/>
    <w:rsid w:val="00145BE4"/>
    <w:rsid w:val="00146317"/>
    <w:rsid w:val="0014652B"/>
    <w:rsid w:val="00150FA2"/>
    <w:rsid w:val="00151338"/>
    <w:rsid w:val="00153C45"/>
    <w:rsid w:val="001548AE"/>
    <w:rsid w:val="00154EC7"/>
    <w:rsid w:val="00162C80"/>
    <w:rsid w:val="00166F4E"/>
    <w:rsid w:val="00170D78"/>
    <w:rsid w:val="00173B52"/>
    <w:rsid w:val="00173D5B"/>
    <w:rsid w:val="00175EF5"/>
    <w:rsid w:val="001801E1"/>
    <w:rsid w:val="00180E40"/>
    <w:rsid w:val="00182B77"/>
    <w:rsid w:val="001841CE"/>
    <w:rsid w:val="00184771"/>
    <w:rsid w:val="00184A22"/>
    <w:rsid w:val="00185725"/>
    <w:rsid w:val="00191553"/>
    <w:rsid w:val="00191B92"/>
    <w:rsid w:val="001951BF"/>
    <w:rsid w:val="00196C32"/>
    <w:rsid w:val="00197F24"/>
    <w:rsid w:val="001A1A3C"/>
    <w:rsid w:val="001A1F1D"/>
    <w:rsid w:val="001A2290"/>
    <w:rsid w:val="001A2DAD"/>
    <w:rsid w:val="001A7779"/>
    <w:rsid w:val="001B17AE"/>
    <w:rsid w:val="001B2E47"/>
    <w:rsid w:val="001B3781"/>
    <w:rsid w:val="001B4187"/>
    <w:rsid w:val="001B5675"/>
    <w:rsid w:val="001C078F"/>
    <w:rsid w:val="001C274E"/>
    <w:rsid w:val="001C38D7"/>
    <w:rsid w:val="001C4F9F"/>
    <w:rsid w:val="001C743B"/>
    <w:rsid w:val="001D059B"/>
    <w:rsid w:val="001D08ED"/>
    <w:rsid w:val="001D1688"/>
    <w:rsid w:val="001D2697"/>
    <w:rsid w:val="001D34E5"/>
    <w:rsid w:val="001D5266"/>
    <w:rsid w:val="001D7D15"/>
    <w:rsid w:val="001E0B56"/>
    <w:rsid w:val="001E0FD7"/>
    <w:rsid w:val="001E19C7"/>
    <w:rsid w:val="001E39F3"/>
    <w:rsid w:val="001E3B3C"/>
    <w:rsid w:val="001E51E9"/>
    <w:rsid w:val="001E5323"/>
    <w:rsid w:val="001F0921"/>
    <w:rsid w:val="001F0DD2"/>
    <w:rsid w:val="001F568F"/>
    <w:rsid w:val="001F71BB"/>
    <w:rsid w:val="001F7B0C"/>
    <w:rsid w:val="00200C0F"/>
    <w:rsid w:val="00202DBD"/>
    <w:rsid w:val="0021153D"/>
    <w:rsid w:val="00213FE1"/>
    <w:rsid w:val="002223FF"/>
    <w:rsid w:val="00223A43"/>
    <w:rsid w:val="0023106B"/>
    <w:rsid w:val="00237E34"/>
    <w:rsid w:val="002431A0"/>
    <w:rsid w:val="0024787F"/>
    <w:rsid w:val="00252D11"/>
    <w:rsid w:val="0025399B"/>
    <w:rsid w:val="0025761F"/>
    <w:rsid w:val="002610BD"/>
    <w:rsid w:val="00262582"/>
    <w:rsid w:val="0026273D"/>
    <w:rsid w:val="00262774"/>
    <w:rsid w:val="00262B02"/>
    <w:rsid w:val="00263B54"/>
    <w:rsid w:val="00273CE1"/>
    <w:rsid w:val="00273D7A"/>
    <w:rsid w:val="00275231"/>
    <w:rsid w:val="002752FC"/>
    <w:rsid w:val="0027735D"/>
    <w:rsid w:val="002813E0"/>
    <w:rsid w:val="00282F07"/>
    <w:rsid w:val="00284350"/>
    <w:rsid w:val="00294E78"/>
    <w:rsid w:val="0029527B"/>
    <w:rsid w:val="002965DE"/>
    <w:rsid w:val="002A213A"/>
    <w:rsid w:val="002A297C"/>
    <w:rsid w:val="002A6C95"/>
    <w:rsid w:val="002A7671"/>
    <w:rsid w:val="002B1831"/>
    <w:rsid w:val="002B3C55"/>
    <w:rsid w:val="002B5ABF"/>
    <w:rsid w:val="002B7079"/>
    <w:rsid w:val="002B7298"/>
    <w:rsid w:val="002C0CEC"/>
    <w:rsid w:val="002D20D0"/>
    <w:rsid w:val="002D5329"/>
    <w:rsid w:val="002E0614"/>
    <w:rsid w:val="002E11D0"/>
    <w:rsid w:val="002E275B"/>
    <w:rsid w:val="002E2B09"/>
    <w:rsid w:val="002E46BA"/>
    <w:rsid w:val="002E651C"/>
    <w:rsid w:val="002F0006"/>
    <w:rsid w:val="002F60EE"/>
    <w:rsid w:val="002F67A2"/>
    <w:rsid w:val="002F7D34"/>
    <w:rsid w:val="003045BD"/>
    <w:rsid w:val="0031090E"/>
    <w:rsid w:val="00312BE7"/>
    <w:rsid w:val="00313023"/>
    <w:rsid w:val="0032047F"/>
    <w:rsid w:val="0032156B"/>
    <w:rsid w:val="00323DDA"/>
    <w:rsid w:val="0032566F"/>
    <w:rsid w:val="003345EE"/>
    <w:rsid w:val="00337BEB"/>
    <w:rsid w:val="00340747"/>
    <w:rsid w:val="003439C2"/>
    <w:rsid w:val="00346219"/>
    <w:rsid w:val="003470A6"/>
    <w:rsid w:val="003548DD"/>
    <w:rsid w:val="00354D21"/>
    <w:rsid w:val="00355297"/>
    <w:rsid w:val="00357F4E"/>
    <w:rsid w:val="00361630"/>
    <w:rsid w:val="00361C97"/>
    <w:rsid w:val="00361CF5"/>
    <w:rsid w:val="00361D8E"/>
    <w:rsid w:val="00362718"/>
    <w:rsid w:val="003646A3"/>
    <w:rsid w:val="00365196"/>
    <w:rsid w:val="00370E48"/>
    <w:rsid w:val="00371B67"/>
    <w:rsid w:val="00372B72"/>
    <w:rsid w:val="00376BD9"/>
    <w:rsid w:val="00376EA9"/>
    <w:rsid w:val="00377DBD"/>
    <w:rsid w:val="00377DE4"/>
    <w:rsid w:val="00382EEA"/>
    <w:rsid w:val="0038562C"/>
    <w:rsid w:val="00386BEE"/>
    <w:rsid w:val="00392962"/>
    <w:rsid w:val="0039334A"/>
    <w:rsid w:val="00393573"/>
    <w:rsid w:val="0039420A"/>
    <w:rsid w:val="003A1995"/>
    <w:rsid w:val="003A3182"/>
    <w:rsid w:val="003A522C"/>
    <w:rsid w:val="003A78C6"/>
    <w:rsid w:val="003B0637"/>
    <w:rsid w:val="003B0813"/>
    <w:rsid w:val="003B1196"/>
    <w:rsid w:val="003B23E4"/>
    <w:rsid w:val="003B690C"/>
    <w:rsid w:val="003B6FDA"/>
    <w:rsid w:val="003B7F3F"/>
    <w:rsid w:val="003C59F0"/>
    <w:rsid w:val="003C7AC7"/>
    <w:rsid w:val="003D19BE"/>
    <w:rsid w:val="003D2012"/>
    <w:rsid w:val="003D26B1"/>
    <w:rsid w:val="003D398D"/>
    <w:rsid w:val="003D3D9F"/>
    <w:rsid w:val="003D4229"/>
    <w:rsid w:val="003D5C82"/>
    <w:rsid w:val="003D5ECF"/>
    <w:rsid w:val="003D70EA"/>
    <w:rsid w:val="003E0D79"/>
    <w:rsid w:val="003E1D49"/>
    <w:rsid w:val="003E3D3B"/>
    <w:rsid w:val="003E6427"/>
    <w:rsid w:val="003E6524"/>
    <w:rsid w:val="003E7E77"/>
    <w:rsid w:val="003F24D6"/>
    <w:rsid w:val="003F32E6"/>
    <w:rsid w:val="003F54F9"/>
    <w:rsid w:val="004001C6"/>
    <w:rsid w:val="004044B1"/>
    <w:rsid w:val="0040456B"/>
    <w:rsid w:val="00405B48"/>
    <w:rsid w:val="0041030A"/>
    <w:rsid w:val="00410FBD"/>
    <w:rsid w:val="00412370"/>
    <w:rsid w:val="00413A13"/>
    <w:rsid w:val="00415997"/>
    <w:rsid w:val="0041633C"/>
    <w:rsid w:val="004175E2"/>
    <w:rsid w:val="00417F0F"/>
    <w:rsid w:val="0042141C"/>
    <w:rsid w:val="00421F4E"/>
    <w:rsid w:val="00422C94"/>
    <w:rsid w:val="00424441"/>
    <w:rsid w:val="0042482F"/>
    <w:rsid w:val="00427D60"/>
    <w:rsid w:val="00430222"/>
    <w:rsid w:val="00430882"/>
    <w:rsid w:val="0043203A"/>
    <w:rsid w:val="0043634F"/>
    <w:rsid w:val="0044235B"/>
    <w:rsid w:val="00443DCB"/>
    <w:rsid w:val="00444C1D"/>
    <w:rsid w:val="00446409"/>
    <w:rsid w:val="00450017"/>
    <w:rsid w:val="00450AE5"/>
    <w:rsid w:val="0045453F"/>
    <w:rsid w:val="00462523"/>
    <w:rsid w:val="00462F9B"/>
    <w:rsid w:val="00464797"/>
    <w:rsid w:val="00466A06"/>
    <w:rsid w:val="00470485"/>
    <w:rsid w:val="004714B4"/>
    <w:rsid w:val="00471DA1"/>
    <w:rsid w:val="0047326E"/>
    <w:rsid w:val="00474BF1"/>
    <w:rsid w:val="004754C9"/>
    <w:rsid w:val="00480F68"/>
    <w:rsid w:val="00481969"/>
    <w:rsid w:val="00481D11"/>
    <w:rsid w:val="00487E73"/>
    <w:rsid w:val="004918DE"/>
    <w:rsid w:val="004927BC"/>
    <w:rsid w:val="0049569E"/>
    <w:rsid w:val="004A1C30"/>
    <w:rsid w:val="004A7742"/>
    <w:rsid w:val="004B25A2"/>
    <w:rsid w:val="004C04C0"/>
    <w:rsid w:val="004C7BB1"/>
    <w:rsid w:val="004D2B61"/>
    <w:rsid w:val="004D4F95"/>
    <w:rsid w:val="004D6236"/>
    <w:rsid w:val="004E00A3"/>
    <w:rsid w:val="004E1C18"/>
    <w:rsid w:val="004E330A"/>
    <w:rsid w:val="004E4F0C"/>
    <w:rsid w:val="004F2CE7"/>
    <w:rsid w:val="004F7790"/>
    <w:rsid w:val="004F7ED6"/>
    <w:rsid w:val="00500CCE"/>
    <w:rsid w:val="00501455"/>
    <w:rsid w:val="00504A38"/>
    <w:rsid w:val="00504C34"/>
    <w:rsid w:val="00505B6F"/>
    <w:rsid w:val="00506A30"/>
    <w:rsid w:val="00510ADF"/>
    <w:rsid w:val="00513133"/>
    <w:rsid w:val="005140CA"/>
    <w:rsid w:val="005174D9"/>
    <w:rsid w:val="00522361"/>
    <w:rsid w:val="00523BA5"/>
    <w:rsid w:val="005242B8"/>
    <w:rsid w:val="005272C8"/>
    <w:rsid w:val="00531400"/>
    <w:rsid w:val="00531B04"/>
    <w:rsid w:val="0053587E"/>
    <w:rsid w:val="005457DC"/>
    <w:rsid w:val="00546DEB"/>
    <w:rsid w:val="00547FFB"/>
    <w:rsid w:val="00550AEC"/>
    <w:rsid w:val="00550B4E"/>
    <w:rsid w:val="00550C75"/>
    <w:rsid w:val="0055497B"/>
    <w:rsid w:val="00556CDF"/>
    <w:rsid w:val="00557925"/>
    <w:rsid w:val="00557C08"/>
    <w:rsid w:val="00560980"/>
    <w:rsid w:val="00560F08"/>
    <w:rsid w:val="00564F8A"/>
    <w:rsid w:val="00575269"/>
    <w:rsid w:val="00580670"/>
    <w:rsid w:val="00581B6C"/>
    <w:rsid w:val="0058257C"/>
    <w:rsid w:val="00583372"/>
    <w:rsid w:val="00586000"/>
    <w:rsid w:val="00587BA0"/>
    <w:rsid w:val="005900BC"/>
    <w:rsid w:val="005904E2"/>
    <w:rsid w:val="00590514"/>
    <w:rsid w:val="005910E1"/>
    <w:rsid w:val="00591DB7"/>
    <w:rsid w:val="0059709D"/>
    <w:rsid w:val="0059768D"/>
    <w:rsid w:val="005A0A56"/>
    <w:rsid w:val="005A2236"/>
    <w:rsid w:val="005A2951"/>
    <w:rsid w:val="005A39F2"/>
    <w:rsid w:val="005A50D9"/>
    <w:rsid w:val="005A5C60"/>
    <w:rsid w:val="005A6230"/>
    <w:rsid w:val="005B0F4F"/>
    <w:rsid w:val="005B2139"/>
    <w:rsid w:val="005B244B"/>
    <w:rsid w:val="005B2618"/>
    <w:rsid w:val="005B266C"/>
    <w:rsid w:val="005B2E80"/>
    <w:rsid w:val="005B35B9"/>
    <w:rsid w:val="005C0EF4"/>
    <w:rsid w:val="005C538B"/>
    <w:rsid w:val="005C7C1A"/>
    <w:rsid w:val="005D19DD"/>
    <w:rsid w:val="005D39A5"/>
    <w:rsid w:val="005D4E2A"/>
    <w:rsid w:val="005D549F"/>
    <w:rsid w:val="005D6719"/>
    <w:rsid w:val="005D76C0"/>
    <w:rsid w:val="005E1BB0"/>
    <w:rsid w:val="005E328B"/>
    <w:rsid w:val="005E3E9A"/>
    <w:rsid w:val="005E583A"/>
    <w:rsid w:val="005E5E08"/>
    <w:rsid w:val="005E6370"/>
    <w:rsid w:val="005E7BA3"/>
    <w:rsid w:val="005F093E"/>
    <w:rsid w:val="005F2357"/>
    <w:rsid w:val="005F464C"/>
    <w:rsid w:val="005F474B"/>
    <w:rsid w:val="00601265"/>
    <w:rsid w:val="00601743"/>
    <w:rsid w:val="0060644A"/>
    <w:rsid w:val="00611DEC"/>
    <w:rsid w:val="006130A9"/>
    <w:rsid w:val="00613788"/>
    <w:rsid w:val="00614A2A"/>
    <w:rsid w:val="00617F15"/>
    <w:rsid w:val="00620079"/>
    <w:rsid w:val="006203D6"/>
    <w:rsid w:val="00620BF7"/>
    <w:rsid w:val="00625393"/>
    <w:rsid w:val="006276FF"/>
    <w:rsid w:val="006308BA"/>
    <w:rsid w:val="006310B6"/>
    <w:rsid w:val="00634429"/>
    <w:rsid w:val="006346A4"/>
    <w:rsid w:val="006369E2"/>
    <w:rsid w:val="00643C47"/>
    <w:rsid w:val="006440D7"/>
    <w:rsid w:val="006467D1"/>
    <w:rsid w:val="00646815"/>
    <w:rsid w:val="00650132"/>
    <w:rsid w:val="00650572"/>
    <w:rsid w:val="00650A5C"/>
    <w:rsid w:val="00653E5C"/>
    <w:rsid w:val="00660C45"/>
    <w:rsid w:val="00664C9C"/>
    <w:rsid w:val="00667121"/>
    <w:rsid w:val="0066783B"/>
    <w:rsid w:val="00671867"/>
    <w:rsid w:val="00673FEA"/>
    <w:rsid w:val="00680E82"/>
    <w:rsid w:val="0068203A"/>
    <w:rsid w:val="0068454A"/>
    <w:rsid w:val="00685945"/>
    <w:rsid w:val="00690135"/>
    <w:rsid w:val="006901B5"/>
    <w:rsid w:val="006908AC"/>
    <w:rsid w:val="00690B36"/>
    <w:rsid w:val="00690D1C"/>
    <w:rsid w:val="006911BA"/>
    <w:rsid w:val="00692C3A"/>
    <w:rsid w:val="00694C37"/>
    <w:rsid w:val="00697055"/>
    <w:rsid w:val="00697C2F"/>
    <w:rsid w:val="006A0873"/>
    <w:rsid w:val="006A4741"/>
    <w:rsid w:val="006A7B11"/>
    <w:rsid w:val="006B3232"/>
    <w:rsid w:val="006B3FCB"/>
    <w:rsid w:val="006B564A"/>
    <w:rsid w:val="006B6572"/>
    <w:rsid w:val="006B6584"/>
    <w:rsid w:val="006B6FFA"/>
    <w:rsid w:val="006C05DE"/>
    <w:rsid w:val="006C0790"/>
    <w:rsid w:val="006C2918"/>
    <w:rsid w:val="006C2920"/>
    <w:rsid w:val="006C4045"/>
    <w:rsid w:val="006C59DE"/>
    <w:rsid w:val="006C5C40"/>
    <w:rsid w:val="006C6DD3"/>
    <w:rsid w:val="006C6FB4"/>
    <w:rsid w:val="006D06AD"/>
    <w:rsid w:val="006D2D3D"/>
    <w:rsid w:val="006D4285"/>
    <w:rsid w:val="006D4B38"/>
    <w:rsid w:val="006D67A3"/>
    <w:rsid w:val="006E0A0C"/>
    <w:rsid w:val="006E1CEF"/>
    <w:rsid w:val="006E6751"/>
    <w:rsid w:val="006E7F13"/>
    <w:rsid w:val="006F282A"/>
    <w:rsid w:val="006F2916"/>
    <w:rsid w:val="006F3696"/>
    <w:rsid w:val="006F42E0"/>
    <w:rsid w:val="006F6657"/>
    <w:rsid w:val="007002E1"/>
    <w:rsid w:val="00701413"/>
    <w:rsid w:val="00702158"/>
    <w:rsid w:val="007054C1"/>
    <w:rsid w:val="007061BC"/>
    <w:rsid w:val="00712B75"/>
    <w:rsid w:val="0071426A"/>
    <w:rsid w:val="007172D5"/>
    <w:rsid w:val="00721EE9"/>
    <w:rsid w:val="00724D00"/>
    <w:rsid w:val="007254F7"/>
    <w:rsid w:val="00725873"/>
    <w:rsid w:val="00726A18"/>
    <w:rsid w:val="007270BA"/>
    <w:rsid w:val="007278F1"/>
    <w:rsid w:val="00731612"/>
    <w:rsid w:val="00732D2A"/>
    <w:rsid w:val="00732E0F"/>
    <w:rsid w:val="0074063A"/>
    <w:rsid w:val="007413F4"/>
    <w:rsid w:val="00741EF1"/>
    <w:rsid w:val="007461F5"/>
    <w:rsid w:val="00747D4B"/>
    <w:rsid w:val="00750C42"/>
    <w:rsid w:val="00754753"/>
    <w:rsid w:val="00754BFC"/>
    <w:rsid w:val="00761CF9"/>
    <w:rsid w:val="00766F8B"/>
    <w:rsid w:val="00770C98"/>
    <w:rsid w:val="00771DD0"/>
    <w:rsid w:val="00772188"/>
    <w:rsid w:val="00772DBF"/>
    <w:rsid w:val="007756F0"/>
    <w:rsid w:val="00782644"/>
    <w:rsid w:val="00783216"/>
    <w:rsid w:val="00787DC0"/>
    <w:rsid w:val="00787FBF"/>
    <w:rsid w:val="00790907"/>
    <w:rsid w:val="00792B09"/>
    <w:rsid w:val="00792BC2"/>
    <w:rsid w:val="00793000"/>
    <w:rsid w:val="007943D7"/>
    <w:rsid w:val="00794497"/>
    <w:rsid w:val="00797AA1"/>
    <w:rsid w:val="007A02AE"/>
    <w:rsid w:val="007A228D"/>
    <w:rsid w:val="007A251B"/>
    <w:rsid w:val="007A73C6"/>
    <w:rsid w:val="007B09E3"/>
    <w:rsid w:val="007B1957"/>
    <w:rsid w:val="007B1DFD"/>
    <w:rsid w:val="007B2010"/>
    <w:rsid w:val="007B4832"/>
    <w:rsid w:val="007C1037"/>
    <w:rsid w:val="007C3588"/>
    <w:rsid w:val="007C4A41"/>
    <w:rsid w:val="007C4A7F"/>
    <w:rsid w:val="007C5364"/>
    <w:rsid w:val="007D0B8F"/>
    <w:rsid w:val="007D2B17"/>
    <w:rsid w:val="007D3DA3"/>
    <w:rsid w:val="007D44EF"/>
    <w:rsid w:val="007D67C3"/>
    <w:rsid w:val="007D77F6"/>
    <w:rsid w:val="007E02AA"/>
    <w:rsid w:val="007E2583"/>
    <w:rsid w:val="007E2A5F"/>
    <w:rsid w:val="007E3049"/>
    <w:rsid w:val="007E4624"/>
    <w:rsid w:val="007E65FF"/>
    <w:rsid w:val="007F0254"/>
    <w:rsid w:val="007F12D2"/>
    <w:rsid w:val="007F401E"/>
    <w:rsid w:val="007F4968"/>
    <w:rsid w:val="007F69D8"/>
    <w:rsid w:val="0080296A"/>
    <w:rsid w:val="00805540"/>
    <w:rsid w:val="0081456F"/>
    <w:rsid w:val="00815790"/>
    <w:rsid w:val="00820C75"/>
    <w:rsid w:val="00823587"/>
    <w:rsid w:val="008255C2"/>
    <w:rsid w:val="008313DA"/>
    <w:rsid w:val="00834494"/>
    <w:rsid w:val="00834895"/>
    <w:rsid w:val="00842448"/>
    <w:rsid w:val="00847114"/>
    <w:rsid w:val="0084721F"/>
    <w:rsid w:val="008473D4"/>
    <w:rsid w:val="00850CDD"/>
    <w:rsid w:val="008518AA"/>
    <w:rsid w:val="008549FD"/>
    <w:rsid w:val="00854A08"/>
    <w:rsid w:val="008565C6"/>
    <w:rsid w:val="00857B86"/>
    <w:rsid w:val="00857D08"/>
    <w:rsid w:val="00861A48"/>
    <w:rsid w:val="00861D79"/>
    <w:rsid w:val="00864FB4"/>
    <w:rsid w:val="00871345"/>
    <w:rsid w:val="00881385"/>
    <w:rsid w:val="00882A8A"/>
    <w:rsid w:val="008852DA"/>
    <w:rsid w:val="00890AAB"/>
    <w:rsid w:val="00891C22"/>
    <w:rsid w:val="008926A2"/>
    <w:rsid w:val="00896B2F"/>
    <w:rsid w:val="0089722B"/>
    <w:rsid w:val="008A01F1"/>
    <w:rsid w:val="008A27E6"/>
    <w:rsid w:val="008A3F56"/>
    <w:rsid w:val="008A4E24"/>
    <w:rsid w:val="008A65A4"/>
    <w:rsid w:val="008B15D1"/>
    <w:rsid w:val="008B2091"/>
    <w:rsid w:val="008B3229"/>
    <w:rsid w:val="008B3987"/>
    <w:rsid w:val="008B626B"/>
    <w:rsid w:val="008B6EDF"/>
    <w:rsid w:val="008B71A3"/>
    <w:rsid w:val="008B7CCC"/>
    <w:rsid w:val="008C656D"/>
    <w:rsid w:val="008C6B0A"/>
    <w:rsid w:val="008D1975"/>
    <w:rsid w:val="008E0BDD"/>
    <w:rsid w:val="008E0D21"/>
    <w:rsid w:val="008E0E14"/>
    <w:rsid w:val="008E0EE3"/>
    <w:rsid w:val="008E1CF9"/>
    <w:rsid w:val="008E589C"/>
    <w:rsid w:val="008F23A1"/>
    <w:rsid w:val="00903B9F"/>
    <w:rsid w:val="009041AA"/>
    <w:rsid w:val="00912E7E"/>
    <w:rsid w:val="009156FA"/>
    <w:rsid w:val="00916C1E"/>
    <w:rsid w:val="00921413"/>
    <w:rsid w:val="00922BE8"/>
    <w:rsid w:val="00922D17"/>
    <w:rsid w:val="00923513"/>
    <w:rsid w:val="0092508A"/>
    <w:rsid w:val="00926945"/>
    <w:rsid w:val="0093019D"/>
    <w:rsid w:val="00935562"/>
    <w:rsid w:val="00935991"/>
    <w:rsid w:val="0093607B"/>
    <w:rsid w:val="00942AA7"/>
    <w:rsid w:val="00946076"/>
    <w:rsid w:val="009463D9"/>
    <w:rsid w:val="00950E8D"/>
    <w:rsid w:val="00953310"/>
    <w:rsid w:val="009552E8"/>
    <w:rsid w:val="00960D27"/>
    <w:rsid w:val="009611F9"/>
    <w:rsid w:val="00964509"/>
    <w:rsid w:val="009665E7"/>
    <w:rsid w:val="00970055"/>
    <w:rsid w:val="0097347E"/>
    <w:rsid w:val="00975663"/>
    <w:rsid w:val="009760B7"/>
    <w:rsid w:val="009770AF"/>
    <w:rsid w:val="00981DE3"/>
    <w:rsid w:val="009845C9"/>
    <w:rsid w:val="00987661"/>
    <w:rsid w:val="009950F3"/>
    <w:rsid w:val="009A0A02"/>
    <w:rsid w:val="009A4ABF"/>
    <w:rsid w:val="009A51A8"/>
    <w:rsid w:val="009A565C"/>
    <w:rsid w:val="009A7E52"/>
    <w:rsid w:val="009B2055"/>
    <w:rsid w:val="009B585F"/>
    <w:rsid w:val="009B6357"/>
    <w:rsid w:val="009C123A"/>
    <w:rsid w:val="009C6123"/>
    <w:rsid w:val="009D0A6A"/>
    <w:rsid w:val="009D16FF"/>
    <w:rsid w:val="009D1EE1"/>
    <w:rsid w:val="009D600D"/>
    <w:rsid w:val="009E1522"/>
    <w:rsid w:val="009E2EE8"/>
    <w:rsid w:val="009E2F75"/>
    <w:rsid w:val="009E538B"/>
    <w:rsid w:val="009E5B4B"/>
    <w:rsid w:val="009E650B"/>
    <w:rsid w:val="009E690F"/>
    <w:rsid w:val="009E7409"/>
    <w:rsid w:val="009E7613"/>
    <w:rsid w:val="009F574E"/>
    <w:rsid w:val="009F58CB"/>
    <w:rsid w:val="00A0010B"/>
    <w:rsid w:val="00A002C4"/>
    <w:rsid w:val="00A06795"/>
    <w:rsid w:val="00A10976"/>
    <w:rsid w:val="00A11577"/>
    <w:rsid w:val="00A12E02"/>
    <w:rsid w:val="00A135C7"/>
    <w:rsid w:val="00A15BF0"/>
    <w:rsid w:val="00A15D34"/>
    <w:rsid w:val="00A17197"/>
    <w:rsid w:val="00A2267A"/>
    <w:rsid w:val="00A26D7A"/>
    <w:rsid w:val="00A27B8B"/>
    <w:rsid w:val="00A33606"/>
    <w:rsid w:val="00A34015"/>
    <w:rsid w:val="00A3560E"/>
    <w:rsid w:val="00A3679D"/>
    <w:rsid w:val="00A40720"/>
    <w:rsid w:val="00A45113"/>
    <w:rsid w:val="00A47C12"/>
    <w:rsid w:val="00A47CAF"/>
    <w:rsid w:val="00A51767"/>
    <w:rsid w:val="00A55C84"/>
    <w:rsid w:val="00A55F64"/>
    <w:rsid w:val="00A57772"/>
    <w:rsid w:val="00A57E2A"/>
    <w:rsid w:val="00A6247A"/>
    <w:rsid w:val="00A65051"/>
    <w:rsid w:val="00A67356"/>
    <w:rsid w:val="00A713E5"/>
    <w:rsid w:val="00A71A7F"/>
    <w:rsid w:val="00A71B76"/>
    <w:rsid w:val="00A75498"/>
    <w:rsid w:val="00A80F5F"/>
    <w:rsid w:val="00A82F83"/>
    <w:rsid w:val="00A85D3F"/>
    <w:rsid w:val="00A86A70"/>
    <w:rsid w:val="00A90141"/>
    <w:rsid w:val="00A90AD5"/>
    <w:rsid w:val="00A926D6"/>
    <w:rsid w:val="00A92C3A"/>
    <w:rsid w:val="00A92DAA"/>
    <w:rsid w:val="00A94AF1"/>
    <w:rsid w:val="00A951A6"/>
    <w:rsid w:val="00A95EA6"/>
    <w:rsid w:val="00A968A1"/>
    <w:rsid w:val="00A97D30"/>
    <w:rsid w:val="00AA042C"/>
    <w:rsid w:val="00AA136C"/>
    <w:rsid w:val="00AA54D2"/>
    <w:rsid w:val="00AB084A"/>
    <w:rsid w:val="00AB09BE"/>
    <w:rsid w:val="00AB2037"/>
    <w:rsid w:val="00AB2E8D"/>
    <w:rsid w:val="00AB36EF"/>
    <w:rsid w:val="00AB445D"/>
    <w:rsid w:val="00AB4B12"/>
    <w:rsid w:val="00AB4BD2"/>
    <w:rsid w:val="00AB6B2E"/>
    <w:rsid w:val="00AC0D61"/>
    <w:rsid w:val="00AC3A09"/>
    <w:rsid w:val="00AC435C"/>
    <w:rsid w:val="00AC5B1C"/>
    <w:rsid w:val="00AC70A1"/>
    <w:rsid w:val="00AD20A8"/>
    <w:rsid w:val="00AD50B4"/>
    <w:rsid w:val="00AE0854"/>
    <w:rsid w:val="00AE123C"/>
    <w:rsid w:val="00AE253A"/>
    <w:rsid w:val="00AE268C"/>
    <w:rsid w:val="00AE285E"/>
    <w:rsid w:val="00AE3898"/>
    <w:rsid w:val="00AE7E62"/>
    <w:rsid w:val="00AF1478"/>
    <w:rsid w:val="00AF17DF"/>
    <w:rsid w:val="00AF2C2E"/>
    <w:rsid w:val="00AF31E6"/>
    <w:rsid w:val="00AF3308"/>
    <w:rsid w:val="00AF6408"/>
    <w:rsid w:val="00B01B99"/>
    <w:rsid w:val="00B03733"/>
    <w:rsid w:val="00B041A3"/>
    <w:rsid w:val="00B105AB"/>
    <w:rsid w:val="00B1648F"/>
    <w:rsid w:val="00B16C90"/>
    <w:rsid w:val="00B20CDB"/>
    <w:rsid w:val="00B2349D"/>
    <w:rsid w:val="00B2445B"/>
    <w:rsid w:val="00B246F2"/>
    <w:rsid w:val="00B250AA"/>
    <w:rsid w:val="00B251C6"/>
    <w:rsid w:val="00B25736"/>
    <w:rsid w:val="00B30046"/>
    <w:rsid w:val="00B312CE"/>
    <w:rsid w:val="00B31D1F"/>
    <w:rsid w:val="00B31F6D"/>
    <w:rsid w:val="00B33CFC"/>
    <w:rsid w:val="00B41D03"/>
    <w:rsid w:val="00B4389C"/>
    <w:rsid w:val="00B45BF5"/>
    <w:rsid w:val="00B4687B"/>
    <w:rsid w:val="00B46C68"/>
    <w:rsid w:val="00B50674"/>
    <w:rsid w:val="00B550B0"/>
    <w:rsid w:val="00B557A3"/>
    <w:rsid w:val="00B56AD2"/>
    <w:rsid w:val="00B608E5"/>
    <w:rsid w:val="00B62E7E"/>
    <w:rsid w:val="00B653F2"/>
    <w:rsid w:val="00B6585B"/>
    <w:rsid w:val="00B660FD"/>
    <w:rsid w:val="00B701EE"/>
    <w:rsid w:val="00B70687"/>
    <w:rsid w:val="00B71146"/>
    <w:rsid w:val="00B73127"/>
    <w:rsid w:val="00B75211"/>
    <w:rsid w:val="00B76845"/>
    <w:rsid w:val="00B76CCA"/>
    <w:rsid w:val="00B82EDC"/>
    <w:rsid w:val="00B86BF3"/>
    <w:rsid w:val="00B91887"/>
    <w:rsid w:val="00B94508"/>
    <w:rsid w:val="00BA07AA"/>
    <w:rsid w:val="00BA5D31"/>
    <w:rsid w:val="00BA7715"/>
    <w:rsid w:val="00BA79B2"/>
    <w:rsid w:val="00BB099C"/>
    <w:rsid w:val="00BB1948"/>
    <w:rsid w:val="00BB4EAC"/>
    <w:rsid w:val="00BB6733"/>
    <w:rsid w:val="00BB755D"/>
    <w:rsid w:val="00BB7DEA"/>
    <w:rsid w:val="00BC4359"/>
    <w:rsid w:val="00BC762E"/>
    <w:rsid w:val="00BD137D"/>
    <w:rsid w:val="00BD4B15"/>
    <w:rsid w:val="00BD4F20"/>
    <w:rsid w:val="00BD6285"/>
    <w:rsid w:val="00BD6544"/>
    <w:rsid w:val="00BE0070"/>
    <w:rsid w:val="00BE3A1B"/>
    <w:rsid w:val="00BE4FA0"/>
    <w:rsid w:val="00BE5AFB"/>
    <w:rsid w:val="00BE73F5"/>
    <w:rsid w:val="00BF46DC"/>
    <w:rsid w:val="00C003AE"/>
    <w:rsid w:val="00C01E4B"/>
    <w:rsid w:val="00C03C00"/>
    <w:rsid w:val="00C04514"/>
    <w:rsid w:val="00C07309"/>
    <w:rsid w:val="00C07A9D"/>
    <w:rsid w:val="00C165DE"/>
    <w:rsid w:val="00C2037A"/>
    <w:rsid w:val="00C22A4A"/>
    <w:rsid w:val="00C23E73"/>
    <w:rsid w:val="00C24399"/>
    <w:rsid w:val="00C25C3C"/>
    <w:rsid w:val="00C26BE1"/>
    <w:rsid w:val="00C27243"/>
    <w:rsid w:val="00C3321E"/>
    <w:rsid w:val="00C33A9B"/>
    <w:rsid w:val="00C43D9E"/>
    <w:rsid w:val="00C46423"/>
    <w:rsid w:val="00C46EC0"/>
    <w:rsid w:val="00C508B9"/>
    <w:rsid w:val="00C51178"/>
    <w:rsid w:val="00C55FAD"/>
    <w:rsid w:val="00C56219"/>
    <w:rsid w:val="00C60FA6"/>
    <w:rsid w:val="00C6119E"/>
    <w:rsid w:val="00C61B2D"/>
    <w:rsid w:val="00C62118"/>
    <w:rsid w:val="00C73765"/>
    <w:rsid w:val="00C74896"/>
    <w:rsid w:val="00C74BDE"/>
    <w:rsid w:val="00C776AE"/>
    <w:rsid w:val="00C80170"/>
    <w:rsid w:val="00C8133F"/>
    <w:rsid w:val="00C823BE"/>
    <w:rsid w:val="00C85909"/>
    <w:rsid w:val="00C87F65"/>
    <w:rsid w:val="00C93575"/>
    <w:rsid w:val="00CA120A"/>
    <w:rsid w:val="00CA50C0"/>
    <w:rsid w:val="00CB0F76"/>
    <w:rsid w:val="00CB2947"/>
    <w:rsid w:val="00CB44A9"/>
    <w:rsid w:val="00CC1A6E"/>
    <w:rsid w:val="00CC3531"/>
    <w:rsid w:val="00CC6EDD"/>
    <w:rsid w:val="00CD01B5"/>
    <w:rsid w:val="00CD0D6D"/>
    <w:rsid w:val="00CD0EAB"/>
    <w:rsid w:val="00CD15AB"/>
    <w:rsid w:val="00CD5EBC"/>
    <w:rsid w:val="00CD5FCF"/>
    <w:rsid w:val="00CD7764"/>
    <w:rsid w:val="00CE16CA"/>
    <w:rsid w:val="00CE2909"/>
    <w:rsid w:val="00CE3234"/>
    <w:rsid w:val="00CE4499"/>
    <w:rsid w:val="00CE48FB"/>
    <w:rsid w:val="00CE6F98"/>
    <w:rsid w:val="00CE7B31"/>
    <w:rsid w:val="00CF134A"/>
    <w:rsid w:val="00CF2CDD"/>
    <w:rsid w:val="00CF4B59"/>
    <w:rsid w:val="00CF78B7"/>
    <w:rsid w:val="00CF7B37"/>
    <w:rsid w:val="00D03050"/>
    <w:rsid w:val="00D032E2"/>
    <w:rsid w:val="00D037EB"/>
    <w:rsid w:val="00D05538"/>
    <w:rsid w:val="00D063A6"/>
    <w:rsid w:val="00D074C4"/>
    <w:rsid w:val="00D1210A"/>
    <w:rsid w:val="00D12A71"/>
    <w:rsid w:val="00D12CDF"/>
    <w:rsid w:val="00D13302"/>
    <w:rsid w:val="00D153E3"/>
    <w:rsid w:val="00D159E4"/>
    <w:rsid w:val="00D22CD0"/>
    <w:rsid w:val="00D23BD9"/>
    <w:rsid w:val="00D2734D"/>
    <w:rsid w:val="00D27ED7"/>
    <w:rsid w:val="00D322CA"/>
    <w:rsid w:val="00D3311E"/>
    <w:rsid w:val="00D33328"/>
    <w:rsid w:val="00D33FE4"/>
    <w:rsid w:val="00D35C04"/>
    <w:rsid w:val="00D429AF"/>
    <w:rsid w:val="00D42F14"/>
    <w:rsid w:val="00D44A14"/>
    <w:rsid w:val="00D55998"/>
    <w:rsid w:val="00D57123"/>
    <w:rsid w:val="00D57E30"/>
    <w:rsid w:val="00D6066B"/>
    <w:rsid w:val="00D63539"/>
    <w:rsid w:val="00D65738"/>
    <w:rsid w:val="00D6616C"/>
    <w:rsid w:val="00D728A1"/>
    <w:rsid w:val="00D7655B"/>
    <w:rsid w:val="00D7784B"/>
    <w:rsid w:val="00D830BE"/>
    <w:rsid w:val="00D84C59"/>
    <w:rsid w:val="00D86569"/>
    <w:rsid w:val="00D917BC"/>
    <w:rsid w:val="00D93CE5"/>
    <w:rsid w:val="00D9627D"/>
    <w:rsid w:val="00DA08CE"/>
    <w:rsid w:val="00DA2C96"/>
    <w:rsid w:val="00DA6F3A"/>
    <w:rsid w:val="00DC11FE"/>
    <w:rsid w:val="00DC59A5"/>
    <w:rsid w:val="00DC7C4D"/>
    <w:rsid w:val="00DD02CD"/>
    <w:rsid w:val="00DD22DF"/>
    <w:rsid w:val="00DD23FA"/>
    <w:rsid w:val="00DD33CF"/>
    <w:rsid w:val="00DD5665"/>
    <w:rsid w:val="00DE03D6"/>
    <w:rsid w:val="00DE1CD9"/>
    <w:rsid w:val="00DE4D17"/>
    <w:rsid w:val="00DE754B"/>
    <w:rsid w:val="00DF0577"/>
    <w:rsid w:val="00DF30C3"/>
    <w:rsid w:val="00DF36E1"/>
    <w:rsid w:val="00DF51D4"/>
    <w:rsid w:val="00DF7AFB"/>
    <w:rsid w:val="00DF7E55"/>
    <w:rsid w:val="00E00467"/>
    <w:rsid w:val="00E13604"/>
    <w:rsid w:val="00E15FEA"/>
    <w:rsid w:val="00E16EE8"/>
    <w:rsid w:val="00E17558"/>
    <w:rsid w:val="00E33620"/>
    <w:rsid w:val="00E35A32"/>
    <w:rsid w:val="00E369EB"/>
    <w:rsid w:val="00E37C03"/>
    <w:rsid w:val="00E41140"/>
    <w:rsid w:val="00E41568"/>
    <w:rsid w:val="00E51AB0"/>
    <w:rsid w:val="00E52C0E"/>
    <w:rsid w:val="00E52C4B"/>
    <w:rsid w:val="00E628D8"/>
    <w:rsid w:val="00E63C05"/>
    <w:rsid w:val="00E652D3"/>
    <w:rsid w:val="00E657AA"/>
    <w:rsid w:val="00E6646B"/>
    <w:rsid w:val="00E70D19"/>
    <w:rsid w:val="00E7109D"/>
    <w:rsid w:val="00E710F2"/>
    <w:rsid w:val="00E7238B"/>
    <w:rsid w:val="00E73174"/>
    <w:rsid w:val="00E73BBB"/>
    <w:rsid w:val="00E73C51"/>
    <w:rsid w:val="00E7426B"/>
    <w:rsid w:val="00E7573A"/>
    <w:rsid w:val="00E762B2"/>
    <w:rsid w:val="00E826A9"/>
    <w:rsid w:val="00E834E5"/>
    <w:rsid w:val="00E8780F"/>
    <w:rsid w:val="00E87A73"/>
    <w:rsid w:val="00E87D94"/>
    <w:rsid w:val="00E93570"/>
    <w:rsid w:val="00E94AF9"/>
    <w:rsid w:val="00E9550C"/>
    <w:rsid w:val="00E95A1C"/>
    <w:rsid w:val="00E97702"/>
    <w:rsid w:val="00EA198D"/>
    <w:rsid w:val="00EA1F05"/>
    <w:rsid w:val="00EA28DD"/>
    <w:rsid w:val="00EA75A3"/>
    <w:rsid w:val="00EB0036"/>
    <w:rsid w:val="00EB13C8"/>
    <w:rsid w:val="00EB148A"/>
    <w:rsid w:val="00EB37A8"/>
    <w:rsid w:val="00EB716E"/>
    <w:rsid w:val="00EB76BF"/>
    <w:rsid w:val="00EC4320"/>
    <w:rsid w:val="00EC679A"/>
    <w:rsid w:val="00ED26E6"/>
    <w:rsid w:val="00ED3C82"/>
    <w:rsid w:val="00EE1D65"/>
    <w:rsid w:val="00EE297D"/>
    <w:rsid w:val="00EE398F"/>
    <w:rsid w:val="00EE706D"/>
    <w:rsid w:val="00EF18D1"/>
    <w:rsid w:val="00EF23F4"/>
    <w:rsid w:val="00EF3EBA"/>
    <w:rsid w:val="00EF4F06"/>
    <w:rsid w:val="00EF5E6B"/>
    <w:rsid w:val="00EF6926"/>
    <w:rsid w:val="00EF6CE7"/>
    <w:rsid w:val="00F00276"/>
    <w:rsid w:val="00F025E1"/>
    <w:rsid w:val="00F03DBB"/>
    <w:rsid w:val="00F041A9"/>
    <w:rsid w:val="00F060E5"/>
    <w:rsid w:val="00F10D1A"/>
    <w:rsid w:val="00F12F13"/>
    <w:rsid w:val="00F14798"/>
    <w:rsid w:val="00F15194"/>
    <w:rsid w:val="00F152D9"/>
    <w:rsid w:val="00F15A2A"/>
    <w:rsid w:val="00F21229"/>
    <w:rsid w:val="00F25C6F"/>
    <w:rsid w:val="00F26276"/>
    <w:rsid w:val="00F26396"/>
    <w:rsid w:val="00F26DD1"/>
    <w:rsid w:val="00F30E50"/>
    <w:rsid w:val="00F363F4"/>
    <w:rsid w:val="00F40932"/>
    <w:rsid w:val="00F453E2"/>
    <w:rsid w:val="00F4614E"/>
    <w:rsid w:val="00F47C26"/>
    <w:rsid w:val="00F51127"/>
    <w:rsid w:val="00F55768"/>
    <w:rsid w:val="00F55FAF"/>
    <w:rsid w:val="00F56104"/>
    <w:rsid w:val="00F5724E"/>
    <w:rsid w:val="00F7095C"/>
    <w:rsid w:val="00F71090"/>
    <w:rsid w:val="00F71FB2"/>
    <w:rsid w:val="00F72420"/>
    <w:rsid w:val="00F7732E"/>
    <w:rsid w:val="00F774FC"/>
    <w:rsid w:val="00F80DEE"/>
    <w:rsid w:val="00F87318"/>
    <w:rsid w:val="00F93379"/>
    <w:rsid w:val="00F96B37"/>
    <w:rsid w:val="00F97CAD"/>
    <w:rsid w:val="00FA15C1"/>
    <w:rsid w:val="00FA2322"/>
    <w:rsid w:val="00FA2C19"/>
    <w:rsid w:val="00FA3EDB"/>
    <w:rsid w:val="00FA6329"/>
    <w:rsid w:val="00FA6E85"/>
    <w:rsid w:val="00FB0DF8"/>
    <w:rsid w:val="00FB1C0D"/>
    <w:rsid w:val="00FB4615"/>
    <w:rsid w:val="00FB49F9"/>
    <w:rsid w:val="00FB5A8B"/>
    <w:rsid w:val="00FC0464"/>
    <w:rsid w:val="00FC0C63"/>
    <w:rsid w:val="00FC1D53"/>
    <w:rsid w:val="00FC2E76"/>
    <w:rsid w:val="00FC374F"/>
    <w:rsid w:val="00FC4C07"/>
    <w:rsid w:val="00FC5C3D"/>
    <w:rsid w:val="00FD1A47"/>
    <w:rsid w:val="00FD1B5D"/>
    <w:rsid w:val="00FD609E"/>
    <w:rsid w:val="00FD60EB"/>
    <w:rsid w:val="00FD6F29"/>
    <w:rsid w:val="00FD7722"/>
    <w:rsid w:val="00FE1727"/>
    <w:rsid w:val="00FE38F6"/>
    <w:rsid w:val="00FE4B17"/>
    <w:rsid w:val="00FF3F79"/>
    <w:rsid w:val="00FF4D7B"/>
    <w:rsid w:val="00FF4E8C"/>
    <w:rsid w:val="00FF53E1"/>
    <w:rsid w:val="00FF5F5E"/>
    <w:rsid w:val="00FF77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8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lang w:val="en-GB" w:eastAsia="en-GB"/>
    </w:rPr>
  </w:style>
  <w:style w:type="paragraph" w:styleId="Heading1">
    <w:name w:val="heading 1"/>
    <w:basedOn w:val="Normal"/>
    <w:next w:val="Text1"/>
    <w:qFormat/>
    <w:pPr>
      <w:keepNext/>
      <w:numPr>
        <w:numId w:val="1"/>
      </w:numPr>
      <w:spacing w:before="360" w:after="120"/>
      <w:jc w:val="both"/>
      <w:outlineLvl w:val="0"/>
    </w:pPr>
    <w:rPr>
      <w:b/>
      <w:bCs/>
      <w:smallCaps/>
      <w:szCs w:val="32"/>
    </w:rPr>
  </w:style>
  <w:style w:type="paragraph" w:styleId="Heading2">
    <w:name w:val="heading 2"/>
    <w:basedOn w:val="Normal"/>
    <w:next w:val="Normal"/>
    <w:qFormat/>
    <w:pPr>
      <w:keepNext/>
      <w:numPr>
        <w:ilvl w:val="1"/>
        <w:numId w:val="1"/>
      </w:numPr>
      <w:spacing w:before="120" w:after="120"/>
      <w:jc w:val="both"/>
      <w:outlineLvl w:val="1"/>
    </w:pPr>
    <w:rPr>
      <w:b/>
      <w:bCs/>
      <w:iCs/>
      <w:szCs w:val="28"/>
    </w:rPr>
  </w:style>
  <w:style w:type="paragraph" w:styleId="Heading3">
    <w:name w:val="heading 3"/>
    <w:basedOn w:val="Normal"/>
    <w:next w:val="Normal"/>
    <w:qFormat/>
    <w:pPr>
      <w:keepNext/>
      <w:numPr>
        <w:ilvl w:val="2"/>
        <w:numId w:val="1"/>
      </w:numPr>
      <w:spacing w:before="120" w:after="120"/>
      <w:jc w:val="both"/>
      <w:outlineLvl w:val="2"/>
    </w:pPr>
    <w:rPr>
      <w:bCs/>
      <w:i/>
      <w:szCs w:val="26"/>
    </w:rPr>
  </w:style>
  <w:style w:type="paragraph" w:styleId="Heading4">
    <w:name w:val="heading 4"/>
    <w:basedOn w:val="Normal"/>
    <w:next w:val="Normal"/>
    <w:qFormat/>
    <w:pPr>
      <w:keepNext/>
      <w:numPr>
        <w:ilvl w:val="3"/>
        <w:numId w:val="1"/>
      </w:numPr>
      <w:spacing w:before="120" w:after="120"/>
      <w:jc w:val="both"/>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rPr>
      <w:rFonts w:cs="Times New Roman"/>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FootnoteText">
    <w:name w:val="footnote text"/>
    <w:aliases w:val="Footnote,Fußnote"/>
    <w:basedOn w:val="Normal"/>
    <w:link w:val="FootnoteTextChar"/>
    <w:rPr>
      <w:sz w:val="20"/>
      <w:szCs w:val="20"/>
    </w:rPr>
  </w:style>
  <w:style w:type="character" w:styleId="FootnoteReference">
    <w:name w:val="footnote reference"/>
    <w:aliases w:val="Footnote Reference Number,SUPERS"/>
    <w:rPr>
      <w:rFonts w:cs="Times New Roman"/>
      <w:vertAlign w:val="superscript"/>
    </w:rPr>
  </w:style>
  <w:style w:type="paragraph" w:styleId="CommentText">
    <w:name w:val="annotation text"/>
    <w:basedOn w:val="Normal"/>
    <w:link w:val="CommentTextChar"/>
    <w:semiHidden/>
    <w:rPr>
      <w:sz w:val="20"/>
      <w:szCs w:val="20"/>
    </w:rPr>
  </w:style>
  <w:style w:type="character" w:styleId="Hyperlink">
    <w:name w:val="Hyperlink"/>
    <w:uiPriority w:val="99"/>
    <w:rPr>
      <w:rFonts w:cs="Times New Roman"/>
      <w:color w:val="0000FF"/>
      <w:u w:val="single"/>
    </w:rPr>
  </w:style>
  <w:style w:type="paragraph" w:customStyle="1" w:styleId="Text1">
    <w:name w:val="Text 1"/>
    <w:basedOn w:val="Normal"/>
    <w:pPr>
      <w:spacing w:before="120" w:after="120"/>
      <w:ind w:left="850"/>
      <w:jc w:val="both"/>
    </w:pPr>
  </w:style>
  <w:style w:type="character" w:customStyle="1" w:styleId="italic1">
    <w:name w:val="italic1"/>
    <w:rPr>
      <w:rFonts w:cs="Times New Roman"/>
      <w:i/>
      <w:iCs/>
    </w:rPr>
  </w:style>
  <w:style w:type="character" w:styleId="FollowedHyperlink">
    <w:name w:val="FollowedHyperlink"/>
    <w:rPr>
      <w:rFonts w:cs="Times New Roman"/>
      <w:color w:val="800080"/>
      <w:u w:val="single"/>
    </w:rPr>
  </w:style>
  <w:style w:type="paragraph" w:customStyle="1" w:styleId="ZCom">
    <w:name w:val="Z_Com"/>
    <w:basedOn w:val="Normal"/>
    <w:next w:val="ZDGName"/>
    <w:pPr>
      <w:widowControl w:val="0"/>
      <w:autoSpaceDE w:val="0"/>
      <w:autoSpaceDN w:val="0"/>
      <w:ind w:right="85"/>
      <w:jc w:val="both"/>
    </w:pPr>
    <w:rPr>
      <w:rFonts w:ascii="Arial" w:hAnsi="Arial" w:cs="Arial"/>
    </w:rPr>
  </w:style>
  <w:style w:type="paragraph" w:customStyle="1" w:styleId="ZDGName">
    <w:name w:val="Z_DGName"/>
    <w:basedOn w:val="Normal"/>
    <w:pPr>
      <w:widowControl w:val="0"/>
      <w:autoSpaceDE w:val="0"/>
      <w:autoSpaceDN w:val="0"/>
      <w:ind w:right="85"/>
    </w:pPr>
    <w:rPr>
      <w:rFonts w:ascii="Arial" w:hAnsi="Arial" w:cs="Arial"/>
      <w:sz w:val="16"/>
      <w:szCs w:val="16"/>
    </w:rPr>
  </w:style>
  <w:style w:type="paragraph" w:styleId="BalloonText">
    <w:name w:val="Balloon Text"/>
    <w:basedOn w:val="Normal"/>
    <w:semiHidden/>
    <w:rPr>
      <w:rFonts w:ascii="Tahoma" w:hAnsi="Tahoma" w:cs="Tahoma"/>
      <w:sz w:val="16"/>
      <w:szCs w:val="16"/>
    </w:rPr>
  </w:style>
  <w:style w:type="paragraph" w:customStyle="1" w:styleId="NormalCentered">
    <w:name w:val="Normal Centered"/>
    <w:basedOn w:val="Normal"/>
    <w:pPr>
      <w:spacing w:before="120" w:after="120"/>
      <w:jc w:val="center"/>
    </w:pPr>
  </w:style>
  <w:style w:type="character" w:customStyle="1" w:styleId="WW8Num4z1">
    <w:name w:val="WW8Num4z1"/>
    <w:rPr>
      <w:rFonts w:ascii="Symbol" w:hAnsi="Symbol"/>
    </w:rPr>
  </w:style>
  <w:style w:type="table" w:styleId="TableGrid">
    <w:name w:val="Table Grid"/>
    <w:basedOn w:val="TableNormal"/>
    <w:pPr>
      <w:suppressAutoHyphens/>
    </w:pPr>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
    <w:name w:val="italic"/>
    <w:rPr>
      <w:rFonts w:cs="Times New Roman"/>
    </w:rPr>
  </w:style>
  <w:style w:type="paragraph" w:customStyle="1" w:styleId="CM4">
    <w:name w:val="CM4"/>
    <w:basedOn w:val="Normal"/>
    <w:next w:val="Normal"/>
    <w:pPr>
      <w:autoSpaceDE w:val="0"/>
      <w:autoSpaceDN w:val="0"/>
      <w:adjustRightInd w:val="0"/>
    </w:pPr>
    <w:rPr>
      <w:rFonts w:ascii="EUAlbertina" w:hAnsi="EUAlbertina"/>
    </w:rPr>
  </w:style>
  <w:style w:type="paragraph" w:customStyle="1" w:styleId="Initial">
    <w:name w:val="Initial"/>
    <w:pPr>
      <w:keepNext/>
      <w:keepLines/>
      <w:tabs>
        <w:tab w:val="left" w:pos="-1228"/>
        <w:tab w:val="left" w:pos="-508"/>
        <w:tab w:val="left" w:pos="212"/>
        <w:tab w:val="left" w:pos="572"/>
        <w:tab w:val="left" w:pos="932"/>
        <w:tab w:val="left" w:pos="1292"/>
        <w:tab w:val="left" w:pos="1652"/>
        <w:tab w:val="left" w:pos="2372"/>
        <w:tab w:val="left" w:pos="3092"/>
        <w:tab w:val="left" w:pos="3812"/>
        <w:tab w:val="left" w:pos="4532"/>
        <w:tab w:val="left" w:pos="5252"/>
        <w:tab w:val="left" w:pos="5972"/>
        <w:tab w:val="left" w:pos="6692"/>
        <w:tab w:val="left" w:pos="7412"/>
        <w:tab w:val="left" w:pos="8132"/>
        <w:tab w:val="left" w:pos="8852"/>
        <w:tab w:val="left" w:pos="9572"/>
        <w:tab w:val="left" w:pos="10292"/>
        <w:tab w:val="left" w:pos="11012"/>
        <w:tab w:val="left" w:pos="11732"/>
        <w:tab w:val="left" w:pos="12452"/>
        <w:tab w:val="left" w:pos="13172"/>
        <w:tab w:val="left" w:pos="13892"/>
        <w:tab w:val="left" w:pos="14612"/>
        <w:tab w:val="left" w:pos="15332"/>
        <w:tab w:val="left" w:pos="16052"/>
        <w:tab w:val="left" w:pos="16772"/>
        <w:tab w:val="left" w:pos="17492"/>
        <w:tab w:val="left" w:pos="18212"/>
        <w:tab w:val="left" w:pos="18932"/>
      </w:tabs>
      <w:suppressAutoHyphens/>
      <w:jc w:val="both"/>
    </w:pPr>
    <w:rPr>
      <w:snapToGrid w:val="0"/>
      <w:spacing w:val="-2"/>
      <w:sz w:val="22"/>
      <w:lang w:val="en-US" w:eastAsia="en-GB"/>
    </w:rPr>
  </w:style>
  <w:style w:type="paragraph" w:customStyle="1" w:styleId="naisf">
    <w:name w:val="naisf"/>
    <w:basedOn w:val="Normal"/>
    <w:rsid w:val="00AB445D"/>
    <w:pPr>
      <w:spacing w:before="75" w:after="75"/>
      <w:ind w:firstLine="375"/>
      <w:jc w:val="both"/>
    </w:pPr>
    <w:rPr>
      <w:snapToGrid/>
      <w:lang w:val="lv-LV" w:eastAsia="lv-LV"/>
    </w:rPr>
  </w:style>
  <w:style w:type="paragraph" w:customStyle="1" w:styleId="Default">
    <w:name w:val="Default"/>
    <w:rsid w:val="00B312CE"/>
    <w:pPr>
      <w:autoSpaceDE w:val="0"/>
      <w:autoSpaceDN w:val="0"/>
      <w:adjustRightInd w:val="0"/>
    </w:pPr>
    <w:rPr>
      <w:color w:val="000000"/>
      <w:sz w:val="24"/>
      <w:szCs w:val="24"/>
    </w:rPr>
  </w:style>
  <w:style w:type="character" w:styleId="Strong">
    <w:name w:val="Strong"/>
    <w:uiPriority w:val="22"/>
    <w:qFormat/>
    <w:rsid w:val="006B6584"/>
    <w:rPr>
      <w:b/>
      <w:bCs/>
    </w:rPr>
  </w:style>
  <w:style w:type="character" w:styleId="Emphasis">
    <w:name w:val="Emphasis"/>
    <w:qFormat/>
    <w:rsid w:val="006B6584"/>
    <w:rPr>
      <w:i/>
      <w:iCs/>
    </w:rPr>
  </w:style>
  <w:style w:type="paragraph" w:styleId="ListParagraph">
    <w:name w:val="List Paragraph"/>
    <w:basedOn w:val="Normal"/>
    <w:uiPriority w:val="34"/>
    <w:qFormat/>
    <w:rsid w:val="00377DBD"/>
    <w:pPr>
      <w:ind w:left="720"/>
      <w:contextualSpacing/>
      <w:jc w:val="both"/>
    </w:pPr>
    <w:rPr>
      <w:snapToGrid/>
      <w:szCs w:val="20"/>
      <w:lang w:val="lv-LV" w:eastAsia="en-US"/>
    </w:rPr>
  </w:style>
  <w:style w:type="paragraph" w:styleId="BodyText">
    <w:name w:val="Body Text"/>
    <w:basedOn w:val="Normal"/>
    <w:link w:val="BodyTextChar"/>
    <w:rsid w:val="00EE1D65"/>
    <w:pPr>
      <w:spacing w:before="240"/>
      <w:jc w:val="both"/>
    </w:pPr>
    <w:rPr>
      <w:snapToGrid/>
      <w:szCs w:val="20"/>
      <w:lang w:val="en-US" w:eastAsia="en-US"/>
    </w:rPr>
  </w:style>
  <w:style w:type="character" w:customStyle="1" w:styleId="BodyTextChar">
    <w:name w:val="Body Text Char"/>
    <w:link w:val="BodyText"/>
    <w:rsid w:val="00EE1D65"/>
    <w:rPr>
      <w:sz w:val="24"/>
      <w:lang w:val="en-US" w:eastAsia="en-US"/>
    </w:rPr>
  </w:style>
  <w:style w:type="character" w:styleId="CommentReference">
    <w:name w:val="annotation reference"/>
    <w:rsid w:val="00EE1D65"/>
    <w:rPr>
      <w:sz w:val="16"/>
      <w:szCs w:val="16"/>
    </w:rPr>
  </w:style>
  <w:style w:type="paragraph" w:styleId="CommentSubject">
    <w:name w:val="annotation subject"/>
    <w:basedOn w:val="CommentText"/>
    <w:next w:val="CommentText"/>
    <w:link w:val="CommentSubjectChar"/>
    <w:rsid w:val="00EE1D65"/>
    <w:rPr>
      <w:b/>
      <w:bCs/>
    </w:rPr>
  </w:style>
  <w:style w:type="character" w:customStyle="1" w:styleId="CommentTextChar">
    <w:name w:val="Comment Text Char"/>
    <w:link w:val="CommentText"/>
    <w:semiHidden/>
    <w:rsid w:val="00EE1D65"/>
    <w:rPr>
      <w:snapToGrid w:val="0"/>
      <w:lang w:val="en-GB" w:eastAsia="en-GB"/>
    </w:rPr>
  </w:style>
  <w:style w:type="character" w:customStyle="1" w:styleId="CommentSubjectChar">
    <w:name w:val="Comment Subject Char"/>
    <w:link w:val="CommentSubject"/>
    <w:rsid w:val="00EE1D65"/>
    <w:rPr>
      <w:b/>
      <w:bCs/>
      <w:snapToGrid w:val="0"/>
      <w:lang w:val="en-GB" w:eastAsia="en-GB"/>
    </w:rPr>
  </w:style>
  <w:style w:type="character" w:customStyle="1" w:styleId="FootnoteTextChar">
    <w:name w:val="Footnote Text Char"/>
    <w:aliases w:val="Footnote Char,Fußnote Char"/>
    <w:link w:val="FootnoteText"/>
    <w:rsid w:val="00C165DE"/>
    <w:rPr>
      <w:snapToGrid w:val="0"/>
      <w:lang w:val="en-GB" w:eastAsia="en-GB"/>
    </w:rPr>
  </w:style>
  <w:style w:type="paragraph" w:customStyle="1" w:styleId="tv2131">
    <w:name w:val="tv2131"/>
    <w:basedOn w:val="Normal"/>
    <w:rsid w:val="00405B48"/>
    <w:pPr>
      <w:spacing w:before="240" w:line="360" w:lineRule="auto"/>
      <w:ind w:firstLine="300"/>
      <w:jc w:val="both"/>
    </w:pPr>
    <w:rPr>
      <w:rFonts w:ascii="Verdana" w:hAnsi="Verdana"/>
      <w:snapToGrid/>
      <w:sz w:val="18"/>
      <w:szCs w:val="18"/>
      <w:lang w:val="lv-LV" w:eastAsia="lv-LV"/>
    </w:rPr>
  </w:style>
  <w:style w:type="paragraph" w:styleId="TOCHeading">
    <w:name w:val="TOC Heading"/>
    <w:basedOn w:val="Heading1"/>
    <w:next w:val="Normal"/>
    <w:uiPriority w:val="39"/>
    <w:semiHidden/>
    <w:unhideWhenUsed/>
    <w:qFormat/>
    <w:rsid w:val="001841CE"/>
    <w:pPr>
      <w:keepLines/>
      <w:numPr>
        <w:numId w:val="0"/>
      </w:numPr>
      <w:spacing w:before="480" w:after="0" w:line="276" w:lineRule="auto"/>
      <w:jc w:val="left"/>
      <w:outlineLvl w:val="9"/>
    </w:pPr>
    <w:rPr>
      <w:rFonts w:ascii="Cambria" w:eastAsia="MS Gothic" w:hAnsi="Cambria"/>
      <w:smallCaps w:val="0"/>
      <w:snapToGrid/>
      <w:color w:val="365F91"/>
      <w:sz w:val="28"/>
      <w:szCs w:val="28"/>
      <w:lang w:val="en-US" w:eastAsia="ja-JP"/>
    </w:rPr>
  </w:style>
  <w:style w:type="paragraph" w:styleId="TOC1">
    <w:name w:val="toc 1"/>
    <w:basedOn w:val="Normal"/>
    <w:next w:val="Normal"/>
    <w:autoRedefine/>
    <w:uiPriority w:val="39"/>
    <w:rsid w:val="001A1A3C"/>
    <w:pPr>
      <w:tabs>
        <w:tab w:val="left" w:pos="284"/>
        <w:tab w:val="right" w:leader="dot" w:pos="9060"/>
      </w:tabs>
    </w:pPr>
  </w:style>
  <w:style w:type="paragraph" w:styleId="TOC3">
    <w:name w:val="toc 3"/>
    <w:basedOn w:val="Normal"/>
    <w:next w:val="Normal"/>
    <w:autoRedefine/>
    <w:uiPriority w:val="39"/>
    <w:rsid w:val="001841CE"/>
    <w:pPr>
      <w:ind w:left="480"/>
    </w:pPr>
  </w:style>
  <w:style w:type="paragraph" w:styleId="TOC2">
    <w:name w:val="toc 2"/>
    <w:basedOn w:val="Normal"/>
    <w:next w:val="Normal"/>
    <w:autoRedefine/>
    <w:uiPriority w:val="39"/>
    <w:rsid w:val="00166F4E"/>
    <w:pPr>
      <w:ind w:left="240"/>
    </w:pPr>
  </w:style>
  <w:style w:type="paragraph" w:styleId="NormalWeb">
    <w:name w:val="Normal (Web)"/>
    <w:basedOn w:val="Normal"/>
    <w:uiPriority w:val="99"/>
    <w:unhideWhenUsed/>
    <w:rsid w:val="00EB0036"/>
    <w:pPr>
      <w:spacing w:before="100" w:beforeAutospacing="1" w:after="100" w:afterAutospacing="1"/>
    </w:pPr>
    <w:rPr>
      <w:snapToGrid/>
      <w:lang w:val="lv-LV" w:eastAsia="lv-LV"/>
    </w:rPr>
  </w:style>
  <w:style w:type="paragraph" w:styleId="Title">
    <w:name w:val="Title"/>
    <w:basedOn w:val="Normal"/>
    <w:link w:val="TitleChar"/>
    <w:qFormat/>
    <w:rsid w:val="00FC5C3D"/>
    <w:pPr>
      <w:spacing w:before="240"/>
      <w:jc w:val="center"/>
    </w:pPr>
    <w:rPr>
      <w:b/>
      <w:bCs/>
      <w:snapToGrid/>
      <w:sz w:val="28"/>
      <w:lang w:val="lv-LV" w:eastAsia="x-none"/>
    </w:rPr>
  </w:style>
  <w:style w:type="character" w:customStyle="1" w:styleId="TitleChar">
    <w:name w:val="Title Char"/>
    <w:link w:val="Title"/>
    <w:rsid w:val="00FC5C3D"/>
    <w:rPr>
      <w:b/>
      <w:bCs/>
      <w:sz w:val="28"/>
      <w:szCs w:val="24"/>
      <w:lang w:eastAsia="x-none"/>
    </w:rPr>
  </w:style>
  <w:style w:type="character" w:customStyle="1" w:styleId="HeaderChar">
    <w:name w:val="Header Char"/>
    <w:link w:val="Header"/>
    <w:uiPriority w:val="99"/>
    <w:rsid w:val="00FC5C3D"/>
    <w:rPr>
      <w:snapToGrid w:val="0"/>
      <w:sz w:val="24"/>
      <w:szCs w:val="24"/>
      <w:lang w:val="en-GB" w:eastAsia="en-GB"/>
    </w:rPr>
  </w:style>
  <w:style w:type="character" w:customStyle="1" w:styleId="st1">
    <w:name w:val="st1"/>
    <w:rsid w:val="00F14798"/>
  </w:style>
  <w:style w:type="paragraph" w:styleId="Revision">
    <w:name w:val="Revision"/>
    <w:hidden/>
    <w:uiPriority w:val="99"/>
    <w:semiHidden/>
    <w:rsid w:val="00F26DD1"/>
    <w:rPr>
      <w:snapToGrid w:val="0"/>
      <w:sz w:val="24"/>
      <w:szCs w:val="24"/>
      <w:lang w:val="en-GB" w:eastAsia="en-GB"/>
    </w:rPr>
  </w:style>
  <w:style w:type="paragraph" w:styleId="PlainText">
    <w:name w:val="Plain Text"/>
    <w:basedOn w:val="Normal"/>
    <w:link w:val="PlainTextChar"/>
    <w:uiPriority w:val="99"/>
    <w:unhideWhenUsed/>
    <w:rsid w:val="000477FA"/>
    <w:pPr>
      <w:spacing w:before="120"/>
      <w:ind w:firstLine="720"/>
      <w:jc w:val="both"/>
    </w:pPr>
    <w:rPr>
      <w:rFonts w:ascii="Calibri" w:eastAsia="Calibri" w:hAnsi="Calibri"/>
      <w:snapToGrid/>
      <w:sz w:val="28"/>
      <w:szCs w:val="21"/>
      <w:lang w:val="lv-LV" w:eastAsia="en-US"/>
    </w:rPr>
  </w:style>
  <w:style w:type="character" w:customStyle="1" w:styleId="PlainTextChar">
    <w:name w:val="Plain Text Char"/>
    <w:basedOn w:val="DefaultParagraphFont"/>
    <w:link w:val="PlainText"/>
    <w:uiPriority w:val="99"/>
    <w:rsid w:val="000477FA"/>
    <w:rPr>
      <w:rFonts w:ascii="Calibri" w:eastAsia="Calibri" w:hAnsi="Calibri"/>
      <w:sz w:val="28"/>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sz w:val="24"/>
      <w:szCs w:val="24"/>
      <w:lang w:val="en-GB" w:eastAsia="en-GB"/>
    </w:rPr>
  </w:style>
  <w:style w:type="paragraph" w:styleId="Heading1">
    <w:name w:val="heading 1"/>
    <w:basedOn w:val="Normal"/>
    <w:next w:val="Text1"/>
    <w:qFormat/>
    <w:pPr>
      <w:keepNext/>
      <w:numPr>
        <w:numId w:val="1"/>
      </w:numPr>
      <w:spacing w:before="360" w:after="120"/>
      <w:jc w:val="both"/>
      <w:outlineLvl w:val="0"/>
    </w:pPr>
    <w:rPr>
      <w:b/>
      <w:bCs/>
      <w:smallCaps/>
      <w:szCs w:val="32"/>
    </w:rPr>
  </w:style>
  <w:style w:type="paragraph" w:styleId="Heading2">
    <w:name w:val="heading 2"/>
    <w:basedOn w:val="Normal"/>
    <w:next w:val="Normal"/>
    <w:qFormat/>
    <w:pPr>
      <w:keepNext/>
      <w:numPr>
        <w:ilvl w:val="1"/>
        <w:numId w:val="1"/>
      </w:numPr>
      <w:spacing w:before="120" w:after="120"/>
      <w:jc w:val="both"/>
      <w:outlineLvl w:val="1"/>
    </w:pPr>
    <w:rPr>
      <w:b/>
      <w:bCs/>
      <w:iCs/>
      <w:szCs w:val="28"/>
    </w:rPr>
  </w:style>
  <w:style w:type="paragraph" w:styleId="Heading3">
    <w:name w:val="heading 3"/>
    <w:basedOn w:val="Normal"/>
    <w:next w:val="Normal"/>
    <w:qFormat/>
    <w:pPr>
      <w:keepNext/>
      <w:numPr>
        <w:ilvl w:val="2"/>
        <w:numId w:val="1"/>
      </w:numPr>
      <w:spacing w:before="120" w:after="120"/>
      <w:jc w:val="both"/>
      <w:outlineLvl w:val="2"/>
    </w:pPr>
    <w:rPr>
      <w:bCs/>
      <w:i/>
      <w:szCs w:val="26"/>
    </w:rPr>
  </w:style>
  <w:style w:type="paragraph" w:styleId="Heading4">
    <w:name w:val="heading 4"/>
    <w:basedOn w:val="Normal"/>
    <w:next w:val="Normal"/>
    <w:qFormat/>
    <w:pPr>
      <w:keepNext/>
      <w:numPr>
        <w:ilvl w:val="3"/>
        <w:numId w:val="1"/>
      </w:numPr>
      <w:spacing w:before="120" w:after="120"/>
      <w:jc w:val="both"/>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rPr>
      <w:rFonts w:cs="Times New Roman"/>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FootnoteText">
    <w:name w:val="footnote text"/>
    <w:aliases w:val="Footnote,Fußnote"/>
    <w:basedOn w:val="Normal"/>
    <w:link w:val="FootnoteTextChar"/>
    <w:rPr>
      <w:sz w:val="20"/>
      <w:szCs w:val="20"/>
    </w:rPr>
  </w:style>
  <w:style w:type="character" w:styleId="FootnoteReference">
    <w:name w:val="footnote reference"/>
    <w:aliases w:val="Footnote Reference Number,SUPERS"/>
    <w:rPr>
      <w:rFonts w:cs="Times New Roman"/>
      <w:vertAlign w:val="superscript"/>
    </w:rPr>
  </w:style>
  <w:style w:type="paragraph" w:styleId="CommentText">
    <w:name w:val="annotation text"/>
    <w:basedOn w:val="Normal"/>
    <w:link w:val="CommentTextChar"/>
    <w:semiHidden/>
    <w:rPr>
      <w:sz w:val="20"/>
      <w:szCs w:val="20"/>
    </w:rPr>
  </w:style>
  <w:style w:type="character" w:styleId="Hyperlink">
    <w:name w:val="Hyperlink"/>
    <w:uiPriority w:val="99"/>
    <w:rPr>
      <w:rFonts w:cs="Times New Roman"/>
      <w:color w:val="0000FF"/>
      <w:u w:val="single"/>
    </w:rPr>
  </w:style>
  <w:style w:type="paragraph" w:customStyle="1" w:styleId="Text1">
    <w:name w:val="Text 1"/>
    <w:basedOn w:val="Normal"/>
    <w:pPr>
      <w:spacing w:before="120" w:after="120"/>
      <w:ind w:left="850"/>
      <w:jc w:val="both"/>
    </w:pPr>
  </w:style>
  <w:style w:type="character" w:customStyle="1" w:styleId="italic1">
    <w:name w:val="italic1"/>
    <w:rPr>
      <w:rFonts w:cs="Times New Roman"/>
      <w:i/>
      <w:iCs/>
    </w:rPr>
  </w:style>
  <w:style w:type="character" w:styleId="FollowedHyperlink">
    <w:name w:val="FollowedHyperlink"/>
    <w:rPr>
      <w:rFonts w:cs="Times New Roman"/>
      <w:color w:val="800080"/>
      <w:u w:val="single"/>
    </w:rPr>
  </w:style>
  <w:style w:type="paragraph" w:customStyle="1" w:styleId="ZCom">
    <w:name w:val="Z_Com"/>
    <w:basedOn w:val="Normal"/>
    <w:next w:val="ZDGName"/>
    <w:pPr>
      <w:widowControl w:val="0"/>
      <w:autoSpaceDE w:val="0"/>
      <w:autoSpaceDN w:val="0"/>
      <w:ind w:right="85"/>
      <w:jc w:val="both"/>
    </w:pPr>
    <w:rPr>
      <w:rFonts w:ascii="Arial" w:hAnsi="Arial" w:cs="Arial"/>
    </w:rPr>
  </w:style>
  <w:style w:type="paragraph" w:customStyle="1" w:styleId="ZDGName">
    <w:name w:val="Z_DGName"/>
    <w:basedOn w:val="Normal"/>
    <w:pPr>
      <w:widowControl w:val="0"/>
      <w:autoSpaceDE w:val="0"/>
      <w:autoSpaceDN w:val="0"/>
      <w:ind w:right="85"/>
    </w:pPr>
    <w:rPr>
      <w:rFonts w:ascii="Arial" w:hAnsi="Arial" w:cs="Arial"/>
      <w:sz w:val="16"/>
      <w:szCs w:val="16"/>
    </w:rPr>
  </w:style>
  <w:style w:type="paragraph" w:styleId="BalloonText">
    <w:name w:val="Balloon Text"/>
    <w:basedOn w:val="Normal"/>
    <w:semiHidden/>
    <w:rPr>
      <w:rFonts w:ascii="Tahoma" w:hAnsi="Tahoma" w:cs="Tahoma"/>
      <w:sz w:val="16"/>
      <w:szCs w:val="16"/>
    </w:rPr>
  </w:style>
  <w:style w:type="paragraph" w:customStyle="1" w:styleId="NormalCentered">
    <w:name w:val="Normal Centered"/>
    <w:basedOn w:val="Normal"/>
    <w:pPr>
      <w:spacing w:before="120" w:after="120"/>
      <w:jc w:val="center"/>
    </w:pPr>
  </w:style>
  <w:style w:type="character" w:customStyle="1" w:styleId="WW8Num4z1">
    <w:name w:val="WW8Num4z1"/>
    <w:rPr>
      <w:rFonts w:ascii="Symbol" w:hAnsi="Symbol"/>
    </w:rPr>
  </w:style>
  <w:style w:type="table" w:styleId="TableGrid">
    <w:name w:val="Table Grid"/>
    <w:basedOn w:val="TableNormal"/>
    <w:pPr>
      <w:suppressAutoHyphens/>
    </w:pPr>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
    <w:name w:val="italic"/>
    <w:rPr>
      <w:rFonts w:cs="Times New Roman"/>
    </w:rPr>
  </w:style>
  <w:style w:type="paragraph" w:customStyle="1" w:styleId="CM4">
    <w:name w:val="CM4"/>
    <w:basedOn w:val="Normal"/>
    <w:next w:val="Normal"/>
    <w:pPr>
      <w:autoSpaceDE w:val="0"/>
      <w:autoSpaceDN w:val="0"/>
      <w:adjustRightInd w:val="0"/>
    </w:pPr>
    <w:rPr>
      <w:rFonts w:ascii="EUAlbertina" w:hAnsi="EUAlbertina"/>
    </w:rPr>
  </w:style>
  <w:style w:type="paragraph" w:customStyle="1" w:styleId="Initial">
    <w:name w:val="Initial"/>
    <w:pPr>
      <w:keepNext/>
      <w:keepLines/>
      <w:tabs>
        <w:tab w:val="left" w:pos="-1228"/>
        <w:tab w:val="left" w:pos="-508"/>
        <w:tab w:val="left" w:pos="212"/>
        <w:tab w:val="left" w:pos="572"/>
        <w:tab w:val="left" w:pos="932"/>
        <w:tab w:val="left" w:pos="1292"/>
        <w:tab w:val="left" w:pos="1652"/>
        <w:tab w:val="left" w:pos="2372"/>
        <w:tab w:val="left" w:pos="3092"/>
        <w:tab w:val="left" w:pos="3812"/>
        <w:tab w:val="left" w:pos="4532"/>
        <w:tab w:val="left" w:pos="5252"/>
        <w:tab w:val="left" w:pos="5972"/>
        <w:tab w:val="left" w:pos="6692"/>
        <w:tab w:val="left" w:pos="7412"/>
        <w:tab w:val="left" w:pos="8132"/>
        <w:tab w:val="left" w:pos="8852"/>
        <w:tab w:val="left" w:pos="9572"/>
        <w:tab w:val="left" w:pos="10292"/>
        <w:tab w:val="left" w:pos="11012"/>
        <w:tab w:val="left" w:pos="11732"/>
        <w:tab w:val="left" w:pos="12452"/>
        <w:tab w:val="left" w:pos="13172"/>
        <w:tab w:val="left" w:pos="13892"/>
        <w:tab w:val="left" w:pos="14612"/>
        <w:tab w:val="left" w:pos="15332"/>
        <w:tab w:val="left" w:pos="16052"/>
        <w:tab w:val="left" w:pos="16772"/>
        <w:tab w:val="left" w:pos="17492"/>
        <w:tab w:val="left" w:pos="18212"/>
        <w:tab w:val="left" w:pos="18932"/>
      </w:tabs>
      <w:suppressAutoHyphens/>
      <w:jc w:val="both"/>
    </w:pPr>
    <w:rPr>
      <w:snapToGrid w:val="0"/>
      <w:spacing w:val="-2"/>
      <w:sz w:val="22"/>
      <w:lang w:val="en-US" w:eastAsia="en-GB"/>
    </w:rPr>
  </w:style>
  <w:style w:type="paragraph" w:customStyle="1" w:styleId="naisf">
    <w:name w:val="naisf"/>
    <w:basedOn w:val="Normal"/>
    <w:rsid w:val="00AB445D"/>
    <w:pPr>
      <w:spacing w:before="75" w:after="75"/>
      <w:ind w:firstLine="375"/>
      <w:jc w:val="both"/>
    </w:pPr>
    <w:rPr>
      <w:snapToGrid/>
      <w:lang w:val="lv-LV" w:eastAsia="lv-LV"/>
    </w:rPr>
  </w:style>
  <w:style w:type="paragraph" w:customStyle="1" w:styleId="Default">
    <w:name w:val="Default"/>
    <w:rsid w:val="00B312CE"/>
    <w:pPr>
      <w:autoSpaceDE w:val="0"/>
      <w:autoSpaceDN w:val="0"/>
      <w:adjustRightInd w:val="0"/>
    </w:pPr>
    <w:rPr>
      <w:color w:val="000000"/>
      <w:sz w:val="24"/>
      <w:szCs w:val="24"/>
    </w:rPr>
  </w:style>
  <w:style w:type="character" w:styleId="Strong">
    <w:name w:val="Strong"/>
    <w:uiPriority w:val="22"/>
    <w:qFormat/>
    <w:rsid w:val="006B6584"/>
    <w:rPr>
      <w:b/>
      <w:bCs/>
    </w:rPr>
  </w:style>
  <w:style w:type="character" w:styleId="Emphasis">
    <w:name w:val="Emphasis"/>
    <w:qFormat/>
    <w:rsid w:val="006B6584"/>
    <w:rPr>
      <w:i/>
      <w:iCs/>
    </w:rPr>
  </w:style>
  <w:style w:type="paragraph" w:styleId="ListParagraph">
    <w:name w:val="List Paragraph"/>
    <w:basedOn w:val="Normal"/>
    <w:uiPriority w:val="34"/>
    <w:qFormat/>
    <w:rsid w:val="00377DBD"/>
    <w:pPr>
      <w:ind w:left="720"/>
      <w:contextualSpacing/>
      <w:jc w:val="both"/>
    </w:pPr>
    <w:rPr>
      <w:snapToGrid/>
      <w:szCs w:val="20"/>
      <w:lang w:val="lv-LV" w:eastAsia="en-US"/>
    </w:rPr>
  </w:style>
  <w:style w:type="paragraph" w:styleId="BodyText">
    <w:name w:val="Body Text"/>
    <w:basedOn w:val="Normal"/>
    <w:link w:val="BodyTextChar"/>
    <w:rsid w:val="00EE1D65"/>
    <w:pPr>
      <w:spacing w:before="240"/>
      <w:jc w:val="both"/>
    </w:pPr>
    <w:rPr>
      <w:snapToGrid/>
      <w:szCs w:val="20"/>
      <w:lang w:val="en-US" w:eastAsia="en-US"/>
    </w:rPr>
  </w:style>
  <w:style w:type="character" w:customStyle="1" w:styleId="BodyTextChar">
    <w:name w:val="Body Text Char"/>
    <w:link w:val="BodyText"/>
    <w:rsid w:val="00EE1D65"/>
    <w:rPr>
      <w:sz w:val="24"/>
      <w:lang w:val="en-US" w:eastAsia="en-US"/>
    </w:rPr>
  </w:style>
  <w:style w:type="character" w:styleId="CommentReference">
    <w:name w:val="annotation reference"/>
    <w:rsid w:val="00EE1D65"/>
    <w:rPr>
      <w:sz w:val="16"/>
      <w:szCs w:val="16"/>
    </w:rPr>
  </w:style>
  <w:style w:type="paragraph" w:styleId="CommentSubject">
    <w:name w:val="annotation subject"/>
    <w:basedOn w:val="CommentText"/>
    <w:next w:val="CommentText"/>
    <w:link w:val="CommentSubjectChar"/>
    <w:rsid w:val="00EE1D65"/>
    <w:rPr>
      <w:b/>
      <w:bCs/>
    </w:rPr>
  </w:style>
  <w:style w:type="character" w:customStyle="1" w:styleId="CommentTextChar">
    <w:name w:val="Comment Text Char"/>
    <w:link w:val="CommentText"/>
    <w:semiHidden/>
    <w:rsid w:val="00EE1D65"/>
    <w:rPr>
      <w:snapToGrid w:val="0"/>
      <w:lang w:val="en-GB" w:eastAsia="en-GB"/>
    </w:rPr>
  </w:style>
  <w:style w:type="character" w:customStyle="1" w:styleId="CommentSubjectChar">
    <w:name w:val="Comment Subject Char"/>
    <w:link w:val="CommentSubject"/>
    <w:rsid w:val="00EE1D65"/>
    <w:rPr>
      <w:b/>
      <w:bCs/>
      <w:snapToGrid w:val="0"/>
      <w:lang w:val="en-GB" w:eastAsia="en-GB"/>
    </w:rPr>
  </w:style>
  <w:style w:type="character" w:customStyle="1" w:styleId="FootnoteTextChar">
    <w:name w:val="Footnote Text Char"/>
    <w:aliases w:val="Footnote Char,Fußnote Char"/>
    <w:link w:val="FootnoteText"/>
    <w:rsid w:val="00C165DE"/>
    <w:rPr>
      <w:snapToGrid w:val="0"/>
      <w:lang w:val="en-GB" w:eastAsia="en-GB"/>
    </w:rPr>
  </w:style>
  <w:style w:type="paragraph" w:customStyle="1" w:styleId="tv2131">
    <w:name w:val="tv2131"/>
    <w:basedOn w:val="Normal"/>
    <w:rsid w:val="00405B48"/>
    <w:pPr>
      <w:spacing w:before="240" w:line="360" w:lineRule="auto"/>
      <w:ind w:firstLine="300"/>
      <w:jc w:val="both"/>
    </w:pPr>
    <w:rPr>
      <w:rFonts w:ascii="Verdana" w:hAnsi="Verdana"/>
      <w:snapToGrid/>
      <w:sz w:val="18"/>
      <w:szCs w:val="18"/>
      <w:lang w:val="lv-LV" w:eastAsia="lv-LV"/>
    </w:rPr>
  </w:style>
  <w:style w:type="paragraph" w:styleId="TOCHeading">
    <w:name w:val="TOC Heading"/>
    <w:basedOn w:val="Heading1"/>
    <w:next w:val="Normal"/>
    <w:uiPriority w:val="39"/>
    <w:semiHidden/>
    <w:unhideWhenUsed/>
    <w:qFormat/>
    <w:rsid w:val="001841CE"/>
    <w:pPr>
      <w:keepLines/>
      <w:numPr>
        <w:numId w:val="0"/>
      </w:numPr>
      <w:spacing w:before="480" w:after="0" w:line="276" w:lineRule="auto"/>
      <w:jc w:val="left"/>
      <w:outlineLvl w:val="9"/>
    </w:pPr>
    <w:rPr>
      <w:rFonts w:ascii="Cambria" w:eastAsia="MS Gothic" w:hAnsi="Cambria"/>
      <w:smallCaps w:val="0"/>
      <w:snapToGrid/>
      <w:color w:val="365F91"/>
      <w:sz w:val="28"/>
      <w:szCs w:val="28"/>
      <w:lang w:val="en-US" w:eastAsia="ja-JP"/>
    </w:rPr>
  </w:style>
  <w:style w:type="paragraph" w:styleId="TOC1">
    <w:name w:val="toc 1"/>
    <w:basedOn w:val="Normal"/>
    <w:next w:val="Normal"/>
    <w:autoRedefine/>
    <w:uiPriority w:val="39"/>
    <w:rsid w:val="001A1A3C"/>
    <w:pPr>
      <w:tabs>
        <w:tab w:val="left" w:pos="284"/>
        <w:tab w:val="right" w:leader="dot" w:pos="9060"/>
      </w:tabs>
    </w:pPr>
  </w:style>
  <w:style w:type="paragraph" w:styleId="TOC3">
    <w:name w:val="toc 3"/>
    <w:basedOn w:val="Normal"/>
    <w:next w:val="Normal"/>
    <w:autoRedefine/>
    <w:uiPriority w:val="39"/>
    <w:rsid w:val="001841CE"/>
    <w:pPr>
      <w:ind w:left="480"/>
    </w:pPr>
  </w:style>
  <w:style w:type="paragraph" w:styleId="TOC2">
    <w:name w:val="toc 2"/>
    <w:basedOn w:val="Normal"/>
    <w:next w:val="Normal"/>
    <w:autoRedefine/>
    <w:uiPriority w:val="39"/>
    <w:rsid w:val="00166F4E"/>
    <w:pPr>
      <w:ind w:left="240"/>
    </w:pPr>
  </w:style>
  <w:style w:type="paragraph" w:styleId="NormalWeb">
    <w:name w:val="Normal (Web)"/>
    <w:basedOn w:val="Normal"/>
    <w:uiPriority w:val="99"/>
    <w:unhideWhenUsed/>
    <w:rsid w:val="00EB0036"/>
    <w:pPr>
      <w:spacing w:before="100" w:beforeAutospacing="1" w:after="100" w:afterAutospacing="1"/>
    </w:pPr>
    <w:rPr>
      <w:snapToGrid/>
      <w:lang w:val="lv-LV" w:eastAsia="lv-LV"/>
    </w:rPr>
  </w:style>
  <w:style w:type="paragraph" w:styleId="Title">
    <w:name w:val="Title"/>
    <w:basedOn w:val="Normal"/>
    <w:link w:val="TitleChar"/>
    <w:qFormat/>
    <w:rsid w:val="00FC5C3D"/>
    <w:pPr>
      <w:spacing w:before="240"/>
      <w:jc w:val="center"/>
    </w:pPr>
    <w:rPr>
      <w:b/>
      <w:bCs/>
      <w:snapToGrid/>
      <w:sz w:val="28"/>
      <w:lang w:val="lv-LV" w:eastAsia="x-none"/>
    </w:rPr>
  </w:style>
  <w:style w:type="character" w:customStyle="1" w:styleId="TitleChar">
    <w:name w:val="Title Char"/>
    <w:link w:val="Title"/>
    <w:rsid w:val="00FC5C3D"/>
    <w:rPr>
      <w:b/>
      <w:bCs/>
      <w:sz w:val="28"/>
      <w:szCs w:val="24"/>
      <w:lang w:eastAsia="x-none"/>
    </w:rPr>
  </w:style>
  <w:style w:type="character" w:customStyle="1" w:styleId="HeaderChar">
    <w:name w:val="Header Char"/>
    <w:link w:val="Header"/>
    <w:uiPriority w:val="99"/>
    <w:rsid w:val="00FC5C3D"/>
    <w:rPr>
      <w:snapToGrid w:val="0"/>
      <w:sz w:val="24"/>
      <w:szCs w:val="24"/>
      <w:lang w:val="en-GB" w:eastAsia="en-GB"/>
    </w:rPr>
  </w:style>
  <w:style w:type="character" w:customStyle="1" w:styleId="st1">
    <w:name w:val="st1"/>
    <w:rsid w:val="00F14798"/>
  </w:style>
  <w:style w:type="paragraph" w:styleId="Revision">
    <w:name w:val="Revision"/>
    <w:hidden/>
    <w:uiPriority w:val="99"/>
    <w:semiHidden/>
    <w:rsid w:val="00F26DD1"/>
    <w:rPr>
      <w:snapToGrid w:val="0"/>
      <w:sz w:val="24"/>
      <w:szCs w:val="24"/>
      <w:lang w:val="en-GB" w:eastAsia="en-GB"/>
    </w:rPr>
  </w:style>
  <w:style w:type="paragraph" w:styleId="PlainText">
    <w:name w:val="Plain Text"/>
    <w:basedOn w:val="Normal"/>
    <w:link w:val="PlainTextChar"/>
    <w:uiPriority w:val="99"/>
    <w:unhideWhenUsed/>
    <w:rsid w:val="000477FA"/>
    <w:pPr>
      <w:spacing w:before="120"/>
      <w:ind w:firstLine="720"/>
      <w:jc w:val="both"/>
    </w:pPr>
    <w:rPr>
      <w:rFonts w:ascii="Calibri" w:eastAsia="Calibri" w:hAnsi="Calibri"/>
      <w:snapToGrid/>
      <w:sz w:val="28"/>
      <w:szCs w:val="21"/>
      <w:lang w:val="lv-LV" w:eastAsia="en-US"/>
    </w:rPr>
  </w:style>
  <w:style w:type="character" w:customStyle="1" w:styleId="PlainTextChar">
    <w:name w:val="Plain Text Char"/>
    <w:basedOn w:val="DefaultParagraphFont"/>
    <w:link w:val="PlainText"/>
    <w:uiPriority w:val="99"/>
    <w:rsid w:val="000477FA"/>
    <w:rPr>
      <w:rFonts w:ascii="Calibri" w:eastAsia="Calibri" w:hAnsi="Calibri"/>
      <w:sz w:val="28"/>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5840">
      <w:bodyDiv w:val="1"/>
      <w:marLeft w:val="0"/>
      <w:marRight w:val="0"/>
      <w:marTop w:val="0"/>
      <w:marBottom w:val="0"/>
      <w:divBdr>
        <w:top w:val="none" w:sz="0" w:space="0" w:color="auto"/>
        <w:left w:val="none" w:sz="0" w:space="0" w:color="auto"/>
        <w:bottom w:val="none" w:sz="0" w:space="0" w:color="auto"/>
        <w:right w:val="none" w:sz="0" w:space="0" w:color="auto"/>
      </w:divBdr>
    </w:div>
    <w:div w:id="163669202">
      <w:bodyDiv w:val="1"/>
      <w:marLeft w:val="0"/>
      <w:marRight w:val="0"/>
      <w:marTop w:val="0"/>
      <w:marBottom w:val="0"/>
      <w:divBdr>
        <w:top w:val="none" w:sz="0" w:space="0" w:color="auto"/>
        <w:left w:val="none" w:sz="0" w:space="0" w:color="auto"/>
        <w:bottom w:val="none" w:sz="0" w:space="0" w:color="auto"/>
        <w:right w:val="none" w:sz="0" w:space="0" w:color="auto"/>
      </w:divBdr>
    </w:div>
    <w:div w:id="257570196">
      <w:bodyDiv w:val="1"/>
      <w:marLeft w:val="0"/>
      <w:marRight w:val="0"/>
      <w:marTop w:val="0"/>
      <w:marBottom w:val="0"/>
      <w:divBdr>
        <w:top w:val="none" w:sz="0" w:space="0" w:color="auto"/>
        <w:left w:val="none" w:sz="0" w:space="0" w:color="auto"/>
        <w:bottom w:val="none" w:sz="0" w:space="0" w:color="auto"/>
        <w:right w:val="none" w:sz="0" w:space="0" w:color="auto"/>
      </w:divBdr>
    </w:div>
    <w:div w:id="424113430">
      <w:bodyDiv w:val="1"/>
      <w:marLeft w:val="0"/>
      <w:marRight w:val="0"/>
      <w:marTop w:val="0"/>
      <w:marBottom w:val="0"/>
      <w:divBdr>
        <w:top w:val="none" w:sz="0" w:space="0" w:color="auto"/>
        <w:left w:val="none" w:sz="0" w:space="0" w:color="auto"/>
        <w:bottom w:val="none" w:sz="0" w:space="0" w:color="auto"/>
        <w:right w:val="none" w:sz="0" w:space="0" w:color="auto"/>
      </w:divBdr>
      <w:divsChild>
        <w:div w:id="851723499">
          <w:marLeft w:val="0"/>
          <w:marRight w:val="0"/>
          <w:marTop w:val="0"/>
          <w:marBottom w:val="0"/>
          <w:divBdr>
            <w:top w:val="none" w:sz="0" w:space="0" w:color="auto"/>
            <w:left w:val="single" w:sz="18" w:space="5" w:color="FFFFFF"/>
            <w:bottom w:val="none" w:sz="0" w:space="0" w:color="auto"/>
            <w:right w:val="single" w:sz="18" w:space="5" w:color="FFFFFF"/>
          </w:divBdr>
          <w:divsChild>
            <w:div w:id="1699162026">
              <w:marLeft w:val="300"/>
              <w:marRight w:val="225"/>
              <w:marTop w:val="0"/>
              <w:marBottom w:val="0"/>
              <w:divBdr>
                <w:top w:val="none" w:sz="0" w:space="0" w:color="auto"/>
                <w:left w:val="none" w:sz="0" w:space="0" w:color="auto"/>
                <w:bottom w:val="none" w:sz="0" w:space="0" w:color="auto"/>
                <w:right w:val="none" w:sz="0" w:space="0" w:color="auto"/>
              </w:divBdr>
              <w:divsChild>
                <w:div w:id="13444320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524364631">
      <w:bodyDiv w:val="1"/>
      <w:marLeft w:val="0"/>
      <w:marRight w:val="0"/>
      <w:marTop w:val="0"/>
      <w:marBottom w:val="0"/>
      <w:divBdr>
        <w:top w:val="none" w:sz="0" w:space="0" w:color="auto"/>
        <w:left w:val="none" w:sz="0" w:space="0" w:color="auto"/>
        <w:bottom w:val="none" w:sz="0" w:space="0" w:color="auto"/>
        <w:right w:val="none" w:sz="0" w:space="0" w:color="auto"/>
      </w:divBdr>
    </w:div>
    <w:div w:id="534855556">
      <w:bodyDiv w:val="1"/>
      <w:marLeft w:val="0"/>
      <w:marRight w:val="0"/>
      <w:marTop w:val="0"/>
      <w:marBottom w:val="0"/>
      <w:divBdr>
        <w:top w:val="none" w:sz="0" w:space="0" w:color="auto"/>
        <w:left w:val="none" w:sz="0" w:space="0" w:color="auto"/>
        <w:bottom w:val="none" w:sz="0" w:space="0" w:color="auto"/>
        <w:right w:val="none" w:sz="0" w:space="0" w:color="auto"/>
      </w:divBdr>
    </w:div>
    <w:div w:id="565188848">
      <w:bodyDiv w:val="1"/>
      <w:marLeft w:val="0"/>
      <w:marRight w:val="0"/>
      <w:marTop w:val="0"/>
      <w:marBottom w:val="0"/>
      <w:divBdr>
        <w:top w:val="none" w:sz="0" w:space="0" w:color="auto"/>
        <w:left w:val="none" w:sz="0" w:space="0" w:color="auto"/>
        <w:bottom w:val="none" w:sz="0" w:space="0" w:color="auto"/>
        <w:right w:val="none" w:sz="0" w:space="0" w:color="auto"/>
      </w:divBdr>
    </w:div>
    <w:div w:id="569268226">
      <w:bodyDiv w:val="1"/>
      <w:marLeft w:val="0"/>
      <w:marRight w:val="0"/>
      <w:marTop w:val="0"/>
      <w:marBottom w:val="0"/>
      <w:divBdr>
        <w:top w:val="none" w:sz="0" w:space="0" w:color="auto"/>
        <w:left w:val="none" w:sz="0" w:space="0" w:color="auto"/>
        <w:bottom w:val="none" w:sz="0" w:space="0" w:color="auto"/>
        <w:right w:val="none" w:sz="0" w:space="0" w:color="auto"/>
      </w:divBdr>
    </w:div>
    <w:div w:id="574970071">
      <w:bodyDiv w:val="1"/>
      <w:marLeft w:val="0"/>
      <w:marRight w:val="0"/>
      <w:marTop w:val="0"/>
      <w:marBottom w:val="0"/>
      <w:divBdr>
        <w:top w:val="none" w:sz="0" w:space="0" w:color="auto"/>
        <w:left w:val="none" w:sz="0" w:space="0" w:color="auto"/>
        <w:bottom w:val="none" w:sz="0" w:space="0" w:color="auto"/>
        <w:right w:val="none" w:sz="0" w:space="0" w:color="auto"/>
      </w:divBdr>
    </w:div>
    <w:div w:id="587079608">
      <w:bodyDiv w:val="1"/>
      <w:marLeft w:val="0"/>
      <w:marRight w:val="0"/>
      <w:marTop w:val="0"/>
      <w:marBottom w:val="0"/>
      <w:divBdr>
        <w:top w:val="none" w:sz="0" w:space="0" w:color="auto"/>
        <w:left w:val="none" w:sz="0" w:space="0" w:color="auto"/>
        <w:bottom w:val="none" w:sz="0" w:space="0" w:color="auto"/>
        <w:right w:val="none" w:sz="0" w:space="0" w:color="auto"/>
      </w:divBdr>
      <w:divsChild>
        <w:div w:id="110245800">
          <w:marLeft w:val="0"/>
          <w:marRight w:val="0"/>
          <w:marTop w:val="0"/>
          <w:marBottom w:val="0"/>
          <w:divBdr>
            <w:top w:val="none" w:sz="0" w:space="0" w:color="auto"/>
            <w:left w:val="none" w:sz="0" w:space="0" w:color="auto"/>
            <w:bottom w:val="none" w:sz="0" w:space="0" w:color="auto"/>
            <w:right w:val="none" w:sz="0" w:space="0" w:color="auto"/>
          </w:divBdr>
        </w:div>
        <w:div w:id="152571604">
          <w:marLeft w:val="0"/>
          <w:marRight w:val="0"/>
          <w:marTop w:val="0"/>
          <w:marBottom w:val="0"/>
          <w:divBdr>
            <w:top w:val="none" w:sz="0" w:space="0" w:color="auto"/>
            <w:left w:val="none" w:sz="0" w:space="0" w:color="auto"/>
            <w:bottom w:val="none" w:sz="0" w:space="0" w:color="auto"/>
            <w:right w:val="none" w:sz="0" w:space="0" w:color="auto"/>
          </w:divBdr>
        </w:div>
        <w:div w:id="189924021">
          <w:marLeft w:val="0"/>
          <w:marRight w:val="0"/>
          <w:marTop w:val="0"/>
          <w:marBottom w:val="0"/>
          <w:divBdr>
            <w:top w:val="none" w:sz="0" w:space="0" w:color="auto"/>
            <w:left w:val="none" w:sz="0" w:space="0" w:color="auto"/>
            <w:bottom w:val="none" w:sz="0" w:space="0" w:color="auto"/>
            <w:right w:val="none" w:sz="0" w:space="0" w:color="auto"/>
          </w:divBdr>
        </w:div>
        <w:div w:id="235820834">
          <w:marLeft w:val="0"/>
          <w:marRight w:val="0"/>
          <w:marTop w:val="0"/>
          <w:marBottom w:val="0"/>
          <w:divBdr>
            <w:top w:val="none" w:sz="0" w:space="0" w:color="auto"/>
            <w:left w:val="none" w:sz="0" w:space="0" w:color="auto"/>
            <w:bottom w:val="none" w:sz="0" w:space="0" w:color="auto"/>
            <w:right w:val="none" w:sz="0" w:space="0" w:color="auto"/>
          </w:divBdr>
        </w:div>
        <w:div w:id="376588044">
          <w:marLeft w:val="0"/>
          <w:marRight w:val="0"/>
          <w:marTop w:val="0"/>
          <w:marBottom w:val="0"/>
          <w:divBdr>
            <w:top w:val="none" w:sz="0" w:space="0" w:color="auto"/>
            <w:left w:val="none" w:sz="0" w:space="0" w:color="auto"/>
            <w:bottom w:val="none" w:sz="0" w:space="0" w:color="auto"/>
            <w:right w:val="none" w:sz="0" w:space="0" w:color="auto"/>
          </w:divBdr>
        </w:div>
        <w:div w:id="462508434">
          <w:marLeft w:val="0"/>
          <w:marRight w:val="0"/>
          <w:marTop w:val="0"/>
          <w:marBottom w:val="0"/>
          <w:divBdr>
            <w:top w:val="none" w:sz="0" w:space="0" w:color="auto"/>
            <w:left w:val="none" w:sz="0" w:space="0" w:color="auto"/>
            <w:bottom w:val="none" w:sz="0" w:space="0" w:color="auto"/>
            <w:right w:val="none" w:sz="0" w:space="0" w:color="auto"/>
          </w:divBdr>
        </w:div>
        <w:div w:id="642857184">
          <w:marLeft w:val="0"/>
          <w:marRight w:val="0"/>
          <w:marTop w:val="0"/>
          <w:marBottom w:val="0"/>
          <w:divBdr>
            <w:top w:val="none" w:sz="0" w:space="0" w:color="auto"/>
            <w:left w:val="none" w:sz="0" w:space="0" w:color="auto"/>
            <w:bottom w:val="none" w:sz="0" w:space="0" w:color="auto"/>
            <w:right w:val="none" w:sz="0" w:space="0" w:color="auto"/>
          </w:divBdr>
        </w:div>
        <w:div w:id="644160765">
          <w:marLeft w:val="0"/>
          <w:marRight w:val="0"/>
          <w:marTop w:val="0"/>
          <w:marBottom w:val="0"/>
          <w:divBdr>
            <w:top w:val="none" w:sz="0" w:space="0" w:color="auto"/>
            <w:left w:val="none" w:sz="0" w:space="0" w:color="auto"/>
            <w:bottom w:val="none" w:sz="0" w:space="0" w:color="auto"/>
            <w:right w:val="none" w:sz="0" w:space="0" w:color="auto"/>
          </w:divBdr>
        </w:div>
        <w:div w:id="669406625">
          <w:marLeft w:val="0"/>
          <w:marRight w:val="0"/>
          <w:marTop w:val="0"/>
          <w:marBottom w:val="0"/>
          <w:divBdr>
            <w:top w:val="none" w:sz="0" w:space="0" w:color="auto"/>
            <w:left w:val="none" w:sz="0" w:space="0" w:color="auto"/>
            <w:bottom w:val="none" w:sz="0" w:space="0" w:color="auto"/>
            <w:right w:val="none" w:sz="0" w:space="0" w:color="auto"/>
          </w:divBdr>
        </w:div>
        <w:div w:id="723213810">
          <w:marLeft w:val="0"/>
          <w:marRight w:val="0"/>
          <w:marTop w:val="0"/>
          <w:marBottom w:val="0"/>
          <w:divBdr>
            <w:top w:val="none" w:sz="0" w:space="0" w:color="auto"/>
            <w:left w:val="none" w:sz="0" w:space="0" w:color="auto"/>
            <w:bottom w:val="none" w:sz="0" w:space="0" w:color="auto"/>
            <w:right w:val="none" w:sz="0" w:space="0" w:color="auto"/>
          </w:divBdr>
        </w:div>
        <w:div w:id="815955967">
          <w:marLeft w:val="0"/>
          <w:marRight w:val="0"/>
          <w:marTop w:val="0"/>
          <w:marBottom w:val="0"/>
          <w:divBdr>
            <w:top w:val="none" w:sz="0" w:space="0" w:color="auto"/>
            <w:left w:val="none" w:sz="0" w:space="0" w:color="auto"/>
            <w:bottom w:val="none" w:sz="0" w:space="0" w:color="auto"/>
            <w:right w:val="none" w:sz="0" w:space="0" w:color="auto"/>
          </w:divBdr>
        </w:div>
        <w:div w:id="839739294">
          <w:marLeft w:val="0"/>
          <w:marRight w:val="0"/>
          <w:marTop w:val="0"/>
          <w:marBottom w:val="0"/>
          <w:divBdr>
            <w:top w:val="none" w:sz="0" w:space="0" w:color="auto"/>
            <w:left w:val="none" w:sz="0" w:space="0" w:color="auto"/>
            <w:bottom w:val="none" w:sz="0" w:space="0" w:color="auto"/>
            <w:right w:val="none" w:sz="0" w:space="0" w:color="auto"/>
          </w:divBdr>
        </w:div>
        <w:div w:id="1027373354">
          <w:marLeft w:val="0"/>
          <w:marRight w:val="0"/>
          <w:marTop w:val="0"/>
          <w:marBottom w:val="0"/>
          <w:divBdr>
            <w:top w:val="none" w:sz="0" w:space="0" w:color="auto"/>
            <w:left w:val="none" w:sz="0" w:space="0" w:color="auto"/>
            <w:bottom w:val="none" w:sz="0" w:space="0" w:color="auto"/>
            <w:right w:val="none" w:sz="0" w:space="0" w:color="auto"/>
          </w:divBdr>
        </w:div>
        <w:div w:id="1072119638">
          <w:marLeft w:val="0"/>
          <w:marRight w:val="0"/>
          <w:marTop w:val="0"/>
          <w:marBottom w:val="0"/>
          <w:divBdr>
            <w:top w:val="none" w:sz="0" w:space="0" w:color="auto"/>
            <w:left w:val="none" w:sz="0" w:space="0" w:color="auto"/>
            <w:bottom w:val="none" w:sz="0" w:space="0" w:color="auto"/>
            <w:right w:val="none" w:sz="0" w:space="0" w:color="auto"/>
          </w:divBdr>
        </w:div>
        <w:div w:id="1082606090">
          <w:marLeft w:val="0"/>
          <w:marRight w:val="0"/>
          <w:marTop w:val="0"/>
          <w:marBottom w:val="0"/>
          <w:divBdr>
            <w:top w:val="none" w:sz="0" w:space="0" w:color="auto"/>
            <w:left w:val="none" w:sz="0" w:space="0" w:color="auto"/>
            <w:bottom w:val="none" w:sz="0" w:space="0" w:color="auto"/>
            <w:right w:val="none" w:sz="0" w:space="0" w:color="auto"/>
          </w:divBdr>
        </w:div>
        <w:div w:id="1088429045">
          <w:marLeft w:val="0"/>
          <w:marRight w:val="0"/>
          <w:marTop w:val="0"/>
          <w:marBottom w:val="0"/>
          <w:divBdr>
            <w:top w:val="none" w:sz="0" w:space="0" w:color="auto"/>
            <w:left w:val="none" w:sz="0" w:space="0" w:color="auto"/>
            <w:bottom w:val="none" w:sz="0" w:space="0" w:color="auto"/>
            <w:right w:val="none" w:sz="0" w:space="0" w:color="auto"/>
          </w:divBdr>
        </w:div>
        <w:div w:id="1244872459">
          <w:marLeft w:val="0"/>
          <w:marRight w:val="0"/>
          <w:marTop w:val="0"/>
          <w:marBottom w:val="0"/>
          <w:divBdr>
            <w:top w:val="none" w:sz="0" w:space="0" w:color="auto"/>
            <w:left w:val="none" w:sz="0" w:space="0" w:color="auto"/>
            <w:bottom w:val="none" w:sz="0" w:space="0" w:color="auto"/>
            <w:right w:val="none" w:sz="0" w:space="0" w:color="auto"/>
          </w:divBdr>
        </w:div>
        <w:div w:id="1297418457">
          <w:marLeft w:val="0"/>
          <w:marRight w:val="0"/>
          <w:marTop w:val="0"/>
          <w:marBottom w:val="0"/>
          <w:divBdr>
            <w:top w:val="none" w:sz="0" w:space="0" w:color="auto"/>
            <w:left w:val="none" w:sz="0" w:space="0" w:color="auto"/>
            <w:bottom w:val="none" w:sz="0" w:space="0" w:color="auto"/>
            <w:right w:val="none" w:sz="0" w:space="0" w:color="auto"/>
          </w:divBdr>
        </w:div>
        <w:div w:id="1342507197">
          <w:marLeft w:val="0"/>
          <w:marRight w:val="0"/>
          <w:marTop w:val="0"/>
          <w:marBottom w:val="0"/>
          <w:divBdr>
            <w:top w:val="none" w:sz="0" w:space="0" w:color="auto"/>
            <w:left w:val="none" w:sz="0" w:space="0" w:color="auto"/>
            <w:bottom w:val="none" w:sz="0" w:space="0" w:color="auto"/>
            <w:right w:val="none" w:sz="0" w:space="0" w:color="auto"/>
          </w:divBdr>
        </w:div>
        <w:div w:id="1362895997">
          <w:marLeft w:val="0"/>
          <w:marRight w:val="0"/>
          <w:marTop w:val="0"/>
          <w:marBottom w:val="0"/>
          <w:divBdr>
            <w:top w:val="none" w:sz="0" w:space="0" w:color="auto"/>
            <w:left w:val="none" w:sz="0" w:space="0" w:color="auto"/>
            <w:bottom w:val="none" w:sz="0" w:space="0" w:color="auto"/>
            <w:right w:val="none" w:sz="0" w:space="0" w:color="auto"/>
          </w:divBdr>
        </w:div>
        <w:div w:id="1493908017">
          <w:marLeft w:val="0"/>
          <w:marRight w:val="0"/>
          <w:marTop w:val="0"/>
          <w:marBottom w:val="0"/>
          <w:divBdr>
            <w:top w:val="none" w:sz="0" w:space="0" w:color="auto"/>
            <w:left w:val="none" w:sz="0" w:space="0" w:color="auto"/>
            <w:bottom w:val="none" w:sz="0" w:space="0" w:color="auto"/>
            <w:right w:val="none" w:sz="0" w:space="0" w:color="auto"/>
          </w:divBdr>
        </w:div>
        <w:div w:id="1497185458">
          <w:marLeft w:val="0"/>
          <w:marRight w:val="0"/>
          <w:marTop w:val="0"/>
          <w:marBottom w:val="0"/>
          <w:divBdr>
            <w:top w:val="none" w:sz="0" w:space="0" w:color="auto"/>
            <w:left w:val="none" w:sz="0" w:space="0" w:color="auto"/>
            <w:bottom w:val="none" w:sz="0" w:space="0" w:color="auto"/>
            <w:right w:val="none" w:sz="0" w:space="0" w:color="auto"/>
          </w:divBdr>
        </w:div>
        <w:div w:id="1511791907">
          <w:marLeft w:val="0"/>
          <w:marRight w:val="0"/>
          <w:marTop w:val="0"/>
          <w:marBottom w:val="0"/>
          <w:divBdr>
            <w:top w:val="none" w:sz="0" w:space="0" w:color="auto"/>
            <w:left w:val="none" w:sz="0" w:space="0" w:color="auto"/>
            <w:bottom w:val="none" w:sz="0" w:space="0" w:color="auto"/>
            <w:right w:val="none" w:sz="0" w:space="0" w:color="auto"/>
          </w:divBdr>
        </w:div>
        <w:div w:id="1665277455">
          <w:marLeft w:val="0"/>
          <w:marRight w:val="0"/>
          <w:marTop w:val="0"/>
          <w:marBottom w:val="0"/>
          <w:divBdr>
            <w:top w:val="none" w:sz="0" w:space="0" w:color="auto"/>
            <w:left w:val="none" w:sz="0" w:space="0" w:color="auto"/>
            <w:bottom w:val="none" w:sz="0" w:space="0" w:color="auto"/>
            <w:right w:val="none" w:sz="0" w:space="0" w:color="auto"/>
          </w:divBdr>
        </w:div>
        <w:div w:id="1814517017">
          <w:marLeft w:val="0"/>
          <w:marRight w:val="0"/>
          <w:marTop w:val="0"/>
          <w:marBottom w:val="0"/>
          <w:divBdr>
            <w:top w:val="none" w:sz="0" w:space="0" w:color="auto"/>
            <w:left w:val="none" w:sz="0" w:space="0" w:color="auto"/>
            <w:bottom w:val="none" w:sz="0" w:space="0" w:color="auto"/>
            <w:right w:val="none" w:sz="0" w:space="0" w:color="auto"/>
          </w:divBdr>
        </w:div>
        <w:div w:id="1833525376">
          <w:marLeft w:val="0"/>
          <w:marRight w:val="0"/>
          <w:marTop w:val="0"/>
          <w:marBottom w:val="0"/>
          <w:divBdr>
            <w:top w:val="none" w:sz="0" w:space="0" w:color="auto"/>
            <w:left w:val="none" w:sz="0" w:space="0" w:color="auto"/>
            <w:bottom w:val="none" w:sz="0" w:space="0" w:color="auto"/>
            <w:right w:val="none" w:sz="0" w:space="0" w:color="auto"/>
          </w:divBdr>
        </w:div>
        <w:div w:id="1888685206">
          <w:marLeft w:val="0"/>
          <w:marRight w:val="0"/>
          <w:marTop w:val="0"/>
          <w:marBottom w:val="0"/>
          <w:divBdr>
            <w:top w:val="none" w:sz="0" w:space="0" w:color="auto"/>
            <w:left w:val="none" w:sz="0" w:space="0" w:color="auto"/>
            <w:bottom w:val="none" w:sz="0" w:space="0" w:color="auto"/>
            <w:right w:val="none" w:sz="0" w:space="0" w:color="auto"/>
          </w:divBdr>
        </w:div>
        <w:div w:id="1902986149">
          <w:marLeft w:val="0"/>
          <w:marRight w:val="0"/>
          <w:marTop w:val="0"/>
          <w:marBottom w:val="0"/>
          <w:divBdr>
            <w:top w:val="none" w:sz="0" w:space="0" w:color="auto"/>
            <w:left w:val="none" w:sz="0" w:space="0" w:color="auto"/>
            <w:bottom w:val="none" w:sz="0" w:space="0" w:color="auto"/>
            <w:right w:val="none" w:sz="0" w:space="0" w:color="auto"/>
          </w:divBdr>
        </w:div>
        <w:div w:id="2066485605">
          <w:marLeft w:val="0"/>
          <w:marRight w:val="0"/>
          <w:marTop w:val="0"/>
          <w:marBottom w:val="0"/>
          <w:divBdr>
            <w:top w:val="none" w:sz="0" w:space="0" w:color="auto"/>
            <w:left w:val="none" w:sz="0" w:space="0" w:color="auto"/>
            <w:bottom w:val="none" w:sz="0" w:space="0" w:color="auto"/>
            <w:right w:val="none" w:sz="0" w:space="0" w:color="auto"/>
          </w:divBdr>
        </w:div>
        <w:div w:id="2145803603">
          <w:marLeft w:val="0"/>
          <w:marRight w:val="0"/>
          <w:marTop w:val="0"/>
          <w:marBottom w:val="0"/>
          <w:divBdr>
            <w:top w:val="none" w:sz="0" w:space="0" w:color="auto"/>
            <w:left w:val="none" w:sz="0" w:space="0" w:color="auto"/>
            <w:bottom w:val="none" w:sz="0" w:space="0" w:color="auto"/>
            <w:right w:val="none" w:sz="0" w:space="0" w:color="auto"/>
          </w:divBdr>
        </w:div>
      </w:divsChild>
    </w:div>
    <w:div w:id="626352146">
      <w:bodyDiv w:val="1"/>
      <w:marLeft w:val="0"/>
      <w:marRight w:val="0"/>
      <w:marTop w:val="0"/>
      <w:marBottom w:val="0"/>
      <w:divBdr>
        <w:top w:val="none" w:sz="0" w:space="0" w:color="auto"/>
        <w:left w:val="none" w:sz="0" w:space="0" w:color="auto"/>
        <w:bottom w:val="none" w:sz="0" w:space="0" w:color="auto"/>
        <w:right w:val="none" w:sz="0" w:space="0" w:color="auto"/>
      </w:divBdr>
    </w:div>
    <w:div w:id="673802105">
      <w:bodyDiv w:val="1"/>
      <w:marLeft w:val="0"/>
      <w:marRight w:val="0"/>
      <w:marTop w:val="0"/>
      <w:marBottom w:val="0"/>
      <w:divBdr>
        <w:top w:val="none" w:sz="0" w:space="0" w:color="auto"/>
        <w:left w:val="none" w:sz="0" w:space="0" w:color="auto"/>
        <w:bottom w:val="none" w:sz="0" w:space="0" w:color="auto"/>
        <w:right w:val="none" w:sz="0" w:space="0" w:color="auto"/>
      </w:divBdr>
    </w:div>
    <w:div w:id="698970169">
      <w:bodyDiv w:val="1"/>
      <w:marLeft w:val="0"/>
      <w:marRight w:val="0"/>
      <w:marTop w:val="0"/>
      <w:marBottom w:val="0"/>
      <w:divBdr>
        <w:top w:val="none" w:sz="0" w:space="0" w:color="auto"/>
        <w:left w:val="none" w:sz="0" w:space="0" w:color="auto"/>
        <w:bottom w:val="none" w:sz="0" w:space="0" w:color="auto"/>
        <w:right w:val="none" w:sz="0" w:space="0" w:color="auto"/>
      </w:divBdr>
    </w:div>
    <w:div w:id="775640964">
      <w:bodyDiv w:val="1"/>
      <w:marLeft w:val="0"/>
      <w:marRight w:val="0"/>
      <w:marTop w:val="0"/>
      <w:marBottom w:val="0"/>
      <w:divBdr>
        <w:top w:val="none" w:sz="0" w:space="0" w:color="auto"/>
        <w:left w:val="none" w:sz="0" w:space="0" w:color="auto"/>
        <w:bottom w:val="none" w:sz="0" w:space="0" w:color="auto"/>
        <w:right w:val="none" w:sz="0" w:space="0" w:color="auto"/>
      </w:divBdr>
      <w:divsChild>
        <w:div w:id="1189752980">
          <w:marLeft w:val="0"/>
          <w:marRight w:val="0"/>
          <w:marTop w:val="0"/>
          <w:marBottom w:val="0"/>
          <w:divBdr>
            <w:top w:val="none" w:sz="0" w:space="0" w:color="auto"/>
            <w:left w:val="none" w:sz="0" w:space="0" w:color="auto"/>
            <w:bottom w:val="none" w:sz="0" w:space="0" w:color="auto"/>
            <w:right w:val="none" w:sz="0" w:space="0" w:color="auto"/>
          </w:divBdr>
          <w:divsChild>
            <w:div w:id="1443651929">
              <w:marLeft w:val="0"/>
              <w:marRight w:val="0"/>
              <w:marTop w:val="0"/>
              <w:marBottom w:val="0"/>
              <w:divBdr>
                <w:top w:val="none" w:sz="0" w:space="0" w:color="auto"/>
                <w:left w:val="none" w:sz="0" w:space="0" w:color="auto"/>
                <w:bottom w:val="none" w:sz="0" w:space="0" w:color="auto"/>
                <w:right w:val="none" w:sz="0" w:space="0" w:color="auto"/>
              </w:divBdr>
              <w:divsChild>
                <w:div w:id="2128506983">
                  <w:marLeft w:val="0"/>
                  <w:marRight w:val="0"/>
                  <w:marTop w:val="0"/>
                  <w:marBottom w:val="0"/>
                  <w:divBdr>
                    <w:top w:val="none" w:sz="0" w:space="0" w:color="auto"/>
                    <w:left w:val="none" w:sz="0" w:space="0" w:color="auto"/>
                    <w:bottom w:val="none" w:sz="0" w:space="0" w:color="auto"/>
                    <w:right w:val="none" w:sz="0" w:space="0" w:color="auto"/>
                  </w:divBdr>
                  <w:divsChild>
                    <w:div w:id="1222062864">
                      <w:marLeft w:val="0"/>
                      <w:marRight w:val="0"/>
                      <w:marTop w:val="0"/>
                      <w:marBottom w:val="0"/>
                      <w:divBdr>
                        <w:top w:val="none" w:sz="0" w:space="0" w:color="auto"/>
                        <w:left w:val="none" w:sz="0" w:space="0" w:color="auto"/>
                        <w:bottom w:val="none" w:sz="0" w:space="0" w:color="auto"/>
                        <w:right w:val="none" w:sz="0" w:space="0" w:color="auto"/>
                      </w:divBdr>
                      <w:divsChild>
                        <w:div w:id="130902411">
                          <w:marLeft w:val="0"/>
                          <w:marRight w:val="0"/>
                          <w:marTop w:val="300"/>
                          <w:marBottom w:val="0"/>
                          <w:divBdr>
                            <w:top w:val="none" w:sz="0" w:space="0" w:color="auto"/>
                            <w:left w:val="none" w:sz="0" w:space="0" w:color="auto"/>
                            <w:bottom w:val="none" w:sz="0" w:space="0" w:color="auto"/>
                            <w:right w:val="none" w:sz="0" w:space="0" w:color="auto"/>
                          </w:divBdr>
                          <w:divsChild>
                            <w:div w:id="6191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336028">
      <w:bodyDiv w:val="1"/>
      <w:marLeft w:val="0"/>
      <w:marRight w:val="0"/>
      <w:marTop w:val="0"/>
      <w:marBottom w:val="0"/>
      <w:divBdr>
        <w:top w:val="none" w:sz="0" w:space="0" w:color="auto"/>
        <w:left w:val="none" w:sz="0" w:space="0" w:color="auto"/>
        <w:bottom w:val="none" w:sz="0" w:space="0" w:color="auto"/>
        <w:right w:val="none" w:sz="0" w:space="0" w:color="auto"/>
      </w:divBdr>
    </w:div>
    <w:div w:id="838347046">
      <w:bodyDiv w:val="1"/>
      <w:marLeft w:val="0"/>
      <w:marRight w:val="0"/>
      <w:marTop w:val="0"/>
      <w:marBottom w:val="0"/>
      <w:divBdr>
        <w:top w:val="none" w:sz="0" w:space="0" w:color="auto"/>
        <w:left w:val="none" w:sz="0" w:space="0" w:color="auto"/>
        <w:bottom w:val="none" w:sz="0" w:space="0" w:color="auto"/>
        <w:right w:val="none" w:sz="0" w:space="0" w:color="auto"/>
      </w:divBdr>
    </w:div>
    <w:div w:id="859464617">
      <w:bodyDiv w:val="1"/>
      <w:marLeft w:val="0"/>
      <w:marRight w:val="0"/>
      <w:marTop w:val="0"/>
      <w:marBottom w:val="0"/>
      <w:divBdr>
        <w:top w:val="none" w:sz="0" w:space="0" w:color="auto"/>
        <w:left w:val="none" w:sz="0" w:space="0" w:color="auto"/>
        <w:bottom w:val="none" w:sz="0" w:space="0" w:color="auto"/>
        <w:right w:val="none" w:sz="0" w:space="0" w:color="auto"/>
      </w:divBdr>
    </w:div>
    <w:div w:id="925574107">
      <w:bodyDiv w:val="1"/>
      <w:marLeft w:val="0"/>
      <w:marRight w:val="0"/>
      <w:marTop w:val="0"/>
      <w:marBottom w:val="0"/>
      <w:divBdr>
        <w:top w:val="none" w:sz="0" w:space="0" w:color="auto"/>
        <w:left w:val="none" w:sz="0" w:space="0" w:color="auto"/>
        <w:bottom w:val="none" w:sz="0" w:space="0" w:color="auto"/>
        <w:right w:val="none" w:sz="0" w:space="0" w:color="auto"/>
      </w:divBdr>
    </w:div>
    <w:div w:id="1115440053">
      <w:bodyDiv w:val="1"/>
      <w:marLeft w:val="0"/>
      <w:marRight w:val="0"/>
      <w:marTop w:val="0"/>
      <w:marBottom w:val="0"/>
      <w:divBdr>
        <w:top w:val="none" w:sz="0" w:space="0" w:color="auto"/>
        <w:left w:val="none" w:sz="0" w:space="0" w:color="auto"/>
        <w:bottom w:val="none" w:sz="0" w:space="0" w:color="auto"/>
        <w:right w:val="none" w:sz="0" w:space="0" w:color="auto"/>
      </w:divBdr>
    </w:div>
    <w:div w:id="1227452122">
      <w:bodyDiv w:val="1"/>
      <w:marLeft w:val="0"/>
      <w:marRight w:val="0"/>
      <w:marTop w:val="0"/>
      <w:marBottom w:val="0"/>
      <w:divBdr>
        <w:top w:val="none" w:sz="0" w:space="0" w:color="auto"/>
        <w:left w:val="none" w:sz="0" w:space="0" w:color="auto"/>
        <w:bottom w:val="none" w:sz="0" w:space="0" w:color="auto"/>
        <w:right w:val="none" w:sz="0" w:space="0" w:color="auto"/>
      </w:divBdr>
      <w:divsChild>
        <w:div w:id="23750668">
          <w:marLeft w:val="0"/>
          <w:marRight w:val="0"/>
          <w:marTop w:val="0"/>
          <w:marBottom w:val="0"/>
          <w:divBdr>
            <w:top w:val="none" w:sz="0" w:space="0" w:color="auto"/>
            <w:left w:val="none" w:sz="0" w:space="0" w:color="auto"/>
            <w:bottom w:val="none" w:sz="0" w:space="0" w:color="auto"/>
            <w:right w:val="none" w:sz="0" w:space="0" w:color="auto"/>
          </w:divBdr>
        </w:div>
        <w:div w:id="69039897">
          <w:marLeft w:val="0"/>
          <w:marRight w:val="0"/>
          <w:marTop w:val="0"/>
          <w:marBottom w:val="0"/>
          <w:divBdr>
            <w:top w:val="none" w:sz="0" w:space="0" w:color="auto"/>
            <w:left w:val="none" w:sz="0" w:space="0" w:color="auto"/>
            <w:bottom w:val="none" w:sz="0" w:space="0" w:color="auto"/>
            <w:right w:val="none" w:sz="0" w:space="0" w:color="auto"/>
          </w:divBdr>
        </w:div>
        <w:div w:id="79986399">
          <w:marLeft w:val="0"/>
          <w:marRight w:val="0"/>
          <w:marTop w:val="0"/>
          <w:marBottom w:val="0"/>
          <w:divBdr>
            <w:top w:val="none" w:sz="0" w:space="0" w:color="auto"/>
            <w:left w:val="none" w:sz="0" w:space="0" w:color="auto"/>
            <w:bottom w:val="none" w:sz="0" w:space="0" w:color="auto"/>
            <w:right w:val="none" w:sz="0" w:space="0" w:color="auto"/>
          </w:divBdr>
        </w:div>
        <w:div w:id="490951517">
          <w:marLeft w:val="0"/>
          <w:marRight w:val="0"/>
          <w:marTop w:val="0"/>
          <w:marBottom w:val="0"/>
          <w:divBdr>
            <w:top w:val="none" w:sz="0" w:space="0" w:color="auto"/>
            <w:left w:val="none" w:sz="0" w:space="0" w:color="auto"/>
            <w:bottom w:val="none" w:sz="0" w:space="0" w:color="auto"/>
            <w:right w:val="none" w:sz="0" w:space="0" w:color="auto"/>
          </w:divBdr>
        </w:div>
        <w:div w:id="536284705">
          <w:marLeft w:val="0"/>
          <w:marRight w:val="0"/>
          <w:marTop w:val="0"/>
          <w:marBottom w:val="0"/>
          <w:divBdr>
            <w:top w:val="none" w:sz="0" w:space="0" w:color="auto"/>
            <w:left w:val="none" w:sz="0" w:space="0" w:color="auto"/>
            <w:bottom w:val="none" w:sz="0" w:space="0" w:color="auto"/>
            <w:right w:val="none" w:sz="0" w:space="0" w:color="auto"/>
          </w:divBdr>
        </w:div>
        <w:div w:id="539636131">
          <w:marLeft w:val="0"/>
          <w:marRight w:val="0"/>
          <w:marTop w:val="0"/>
          <w:marBottom w:val="0"/>
          <w:divBdr>
            <w:top w:val="none" w:sz="0" w:space="0" w:color="auto"/>
            <w:left w:val="none" w:sz="0" w:space="0" w:color="auto"/>
            <w:bottom w:val="none" w:sz="0" w:space="0" w:color="auto"/>
            <w:right w:val="none" w:sz="0" w:space="0" w:color="auto"/>
          </w:divBdr>
        </w:div>
        <w:div w:id="583491506">
          <w:marLeft w:val="0"/>
          <w:marRight w:val="0"/>
          <w:marTop w:val="0"/>
          <w:marBottom w:val="0"/>
          <w:divBdr>
            <w:top w:val="none" w:sz="0" w:space="0" w:color="auto"/>
            <w:left w:val="none" w:sz="0" w:space="0" w:color="auto"/>
            <w:bottom w:val="none" w:sz="0" w:space="0" w:color="auto"/>
            <w:right w:val="none" w:sz="0" w:space="0" w:color="auto"/>
          </w:divBdr>
        </w:div>
        <w:div w:id="592587785">
          <w:marLeft w:val="0"/>
          <w:marRight w:val="0"/>
          <w:marTop w:val="0"/>
          <w:marBottom w:val="0"/>
          <w:divBdr>
            <w:top w:val="none" w:sz="0" w:space="0" w:color="auto"/>
            <w:left w:val="none" w:sz="0" w:space="0" w:color="auto"/>
            <w:bottom w:val="none" w:sz="0" w:space="0" w:color="auto"/>
            <w:right w:val="none" w:sz="0" w:space="0" w:color="auto"/>
          </w:divBdr>
        </w:div>
        <w:div w:id="675108239">
          <w:marLeft w:val="0"/>
          <w:marRight w:val="0"/>
          <w:marTop w:val="0"/>
          <w:marBottom w:val="0"/>
          <w:divBdr>
            <w:top w:val="none" w:sz="0" w:space="0" w:color="auto"/>
            <w:left w:val="none" w:sz="0" w:space="0" w:color="auto"/>
            <w:bottom w:val="none" w:sz="0" w:space="0" w:color="auto"/>
            <w:right w:val="none" w:sz="0" w:space="0" w:color="auto"/>
          </w:divBdr>
        </w:div>
        <w:div w:id="802500534">
          <w:marLeft w:val="0"/>
          <w:marRight w:val="0"/>
          <w:marTop w:val="0"/>
          <w:marBottom w:val="0"/>
          <w:divBdr>
            <w:top w:val="none" w:sz="0" w:space="0" w:color="auto"/>
            <w:left w:val="none" w:sz="0" w:space="0" w:color="auto"/>
            <w:bottom w:val="none" w:sz="0" w:space="0" w:color="auto"/>
            <w:right w:val="none" w:sz="0" w:space="0" w:color="auto"/>
          </w:divBdr>
        </w:div>
        <w:div w:id="811678537">
          <w:marLeft w:val="0"/>
          <w:marRight w:val="0"/>
          <w:marTop w:val="0"/>
          <w:marBottom w:val="0"/>
          <w:divBdr>
            <w:top w:val="none" w:sz="0" w:space="0" w:color="auto"/>
            <w:left w:val="none" w:sz="0" w:space="0" w:color="auto"/>
            <w:bottom w:val="none" w:sz="0" w:space="0" w:color="auto"/>
            <w:right w:val="none" w:sz="0" w:space="0" w:color="auto"/>
          </w:divBdr>
        </w:div>
        <w:div w:id="1138111074">
          <w:marLeft w:val="0"/>
          <w:marRight w:val="0"/>
          <w:marTop w:val="0"/>
          <w:marBottom w:val="0"/>
          <w:divBdr>
            <w:top w:val="none" w:sz="0" w:space="0" w:color="auto"/>
            <w:left w:val="none" w:sz="0" w:space="0" w:color="auto"/>
            <w:bottom w:val="none" w:sz="0" w:space="0" w:color="auto"/>
            <w:right w:val="none" w:sz="0" w:space="0" w:color="auto"/>
          </w:divBdr>
        </w:div>
        <w:div w:id="1220244182">
          <w:marLeft w:val="0"/>
          <w:marRight w:val="0"/>
          <w:marTop w:val="0"/>
          <w:marBottom w:val="0"/>
          <w:divBdr>
            <w:top w:val="none" w:sz="0" w:space="0" w:color="auto"/>
            <w:left w:val="none" w:sz="0" w:space="0" w:color="auto"/>
            <w:bottom w:val="none" w:sz="0" w:space="0" w:color="auto"/>
            <w:right w:val="none" w:sz="0" w:space="0" w:color="auto"/>
          </w:divBdr>
        </w:div>
        <w:div w:id="1234775114">
          <w:marLeft w:val="0"/>
          <w:marRight w:val="0"/>
          <w:marTop w:val="0"/>
          <w:marBottom w:val="0"/>
          <w:divBdr>
            <w:top w:val="none" w:sz="0" w:space="0" w:color="auto"/>
            <w:left w:val="none" w:sz="0" w:space="0" w:color="auto"/>
            <w:bottom w:val="none" w:sz="0" w:space="0" w:color="auto"/>
            <w:right w:val="none" w:sz="0" w:space="0" w:color="auto"/>
          </w:divBdr>
        </w:div>
        <w:div w:id="1358966134">
          <w:marLeft w:val="0"/>
          <w:marRight w:val="0"/>
          <w:marTop w:val="0"/>
          <w:marBottom w:val="0"/>
          <w:divBdr>
            <w:top w:val="none" w:sz="0" w:space="0" w:color="auto"/>
            <w:left w:val="none" w:sz="0" w:space="0" w:color="auto"/>
            <w:bottom w:val="none" w:sz="0" w:space="0" w:color="auto"/>
            <w:right w:val="none" w:sz="0" w:space="0" w:color="auto"/>
          </w:divBdr>
        </w:div>
        <w:div w:id="1607348683">
          <w:marLeft w:val="0"/>
          <w:marRight w:val="0"/>
          <w:marTop w:val="0"/>
          <w:marBottom w:val="0"/>
          <w:divBdr>
            <w:top w:val="none" w:sz="0" w:space="0" w:color="auto"/>
            <w:left w:val="none" w:sz="0" w:space="0" w:color="auto"/>
            <w:bottom w:val="none" w:sz="0" w:space="0" w:color="auto"/>
            <w:right w:val="none" w:sz="0" w:space="0" w:color="auto"/>
          </w:divBdr>
        </w:div>
        <w:div w:id="1609655850">
          <w:marLeft w:val="0"/>
          <w:marRight w:val="0"/>
          <w:marTop w:val="0"/>
          <w:marBottom w:val="0"/>
          <w:divBdr>
            <w:top w:val="none" w:sz="0" w:space="0" w:color="auto"/>
            <w:left w:val="none" w:sz="0" w:space="0" w:color="auto"/>
            <w:bottom w:val="none" w:sz="0" w:space="0" w:color="auto"/>
            <w:right w:val="none" w:sz="0" w:space="0" w:color="auto"/>
          </w:divBdr>
        </w:div>
        <w:div w:id="1641224027">
          <w:marLeft w:val="0"/>
          <w:marRight w:val="0"/>
          <w:marTop w:val="0"/>
          <w:marBottom w:val="0"/>
          <w:divBdr>
            <w:top w:val="none" w:sz="0" w:space="0" w:color="auto"/>
            <w:left w:val="none" w:sz="0" w:space="0" w:color="auto"/>
            <w:bottom w:val="none" w:sz="0" w:space="0" w:color="auto"/>
            <w:right w:val="none" w:sz="0" w:space="0" w:color="auto"/>
          </w:divBdr>
        </w:div>
        <w:div w:id="1665472714">
          <w:marLeft w:val="0"/>
          <w:marRight w:val="0"/>
          <w:marTop w:val="0"/>
          <w:marBottom w:val="0"/>
          <w:divBdr>
            <w:top w:val="none" w:sz="0" w:space="0" w:color="auto"/>
            <w:left w:val="none" w:sz="0" w:space="0" w:color="auto"/>
            <w:bottom w:val="none" w:sz="0" w:space="0" w:color="auto"/>
            <w:right w:val="none" w:sz="0" w:space="0" w:color="auto"/>
          </w:divBdr>
        </w:div>
        <w:div w:id="1782454536">
          <w:marLeft w:val="0"/>
          <w:marRight w:val="0"/>
          <w:marTop w:val="0"/>
          <w:marBottom w:val="0"/>
          <w:divBdr>
            <w:top w:val="none" w:sz="0" w:space="0" w:color="auto"/>
            <w:left w:val="none" w:sz="0" w:space="0" w:color="auto"/>
            <w:bottom w:val="none" w:sz="0" w:space="0" w:color="auto"/>
            <w:right w:val="none" w:sz="0" w:space="0" w:color="auto"/>
          </w:divBdr>
        </w:div>
        <w:div w:id="1821654679">
          <w:marLeft w:val="0"/>
          <w:marRight w:val="0"/>
          <w:marTop w:val="0"/>
          <w:marBottom w:val="0"/>
          <w:divBdr>
            <w:top w:val="none" w:sz="0" w:space="0" w:color="auto"/>
            <w:left w:val="none" w:sz="0" w:space="0" w:color="auto"/>
            <w:bottom w:val="none" w:sz="0" w:space="0" w:color="auto"/>
            <w:right w:val="none" w:sz="0" w:space="0" w:color="auto"/>
          </w:divBdr>
        </w:div>
        <w:div w:id="1877816549">
          <w:marLeft w:val="0"/>
          <w:marRight w:val="0"/>
          <w:marTop w:val="0"/>
          <w:marBottom w:val="0"/>
          <w:divBdr>
            <w:top w:val="none" w:sz="0" w:space="0" w:color="auto"/>
            <w:left w:val="none" w:sz="0" w:space="0" w:color="auto"/>
            <w:bottom w:val="none" w:sz="0" w:space="0" w:color="auto"/>
            <w:right w:val="none" w:sz="0" w:space="0" w:color="auto"/>
          </w:divBdr>
        </w:div>
        <w:div w:id="1902717230">
          <w:marLeft w:val="0"/>
          <w:marRight w:val="0"/>
          <w:marTop w:val="0"/>
          <w:marBottom w:val="0"/>
          <w:divBdr>
            <w:top w:val="none" w:sz="0" w:space="0" w:color="auto"/>
            <w:left w:val="none" w:sz="0" w:space="0" w:color="auto"/>
            <w:bottom w:val="none" w:sz="0" w:space="0" w:color="auto"/>
            <w:right w:val="none" w:sz="0" w:space="0" w:color="auto"/>
          </w:divBdr>
        </w:div>
        <w:div w:id="1966933328">
          <w:marLeft w:val="0"/>
          <w:marRight w:val="0"/>
          <w:marTop w:val="0"/>
          <w:marBottom w:val="0"/>
          <w:divBdr>
            <w:top w:val="none" w:sz="0" w:space="0" w:color="auto"/>
            <w:left w:val="none" w:sz="0" w:space="0" w:color="auto"/>
            <w:bottom w:val="none" w:sz="0" w:space="0" w:color="auto"/>
            <w:right w:val="none" w:sz="0" w:space="0" w:color="auto"/>
          </w:divBdr>
        </w:div>
        <w:div w:id="2003702388">
          <w:marLeft w:val="0"/>
          <w:marRight w:val="0"/>
          <w:marTop w:val="0"/>
          <w:marBottom w:val="0"/>
          <w:divBdr>
            <w:top w:val="none" w:sz="0" w:space="0" w:color="auto"/>
            <w:left w:val="none" w:sz="0" w:space="0" w:color="auto"/>
            <w:bottom w:val="none" w:sz="0" w:space="0" w:color="auto"/>
            <w:right w:val="none" w:sz="0" w:space="0" w:color="auto"/>
          </w:divBdr>
        </w:div>
        <w:div w:id="2135831529">
          <w:marLeft w:val="0"/>
          <w:marRight w:val="0"/>
          <w:marTop w:val="0"/>
          <w:marBottom w:val="0"/>
          <w:divBdr>
            <w:top w:val="none" w:sz="0" w:space="0" w:color="auto"/>
            <w:left w:val="none" w:sz="0" w:space="0" w:color="auto"/>
            <w:bottom w:val="none" w:sz="0" w:space="0" w:color="auto"/>
            <w:right w:val="none" w:sz="0" w:space="0" w:color="auto"/>
          </w:divBdr>
        </w:div>
        <w:div w:id="2136018415">
          <w:marLeft w:val="0"/>
          <w:marRight w:val="0"/>
          <w:marTop w:val="0"/>
          <w:marBottom w:val="0"/>
          <w:divBdr>
            <w:top w:val="none" w:sz="0" w:space="0" w:color="auto"/>
            <w:left w:val="none" w:sz="0" w:space="0" w:color="auto"/>
            <w:bottom w:val="none" w:sz="0" w:space="0" w:color="auto"/>
            <w:right w:val="none" w:sz="0" w:space="0" w:color="auto"/>
          </w:divBdr>
        </w:div>
      </w:divsChild>
    </w:div>
    <w:div w:id="1271662332">
      <w:bodyDiv w:val="1"/>
      <w:marLeft w:val="0"/>
      <w:marRight w:val="0"/>
      <w:marTop w:val="0"/>
      <w:marBottom w:val="0"/>
      <w:divBdr>
        <w:top w:val="none" w:sz="0" w:space="0" w:color="auto"/>
        <w:left w:val="none" w:sz="0" w:space="0" w:color="auto"/>
        <w:bottom w:val="none" w:sz="0" w:space="0" w:color="auto"/>
        <w:right w:val="none" w:sz="0" w:space="0" w:color="auto"/>
      </w:divBdr>
    </w:div>
    <w:div w:id="1379863518">
      <w:bodyDiv w:val="1"/>
      <w:marLeft w:val="0"/>
      <w:marRight w:val="0"/>
      <w:marTop w:val="0"/>
      <w:marBottom w:val="0"/>
      <w:divBdr>
        <w:top w:val="none" w:sz="0" w:space="0" w:color="auto"/>
        <w:left w:val="none" w:sz="0" w:space="0" w:color="auto"/>
        <w:bottom w:val="none" w:sz="0" w:space="0" w:color="auto"/>
        <w:right w:val="none" w:sz="0" w:space="0" w:color="auto"/>
      </w:divBdr>
    </w:div>
    <w:div w:id="1471901012">
      <w:bodyDiv w:val="1"/>
      <w:marLeft w:val="0"/>
      <w:marRight w:val="0"/>
      <w:marTop w:val="0"/>
      <w:marBottom w:val="0"/>
      <w:divBdr>
        <w:top w:val="none" w:sz="0" w:space="0" w:color="auto"/>
        <w:left w:val="none" w:sz="0" w:space="0" w:color="auto"/>
        <w:bottom w:val="none" w:sz="0" w:space="0" w:color="auto"/>
        <w:right w:val="none" w:sz="0" w:space="0" w:color="auto"/>
      </w:divBdr>
    </w:div>
    <w:div w:id="1523326105">
      <w:bodyDiv w:val="1"/>
      <w:marLeft w:val="0"/>
      <w:marRight w:val="0"/>
      <w:marTop w:val="0"/>
      <w:marBottom w:val="0"/>
      <w:divBdr>
        <w:top w:val="none" w:sz="0" w:space="0" w:color="auto"/>
        <w:left w:val="none" w:sz="0" w:space="0" w:color="auto"/>
        <w:bottom w:val="none" w:sz="0" w:space="0" w:color="auto"/>
        <w:right w:val="none" w:sz="0" w:space="0" w:color="auto"/>
      </w:divBdr>
    </w:div>
    <w:div w:id="1580208575">
      <w:bodyDiv w:val="1"/>
      <w:marLeft w:val="0"/>
      <w:marRight w:val="0"/>
      <w:marTop w:val="0"/>
      <w:marBottom w:val="0"/>
      <w:divBdr>
        <w:top w:val="none" w:sz="0" w:space="0" w:color="auto"/>
        <w:left w:val="none" w:sz="0" w:space="0" w:color="auto"/>
        <w:bottom w:val="none" w:sz="0" w:space="0" w:color="auto"/>
        <w:right w:val="none" w:sz="0" w:space="0" w:color="auto"/>
      </w:divBdr>
    </w:div>
    <w:div w:id="1658993524">
      <w:bodyDiv w:val="1"/>
      <w:marLeft w:val="0"/>
      <w:marRight w:val="0"/>
      <w:marTop w:val="0"/>
      <w:marBottom w:val="0"/>
      <w:divBdr>
        <w:top w:val="none" w:sz="0" w:space="0" w:color="auto"/>
        <w:left w:val="none" w:sz="0" w:space="0" w:color="auto"/>
        <w:bottom w:val="none" w:sz="0" w:space="0" w:color="auto"/>
        <w:right w:val="none" w:sz="0" w:space="0" w:color="auto"/>
      </w:divBdr>
    </w:div>
    <w:div w:id="1692998482">
      <w:bodyDiv w:val="1"/>
      <w:marLeft w:val="0"/>
      <w:marRight w:val="0"/>
      <w:marTop w:val="0"/>
      <w:marBottom w:val="0"/>
      <w:divBdr>
        <w:top w:val="none" w:sz="0" w:space="0" w:color="auto"/>
        <w:left w:val="none" w:sz="0" w:space="0" w:color="auto"/>
        <w:bottom w:val="none" w:sz="0" w:space="0" w:color="auto"/>
        <w:right w:val="none" w:sz="0" w:space="0" w:color="auto"/>
      </w:divBdr>
    </w:div>
    <w:div w:id="1725715862">
      <w:bodyDiv w:val="1"/>
      <w:marLeft w:val="0"/>
      <w:marRight w:val="0"/>
      <w:marTop w:val="0"/>
      <w:marBottom w:val="0"/>
      <w:divBdr>
        <w:top w:val="none" w:sz="0" w:space="0" w:color="auto"/>
        <w:left w:val="none" w:sz="0" w:space="0" w:color="auto"/>
        <w:bottom w:val="none" w:sz="0" w:space="0" w:color="auto"/>
        <w:right w:val="none" w:sz="0" w:space="0" w:color="auto"/>
      </w:divBdr>
    </w:div>
    <w:div w:id="1847133593">
      <w:bodyDiv w:val="1"/>
      <w:marLeft w:val="0"/>
      <w:marRight w:val="0"/>
      <w:marTop w:val="0"/>
      <w:marBottom w:val="0"/>
      <w:divBdr>
        <w:top w:val="none" w:sz="0" w:space="0" w:color="auto"/>
        <w:left w:val="none" w:sz="0" w:space="0" w:color="auto"/>
        <w:bottom w:val="none" w:sz="0" w:space="0" w:color="auto"/>
        <w:right w:val="none" w:sz="0" w:space="0" w:color="auto"/>
      </w:divBdr>
    </w:div>
    <w:div w:id="1857306858">
      <w:bodyDiv w:val="1"/>
      <w:marLeft w:val="0"/>
      <w:marRight w:val="0"/>
      <w:marTop w:val="0"/>
      <w:marBottom w:val="0"/>
      <w:divBdr>
        <w:top w:val="none" w:sz="0" w:space="0" w:color="auto"/>
        <w:left w:val="none" w:sz="0" w:space="0" w:color="auto"/>
        <w:bottom w:val="none" w:sz="0" w:space="0" w:color="auto"/>
        <w:right w:val="none" w:sz="0" w:space="0" w:color="auto"/>
      </w:divBdr>
    </w:div>
    <w:div w:id="1904173495">
      <w:bodyDiv w:val="1"/>
      <w:marLeft w:val="0"/>
      <w:marRight w:val="0"/>
      <w:marTop w:val="0"/>
      <w:marBottom w:val="0"/>
      <w:divBdr>
        <w:top w:val="none" w:sz="0" w:space="0" w:color="auto"/>
        <w:left w:val="none" w:sz="0" w:space="0" w:color="auto"/>
        <w:bottom w:val="none" w:sz="0" w:space="0" w:color="auto"/>
        <w:right w:val="none" w:sz="0" w:space="0" w:color="auto"/>
      </w:divBdr>
    </w:div>
    <w:div w:id="1954095885">
      <w:bodyDiv w:val="1"/>
      <w:marLeft w:val="0"/>
      <w:marRight w:val="0"/>
      <w:marTop w:val="0"/>
      <w:marBottom w:val="0"/>
      <w:divBdr>
        <w:top w:val="none" w:sz="0" w:space="0" w:color="auto"/>
        <w:left w:val="none" w:sz="0" w:space="0" w:color="auto"/>
        <w:bottom w:val="none" w:sz="0" w:space="0" w:color="auto"/>
        <w:right w:val="none" w:sz="0" w:space="0" w:color="auto"/>
      </w:divBdr>
    </w:div>
    <w:div w:id="2035957983">
      <w:bodyDiv w:val="1"/>
      <w:marLeft w:val="0"/>
      <w:marRight w:val="0"/>
      <w:marTop w:val="0"/>
      <w:marBottom w:val="0"/>
      <w:divBdr>
        <w:top w:val="none" w:sz="0" w:space="0" w:color="auto"/>
        <w:left w:val="none" w:sz="0" w:space="0" w:color="auto"/>
        <w:bottom w:val="none" w:sz="0" w:space="0" w:color="auto"/>
        <w:right w:val="none" w:sz="0" w:space="0" w:color="auto"/>
      </w:divBdr>
    </w:div>
    <w:div w:id="2050301224">
      <w:bodyDiv w:val="1"/>
      <w:marLeft w:val="0"/>
      <w:marRight w:val="0"/>
      <w:marTop w:val="0"/>
      <w:marBottom w:val="0"/>
      <w:divBdr>
        <w:top w:val="none" w:sz="0" w:space="0" w:color="auto"/>
        <w:left w:val="none" w:sz="0" w:space="0" w:color="auto"/>
        <w:bottom w:val="none" w:sz="0" w:space="0" w:color="auto"/>
        <w:right w:val="none" w:sz="0" w:space="0" w:color="auto"/>
      </w:divBdr>
    </w:div>
    <w:div w:id="2059890399">
      <w:bodyDiv w:val="1"/>
      <w:marLeft w:val="0"/>
      <w:marRight w:val="0"/>
      <w:marTop w:val="0"/>
      <w:marBottom w:val="0"/>
      <w:divBdr>
        <w:top w:val="none" w:sz="0" w:space="0" w:color="auto"/>
        <w:left w:val="none" w:sz="0" w:space="0" w:color="auto"/>
        <w:bottom w:val="none" w:sz="0" w:space="0" w:color="auto"/>
        <w:right w:val="none" w:sz="0" w:space="0" w:color="auto"/>
      </w:divBdr>
    </w:div>
    <w:div w:id="209014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ga.Umbrasko@em.gov.lv"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aiba.Rudzite@em.gov.l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kumi.lv/doc.php?id=189260" TargetMode="External"/><Relationship Id="rId2" Type="http://schemas.openxmlformats.org/officeDocument/2006/relationships/hyperlink" Target="http://ec.europa.eu/energy/renewables/reports/2011_en.htm" TargetMode="External"/><Relationship Id="rId1" Type="http://schemas.openxmlformats.org/officeDocument/2006/relationships/hyperlink" Target="http://www.likumi.lv/doc.php?id=219547" TargetMode="External"/><Relationship Id="rId6" Type="http://schemas.openxmlformats.org/officeDocument/2006/relationships/hyperlink" Target="http://lvafa.gov.lv/faili/petijumi/Biomasas_izmantosana.pdf" TargetMode="External"/><Relationship Id="rId5" Type="http://schemas.openxmlformats.org/officeDocument/2006/relationships/hyperlink" Target="http://www.likumi.lv/doc.php?id=240551&amp;from=off" TargetMode="External"/><Relationship Id="rId4" Type="http://schemas.openxmlformats.org/officeDocument/2006/relationships/hyperlink" Target="http://www.likumi.lv/doc.php?id=240551&amp;from=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D8A79-6B38-4DA3-8BC9-7EEB58D42077}">
  <ds:schemaRefs>
    <ds:schemaRef ds:uri="http://schemas.openxmlformats.org/officeDocument/2006/bibliography"/>
  </ds:schemaRefs>
</ds:datastoreItem>
</file>

<file path=customXml/itemProps2.xml><?xml version="1.0" encoding="utf-8"?>
<ds:datastoreItem xmlns:ds="http://schemas.openxmlformats.org/officeDocument/2006/customXml" ds:itemID="{9C94E29E-DD22-4311-976F-6CCEC11B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34</Pages>
  <Words>49786</Words>
  <Characters>28379</Characters>
  <Application>Microsoft Office Word</Application>
  <DocSecurity>0</DocSecurity>
  <Lines>236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78009</CharactersWithSpaces>
  <SharedDoc>false</SharedDoc>
  <HLinks>
    <vt:vector size="162" baseType="variant">
      <vt:variant>
        <vt:i4>3997704</vt:i4>
      </vt:variant>
      <vt:variant>
        <vt:i4>117</vt:i4>
      </vt:variant>
      <vt:variant>
        <vt:i4>0</vt:i4>
      </vt:variant>
      <vt:variant>
        <vt:i4>5</vt:i4>
      </vt:variant>
      <vt:variant>
        <vt:lpwstr>mailto:Inga.Umbrasko@em.gov.lv</vt:lpwstr>
      </vt:variant>
      <vt:variant>
        <vt:lpwstr/>
      </vt:variant>
      <vt:variant>
        <vt:i4>7209036</vt:i4>
      </vt:variant>
      <vt:variant>
        <vt:i4>114</vt:i4>
      </vt:variant>
      <vt:variant>
        <vt:i4>0</vt:i4>
      </vt:variant>
      <vt:variant>
        <vt:i4>5</vt:i4>
      </vt:variant>
      <vt:variant>
        <vt:lpwstr>mailto:Baiba.Rudzite@em.gov.lv</vt:lpwstr>
      </vt:variant>
      <vt:variant>
        <vt:lpwstr/>
      </vt:variant>
      <vt:variant>
        <vt:i4>8060971</vt:i4>
      </vt:variant>
      <vt:variant>
        <vt:i4>111</vt:i4>
      </vt:variant>
      <vt:variant>
        <vt:i4>0</vt:i4>
      </vt:variant>
      <vt:variant>
        <vt:i4>5</vt:i4>
      </vt:variant>
      <vt:variant>
        <vt:lpwstr>http://www.likumi.lv/doc.php?id=238456</vt:lpwstr>
      </vt:variant>
      <vt:variant>
        <vt:lpwstr/>
      </vt:variant>
      <vt:variant>
        <vt:i4>1966128</vt:i4>
      </vt:variant>
      <vt:variant>
        <vt:i4>104</vt:i4>
      </vt:variant>
      <vt:variant>
        <vt:i4>0</vt:i4>
      </vt:variant>
      <vt:variant>
        <vt:i4>5</vt:i4>
      </vt:variant>
      <vt:variant>
        <vt:lpwstr/>
      </vt:variant>
      <vt:variant>
        <vt:lpwstr>_Toc373229255</vt:lpwstr>
      </vt:variant>
      <vt:variant>
        <vt:i4>1966128</vt:i4>
      </vt:variant>
      <vt:variant>
        <vt:i4>98</vt:i4>
      </vt:variant>
      <vt:variant>
        <vt:i4>0</vt:i4>
      </vt:variant>
      <vt:variant>
        <vt:i4>5</vt:i4>
      </vt:variant>
      <vt:variant>
        <vt:lpwstr/>
      </vt:variant>
      <vt:variant>
        <vt:lpwstr>_Toc373229254</vt:lpwstr>
      </vt:variant>
      <vt:variant>
        <vt:i4>1966128</vt:i4>
      </vt:variant>
      <vt:variant>
        <vt:i4>92</vt:i4>
      </vt:variant>
      <vt:variant>
        <vt:i4>0</vt:i4>
      </vt:variant>
      <vt:variant>
        <vt:i4>5</vt:i4>
      </vt:variant>
      <vt:variant>
        <vt:lpwstr/>
      </vt:variant>
      <vt:variant>
        <vt:lpwstr>_Toc373229253</vt:lpwstr>
      </vt:variant>
      <vt:variant>
        <vt:i4>1966128</vt:i4>
      </vt:variant>
      <vt:variant>
        <vt:i4>86</vt:i4>
      </vt:variant>
      <vt:variant>
        <vt:i4>0</vt:i4>
      </vt:variant>
      <vt:variant>
        <vt:i4>5</vt:i4>
      </vt:variant>
      <vt:variant>
        <vt:lpwstr/>
      </vt:variant>
      <vt:variant>
        <vt:lpwstr>_Toc373229252</vt:lpwstr>
      </vt:variant>
      <vt:variant>
        <vt:i4>1966128</vt:i4>
      </vt:variant>
      <vt:variant>
        <vt:i4>80</vt:i4>
      </vt:variant>
      <vt:variant>
        <vt:i4>0</vt:i4>
      </vt:variant>
      <vt:variant>
        <vt:i4>5</vt:i4>
      </vt:variant>
      <vt:variant>
        <vt:lpwstr/>
      </vt:variant>
      <vt:variant>
        <vt:lpwstr>_Toc373229251</vt:lpwstr>
      </vt:variant>
      <vt:variant>
        <vt:i4>1966128</vt:i4>
      </vt:variant>
      <vt:variant>
        <vt:i4>74</vt:i4>
      </vt:variant>
      <vt:variant>
        <vt:i4>0</vt:i4>
      </vt:variant>
      <vt:variant>
        <vt:i4>5</vt:i4>
      </vt:variant>
      <vt:variant>
        <vt:lpwstr/>
      </vt:variant>
      <vt:variant>
        <vt:lpwstr>_Toc373229250</vt:lpwstr>
      </vt:variant>
      <vt:variant>
        <vt:i4>2031664</vt:i4>
      </vt:variant>
      <vt:variant>
        <vt:i4>68</vt:i4>
      </vt:variant>
      <vt:variant>
        <vt:i4>0</vt:i4>
      </vt:variant>
      <vt:variant>
        <vt:i4>5</vt:i4>
      </vt:variant>
      <vt:variant>
        <vt:lpwstr/>
      </vt:variant>
      <vt:variant>
        <vt:lpwstr>_Toc373229249</vt:lpwstr>
      </vt:variant>
      <vt:variant>
        <vt:i4>2031664</vt:i4>
      </vt:variant>
      <vt:variant>
        <vt:i4>62</vt:i4>
      </vt:variant>
      <vt:variant>
        <vt:i4>0</vt:i4>
      </vt:variant>
      <vt:variant>
        <vt:i4>5</vt:i4>
      </vt:variant>
      <vt:variant>
        <vt:lpwstr/>
      </vt:variant>
      <vt:variant>
        <vt:lpwstr>_Toc373229248</vt:lpwstr>
      </vt:variant>
      <vt:variant>
        <vt:i4>2031664</vt:i4>
      </vt:variant>
      <vt:variant>
        <vt:i4>56</vt:i4>
      </vt:variant>
      <vt:variant>
        <vt:i4>0</vt:i4>
      </vt:variant>
      <vt:variant>
        <vt:i4>5</vt:i4>
      </vt:variant>
      <vt:variant>
        <vt:lpwstr/>
      </vt:variant>
      <vt:variant>
        <vt:lpwstr>_Toc373229247</vt:lpwstr>
      </vt:variant>
      <vt:variant>
        <vt:i4>2031664</vt:i4>
      </vt:variant>
      <vt:variant>
        <vt:i4>50</vt:i4>
      </vt:variant>
      <vt:variant>
        <vt:i4>0</vt:i4>
      </vt:variant>
      <vt:variant>
        <vt:i4>5</vt:i4>
      </vt:variant>
      <vt:variant>
        <vt:lpwstr/>
      </vt:variant>
      <vt:variant>
        <vt:lpwstr>_Toc373229246</vt:lpwstr>
      </vt:variant>
      <vt:variant>
        <vt:i4>2031664</vt:i4>
      </vt:variant>
      <vt:variant>
        <vt:i4>44</vt:i4>
      </vt:variant>
      <vt:variant>
        <vt:i4>0</vt:i4>
      </vt:variant>
      <vt:variant>
        <vt:i4>5</vt:i4>
      </vt:variant>
      <vt:variant>
        <vt:lpwstr/>
      </vt:variant>
      <vt:variant>
        <vt:lpwstr>_Toc373229245</vt:lpwstr>
      </vt:variant>
      <vt:variant>
        <vt:i4>2031664</vt:i4>
      </vt:variant>
      <vt:variant>
        <vt:i4>38</vt:i4>
      </vt:variant>
      <vt:variant>
        <vt:i4>0</vt:i4>
      </vt:variant>
      <vt:variant>
        <vt:i4>5</vt:i4>
      </vt:variant>
      <vt:variant>
        <vt:lpwstr/>
      </vt:variant>
      <vt:variant>
        <vt:lpwstr>_Toc373229244</vt:lpwstr>
      </vt:variant>
      <vt:variant>
        <vt:i4>2031664</vt:i4>
      </vt:variant>
      <vt:variant>
        <vt:i4>32</vt:i4>
      </vt:variant>
      <vt:variant>
        <vt:i4>0</vt:i4>
      </vt:variant>
      <vt:variant>
        <vt:i4>5</vt:i4>
      </vt:variant>
      <vt:variant>
        <vt:lpwstr/>
      </vt:variant>
      <vt:variant>
        <vt:lpwstr>_Toc373229243</vt:lpwstr>
      </vt:variant>
      <vt:variant>
        <vt:i4>2031664</vt:i4>
      </vt:variant>
      <vt:variant>
        <vt:i4>26</vt:i4>
      </vt:variant>
      <vt:variant>
        <vt:i4>0</vt:i4>
      </vt:variant>
      <vt:variant>
        <vt:i4>5</vt:i4>
      </vt:variant>
      <vt:variant>
        <vt:lpwstr/>
      </vt:variant>
      <vt:variant>
        <vt:lpwstr>_Toc373229242</vt:lpwstr>
      </vt:variant>
      <vt:variant>
        <vt:i4>2031664</vt:i4>
      </vt:variant>
      <vt:variant>
        <vt:i4>20</vt:i4>
      </vt:variant>
      <vt:variant>
        <vt:i4>0</vt:i4>
      </vt:variant>
      <vt:variant>
        <vt:i4>5</vt:i4>
      </vt:variant>
      <vt:variant>
        <vt:lpwstr/>
      </vt:variant>
      <vt:variant>
        <vt:lpwstr>_Toc373229241</vt:lpwstr>
      </vt:variant>
      <vt:variant>
        <vt:i4>2031664</vt:i4>
      </vt:variant>
      <vt:variant>
        <vt:i4>14</vt:i4>
      </vt:variant>
      <vt:variant>
        <vt:i4>0</vt:i4>
      </vt:variant>
      <vt:variant>
        <vt:i4>5</vt:i4>
      </vt:variant>
      <vt:variant>
        <vt:lpwstr/>
      </vt:variant>
      <vt:variant>
        <vt:lpwstr>_Toc373229240</vt:lpwstr>
      </vt:variant>
      <vt:variant>
        <vt:i4>1572912</vt:i4>
      </vt:variant>
      <vt:variant>
        <vt:i4>8</vt:i4>
      </vt:variant>
      <vt:variant>
        <vt:i4>0</vt:i4>
      </vt:variant>
      <vt:variant>
        <vt:i4>5</vt:i4>
      </vt:variant>
      <vt:variant>
        <vt:lpwstr/>
      </vt:variant>
      <vt:variant>
        <vt:lpwstr>_Toc373229239</vt:lpwstr>
      </vt:variant>
      <vt:variant>
        <vt:i4>1572912</vt:i4>
      </vt:variant>
      <vt:variant>
        <vt:i4>2</vt:i4>
      </vt:variant>
      <vt:variant>
        <vt:i4>0</vt:i4>
      </vt:variant>
      <vt:variant>
        <vt:i4>5</vt:i4>
      </vt:variant>
      <vt:variant>
        <vt:lpwstr/>
      </vt:variant>
      <vt:variant>
        <vt:lpwstr>_Toc373229238</vt:lpwstr>
      </vt:variant>
      <vt:variant>
        <vt:i4>5046331</vt:i4>
      </vt:variant>
      <vt:variant>
        <vt:i4>15</vt:i4>
      </vt:variant>
      <vt:variant>
        <vt:i4>0</vt:i4>
      </vt:variant>
      <vt:variant>
        <vt:i4>5</vt:i4>
      </vt:variant>
      <vt:variant>
        <vt:lpwstr>http://lvafa.gov.lv/faili/petijumi/Biomasas_izmantosana.pdf</vt:lpwstr>
      </vt:variant>
      <vt:variant>
        <vt:lpwstr/>
      </vt:variant>
      <vt:variant>
        <vt:i4>2949216</vt:i4>
      </vt:variant>
      <vt:variant>
        <vt:i4>12</vt:i4>
      </vt:variant>
      <vt:variant>
        <vt:i4>0</vt:i4>
      </vt:variant>
      <vt:variant>
        <vt:i4>5</vt:i4>
      </vt:variant>
      <vt:variant>
        <vt:lpwstr>http://www.likumi.lv/doc.php?id=240551&amp;from=off</vt:lpwstr>
      </vt:variant>
      <vt:variant>
        <vt:lpwstr>piel0</vt:lpwstr>
      </vt:variant>
      <vt:variant>
        <vt:i4>1703941</vt:i4>
      </vt:variant>
      <vt:variant>
        <vt:i4>9</vt:i4>
      </vt:variant>
      <vt:variant>
        <vt:i4>0</vt:i4>
      </vt:variant>
      <vt:variant>
        <vt:i4>5</vt:i4>
      </vt:variant>
      <vt:variant>
        <vt:lpwstr>http://www.likumi.lv/doc.php?id=240551&amp;from=off</vt:lpwstr>
      </vt:variant>
      <vt:variant>
        <vt:lpwstr>p2</vt:lpwstr>
      </vt:variant>
      <vt:variant>
        <vt:i4>7340147</vt:i4>
      </vt:variant>
      <vt:variant>
        <vt:i4>6</vt:i4>
      </vt:variant>
      <vt:variant>
        <vt:i4>0</vt:i4>
      </vt:variant>
      <vt:variant>
        <vt:i4>5</vt:i4>
      </vt:variant>
      <vt:variant>
        <vt:lpwstr>http://likumi.lv/doc.php?id=189260</vt:lpwstr>
      </vt:variant>
      <vt:variant>
        <vt:lpwstr/>
      </vt:variant>
      <vt:variant>
        <vt:i4>1572921</vt:i4>
      </vt:variant>
      <vt:variant>
        <vt:i4>3</vt:i4>
      </vt:variant>
      <vt:variant>
        <vt:i4>0</vt:i4>
      </vt:variant>
      <vt:variant>
        <vt:i4>5</vt:i4>
      </vt:variant>
      <vt:variant>
        <vt:lpwstr>http://ec.europa.eu/energy/renewables/reports/2011_en.htm</vt:lpwstr>
      </vt:variant>
      <vt:variant>
        <vt:lpwstr/>
      </vt:variant>
      <vt:variant>
        <vt:i4>7929899</vt:i4>
      </vt:variant>
      <vt:variant>
        <vt:i4>0</vt:i4>
      </vt:variant>
      <vt:variant>
        <vt:i4>0</vt:i4>
      </vt:variant>
      <vt:variant>
        <vt:i4>5</vt:i4>
      </vt:variant>
      <vt:variant>
        <vt:lpwstr>http://www.likumi.lv/doc.php?id=219547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„Latvijas Republikas Otrais regulārais ziņojums atbilstoši Eiropas Parlamenta un Padomes 2009. gada 23. aprīļa Direktīvas 2009/28/EK par atjaunojamo energoresursu izmantošanas veicināšanu un ar ko groza un sekojoši atceļ Direktīvas 2001/77/EK un 2003/30/EK 22. pantam”</dc:subject>
  <dc:creator>Baiba.Rudzite@em.gov.lv</dc:creator>
  <cp:lastModifiedBy>Baiba Rudzīte</cp:lastModifiedBy>
  <cp:revision>10</cp:revision>
  <cp:lastPrinted>2013-12-11T10:11:00Z</cp:lastPrinted>
  <dcterms:created xsi:type="dcterms:W3CDTF">2013-12-12T08:14:00Z</dcterms:created>
  <dcterms:modified xsi:type="dcterms:W3CDTF">2013-12-12T09:22:00Z</dcterms:modified>
</cp:coreProperties>
</file>