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2A" w:rsidRDefault="00A9542A" w:rsidP="00F84AF9">
      <w:pPr>
        <w:jc w:val="center"/>
        <w:rPr>
          <w:b/>
          <w:sz w:val="28"/>
          <w:szCs w:val="28"/>
        </w:rPr>
      </w:pPr>
    </w:p>
    <w:p w:rsidR="004A6423" w:rsidRPr="001D08EC" w:rsidRDefault="00156FA2" w:rsidP="00F84AF9">
      <w:pPr>
        <w:jc w:val="center"/>
        <w:rPr>
          <w:b/>
          <w:sz w:val="28"/>
          <w:szCs w:val="28"/>
        </w:rPr>
      </w:pPr>
      <w:r w:rsidRPr="001D08EC">
        <w:rPr>
          <w:b/>
          <w:sz w:val="28"/>
          <w:szCs w:val="28"/>
        </w:rPr>
        <w:t>Informatīvais ziņojums</w:t>
      </w:r>
    </w:p>
    <w:p w:rsidR="00156FA2" w:rsidRPr="001D08EC" w:rsidRDefault="00156FA2" w:rsidP="00F84AF9">
      <w:pPr>
        <w:jc w:val="center"/>
        <w:rPr>
          <w:b/>
          <w:sz w:val="28"/>
          <w:szCs w:val="28"/>
        </w:rPr>
      </w:pPr>
      <w:r w:rsidRPr="001D08EC">
        <w:rPr>
          <w:b/>
          <w:sz w:val="28"/>
          <w:szCs w:val="28"/>
        </w:rPr>
        <w:t xml:space="preserve">par </w:t>
      </w:r>
      <w:r w:rsidR="00A84617" w:rsidRPr="001D08EC">
        <w:rPr>
          <w:b/>
          <w:sz w:val="28"/>
          <w:szCs w:val="28"/>
        </w:rPr>
        <w:t xml:space="preserve">vadlīnijām </w:t>
      </w:r>
      <w:r w:rsidRPr="001D08EC">
        <w:rPr>
          <w:b/>
          <w:sz w:val="28"/>
          <w:szCs w:val="28"/>
        </w:rPr>
        <w:t>būvniecības</w:t>
      </w:r>
      <w:r w:rsidR="00A84617" w:rsidRPr="001D08EC">
        <w:rPr>
          <w:b/>
          <w:sz w:val="28"/>
          <w:szCs w:val="28"/>
        </w:rPr>
        <w:t xml:space="preserve"> izmaksu </w:t>
      </w:r>
      <w:r w:rsidRPr="001D08EC">
        <w:rPr>
          <w:b/>
          <w:sz w:val="28"/>
          <w:szCs w:val="28"/>
        </w:rPr>
        <w:t>indeksācij</w:t>
      </w:r>
      <w:r w:rsidR="00A84617" w:rsidRPr="001D08EC">
        <w:rPr>
          <w:b/>
          <w:sz w:val="28"/>
          <w:szCs w:val="28"/>
        </w:rPr>
        <w:t>ai</w:t>
      </w:r>
    </w:p>
    <w:p w:rsidR="00F84AF9" w:rsidRDefault="00F84AF9" w:rsidP="005657DB">
      <w:pPr>
        <w:rPr>
          <w:sz w:val="28"/>
          <w:szCs w:val="28"/>
        </w:rPr>
      </w:pPr>
    </w:p>
    <w:p w:rsidR="00A9542A" w:rsidRPr="001D08EC" w:rsidRDefault="00A9542A" w:rsidP="005657DB">
      <w:pPr>
        <w:rPr>
          <w:sz w:val="28"/>
          <w:szCs w:val="28"/>
        </w:rPr>
      </w:pPr>
    </w:p>
    <w:p w:rsidR="00F84AF9" w:rsidRPr="001D08EC" w:rsidRDefault="00F84AF9" w:rsidP="005E268E">
      <w:pPr>
        <w:ind w:firstLine="720"/>
        <w:jc w:val="both"/>
        <w:rPr>
          <w:sz w:val="28"/>
          <w:szCs w:val="28"/>
        </w:rPr>
      </w:pPr>
      <w:r w:rsidRPr="001D08EC">
        <w:rPr>
          <w:sz w:val="28"/>
          <w:szCs w:val="28"/>
        </w:rPr>
        <w:t xml:space="preserve">Saskaņā ar Ministru kabineta 2011.gada 20.decembra sēdes protokola Nr.75 45.§ „Informatīvais ziņojums </w:t>
      </w:r>
      <w:r w:rsidRPr="001D08EC">
        <w:rPr>
          <w:bCs/>
          <w:sz w:val="28"/>
          <w:szCs w:val="28"/>
        </w:rPr>
        <w:t>Par Eiropas Savienības struktūrfondu un Kohēzijas fonda, Eiropas Ekonomikas zonas finanšu instrumenta, Norvēģijas valdības divpusējā finanšu instrumenta un Latvijas un Šveices sadarbības programmas apguvi līdz 2011.gada 30.septembrim</w:t>
      </w:r>
      <w:r w:rsidRPr="001D08EC">
        <w:rPr>
          <w:sz w:val="28"/>
          <w:szCs w:val="28"/>
        </w:rPr>
        <w:t>” 10.punktu Ekonomikas ministrijai sadarbībā ar Finanšu ministriju, Satiksmes ministriju un Vides aizsardzības un reģionālās attīstības ministriju līdz 2012.gada 31.janvārim jāizstrādā vadlīnijas par cenu indeksāciju būvniecības nozarē.</w:t>
      </w:r>
    </w:p>
    <w:p w:rsidR="003077EB" w:rsidRPr="001D08EC" w:rsidRDefault="003077EB" w:rsidP="005E268E">
      <w:pPr>
        <w:ind w:firstLine="720"/>
        <w:jc w:val="both"/>
        <w:rPr>
          <w:sz w:val="28"/>
          <w:szCs w:val="28"/>
        </w:rPr>
      </w:pPr>
    </w:p>
    <w:p w:rsidR="00F84AF9" w:rsidRPr="001D08EC" w:rsidRDefault="00863D08" w:rsidP="005E268E">
      <w:pPr>
        <w:ind w:firstLine="720"/>
        <w:jc w:val="both"/>
        <w:rPr>
          <w:sz w:val="28"/>
          <w:szCs w:val="28"/>
        </w:rPr>
      </w:pPr>
      <w:r w:rsidRPr="001D08EC">
        <w:rPr>
          <w:sz w:val="28"/>
          <w:szCs w:val="28"/>
        </w:rPr>
        <w:t>Pieredze valsts un pašval</w:t>
      </w:r>
      <w:r w:rsidR="008B0E68" w:rsidRPr="001D08EC">
        <w:rPr>
          <w:sz w:val="28"/>
          <w:szCs w:val="28"/>
        </w:rPr>
        <w:t>dību iepirkumu, kā arī Eiropas S</w:t>
      </w:r>
      <w:r w:rsidRPr="001D08EC">
        <w:rPr>
          <w:sz w:val="28"/>
          <w:szCs w:val="28"/>
        </w:rPr>
        <w:t>avienības</w:t>
      </w:r>
      <w:r w:rsidR="008B0E68" w:rsidRPr="001D08EC">
        <w:rPr>
          <w:sz w:val="28"/>
          <w:szCs w:val="28"/>
        </w:rPr>
        <w:t xml:space="preserve"> (turpmāk – ES)</w:t>
      </w:r>
      <w:r w:rsidRPr="001D08EC">
        <w:rPr>
          <w:sz w:val="28"/>
          <w:szCs w:val="28"/>
        </w:rPr>
        <w:t xml:space="preserve"> fondu projektu īstenošanā rāda, ka no tehniskā projekta apstiprināšanas līdz būvniecības līguma noslēgšanai un būvdarbu veikšanai var paiet ievērojams laika posms (iespējams pat vairāk nekā 2 gadi). </w:t>
      </w:r>
      <w:r w:rsidR="002F7D8C" w:rsidRPr="001D08EC">
        <w:rPr>
          <w:sz w:val="28"/>
          <w:szCs w:val="28"/>
        </w:rPr>
        <w:t>Š</w:t>
      </w:r>
      <w:r w:rsidRPr="001D08EC">
        <w:rPr>
          <w:sz w:val="28"/>
          <w:szCs w:val="28"/>
        </w:rPr>
        <w:t xml:space="preserve">ajā periodā būvniecības projekta cenas </w:t>
      </w:r>
      <w:r w:rsidR="002F7D8C" w:rsidRPr="001D08EC">
        <w:rPr>
          <w:sz w:val="28"/>
          <w:szCs w:val="28"/>
        </w:rPr>
        <w:t xml:space="preserve">var </w:t>
      </w:r>
      <w:r w:rsidRPr="001D08EC">
        <w:rPr>
          <w:sz w:val="28"/>
          <w:szCs w:val="28"/>
        </w:rPr>
        <w:t>būtiski izmain</w:t>
      </w:r>
      <w:r w:rsidR="002F7D8C" w:rsidRPr="001D08EC">
        <w:rPr>
          <w:sz w:val="28"/>
          <w:szCs w:val="28"/>
        </w:rPr>
        <w:t>ītie</w:t>
      </w:r>
      <w:r w:rsidRPr="001D08EC">
        <w:rPr>
          <w:sz w:val="28"/>
          <w:szCs w:val="28"/>
        </w:rPr>
        <w:t xml:space="preserve">s. Tas savukārt rada problēmas, </w:t>
      </w:r>
      <w:r w:rsidR="00ED48F6" w:rsidRPr="001D08EC">
        <w:rPr>
          <w:sz w:val="28"/>
          <w:szCs w:val="28"/>
        </w:rPr>
        <w:t>kā projekta pasūtītājam, tā ar</w:t>
      </w:r>
      <w:r w:rsidR="00371122" w:rsidRPr="001D08EC">
        <w:rPr>
          <w:sz w:val="28"/>
          <w:szCs w:val="28"/>
        </w:rPr>
        <w:t>ī izpildītājam</w:t>
      </w:r>
      <w:r w:rsidR="000C63BB" w:rsidRPr="001D08EC">
        <w:rPr>
          <w:sz w:val="28"/>
          <w:szCs w:val="28"/>
        </w:rPr>
        <w:t xml:space="preserve">. </w:t>
      </w:r>
      <w:r w:rsidR="00867091" w:rsidRPr="001D08EC">
        <w:rPr>
          <w:sz w:val="28"/>
          <w:szCs w:val="28"/>
        </w:rPr>
        <w:t>Tāpēc nepieciešams izstrādāt vienotus būvniecīb</w:t>
      </w:r>
      <w:r w:rsidR="007F7282">
        <w:rPr>
          <w:sz w:val="28"/>
          <w:szCs w:val="28"/>
        </w:rPr>
        <w:t>as darbu indeksēšanas principus</w:t>
      </w:r>
      <w:r w:rsidR="007F7282" w:rsidRPr="007F7282">
        <w:t xml:space="preserve"> </w:t>
      </w:r>
      <w:r w:rsidR="007F7282">
        <w:rPr>
          <w:sz w:val="28"/>
          <w:szCs w:val="28"/>
        </w:rPr>
        <w:t>publiski finansētiem</w:t>
      </w:r>
      <w:r w:rsidR="007F7282" w:rsidRPr="007F7282">
        <w:rPr>
          <w:sz w:val="28"/>
          <w:szCs w:val="28"/>
        </w:rPr>
        <w:t xml:space="preserve"> būvniecības </w:t>
      </w:r>
      <w:r w:rsidR="00867091" w:rsidRPr="001D08EC">
        <w:rPr>
          <w:sz w:val="28"/>
          <w:szCs w:val="28"/>
        </w:rPr>
        <w:t xml:space="preserve">līgumiem, </w:t>
      </w:r>
      <w:r w:rsidR="00371122" w:rsidRPr="001D08EC">
        <w:rPr>
          <w:sz w:val="28"/>
          <w:szCs w:val="28"/>
        </w:rPr>
        <w:t xml:space="preserve"> l</w:t>
      </w:r>
      <w:r w:rsidRPr="001D08EC">
        <w:rPr>
          <w:sz w:val="28"/>
          <w:szCs w:val="28"/>
        </w:rPr>
        <w:t>ai pārraudzīt</w:t>
      </w:r>
      <w:r w:rsidR="00371122" w:rsidRPr="001D08EC">
        <w:rPr>
          <w:sz w:val="28"/>
          <w:szCs w:val="28"/>
        </w:rPr>
        <w:t>u izmaksu svārstības projektu īstenošanas</w:t>
      </w:r>
      <w:r w:rsidR="008B3380" w:rsidRPr="001D08EC">
        <w:rPr>
          <w:sz w:val="28"/>
          <w:szCs w:val="28"/>
        </w:rPr>
        <w:t xml:space="preserve"> gaitā un sniegtu noteiktas garantijas izpildītājam  zaudējumu segšanai </w:t>
      </w:r>
      <w:r w:rsidR="005337F3" w:rsidRPr="001D08EC">
        <w:rPr>
          <w:sz w:val="28"/>
          <w:szCs w:val="28"/>
        </w:rPr>
        <w:t xml:space="preserve">no izpildītāja neatkarīgu apstākļu dēļ </w:t>
      </w:r>
      <w:r w:rsidR="008B3380" w:rsidRPr="001D08EC">
        <w:rPr>
          <w:sz w:val="28"/>
          <w:szCs w:val="28"/>
        </w:rPr>
        <w:t>pārmērīga cenu pieauguma gadījumā un pasūtītājam pret nepamatotu būvdarbu vērtības sadārdzinājumu.</w:t>
      </w:r>
    </w:p>
    <w:p w:rsidR="00303327" w:rsidRPr="001D08EC" w:rsidRDefault="005337F3" w:rsidP="005E268E">
      <w:pPr>
        <w:ind w:firstLine="720"/>
        <w:jc w:val="both"/>
        <w:rPr>
          <w:sz w:val="28"/>
          <w:szCs w:val="28"/>
        </w:rPr>
      </w:pPr>
      <w:r w:rsidRPr="001D08EC">
        <w:rPr>
          <w:sz w:val="28"/>
          <w:szCs w:val="28"/>
        </w:rPr>
        <w:t xml:space="preserve">Šīs problēmas risinājums ietver vairākus </w:t>
      </w:r>
      <w:r w:rsidR="002F7D8C" w:rsidRPr="001D08EC">
        <w:rPr>
          <w:sz w:val="28"/>
          <w:szCs w:val="28"/>
        </w:rPr>
        <w:t>jautājumus</w:t>
      </w:r>
      <w:r w:rsidRPr="001D08EC">
        <w:rPr>
          <w:sz w:val="28"/>
          <w:szCs w:val="28"/>
        </w:rPr>
        <w:t>:</w:t>
      </w:r>
    </w:p>
    <w:p w:rsidR="00310B33" w:rsidRPr="001D08EC" w:rsidRDefault="00310B33" w:rsidP="005337F3">
      <w:pPr>
        <w:pStyle w:val="ListParagraph"/>
        <w:numPr>
          <w:ilvl w:val="0"/>
          <w:numId w:val="4"/>
        </w:numPr>
        <w:jc w:val="both"/>
        <w:rPr>
          <w:sz w:val="28"/>
          <w:szCs w:val="28"/>
        </w:rPr>
      </w:pPr>
      <w:r w:rsidRPr="001D08EC">
        <w:rPr>
          <w:sz w:val="28"/>
          <w:szCs w:val="28"/>
        </w:rPr>
        <w:t xml:space="preserve">pie kādiem nosacījumiem </w:t>
      </w:r>
      <w:r w:rsidR="00186620" w:rsidRPr="001D08EC">
        <w:rPr>
          <w:sz w:val="28"/>
          <w:szCs w:val="28"/>
        </w:rPr>
        <w:t xml:space="preserve">indeksēt </w:t>
      </w:r>
      <w:r w:rsidRPr="001D08EC">
        <w:rPr>
          <w:sz w:val="28"/>
          <w:szCs w:val="28"/>
        </w:rPr>
        <w:t>(nosacījumi pie kuriem tiks mainītas līgumā noteiktās (fiksētās) tāmes izmaksas)</w:t>
      </w:r>
      <w:r w:rsidR="00186620" w:rsidRPr="001D08EC">
        <w:rPr>
          <w:sz w:val="28"/>
          <w:szCs w:val="28"/>
        </w:rPr>
        <w:t>?</w:t>
      </w:r>
      <w:r w:rsidRPr="001D08EC">
        <w:rPr>
          <w:sz w:val="28"/>
          <w:szCs w:val="28"/>
        </w:rPr>
        <w:t xml:space="preserve"> </w:t>
      </w:r>
    </w:p>
    <w:p w:rsidR="00371122" w:rsidRPr="001D08EC" w:rsidRDefault="005337F3" w:rsidP="005337F3">
      <w:pPr>
        <w:pStyle w:val="ListParagraph"/>
        <w:numPr>
          <w:ilvl w:val="0"/>
          <w:numId w:val="4"/>
        </w:numPr>
        <w:jc w:val="both"/>
        <w:rPr>
          <w:sz w:val="28"/>
          <w:szCs w:val="28"/>
        </w:rPr>
      </w:pPr>
      <w:r w:rsidRPr="001D08EC">
        <w:rPr>
          <w:sz w:val="28"/>
          <w:szCs w:val="28"/>
        </w:rPr>
        <w:t xml:space="preserve">ko indeksēt (visas tāmes izmaksas vai </w:t>
      </w:r>
      <w:r w:rsidR="00310B33" w:rsidRPr="001D08EC">
        <w:rPr>
          <w:sz w:val="28"/>
          <w:szCs w:val="28"/>
        </w:rPr>
        <w:t>tikai noteiktas izmaksu grupas)</w:t>
      </w:r>
      <w:r w:rsidRPr="001D08EC">
        <w:rPr>
          <w:sz w:val="28"/>
          <w:szCs w:val="28"/>
        </w:rPr>
        <w:t>?</w:t>
      </w:r>
    </w:p>
    <w:p w:rsidR="005337F3" w:rsidRPr="001D08EC" w:rsidRDefault="005337F3" w:rsidP="005337F3">
      <w:pPr>
        <w:pStyle w:val="ListParagraph"/>
        <w:numPr>
          <w:ilvl w:val="0"/>
          <w:numId w:val="4"/>
        </w:numPr>
        <w:jc w:val="both"/>
        <w:rPr>
          <w:sz w:val="28"/>
          <w:szCs w:val="28"/>
        </w:rPr>
      </w:pPr>
      <w:r w:rsidRPr="001D08EC">
        <w:rPr>
          <w:sz w:val="28"/>
          <w:szCs w:val="28"/>
        </w:rPr>
        <w:t>ar ko indeksēt</w:t>
      </w:r>
      <w:r w:rsidR="00310B33" w:rsidRPr="001D08EC">
        <w:rPr>
          <w:sz w:val="28"/>
          <w:szCs w:val="28"/>
        </w:rPr>
        <w:t xml:space="preserve"> (kā izvēlēties atbilstošu statistikā pieejamo būvniecības cenu indeksu vai indeksu kopumu)</w:t>
      </w:r>
      <w:r w:rsidRPr="001D08EC">
        <w:rPr>
          <w:sz w:val="28"/>
          <w:szCs w:val="28"/>
        </w:rPr>
        <w:t>?</w:t>
      </w:r>
    </w:p>
    <w:p w:rsidR="005337F3" w:rsidRPr="001D08EC" w:rsidRDefault="005337F3" w:rsidP="005337F3">
      <w:pPr>
        <w:pStyle w:val="ListParagraph"/>
        <w:numPr>
          <w:ilvl w:val="0"/>
          <w:numId w:val="4"/>
        </w:numPr>
        <w:jc w:val="both"/>
        <w:rPr>
          <w:sz w:val="28"/>
          <w:szCs w:val="28"/>
        </w:rPr>
      </w:pPr>
      <w:r w:rsidRPr="001D08EC">
        <w:rPr>
          <w:sz w:val="28"/>
          <w:szCs w:val="28"/>
        </w:rPr>
        <w:t>kā indeksēt</w:t>
      </w:r>
      <w:r w:rsidR="00310B33" w:rsidRPr="001D08EC">
        <w:rPr>
          <w:sz w:val="28"/>
          <w:szCs w:val="28"/>
        </w:rPr>
        <w:t xml:space="preserve"> (bāzes cenas, periodiskums u.tml.) </w:t>
      </w:r>
      <w:r w:rsidRPr="001D08EC">
        <w:rPr>
          <w:sz w:val="28"/>
          <w:szCs w:val="28"/>
        </w:rPr>
        <w:t>?</w:t>
      </w:r>
    </w:p>
    <w:p w:rsidR="005337F3" w:rsidRPr="001D08EC" w:rsidRDefault="005337F3" w:rsidP="00863D08">
      <w:pPr>
        <w:ind w:firstLine="567"/>
        <w:jc w:val="both"/>
        <w:rPr>
          <w:sz w:val="28"/>
          <w:szCs w:val="28"/>
        </w:rPr>
      </w:pPr>
    </w:p>
    <w:p w:rsidR="002F7D8C" w:rsidRPr="001D08EC" w:rsidRDefault="00371122" w:rsidP="005E268E">
      <w:pPr>
        <w:ind w:firstLine="720"/>
        <w:jc w:val="both"/>
        <w:rPr>
          <w:sz w:val="28"/>
          <w:szCs w:val="28"/>
        </w:rPr>
      </w:pPr>
      <w:r w:rsidRPr="001D08EC">
        <w:rPr>
          <w:sz w:val="28"/>
          <w:szCs w:val="28"/>
        </w:rPr>
        <w:t>Saga</w:t>
      </w:r>
      <w:r w:rsidR="008B3380" w:rsidRPr="001D08EC">
        <w:rPr>
          <w:sz w:val="28"/>
          <w:szCs w:val="28"/>
        </w:rPr>
        <w:t xml:space="preserve">tavotais Informatīvais ziņojums </w:t>
      </w:r>
      <w:r w:rsidR="00CA0857" w:rsidRPr="001D08EC">
        <w:rPr>
          <w:sz w:val="28"/>
          <w:szCs w:val="28"/>
        </w:rPr>
        <w:t>norāda vispārīgos principus</w:t>
      </w:r>
      <w:r w:rsidR="002F7D8C" w:rsidRPr="001D08EC">
        <w:rPr>
          <w:sz w:val="28"/>
          <w:szCs w:val="28"/>
        </w:rPr>
        <w:t xml:space="preserve"> </w:t>
      </w:r>
      <w:r w:rsidR="00F7119F" w:rsidRPr="001D08EC">
        <w:rPr>
          <w:sz w:val="28"/>
          <w:szCs w:val="28"/>
        </w:rPr>
        <w:t xml:space="preserve">(vadlīnijas) </w:t>
      </w:r>
      <w:proofErr w:type="spellStart"/>
      <w:r w:rsidR="002F7D8C" w:rsidRPr="001D08EC">
        <w:rPr>
          <w:sz w:val="28"/>
          <w:szCs w:val="28"/>
        </w:rPr>
        <w:t>būvizmaksu</w:t>
      </w:r>
      <w:proofErr w:type="spellEnd"/>
      <w:r w:rsidR="002F7D8C" w:rsidRPr="001D08EC">
        <w:rPr>
          <w:sz w:val="28"/>
          <w:szCs w:val="28"/>
        </w:rPr>
        <w:t xml:space="preserve"> indeksācijai.</w:t>
      </w:r>
      <w:r w:rsidR="00CA0857" w:rsidRPr="001D08EC">
        <w:rPr>
          <w:sz w:val="28"/>
          <w:szCs w:val="28"/>
        </w:rPr>
        <w:t xml:space="preserve"> </w:t>
      </w:r>
    </w:p>
    <w:p w:rsidR="00CA0857" w:rsidRPr="001D08EC" w:rsidRDefault="002F7D8C" w:rsidP="005E268E">
      <w:pPr>
        <w:ind w:firstLine="720"/>
        <w:jc w:val="both"/>
        <w:rPr>
          <w:sz w:val="28"/>
          <w:szCs w:val="28"/>
        </w:rPr>
      </w:pPr>
      <w:r w:rsidRPr="001D08EC">
        <w:rPr>
          <w:sz w:val="28"/>
          <w:szCs w:val="28"/>
        </w:rPr>
        <w:t>Informatīvo ziņojumu sagatavojusi Ekonomikas ministrija sadarbībā ar Finanšu ministriju, Satiksmes ministriju un Vides aizsardzības un reģionālās attīstības ministriju</w:t>
      </w:r>
      <w:r w:rsidR="00F7119F" w:rsidRPr="001D08EC">
        <w:rPr>
          <w:sz w:val="28"/>
          <w:szCs w:val="28"/>
        </w:rPr>
        <w:t xml:space="preserve">. Vispārīgie principi </w:t>
      </w:r>
      <w:r w:rsidRPr="001D08EC">
        <w:rPr>
          <w:sz w:val="28"/>
          <w:szCs w:val="28"/>
        </w:rPr>
        <w:t xml:space="preserve"> </w:t>
      </w:r>
      <w:r w:rsidR="00F7119F" w:rsidRPr="001D08EC">
        <w:rPr>
          <w:sz w:val="28"/>
          <w:szCs w:val="28"/>
        </w:rPr>
        <w:t xml:space="preserve">(vadlīnijas) </w:t>
      </w:r>
      <w:proofErr w:type="spellStart"/>
      <w:r w:rsidR="00F7119F" w:rsidRPr="001D08EC">
        <w:rPr>
          <w:sz w:val="28"/>
          <w:szCs w:val="28"/>
        </w:rPr>
        <w:t>būvizmaksu</w:t>
      </w:r>
      <w:proofErr w:type="spellEnd"/>
      <w:r w:rsidR="00F7119F" w:rsidRPr="001D08EC">
        <w:rPr>
          <w:sz w:val="28"/>
          <w:szCs w:val="28"/>
        </w:rPr>
        <w:t xml:space="preserve"> indeksācijai ir izstrādāti</w:t>
      </w:r>
      <w:r w:rsidR="00B1137A" w:rsidRPr="001D08EC">
        <w:rPr>
          <w:sz w:val="28"/>
          <w:szCs w:val="28"/>
        </w:rPr>
        <w:t xml:space="preserve"> </w:t>
      </w:r>
      <w:r w:rsidR="00CA0857" w:rsidRPr="001D08EC">
        <w:rPr>
          <w:sz w:val="28"/>
          <w:szCs w:val="28"/>
        </w:rPr>
        <w:t xml:space="preserve">balstoties uz </w:t>
      </w:r>
      <w:r w:rsidR="00A038CF" w:rsidRPr="001D08EC">
        <w:rPr>
          <w:sz w:val="28"/>
          <w:szCs w:val="28"/>
        </w:rPr>
        <w:t>Centrālās statistikas pārvaldes (turpmāk –</w:t>
      </w:r>
      <w:r w:rsidR="00CA0857" w:rsidRPr="001D08EC">
        <w:rPr>
          <w:sz w:val="28"/>
          <w:szCs w:val="28"/>
        </w:rPr>
        <w:t xml:space="preserve"> CSP</w:t>
      </w:r>
      <w:r w:rsidR="00A038CF" w:rsidRPr="001D08EC">
        <w:rPr>
          <w:sz w:val="28"/>
          <w:szCs w:val="28"/>
        </w:rPr>
        <w:t>)</w:t>
      </w:r>
      <w:r w:rsidR="00CA0857" w:rsidRPr="001D08EC">
        <w:rPr>
          <w:sz w:val="28"/>
          <w:szCs w:val="28"/>
        </w:rPr>
        <w:t xml:space="preserve"> aprēķināto būvn</w:t>
      </w:r>
      <w:r w:rsidR="00B1137A" w:rsidRPr="001D08EC">
        <w:rPr>
          <w:sz w:val="28"/>
          <w:szCs w:val="28"/>
        </w:rPr>
        <w:t>iecības izmaksu indeksu analīzi un</w:t>
      </w:r>
      <w:r w:rsidR="00CA0857" w:rsidRPr="001D08EC">
        <w:rPr>
          <w:sz w:val="28"/>
          <w:szCs w:val="28"/>
        </w:rPr>
        <w:t xml:space="preserve"> OECD Statistikas Direktorāta un </w:t>
      </w:r>
      <w:proofErr w:type="spellStart"/>
      <w:r w:rsidR="00CA0857" w:rsidRPr="001D08EC">
        <w:rPr>
          <w:sz w:val="28"/>
          <w:szCs w:val="28"/>
        </w:rPr>
        <w:t>Eurostat</w:t>
      </w:r>
      <w:proofErr w:type="spellEnd"/>
      <w:r w:rsidR="00987A0B" w:rsidRPr="001D08EC">
        <w:rPr>
          <w:sz w:val="28"/>
          <w:szCs w:val="28"/>
        </w:rPr>
        <w:t xml:space="preserve"> </w:t>
      </w:r>
      <w:r w:rsidR="00CA0857" w:rsidRPr="001D08EC">
        <w:rPr>
          <w:sz w:val="28"/>
          <w:szCs w:val="28"/>
        </w:rPr>
        <w:t>metodoloģisko publikāciju par būvniecības cenu indeksiem (</w:t>
      </w:r>
      <w:proofErr w:type="spellStart"/>
      <w:r w:rsidR="00CA0857" w:rsidRPr="001D08EC">
        <w:rPr>
          <w:i/>
          <w:sz w:val="28"/>
          <w:szCs w:val="28"/>
        </w:rPr>
        <w:t>Sources</w:t>
      </w:r>
      <w:proofErr w:type="spellEnd"/>
      <w:r w:rsidR="00CA0857" w:rsidRPr="001D08EC">
        <w:rPr>
          <w:i/>
          <w:sz w:val="28"/>
          <w:szCs w:val="28"/>
        </w:rPr>
        <w:t xml:space="preserve"> </w:t>
      </w:r>
      <w:proofErr w:type="spellStart"/>
      <w:r w:rsidR="00CA0857" w:rsidRPr="001D08EC">
        <w:rPr>
          <w:i/>
          <w:sz w:val="28"/>
          <w:szCs w:val="28"/>
        </w:rPr>
        <w:t>and</w:t>
      </w:r>
      <w:proofErr w:type="spellEnd"/>
      <w:r w:rsidR="00CA0857" w:rsidRPr="001D08EC">
        <w:rPr>
          <w:i/>
          <w:sz w:val="28"/>
          <w:szCs w:val="28"/>
        </w:rPr>
        <w:t xml:space="preserve"> </w:t>
      </w:r>
      <w:proofErr w:type="spellStart"/>
      <w:r w:rsidR="00CA0857" w:rsidRPr="001D08EC">
        <w:rPr>
          <w:i/>
          <w:sz w:val="28"/>
          <w:szCs w:val="28"/>
        </w:rPr>
        <w:t>methods</w:t>
      </w:r>
      <w:proofErr w:type="spellEnd"/>
      <w:r w:rsidR="00CA0857" w:rsidRPr="001D08EC">
        <w:rPr>
          <w:i/>
          <w:sz w:val="28"/>
          <w:szCs w:val="28"/>
        </w:rPr>
        <w:t xml:space="preserve">, </w:t>
      </w:r>
      <w:proofErr w:type="spellStart"/>
      <w:r w:rsidR="00CA0857" w:rsidRPr="001D08EC">
        <w:rPr>
          <w:i/>
          <w:sz w:val="28"/>
          <w:szCs w:val="28"/>
        </w:rPr>
        <w:t>Construction</w:t>
      </w:r>
      <w:proofErr w:type="spellEnd"/>
      <w:r w:rsidR="00CA0857" w:rsidRPr="001D08EC">
        <w:rPr>
          <w:i/>
          <w:sz w:val="28"/>
          <w:szCs w:val="28"/>
        </w:rPr>
        <w:t xml:space="preserve"> </w:t>
      </w:r>
      <w:proofErr w:type="spellStart"/>
      <w:r w:rsidR="00A84617" w:rsidRPr="001D08EC">
        <w:rPr>
          <w:i/>
          <w:sz w:val="28"/>
          <w:szCs w:val="28"/>
        </w:rPr>
        <w:t>P</w:t>
      </w:r>
      <w:r w:rsidR="00CA0857" w:rsidRPr="001D08EC">
        <w:rPr>
          <w:i/>
          <w:sz w:val="28"/>
          <w:szCs w:val="28"/>
        </w:rPr>
        <w:t>rice</w:t>
      </w:r>
      <w:proofErr w:type="spellEnd"/>
      <w:r w:rsidR="00CA0857" w:rsidRPr="001D08EC">
        <w:rPr>
          <w:i/>
          <w:sz w:val="28"/>
          <w:szCs w:val="28"/>
        </w:rPr>
        <w:t xml:space="preserve"> </w:t>
      </w:r>
      <w:proofErr w:type="spellStart"/>
      <w:r w:rsidR="00A84617" w:rsidRPr="001D08EC">
        <w:rPr>
          <w:i/>
          <w:sz w:val="28"/>
          <w:szCs w:val="28"/>
        </w:rPr>
        <w:t>Indic</w:t>
      </w:r>
      <w:r w:rsidR="00CA0857" w:rsidRPr="001D08EC">
        <w:rPr>
          <w:i/>
          <w:sz w:val="28"/>
          <w:szCs w:val="28"/>
        </w:rPr>
        <w:t>es</w:t>
      </w:r>
      <w:proofErr w:type="spellEnd"/>
      <w:r w:rsidR="00B1137A" w:rsidRPr="001D08EC">
        <w:rPr>
          <w:rStyle w:val="FootnoteReference"/>
          <w:i/>
          <w:sz w:val="28"/>
          <w:szCs w:val="28"/>
        </w:rPr>
        <w:footnoteReference w:id="1"/>
      </w:r>
      <w:r w:rsidR="00987A0B" w:rsidRPr="001D08EC">
        <w:rPr>
          <w:sz w:val="28"/>
          <w:szCs w:val="28"/>
        </w:rPr>
        <w:t>) ar plašu informāciju par būvniecības cenu indeks</w:t>
      </w:r>
      <w:r w:rsidR="001C4040" w:rsidRPr="001D08EC">
        <w:rPr>
          <w:sz w:val="28"/>
          <w:szCs w:val="28"/>
        </w:rPr>
        <w:t>iem citās valstīs</w:t>
      </w:r>
      <w:r w:rsidR="009D15BA" w:rsidRPr="001D08EC">
        <w:rPr>
          <w:sz w:val="28"/>
          <w:szCs w:val="28"/>
        </w:rPr>
        <w:t xml:space="preserve">, kā arī </w:t>
      </w:r>
      <w:proofErr w:type="spellStart"/>
      <w:r w:rsidR="009D15BA" w:rsidRPr="001D08EC">
        <w:rPr>
          <w:sz w:val="28"/>
          <w:szCs w:val="28"/>
        </w:rPr>
        <w:t>Eurostat</w:t>
      </w:r>
      <w:proofErr w:type="spellEnd"/>
      <w:r w:rsidR="009D15BA" w:rsidRPr="001D08EC">
        <w:rPr>
          <w:sz w:val="28"/>
          <w:szCs w:val="28"/>
        </w:rPr>
        <w:t xml:space="preserve"> </w:t>
      </w:r>
      <w:r w:rsidR="009D15BA" w:rsidRPr="001D08EC">
        <w:rPr>
          <w:sz w:val="28"/>
          <w:szCs w:val="28"/>
        </w:rPr>
        <w:lastRenderedPageBreak/>
        <w:t xml:space="preserve">publikācija par būvniecības </w:t>
      </w:r>
      <w:r w:rsidR="00632BD7" w:rsidRPr="001D08EC">
        <w:rPr>
          <w:sz w:val="28"/>
          <w:szCs w:val="28"/>
        </w:rPr>
        <w:t>izmaksām un cenām</w:t>
      </w:r>
      <w:r w:rsidR="009D15BA" w:rsidRPr="001D08EC">
        <w:rPr>
          <w:sz w:val="28"/>
          <w:szCs w:val="28"/>
        </w:rPr>
        <w:t xml:space="preserve"> (</w:t>
      </w:r>
      <w:proofErr w:type="spellStart"/>
      <w:r w:rsidR="00632BD7" w:rsidRPr="001D08EC">
        <w:rPr>
          <w:i/>
          <w:sz w:val="28"/>
          <w:szCs w:val="28"/>
        </w:rPr>
        <w:t>Methodology</w:t>
      </w:r>
      <w:proofErr w:type="spellEnd"/>
      <w:r w:rsidR="00632BD7" w:rsidRPr="001D08EC">
        <w:rPr>
          <w:i/>
          <w:sz w:val="28"/>
          <w:szCs w:val="28"/>
        </w:rPr>
        <w:t xml:space="preserve"> </w:t>
      </w:r>
      <w:proofErr w:type="spellStart"/>
      <w:r w:rsidR="00632BD7" w:rsidRPr="001D08EC">
        <w:rPr>
          <w:i/>
          <w:sz w:val="28"/>
          <w:szCs w:val="28"/>
        </w:rPr>
        <w:t>of</w:t>
      </w:r>
      <w:proofErr w:type="spellEnd"/>
      <w:r w:rsidR="00632BD7" w:rsidRPr="001D08EC">
        <w:rPr>
          <w:i/>
          <w:sz w:val="28"/>
          <w:szCs w:val="28"/>
        </w:rPr>
        <w:t xml:space="preserve"> </w:t>
      </w:r>
      <w:proofErr w:type="spellStart"/>
      <w:r w:rsidR="00632BD7" w:rsidRPr="001D08EC">
        <w:rPr>
          <w:i/>
          <w:sz w:val="28"/>
          <w:szCs w:val="28"/>
        </w:rPr>
        <w:t>short-term</w:t>
      </w:r>
      <w:proofErr w:type="spellEnd"/>
      <w:r w:rsidR="00632BD7" w:rsidRPr="001D08EC">
        <w:rPr>
          <w:i/>
          <w:sz w:val="28"/>
          <w:szCs w:val="28"/>
        </w:rPr>
        <w:t xml:space="preserve"> </w:t>
      </w:r>
      <w:proofErr w:type="spellStart"/>
      <w:r w:rsidR="00632BD7" w:rsidRPr="001D08EC">
        <w:rPr>
          <w:i/>
          <w:sz w:val="28"/>
          <w:szCs w:val="28"/>
        </w:rPr>
        <w:t>business</w:t>
      </w:r>
      <w:proofErr w:type="spellEnd"/>
      <w:r w:rsidR="00632BD7" w:rsidRPr="001D08EC">
        <w:rPr>
          <w:i/>
          <w:sz w:val="28"/>
          <w:szCs w:val="28"/>
        </w:rPr>
        <w:t xml:space="preserve"> </w:t>
      </w:r>
      <w:proofErr w:type="spellStart"/>
      <w:r w:rsidR="00632BD7" w:rsidRPr="001D08EC">
        <w:rPr>
          <w:i/>
          <w:sz w:val="28"/>
          <w:szCs w:val="28"/>
        </w:rPr>
        <w:t>statistics,Construction</w:t>
      </w:r>
      <w:proofErr w:type="spellEnd"/>
      <w:r w:rsidR="00632BD7" w:rsidRPr="001D08EC">
        <w:rPr>
          <w:i/>
          <w:sz w:val="28"/>
          <w:szCs w:val="28"/>
        </w:rPr>
        <w:t xml:space="preserve"> </w:t>
      </w:r>
      <w:proofErr w:type="spellStart"/>
      <w:r w:rsidR="00632BD7" w:rsidRPr="001D08EC">
        <w:rPr>
          <w:i/>
          <w:sz w:val="28"/>
          <w:szCs w:val="28"/>
        </w:rPr>
        <w:t>costs</w:t>
      </w:r>
      <w:proofErr w:type="spellEnd"/>
      <w:r w:rsidR="00632BD7" w:rsidRPr="001D08EC">
        <w:rPr>
          <w:i/>
          <w:sz w:val="28"/>
          <w:szCs w:val="28"/>
        </w:rPr>
        <w:t xml:space="preserve"> </w:t>
      </w:r>
      <w:proofErr w:type="spellStart"/>
      <w:r w:rsidR="00632BD7" w:rsidRPr="001D08EC">
        <w:rPr>
          <w:i/>
          <w:sz w:val="28"/>
          <w:szCs w:val="28"/>
        </w:rPr>
        <w:t>and</w:t>
      </w:r>
      <w:proofErr w:type="spellEnd"/>
      <w:r w:rsidR="00632BD7" w:rsidRPr="001D08EC">
        <w:rPr>
          <w:i/>
          <w:sz w:val="28"/>
          <w:szCs w:val="28"/>
        </w:rPr>
        <w:t xml:space="preserve"> </w:t>
      </w:r>
      <w:proofErr w:type="spellStart"/>
      <w:r w:rsidR="00632BD7" w:rsidRPr="001D08EC">
        <w:rPr>
          <w:i/>
          <w:sz w:val="28"/>
          <w:szCs w:val="28"/>
        </w:rPr>
        <w:t>prices</w:t>
      </w:r>
      <w:proofErr w:type="spellEnd"/>
      <w:r w:rsidR="00632BD7" w:rsidRPr="001D08EC">
        <w:rPr>
          <w:i/>
          <w:sz w:val="28"/>
          <w:szCs w:val="28"/>
        </w:rPr>
        <w:t xml:space="preserve"> </w:t>
      </w:r>
      <w:r w:rsidR="009D15BA" w:rsidRPr="001D08EC">
        <w:rPr>
          <w:rStyle w:val="FootnoteReference"/>
          <w:i/>
          <w:sz w:val="28"/>
          <w:szCs w:val="28"/>
        </w:rPr>
        <w:footnoteReference w:id="2"/>
      </w:r>
      <w:r w:rsidR="009D15BA" w:rsidRPr="001D08EC">
        <w:rPr>
          <w:sz w:val="28"/>
          <w:szCs w:val="28"/>
        </w:rPr>
        <w:t>)</w:t>
      </w:r>
      <w:r w:rsidR="001C4040" w:rsidRPr="001D08EC">
        <w:rPr>
          <w:sz w:val="28"/>
          <w:szCs w:val="28"/>
        </w:rPr>
        <w:t>.</w:t>
      </w:r>
      <w:r w:rsidR="000F4EB0" w:rsidRPr="001D08EC">
        <w:rPr>
          <w:sz w:val="28"/>
          <w:szCs w:val="28"/>
        </w:rPr>
        <w:t xml:space="preserve"> </w:t>
      </w:r>
    </w:p>
    <w:p w:rsidR="00085614" w:rsidRPr="001D08EC" w:rsidRDefault="00085614" w:rsidP="005E268E">
      <w:pPr>
        <w:ind w:firstLine="720"/>
        <w:jc w:val="both"/>
        <w:rPr>
          <w:sz w:val="28"/>
          <w:szCs w:val="28"/>
        </w:rPr>
      </w:pPr>
    </w:p>
    <w:p w:rsidR="00F13740" w:rsidRPr="001D08EC" w:rsidRDefault="00B1137A" w:rsidP="005E268E">
      <w:pPr>
        <w:ind w:firstLine="720"/>
        <w:jc w:val="both"/>
        <w:rPr>
          <w:sz w:val="28"/>
          <w:szCs w:val="28"/>
        </w:rPr>
      </w:pPr>
      <w:r w:rsidRPr="001D08EC">
        <w:rPr>
          <w:sz w:val="28"/>
          <w:szCs w:val="28"/>
        </w:rPr>
        <w:t>Informatīvā ziņojumā</w:t>
      </w:r>
      <w:r w:rsidR="00987A0B" w:rsidRPr="001D08EC">
        <w:rPr>
          <w:sz w:val="28"/>
          <w:szCs w:val="28"/>
        </w:rPr>
        <w:t xml:space="preserve"> </w:t>
      </w:r>
      <w:r w:rsidRPr="001D08EC">
        <w:rPr>
          <w:sz w:val="28"/>
          <w:szCs w:val="28"/>
        </w:rPr>
        <w:t>raksturo</w:t>
      </w:r>
      <w:r w:rsidR="00F7119F" w:rsidRPr="001D08EC">
        <w:rPr>
          <w:sz w:val="28"/>
          <w:szCs w:val="28"/>
        </w:rPr>
        <w:t>ti</w:t>
      </w:r>
      <w:r w:rsidRPr="001D08EC">
        <w:rPr>
          <w:sz w:val="28"/>
          <w:szCs w:val="28"/>
        </w:rPr>
        <w:t xml:space="preserve"> </w:t>
      </w:r>
      <w:r w:rsidR="00890A47" w:rsidRPr="001D08EC">
        <w:rPr>
          <w:sz w:val="28"/>
          <w:szCs w:val="28"/>
        </w:rPr>
        <w:t>CSP</w:t>
      </w:r>
      <w:r w:rsidR="00F7119F" w:rsidRPr="001D08EC">
        <w:rPr>
          <w:sz w:val="28"/>
          <w:szCs w:val="28"/>
        </w:rPr>
        <w:t xml:space="preserve"> cenu indeksi</w:t>
      </w:r>
      <w:r w:rsidR="00F13740" w:rsidRPr="001D08EC">
        <w:rPr>
          <w:sz w:val="28"/>
          <w:szCs w:val="28"/>
        </w:rPr>
        <w:t xml:space="preserve">, kurus var izmantot būvniecības </w:t>
      </w:r>
      <w:r w:rsidR="00A84617" w:rsidRPr="001D08EC">
        <w:rPr>
          <w:sz w:val="28"/>
          <w:szCs w:val="28"/>
        </w:rPr>
        <w:t>izmaksu</w:t>
      </w:r>
      <w:r w:rsidR="00F13740" w:rsidRPr="001D08EC">
        <w:rPr>
          <w:sz w:val="28"/>
          <w:szCs w:val="28"/>
        </w:rPr>
        <w:t xml:space="preserve"> indeksācijai, sniedzot </w:t>
      </w:r>
      <w:r w:rsidR="00890A47" w:rsidRPr="001D08EC">
        <w:rPr>
          <w:sz w:val="28"/>
          <w:szCs w:val="28"/>
        </w:rPr>
        <w:t>skaidrojumu par katru indeksu</w:t>
      </w:r>
      <w:r w:rsidR="00186620" w:rsidRPr="001D08EC">
        <w:rPr>
          <w:sz w:val="28"/>
          <w:szCs w:val="28"/>
        </w:rPr>
        <w:t>, tā dinamiku</w:t>
      </w:r>
      <w:r w:rsidR="00890A47" w:rsidRPr="001D08EC">
        <w:rPr>
          <w:sz w:val="28"/>
          <w:szCs w:val="28"/>
        </w:rPr>
        <w:t xml:space="preserve"> un</w:t>
      </w:r>
      <w:r w:rsidR="00F13740" w:rsidRPr="001D08EC">
        <w:rPr>
          <w:sz w:val="28"/>
          <w:szCs w:val="28"/>
        </w:rPr>
        <w:t xml:space="preserve"> izmantošanas iespējām.  </w:t>
      </w:r>
    </w:p>
    <w:p w:rsidR="00F13740" w:rsidRPr="001D08EC" w:rsidRDefault="00B1137A" w:rsidP="005E268E">
      <w:pPr>
        <w:ind w:firstLine="720"/>
        <w:jc w:val="both"/>
        <w:rPr>
          <w:sz w:val="28"/>
          <w:szCs w:val="28"/>
        </w:rPr>
      </w:pPr>
      <w:r w:rsidRPr="001D08EC">
        <w:rPr>
          <w:sz w:val="28"/>
          <w:szCs w:val="28"/>
        </w:rPr>
        <w:t xml:space="preserve">Ziņojumā sniegti </w:t>
      </w:r>
      <w:r w:rsidR="00A30D15" w:rsidRPr="001D08EC">
        <w:rPr>
          <w:sz w:val="28"/>
          <w:szCs w:val="28"/>
        </w:rPr>
        <w:t xml:space="preserve">arī </w:t>
      </w:r>
      <w:r w:rsidRPr="001D08EC">
        <w:rPr>
          <w:sz w:val="28"/>
          <w:szCs w:val="28"/>
        </w:rPr>
        <w:t>p</w:t>
      </w:r>
      <w:r w:rsidR="00F13740" w:rsidRPr="001D08EC">
        <w:rPr>
          <w:sz w:val="28"/>
          <w:szCs w:val="28"/>
        </w:rPr>
        <w:t xml:space="preserve">riekšlikumi būvniecības </w:t>
      </w:r>
      <w:r w:rsidR="00A84617" w:rsidRPr="001D08EC">
        <w:rPr>
          <w:sz w:val="28"/>
          <w:szCs w:val="28"/>
        </w:rPr>
        <w:t>izmaksu</w:t>
      </w:r>
      <w:r w:rsidR="00F13740" w:rsidRPr="001D08EC">
        <w:rPr>
          <w:sz w:val="28"/>
          <w:szCs w:val="28"/>
        </w:rPr>
        <w:t xml:space="preserve"> indeksēšanai, norādot galvenos indeksēšanas principus</w:t>
      </w:r>
      <w:r w:rsidR="00BB79B1" w:rsidRPr="001D08EC">
        <w:rPr>
          <w:sz w:val="28"/>
          <w:szCs w:val="28"/>
        </w:rPr>
        <w:t xml:space="preserve"> būvdarbu īstenošanas gaitā</w:t>
      </w:r>
      <w:r w:rsidR="00F7119F" w:rsidRPr="001D08EC">
        <w:rPr>
          <w:sz w:val="28"/>
          <w:szCs w:val="28"/>
        </w:rPr>
        <w:t xml:space="preserve"> un</w:t>
      </w:r>
      <w:r w:rsidR="00F13740" w:rsidRPr="001D08EC">
        <w:rPr>
          <w:sz w:val="28"/>
          <w:szCs w:val="28"/>
        </w:rPr>
        <w:t xml:space="preserve"> sasaistot tos ar izmantojamiem indeksiem</w:t>
      </w:r>
      <w:r w:rsidR="00BB79B1" w:rsidRPr="001D08EC">
        <w:rPr>
          <w:sz w:val="28"/>
          <w:szCs w:val="28"/>
        </w:rPr>
        <w:t>,</w:t>
      </w:r>
      <w:r w:rsidR="00F13740" w:rsidRPr="001D08EC">
        <w:rPr>
          <w:sz w:val="28"/>
          <w:szCs w:val="28"/>
        </w:rPr>
        <w:t xml:space="preserve"> </w:t>
      </w:r>
      <w:r w:rsidR="00BB79B1" w:rsidRPr="001D08EC">
        <w:rPr>
          <w:sz w:val="28"/>
          <w:szCs w:val="28"/>
        </w:rPr>
        <w:t xml:space="preserve">to izmaiņu izvērtēšanu un attiecināšanu uz izmaksu vērtības izmaiņām. </w:t>
      </w:r>
    </w:p>
    <w:p w:rsidR="00A30D15" w:rsidRPr="001D08EC" w:rsidRDefault="00A30D15" w:rsidP="005E268E">
      <w:pPr>
        <w:ind w:firstLine="720"/>
        <w:jc w:val="both"/>
        <w:rPr>
          <w:sz w:val="28"/>
          <w:szCs w:val="28"/>
        </w:rPr>
      </w:pPr>
      <w:r w:rsidRPr="001D08EC">
        <w:rPr>
          <w:sz w:val="28"/>
          <w:szCs w:val="28"/>
        </w:rPr>
        <w:t xml:space="preserve">Pielikumā </w:t>
      </w:r>
      <w:r w:rsidR="0080103B" w:rsidRPr="001D08EC">
        <w:rPr>
          <w:sz w:val="28"/>
          <w:szCs w:val="28"/>
        </w:rPr>
        <w:t>pievienota CSP informācija par CSP aprēķinātiem izmaksu indeksiem būvniecībā un Ekonomikas ministrijas sagatavotais pārskats par šo indeksu dinamiku ceturkšņu griezumā sākot no 2005.gada.</w:t>
      </w:r>
    </w:p>
    <w:p w:rsidR="009D15BA" w:rsidRPr="001D08EC" w:rsidRDefault="009D15BA" w:rsidP="005E268E">
      <w:pPr>
        <w:ind w:firstLine="720"/>
        <w:jc w:val="both"/>
        <w:rPr>
          <w:sz w:val="28"/>
          <w:szCs w:val="28"/>
        </w:rPr>
      </w:pPr>
    </w:p>
    <w:p w:rsidR="003077EB" w:rsidRPr="001D08EC" w:rsidRDefault="00D7369A" w:rsidP="003077EB">
      <w:pPr>
        <w:jc w:val="both"/>
        <w:rPr>
          <w:b/>
          <w:sz w:val="28"/>
          <w:szCs w:val="28"/>
        </w:rPr>
      </w:pPr>
      <w:r w:rsidRPr="001D08EC">
        <w:rPr>
          <w:b/>
          <w:sz w:val="28"/>
          <w:szCs w:val="28"/>
        </w:rPr>
        <w:t>Pieejamā statistiskā informācija</w:t>
      </w:r>
    </w:p>
    <w:p w:rsidR="003077EB" w:rsidRPr="001D08EC" w:rsidRDefault="003077EB" w:rsidP="003077EB">
      <w:pPr>
        <w:jc w:val="both"/>
        <w:rPr>
          <w:b/>
          <w:sz w:val="28"/>
          <w:szCs w:val="28"/>
        </w:rPr>
      </w:pPr>
    </w:p>
    <w:p w:rsidR="00AD1C65" w:rsidRPr="001D08EC" w:rsidRDefault="00AD1C65" w:rsidP="005E268E">
      <w:pPr>
        <w:ind w:left="34" w:firstLine="720"/>
        <w:jc w:val="both"/>
        <w:rPr>
          <w:sz w:val="28"/>
          <w:szCs w:val="28"/>
        </w:rPr>
      </w:pPr>
      <w:r w:rsidRPr="001D08EC">
        <w:rPr>
          <w:sz w:val="28"/>
          <w:szCs w:val="28"/>
        </w:rPr>
        <w:t xml:space="preserve">CSP </w:t>
      </w:r>
      <w:r w:rsidR="000A0ED2" w:rsidRPr="001D08EC">
        <w:rPr>
          <w:sz w:val="28"/>
          <w:szCs w:val="28"/>
        </w:rPr>
        <w:t>sagatavo</w:t>
      </w:r>
      <w:r w:rsidRPr="001D08EC">
        <w:rPr>
          <w:sz w:val="28"/>
          <w:szCs w:val="28"/>
        </w:rPr>
        <w:t xml:space="preserve"> kompleksu </w:t>
      </w:r>
      <w:proofErr w:type="spellStart"/>
      <w:r w:rsidRPr="001D08EC">
        <w:rPr>
          <w:sz w:val="28"/>
          <w:szCs w:val="28"/>
        </w:rPr>
        <w:t>būvizmaksu</w:t>
      </w:r>
      <w:proofErr w:type="spellEnd"/>
      <w:r w:rsidRPr="001D08EC">
        <w:rPr>
          <w:sz w:val="28"/>
          <w:szCs w:val="28"/>
        </w:rPr>
        <w:t xml:space="preserve"> indeksu</w:t>
      </w:r>
      <w:r w:rsidR="006A7FA6" w:rsidRPr="001D08EC">
        <w:rPr>
          <w:sz w:val="28"/>
          <w:szCs w:val="28"/>
        </w:rPr>
        <w:t xml:space="preserve"> (BII)</w:t>
      </w:r>
      <w:r w:rsidR="00F90F56" w:rsidRPr="001D08EC">
        <w:rPr>
          <w:sz w:val="28"/>
          <w:szCs w:val="28"/>
        </w:rPr>
        <w:t xml:space="preserve">, </w:t>
      </w:r>
      <w:r w:rsidR="00E574B9" w:rsidRPr="001D08EC">
        <w:rPr>
          <w:sz w:val="28"/>
          <w:szCs w:val="28"/>
        </w:rPr>
        <w:t>kas</w:t>
      </w:r>
      <w:r w:rsidRPr="001D08EC">
        <w:rPr>
          <w:sz w:val="28"/>
          <w:szCs w:val="28"/>
        </w:rPr>
        <w:t xml:space="preserve"> raksturo būvdarbu izmaksu pārmaiņas noteiktā laika periodā (gadam, ceturksnim un kopš 2009.gada arī mēnesim).</w:t>
      </w:r>
      <w:r w:rsidR="00A038CF" w:rsidRPr="001D08EC">
        <w:rPr>
          <w:sz w:val="28"/>
          <w:szCs w:val="28"/>
        </w:rPr>
        <w:t xml:space="preserve"> </w:t>
      </w:r>
      <w:r w:rsidR="00EB3F43" w:rsidRPr="001D08EC">
        <w:rPr>
          <w:sz w:val="28"/>
          <w:szCs w:val="28"/>
        </w:rPr>
        <w:t xml:space="preserve">Tas ir komplekss </w:t>
      </w:r>
      <w:proofErr w:type="spellStart"/>
      <w:r w:rsidR="00EB3F43" w:rsidRPr="001D08EC">
        <w:rPr>
          <w:sz w:val="28"/>
          <w:szCs w:val="28"/>
        </w:rPr>
        <w:t>ielaides</w:t>
      </w:r>
      <w:proofErr w:type="spellEnd"/>
      <w:r w:rsidR="00EB3F43" w:rsidRPr="001D08EC">
        <w:rPr>
          <w:sz w:val="28"/>
          <w:szCs w:val="28"/>
        </w:rPr>
        <w:t xml:space="preserve"> (</w:t>
      </w:r>
      <w:proofErr w:type="spellStart"/>
      <w:r w:rsidR="00E574B9" w:rsidRPr="001D08EC">
        <w:rPr>
          <w:i/>
          <w:sz w:val="28"/>
          <w:szCs w:val="28"/>
        </w:rPr>
        <w:t>input</w:t>
      </w:r>
      <w:proofErr w:type="spellEnd"/>
      <w:r w:rsidR="00EB3F43" w:rsidRPr="001D08EC">
        <w:rPr>
          <w:sz w:val="28"/>
          <w:szCs w:val="28"/>
        </w:rPr>
        <w:t xml:space="preserve">) cenu indekss, kas </w:t>
      </w:r>
      <w:r w:rsidR="000A0ED2" w:rsidRPr="001D08EC">
        <w:rPr>
          <w:sz w:val="28"/>
          <w:szCs w:val="28"/>
        </w:rPr>
        <w:t>raksturo</w:t>
      </w:r>
      <w:r w:rsidR="00EB3F43" w:rsidRPr="001D08EC">
        <w:rPr>
          <w:sz w:val="28"/>
          <w:szCs w:val="28"/>
        </w:rPr>
        <w:t xml:space="preserve"> galveno ražošanas </w:t>
      </w:r>
      <w:r w:rsidR="00E574B9" w:rsidRPr="001D08EC">
        <w:rPr>
          <w:sz w:val="28"/>
          <w:szCs w:val="28"/>
        </w:rPr>
        <w:t xml:space="preserve">resursu </w:t>
      </w:r>
      <w:r w:rsidR="00EB3F43" w:rsidRPr="001D08EC">
        <w:rPr>
          <w:sz w:val="28"/>
          <w:szCs w:val="28"/>
        </w:rPr>
        <w:t xml:space="preserve">izmaksu </w:t>
      </w:r>
      <w:r w:rsidR="00E574B9" w:rsidRPr="001D08EC">
        <w:rPr>
          <w:sz w:val="28"/>
          <w:szCs w:val="28"/>
        </w:rPr>
        <w:t>izmaiņas</w:t>
      </w:r>
      <w:r w:rsidR="00EB3F43" w:rsidRPr="001D08EC">
        <w:rPr>
          <w:sz w:val="28"/>
          <w:szCs w:val="28"/>
        </w:rPr>
        <w:t xml:space="preserve"> (</w:t>
      </w:r>
      <w:r w:rsidR="00E574B9" w:rsidRPr="001D08EC">
        <w:rPr>
          <w:sz w:val="28"/>
          <w:szCs w:val="28"/>
        </w:rPr>
        <w:t>strādnieku darba samaksa;</w:t>
      </w:r>
      <w:r w:rsidR="00E67E76" w:rsidRPr="001D08EC">
        <w:rPr>
          <w:sz w:val="28"/>
          <w:szCs w:val="28"/>
        </w:rPr>
        <w:t xml:space="preserve"> būvmateriāli</w:t>
      </w:r>
      <w:r w:rsidR="00E574B9" w:rsidRPr="001D08EC">
        <w:rPr>
          <w:sz w:val="28"/>
          <w:szCs w:val="28"/>
        </w:rPr>
        <w:t>;</w:t>
      </w:r>
      <w:r w:rsidR="00E67E76" w:rsidRPr="001D08EC">
        <w:rPr>
          <w:sz w:val="28"/>
          <w:szCs w:val="28"/>
        </w:rPr>
        <w:t xml:space="preserve"> izmaksas mašīnu un mehānismu uzturēšanai un ekspluatācijai</w:t>
      </w:r>
      <w:r w:rsidR="004F5E01" w:rsidRPr="001D08EC">
        <w:rPr>
          <w:sz w:val="28"/>
          <w:szCs w:val="28"/>
        </w:rPr>
        <w:t xml:space="preserve"> (MM izmaksas)</w:t>
      </w:r>
      <w:r w:rsidR="00E67E76" w:rsidRPr="001D08EC">
        <w:rPr>
          <w:sz w:val="28"/>
          <w:szCs w:val="28"/>
        </w:rPr>
        <w:t>)</w:t>
      </w:r>
      <w:r w:rsidR="00E574B9" w:rsidRPr="001D08EC">
        <w:rPr>
          <w:sz w:val="28"/>
          <w:szCs w:val="28"/>
        </w:rPr>
        <w:t xml:space="preserve"> </w:t>
      </w:r>
      <w:r w:rsidR="000A0ED2" w:rsidRPr="001D08EC">
        <w:rPr>
          <w:sz w:val="28"/>
          <w:szCs w:val="28"/>
        </w:rPr>
        <w:t xml:space="preserve">vienotā indeksā </w:t>
      </w:r>
      <w:r w:rsidR="00E67E76" w:rsidRPr="001D08EC">
        <w:rPr>
          <w:sz w:val="28"/>
          <w:szCs w:val="28"/>
        </w:rPr>
        <w:t xml:space="preserve">atbilstoši </w:t>
      </w:r>
      <w:r w:rsidR="00E574B9" w:rsidRPr="001D08EC">
        <w:rPr>
          <w:sz w:val="28"/>
          <w:szCs w:val="28"/>
        </w:rPr>
        <w:t>aprēķinātam katra resursu īpatsvara</w:t>
      </w:r>
      <w:r w:rsidR="00D54E23" w:rsidRPr="001D08EC">
        <w:rPr>
          <w:sz w:val="28"/>
          <w:szCs w:val="28"/>
        </w:rPr>
        <w:t xml:space="preserve">m </w:t>
      </w:r>
      <w:proofErr w:type="spellStart"/>
      <w:r w:rsidR="00D54E23" w:rsidRPr="001D08EC">
        <w:rPr>
          <w:sz w:val="28"/>
          <w:szCs w:val="28"/>
        </w:rPr>
        <w:t>būvizmaksās</w:t>
      </w:r>
      <w:proofErr w:type="spellEnd"/>
      <w:r w:rsidR="00D54E23" w:rsidRPr="001D08EC">
        <w:rPr>
          <w:sz w:val="28"/>
          <w:szCs w:val="28"/>
        </w:rPr>
        <w:t xml:space="preserve"> valstī</w:t>
      </w:r>
      <w:r w:rsidR="00E574B9" w:rsidRPr="001D08EC">
        <w:rPr>
          <w:sz w:val="28"/>
          <w:szCs w:val="28"/>
        </w:rPr>
        <w:t xml:space="preserve"> kopumā</w:t>
      </w:r>
      <w:r w:rsidR="00D54E23" w:rsidRPr="001D08EC">
        <w:rPr>
          <w:sz w:val="28"/>
          <w:szCs w:val="28"/>
        </w:rPr>
        <w:t>.</w:t>
      </w:r>
    </w:p>
    <w:p w:rsidR="006E3D66" w:rsidRPr="001D08EC" w:rsidRDefault="00D54E23" w:rsidP="005E268E">
      <w:pPr>
        <w:ind w:left="34" w:firstLine="720"/>
        <w:jc w:val="both"/>
        <w:rPr>
          <w:sz w:val="28"/>
          <w:szCs w:val="28"/>
        </w:rPr>
      </w:pPr>
      <w:r w:rsidRPr="001D08EC">
        <w:rPr>
          <w:sz w:val="28"/>
          <w:szCs w:val="28"/>
        </w:rPr>
        <w:t>Šāds b</w:t>
      </w:r>
      <w:r w:rsidR="006E3D66" w:rsidRPr="001D08EC">
        <w:rPr>
          <w:sz w:val="28"/>
          <w:szCs w:val="28"/>
        </w:rPr>
        <w:t xml:space="preserve">ūvniecības </w:t>
      </w:r>
      <w:r w:rsidR="00A84617" w:rsidRPr="001D08EC">
        <w:rPr>
          <w:sz w:val="28"/>
          <w:szCs w:val="28"/>
        </w:rPr>
        <w:t>izmaksu</w:t>
      </w:r>
      <w:r w:rsidRPr="001D08EC">
        <w:rPr>
          <w:sz w:val="28"/>
          <w:szCs w:val="28"/>
        </w:rPr>
        <w:t xml:space="preserve"> indekss tiek sagatavots</w:t>
      </w:r>
      <w:r w:rsidR="006E3D66" w:rsidRPr="001D08EC">
        <w:rPr>
          <w:sz w:val="28"/>
          <w:szCs w:val="28"/>
        </w:rPr>
        <w:t xml:space="preserve"> </w:t>
      </w:r>
      <w:r w:rsidR="0082345F" w:rsidRPr="001D08EC">
        <w:rPr>
          <w:sz w:val="28"/>
          <w:szCs w:val="28"/>
        </w:rPr>
        <w:t xml:space="preserve">arī </w:t>
      </w:r>
      <w:r w:rsidR="006E3D66" w:rsidRPr="001D08EC">
        <w:rPr>
          <w:sz w:val="28"/>
          <w:szCs w:val="28"/>
        </w:rPr>
        <w:t xml:space="preserve">valstī </w:t>
      </w:r>
      <w:r w:rsidR="00671C54" w:rsidRPr="001D08EC">
        <w:rPr>
          <w:sz w:val="28"/>
          <w:szCs w:val="28"/>
        </w:rPr>
        <w:t>izplatītākajiem</w:t>
      </w:r>
      <w:r w:rsidR="006E3D66" w:rsidRPr="001D08EC">
        <w:rPr>
          <w:sz w:val="28"/>
          <w:szCs w:val="28"/>
        </w:rPr>
        <w:t xml:space="preserve"> būvniecības veidiem</w:t>
      </w:r>
      <w:r w:rsidR="005557CC" w:rsidRPr="001D08EC">
        <w:rPr>
          <w:sz w:val="28"/>
          <w:szCs w:val="28"/>
        </w:rPr>
        <w:t xml:space="preserve">. Katram </w:t>
      </w:r>
      <w:r w:rsidR="00671C54" w:rsidRPr="001D08EC">
        <w:rPr>
          <w:sz w:val="28"/>
          <w:szCs w:val="28"/>
        </w:rPr>
        <w:t xml:space="preserve">būvniecības </w:t>
      </w:r>
      <w:r w:rsidR="005557CC" w:rsidRPr="001D08EC">
        <w:rPr>
          <w:sz w:val="28"/>
          <w:szCs w:val="28"/>
        </w:rPr>
        <w:t xml:space="preserve">veidam ir izveidots tam raksturīgs, reprezentatīvs būvobjektu projekts (modelis), ko sagatavojuši profesionāli tāmētāji. Pašreiz unificēto modeļu sistēma aptver 16 </w:t>
      </w:r>
      <w:proofErr w:type="spellStart"/>
      <w:r w:rsidR="005557CC" w:rsidRPr="001D08EC">
        <w:rPr>
          <w:sz w:val="28"/>
          <w:szCs w:val="28"/>
        </w:rPr>
        <w:t>būvmodeļus</w:t>
      </w:r>
      <w:proofErr w:type="spellEnd"/>
      <w:r w:rsidR="005557CC" w:rsidRPr="001D08EC">
        <w:rPr>
          <w:sz w:val="28"/>
          <w:szCs w:val="28"/>
        </w:rPr>
        <w:t>, kas sagrupēti astoņās grupās</w:t>
      </w:r>
      <w:r w:rsidR="006E3D66" w:rsidRPr="001D08EC">
        <w:rPr>
          <w:sz w:val="28"/>
          <w:szCs w:val="28"/>
        </w:rPr>
        <w:t>:</w:t>
      </w:r>
    </w:p>
    <w:p w:rsidR="006E3D66" w:rsidRPr="001D08EC" w:rsidRDefault="006E3D66" w:rsidP="006E3D66">
      <w:pPr>
        <w:pStyle w:val="ListParagraph"/>
        <w:numPr>
          <w:ilvl w:val="0"/>
          <w:numId w:val="3"/>
        </w:numPr>
        <w:jc w:val="both"/>
        <w:rPr>
          <w:sz w:val="28"/>
          <w:szCs w:val="28"/>
        </w:rPr>
      </w:pPr>
      <w:r w:rsidRPr="001D08EC">
        <w:rPr>
          <w:sz w:val="28"/>
          <w:szCs w:val="28"/>
        </w:rPr>
        <w:t>daudzdzīvokļu dzīvojamās ēkas;</w:t>
      </w:r>
    </w:p>
    <w:p w:rsidR="006E3D66" w:rsidRPr="001D08EC" w:rsidRDefault="006E3D66" w:rsidP="006E3D66">
      <w:pPr>
        <w:pStyle w:val="ListParagraph"/>
        <w:numPr>
          <w:ilvl w:val="0"/>
          <w:numId w:val="3"/>
        </w:numPr>
        <w:jc w:val="both"/>
        <w:rPr>
          <w:sz w:val="28"/>
          <w:szCs w:val="28"/>
        </w:rPr>
      </w:pPr>
      <w:r w:rsidRPr="001D08EC">
        <w:rPr>
          <w:sz w:val="28"/>
          <w:szCs w:val="28"/>
        </w:rPr>
        <w:t>ģimenes mājas;</w:t>
      </w:r>
    </w:p>
    <w:p w:rsidR="006E3D66" w:rsidRPr="001D08EC" w:rsidRDefault="006E3D66" w:rsidP="006E3D66">
      <w:pPr>
        <w:pStyle w:val="ListParagraph"/>
        <w:numPr>
          <w:ilvl w:val="0"/>
          <w:numId w:val="3"/>
        </w:numPr>
        <w:jc w:val="both"/>
        <w:rPr>
          <w:sz w:val="28"/>
          <w:szCs w:val="28"/>
        </w:rPr>
      </w:pPr>
      <w:r w:rsidRPr="001D08EC">
        <w:rPr>
          <w:sz w:val="28"/>
          <w:szCs w:val="28"/>
        </w:rPr>
        <w:t>viesnīcas;</w:t>
      </w:r>
    </w:p>
    <w:p w:rsidR="006E3D66" w:rsidRPr="001D08EC" w:rsidRDefault="006E3D66" w:rsidP="006E3D66">
      <w:pPr>
        <w:pStyle w:val="ListParagraph"/>
        <w:numPr>
          <w:ilvl w:val="0"/>
          <w:numId w:val="3"/>
        </w:numPr>
        <w:jc w:val="both"/>
        <w:rPr>
          <w:sz w:val="28"/>
          <w:szCs w:val="28"/>
        </w:rPr>
      </w:pPr>
      <w:r w:rsidRPr="001D08EC">
        <w:rPr>
          <w:sz w:val="28"/>
          <w:szCs w:val="28"/>
        </w:rPr>
        <w:t>biroji;</w:t>
      </w:r>
    </w:p>
    <w:p w:rsidR="006E3D66" w:rsidRPr="001D08EC" w:rsidRDefault="006E3D66" w:rsidP="006E3D66">
      <w:pPr>
        <w:pStyle w:val="ListParagraph"/>
        <w:numPr>
          <w:ilvl w:val="0"/>
          <w:numId w:val="3"/>
        </w:numPr>
        <w:jc w:val="both"/>
        <w:rPr>
          <w:sz w:val="28"/>
          <w:szCs w:val="28"/>
        </w:rPr>
      </w:pPr>
      <w:r w:rsidRPr="001D08EC">
        <w:rPr>
          <w:sz w:val="28"/>
          <w:szCs w:val="28"/>
        </w:rPr>
        <w:t>rūpniecības, lauksaimniecības un tirdzniecības ēkas;</w:t>
      </w:r>
    </w:p>
    <w:p w:rsidR="006E3D66" w:rsidRPr="001D08EC" w:rsidRDefault="006E3D66" w:rsidP="006E3D66">
      <w:pPr>
        <w:pStyle w:val="ListParagraph"/>
        <w:numPr>
          <w:ilvl w:val="0"/>
          <w:numId w:val="3"/>
        </w:numPr>
        <w:jc w:val="both"/>
        <w:rPr>
          <w:sz w:val="28"/>
          <w:szCs w:val="28"/>
        </w:rPr>
      </w:pPr>
      <w:r w:rsidRPr="001D08EC">
        <w:rPr>
          <w:sz w:val="28"/>
          <w:szCs w:val="28"/>
        </w:rPr>
        <w:t>izglītības, veselības aprūpes un sporta ēkas;</w:t>
      </w:r>
    </w:p>
    <w:p w:rsidR="006E3D66" w:rsidRPr="001D08EC" w:rsidRDefault="006E3D66" w:rsidP="006E3D66">
      <w:pPr>
        <w:pStyle w:val="ListParagraph"/>
        <w:numPr>
          <w:ilvl w:val="0"/>
          <w:numId w:val="3"/>
        </w:numPr>
        <w:jc w:val="both"/>
        <w:rPr>
          <w:sz w:val="28"/>
          <w:szCs w:val="28"/>
        </w:rPr>
      </w:pPr>
      <w:r w:rsidRPr="001D08EC">
        <w:rPr>
          <w:sz w:val="28"/>
          <w:szCs w:val="28"/>
        </w:rPr>
        <w:t>transporta objekti (tilts, ceļš);</w:t>
      </w:r>
    </w:p>
    <w:p w:rsidR="006E3D66" w:rsidRPr="001D08EC" w:rsidRDefault="006E3D66" w:rsidP="006E3D66">
      <w:pPr>
        <w:pStyle w:val="ListParagraph"/>
        <w:numPr>
          <w:ilvl w:val="0"/>
          <w:numId w:val="3"/>
        </w:numPr>
        <w:jc w:val="both"/>
        <w:rPr>
          <w:sz w:val="28"/>
          <w:szCs w:val="28"/>
        </w:rPr>
      </w:pPr>
      <w:r w:rsidRPr="001D08EC">
        <w:rPr>
          <w:sz w:val="28"/>
          <w:szCs w:val="28"/>
        </w:rPr>
        <w:t>pazemes maģistrālie cauruļvadi.</w:t>
      </w:r>
    </w:p>
    <w:p w:rsidR="000F4EB0" w:rsidRPr="001D08EC" w:rsidRDefault="00F7119F" w:rsidP="005E268E">
      <w:pPr>
        <w:ind w:firstLine="720"/>
        <w:jc w:val="both"/>
        <w:rPr>
          <w:sz w:val="28"/>
          <w:szCs w:val="28"/>
        </w:rPr>
      </w:pPr>
      <w:r w:rsidRPr="001D08EC">
        <w:rPr>
          <w:sz w:val="28"/>
          <w:szCs w:val="28"/>
        </w:rPr>
        <w:t>Tād</w:t>
      </w:r>
      <w:r w:rsidR="00A038CF" w:rsidRPr="001D08EC">
        <w:rPr>
          <w:sz w:val="28"/>
          <w:szCs w:val="28"/>
        </w:rPr>
        <w:t>ē</w:t>
      </w:r>
      <w:r w:rsidRPr="001D08EC">
        <w:rPr>
          <w:sz w:val="28"/>
          <w:szCs w:val="28"/>
        </w:rPr>
        <w:t>jādi</w:t>
      </w:r>
      <w:r w:rsidR="00900561" w:rsidRPr="001D08EC">
        <w:rPr>
          <w:sz w:val="28"/>
          <w:szCs w:val="28"/>
        </w:rPr>
        <w:t xml:space="preserve"> </w:t>
      </w:r>
      <w:r w:rsidR="003D339C" w:rsidRPr="001D08EC">
        <w:rPr>
          <w:sz w:val="28"/>
          <w:szCs w:val="28"/>
        </w:rPr>
        <w:t>CSP sagatavo 9 kompleksos BII (</w:t>
      </w:r>
      <w:r w:rsidR="00671C54" w:rsidRPr="001D08EC">
        <w:rPr>
          <w:sz w:val="28"/>
          <w:szCs w:val="28"/>
        </w:rPr>
        <w:t>1</w:t>
      </w:r>
      <w:r w:rsidR="003D339C" w:rsidRPr="001D08EC">
        <w:rPr>
          <w:sz w:val="28"/>
          <w:szCs w:val="28"/>
        </w:rPr>
        <w:t xml:space="preserve"> kopējais </w:t>
      </w:r>
      <w:r w:rsidR="00C054AA">
        <w:rPr>
          <w:sz w:val="28"/>
          <w:szCs w:val="28"/>
        </w:rPr>
        <w:t>un</w:t>
      </w:r>
      <w:r w:rsidR="00671C54" w:rsidRPr="001D08EC">
        <w:rPr>
          <w:sz w:val="28"/>
          <w:szCs w:val="28"/>
        </w:rPr>
        <w:t xml:space="preserve"> 8</w:t>
      </w:r>
      <w:r w:rsidR="003D339C" w:rsidRPr="001D08EC">
        <w:rPr>
          <w:sz w:val="28"/>
          <w:szCs w:val="28"/>
        </w:rPr>
        <w:t xml:space="preserve"> pa būvniecības veidiem). </w:t>
      </w:r>
      <w:r w:rsidR="00671C54" w:rsidRPr="001D08EC">
        <w:rPr>
          <w:sz w:val="28"/>
          <w:szCs w:val="28"/>
        </w:rPr>
        <w:t>Būvmateriālu, kā arī mašīnu un mehānismu uzturēšana izmaksas katram būvniecības veidam ir specifiskas</w:t>
      </w:r>
      <w:r w:rsidR="003D339C" w:rsidRPr="001D08EC">
        <w:rPr>
          <w:sz w:val="28"/>
          <w:szCs w:val="28"/>
        </w:rPr>
        <w:t xml:space="preserve">. </w:t>
      </w:r>
      <w:r w:rsidR="00671C54" w:rsidRPr="001D08EC">
        <w:rPr>
          <w:sz w:val="28"/>
          <w:szCs w:val="28"/>
        </w:rPr>
        <w:t>Savukārt s</w:t>
      </w:r>
      <w:r w:rsidR="003D339C" w:rsidRPr="001D08EC">
        <w:rPr>
          <w:sz w:val="28"/>
          <w:szCs w:val="28"/>
        </w:rPr>
        <w:t xml:space="preserve">trādnieku darba samaksas indekss </w:t>
      </w:r>
      <w:r w:rsidR="00900561" w:rsidRPr="001D08EC">
        <w:rPr>
          <w:sz w:val="28"/>
          <w:szCs w:val="28"/>
        </w:rPr>
        <w:t xml:space="preserve">visiem būvniecības veidiem ir viens, bet to ietekme uz konkrēto </w:t>
      </w:r>
      <w:proofErr w:type="spellStart"/>
      <w:r w:rsidR="00900561" w:rsidRPr="001D08EC">
        <w:rPr>
          <w:sz w:val="28"/>
          <w:szCs w:val="28"/>
        </w:rPr>
        <w:t>būvizmaksu</w:t>
      </w:r>
      <w:proofErr w:type="spellEnd"/>
      <w:r w:rsidR="00900561" w:rsidRPr="001D08EC">
        <w:rPr>
          <w:sz w:val="28"/>
          <w:szCs w:val="28"/>
        </w:rPr>
        <w:t xml:space="preserve"> </w:t>
      </w:r>
      <w:r w:rsidR="00671C54" w:rsidRPr="001D08EC">
        <w:rPr>
          <w:sz w:val="28"/>
          <w:szCs w:val="28"/>
        </w:rPr>
        <w:t xml:space="preserve">komplekso </w:t>
      </w:r>
      <w:r w:rsidR="00900561" w:rsidRPr="001D08EC">
        <w:rPr>
          <w:sz w:val="28"/>
          <w:szCs w:val="28"/>
        </w:rPr>
        <w:t xml:space="preserve">indeksu ir atkarīga </w:t>
      </w:r>
      <w:r w:rsidR="00671C54" w:rsidRPr="001D08EC">
        <w:rPr>
          <w:sz w:val="28"/>
          <w:szCs w:val="28"/>
        </w:rPr>
        <w:t xml:space="preserve">no </w:t>
      </w:r>
      <w:r w:rsidR="00900561" w:rsidRPr="001D08EC">
        <w:rPr>
          <w:sz w:val="28"/>
          <w:szCs w:val="28"/>
        </w:rPr>
        <w:t>darba samaksas īpatsvara katra būvniecības veida kopējās izmaksās. Kopumā ir 28 dažādi BII indeksi.</w:t>
      </w:r>
    </w:p>
    <w:p w:rsidR="0069650A" w:rsidRPr="001D08EC" w:rsidRDefault="0069650A" w:rsidP="005E268E">
      <w:pPr>
        <w:ind w:firstLine="720"/>
        <w:jc w:val="both"/>
        <w:rPr>
          <w:sz w:val="28"/>
          <w:szCs w:val="28"/>
        </w:rPr>
      </w:pPr>
    </w:p>
    <w:p w:rsidR="006179FF" w:rsidRPr="001D08EC" w:rsidRDefault="00F7119F" w:rsidP="005E268E">
      <w:pPr>
        <w:ind w:firstLine="720"/>
        <w:jc w:val="both"/>
        <w:rPr>
          <w:sz w:val="28"/>
          <w:szCs w:val="28"/>
        </w:rPr>
      </w:pPr>
      <w:r w:rsidRPr="001D08EC">
        <w:rPr>
          <w:sz w:val="28"/>
          <w:szCs w:val="28"/>
        </w:rPr>
        <w:t>Ņemot vērā augstāk minēto,</w:t>
      </w:r>
      <w:r w:rsidR="0082345F" w:rsidRPr="001D08EC">
        <w:rPr>
          <w:sz w:val="28"/>
          <w:szCs w:val="28"/>
        </w:rPr>
        <w:t xml:space="preserve"> izmaksu indeksācijai ir iespējams </w:t>
      </w:r>
      <w:r w:rsidR="00900561" w:rsidRPr="001D08EC">
        <w:rPr>
          <w:sz w:val="28"/>
          <w:szCs w:val="28"/>
        </w:rPr>
        <w:t>izvēlēties</w:t>
      </w:r>
      <w:r w:rsidR="0082345F" w:rsidRPr="001D08EC">
        <w:rPr>
          <w:sz w:val="28"/>
          <w:szCs w:val="28"/>
        </w:rPr>
        <w:t xml:space="preserve"> </w:t>
      </w:r>
      <w:r w:rsidR="00900561" w:rsidRPr="001D08EC">
        <w:rPr>
          <w:sz w:val="28"/>
          <w:szCs w:val="28"/>
        </w:rPr>
        <w:t>piemērotāko</w:t>
      </w:r>
      <w:r w:rsidR="0082345F" w:rsidRPr="001D08EC">
        <w:rPr>
          <w:sz w:val="28"/>
          <w:szCs w:val="28"/>
        </w:rPr>
        <w:t xml:space="preserve"> būvniecības </w:t>
      </w:r>
      <w:r w:rsidR="00FD11B0" w:rsidRPr="001D08EC">
        <w:rPr>
          <w:sz w:val="28"/>
          <w:szCs w:val="28"/>
        </w:rPr>
        <w:t xml:space="preserve">izmaksu indeksu vai indeksu kopumu atbilstoši konkrētam projektam. Piemēram, </w:t>
      </w:r>
      <w:r w:rsidR="000F4EB0" w:rsidRPr="001D08EC">
        <w:rPr>
          <w:sz w:val="28"/>
          <w:szCs w:val="28"/>
        </w:rPr>
        <w:t>tiltu</w:t>
      </w:r>
      <w:r w:rsidR="00FD11B0" w:rsidRPr="001D08EC">
        <w:rPr>
          <w:sz w:val="28"/>
          <w:szCs w:val="28"/>
        </w:rPr>
        <w:t xml:space="preserve"> būvniecības gadījumā projekta izmaksu indeksācijai var izmantot kopējo BII transporta objektiem vai arī </w:t>
      </w:r>
      <w:r w:rsidR="006179FF" w:rsidRPr="001D08EC">
        <w:rPr>
          <w:sz w:val="28"/>
          <w:szCs w:val="28"/>
        </w:rPr>
        <w:t xml:space="preserve">atsevišķi </w:t>
      </w:r>
      <w:r w:rsidR="00FD11B0" w:rsidRPr="001D08EC">
        <w:rPr>
          <w:sz w:val="28"/>
          <w:szCs w:val="28"/>
        </w:rPr>
        <w:t xml:space="preserve">indeksēt resursu izmaksas (strādnieku darba samaksa, būvmateriāli un izmaksas mašīnu un mehānismu uzturēšanai un ekspluatācijai) ar </w:t>
      </w:r>
      <w:r w:rsidR="00A84617" w:rsidRPr="001D08EC">
        <w:rPr>
          <w:sz w:val="28"/>
          <w:szCs w:val="28"/>
        </w:rPr>
        <w:t>konkrētai būvei</w:t>
      </w:r>
      <w:r w:rsidR="006179FF" w:rsidRPr="001D08EC">
        <w:rPr>
          <w:sz w:val="28"/>
          <w:szCs w:val="28"/>
        </w:rPr>
        <w:t xml:space="preserve"> atbilstošiem resursu indeksiem. Tā</w:t>
      </w:r>
      <w:r w:rsidR="00900561" w:rsidRPr="001D08EC">
        <w:rPr>
          <w:sz w:val="28"/>
          <w:szCs w:val="28"/>
        </w:rPr>
        <w:t>d</w:t>
      </w:r>
      <w:r w:rsidR="00A038CF" w:rsidRPr="001D08EC">
        <w:rPr>
          <w:sz w:val="28"/>
          <w:szCs w:val="28"/>
        </w:rPr>
        <w:t>ē</w:t>
      </w:r>
      <w:r w:rsidR="00900561" w:rsidRPr="001D08EC">
        <w:rPr>
          <w:sz w:val="28"/>
          <w:szCs w:val="28"/>
        </w:rPr>
        <w:t>jādi</w:t>
      </w:r>
      <w:r w:rsidR="006179FF" w:rsidRPr="001D08EC">
        <w:rPr>
          <w:sz w:val="28"/>
          <w:szCs w:val="28"/>
        </w:rPr>
        <w:t xml:space="preserve"> ir </w:t>
      </w:r>
      <w:r w:rsidR="00900561" w:rsidRPr="001D08EC">
        <w:rPr>
          <w:sz w:val="28"/>
          <w:szCs w:val="28"/>
        </w:rPr>
        <w:t>iespējams iegū</w:t>
      </w:r>
      <w:r w:rsidR="006179FF" w:rsidRPr="001D08EC">
        <w:rPr>
          <w:sz w:val="28"/>
          <w:szCs w:val="28"/>
        </w:rPr>
        <w:t xml:space="preserve">t tieši konkrētam projektam </w:t>
      </w:r>
      <w:r w:rsidR="00A84617" w:rsidRPr="001D08EC">
        <w:rPr>
          <w:sz w:val="28"/>
          <w:szCs w:val="28"/>
        </w:rPr>
        <w:t>piemērotāku</w:t>
      </w:r>
      <w:r w:rsidR="006179FF" w:rsidRPr="001D08EC">
        <w:rPr>
          <w:sz w:val="28"/>
          <w:szCs w:val="28"/>
        </w:rPr>
        <w:t xml:space="preserve"> </w:t>
      </w:r>
      <w:proofErr w:type="spellStart"/>
      <w:r w:rsidR="006179FF" w:rsidRPr="001D08EC">
        <w:rPr>
          <w:sz w:val="28"/>
          <w:szCs w:val="28"/>
        </w:rPr>
        <w:t>būvizmaksu</w:t>
      </w:r>
      <w:proofErr w:type="spellEnd"/>
      <w:r w:rsidR="006179FF" w:rsidRPr="001D08EC">
        <w:rPr>
          <w:sz w:val="28"/>
          <w:szCs w:val="28"/>
        </w:rPr>
        <w:t xml:space="preserve"> indeksu atbilstoši </w:t>
      </w:r>
      <w:r w:rsidR="000F4EB0" w:rsidRPr="001D08EC">
        <w:rPr>
          <w:sz w:val="28"/>
          <w:szCs w:val="28"/>
        </w:rPr>
        <w:t>tā</w:t>
      </w:r>
      <w:r w:rsidR="006179FF" w:rsidRPr="001D08EC">
        <w:rPr>
          <w:sz w:val="28"/>
          <w:szCs w:val="28"/>
        </w:rPr>
        <w:t xml:space="preserve"> </w:t>
      </w:r>
      <w:r w:rsidR="000F4EB0" w:rsidRPr="001D08EC">
        <w:rPr>
          <w:sz w:val="28"/>
          <w:szCs w:val="28"/>
        </w:rPr>
        <w:t xml:space="preserve">tāmes </w:t>
      </w:r>
      <w:r w:rsidR="006179FF" w:rsidRPr="001D08EC">
        <w:rPr>
          <w:sz w:val="28"/>
          <w:szCs w:val="28"/>
        </w:rPr>
        <w:t>resursu izmaksu struktūrai.</w:t>
      </w:r>
    </w:p>
    <w:p w:rsidR="000F4EB0" w:rsidRPr="001D08EC" w:rsidRDefault="000F4EB0" w:rsidP="005E268E">
      <w:pPr>
        <w:ind w:firstLine="720"/>
        <w:jc w:val="both"/>
        <w:rPr>
          <w:sz w:val="28"/>
          <w:szCs w:val="28"/>
        </w:rPr>
      </w:pPr>
    </w:p>
    <w:p w:rsidR="00696074" w:rsidRPr="001D08EC" w:rsidRDefault="00696074" w:rsidP="005E268E">
      <w:pPr>
        <w:ind w:firstLine="720"/>
        <w:jc w:val="both"/>
        <w:rPr>
          <w:sz w:val="28"/>
          <w:szCs w:val="28"/>
        </w:rPr>
      </w:pPr>
      <w:r w:rsidRPr="001D08EC">
        <w:rPr>
          <w:sz w:val="28"/>
          <w:szCs w:val="28"/>
        </w:rPr>
        <w:t xml:space="preserve">Ir arī specifisks </w:t>
      </w:r>
      <w:proofErr w:type="spellStart"/>
      <w:r w:rsidRPr="001D08EC">
        <w:rPr>
          <w:sz w:val="28"/>
          <w:szCs w:val="28"/>
        </w:rPr>
        <w:t>būvizmaksu</w:t>
      </w:r>
      <w:proofErr w:type="spellEnd"/>
      <w:r w:rsidRPr="001D08EC">
        <w:rPr>
          <w:sz w:val="28"/>
          <w:szCs w:val="28"/>
        </w:rPr>
        <w:t xml:space="preserve"> indekss par jaunu dzīvojamo māju būvniecību atbilstoši ES īstermiņa statistikas regulas  Nr. 1165/98 prasībām (skatīt 1.pielikumu).</w:t>
      </w:r>
    </w:p>
    <w:p w:rsidR="00696074" w:rsidRPr="001D08EC" w:rsidRDefault="00696074" w:rsidP="005E268E">
      <w:pPr>
        <w:ind w:firstLine="720"/>
        <w:jc w:val="both"/>
        <w:rPr>
          <w:sz w:val="28"/>
          <w:szCs w:val="28"/>
        </w:rPr>
      </w:pPr>
    </w:p>
    <w:p w:rsidR="00696074" w:rsidRPr="001D08EC" w:rsidRDefault="00696074" w:rsidP="005E268E">
      <w:pPr>
        <w:ind w:firstLine="720"/>
        <w:jc w:val="both"/>
        <w:rPr>
          <w:sz w:val="28"/>
          <w:szCs w:val="28"/>
        </w:rPr>
      </w:pPr>
      <w:r w:rsidRPr="001D08EC">
        <w:rPr>
          <w:sz w:val="28"/>
          <w:szCs w:val="28"/>
        </w:rPr>
        <w:t xml:space="preserve">Bez BII CSP aprēķina arī virkni citus rādītājus, kas ir izmantojami būvniecības izmaksu indeksācijai. </w:t>
      </w:r>
    </w:p>
    <w:p w:rsidR="00696074" w:rsidRPr="001D08EC" w:rsidRDefault="00696074" w:rsidP="005E268E">
      <w:pPr>
        <w:ind w:firstLine="720"/>
        <w:jc w:val="both"/>
        <w:rPr>
          <w:sz w:val="28"/>
          <w:szCs w:val="28"/>
        </w:rPr>
      </w:pPr>
      <w:r w:rsidRPr="001D08EC">
        <w:rPr>
          <w:sz w:val="28"/>
          <w:szCs w:val="28"/>
        </w:rPr>
        <w:t>Piemēram, BII vietā par strādnieku darba samaksu var izmantot Darbaspēka izmaksu indeksu pa darbības veidiem (</w:t>
      </w:r>
      <w:r w:rsidRPr="001D08EC">
        <w:rPr>
          <w:i/>
          <w:sz w:val="28"/>
          <w:szCs w:val="28"/>
        </w:rPr>
        <w:t>Būvniecība – F nozare</w:t>
      </w:r>
      <w:r w:rsidRPr="001D08EC">
        <w:rPr>
          <w:sz w:val="28"/>
          <w:szCs w:val="28"/>
        </w:rPr>
        <w:t>) (skatīt 1.pielikumu).</w:t>
      </w:r>
    </w:p>
    <w:p w:rsidR="000F4EB0" w:rsidRPr="001D08EC" w:rsidRDefault="00082449" w:rsidP="005E268E">
      <w:pPr>
        <w:ind w:firstLine="720"/>
        <w:jc w:val="both"/>
        <w:rPr>
          <w:sz w:val="28"/>
          <w:szCs w:val="28"/>
        </w:rPr>
      </w:pPr>
      <w:r w:rsidRPr="001D08EC">
        <w:rPr>
          <w:sz w:val="28"/>
          <w:szCs w:val="28"/>
        </w:rPr>
        <w:t>Savukārt</w:t>
      </w:r>
      <w:r w:rsidR="000F4EB0" w:rsidRPr="001D08EC">
        <w:rPr>
          <w:sz w:val="28"/>
          <w:szCs w:val="28"/>
        </w:rPr>
        <w:t xml:space="preserve"> ceļu būvnieki</w:t>
      </w:r>
      <w:r w:rsidR="00671C54" w:rsidRPr="001D08EC">
        <w:rPr>
          <w:sz w:val="28"/>
          <w:szCs w:val="28"/>
        </w:rPr>
        <w:t xml:space="preserve"> uzskata</w:t>
      </w:r>
      <w:r w:rsidR="000F4EB0" w:rsidRPr="001D08EC">
        <w:rPr>
          <w:sz w:val="28"/>
          <w:szCs w:val="28"/>
        </w:rPr>
        <w:t>,</w:t>
      </w:r>
      <w:r w:rsidR="00671C54" w:rsidRPr="001D08EC">
        <w:rPr>
          <w:sz w:val="28"/>
          <w:szCs w:val="28"/>
        </w:rPr>
        <w:t xml:space="preserve"> ka </w:t>
      </w:r>
      <w:r w:rsidR="000F4EB0" w:rsidRPr="001D08EC">
        <w:rPr>
          <w:sz w:val="28"/>
          <w:szCs w:val="28"/>
        </w:rPr>
        <w:t xml:space="preserve"> </w:t>
      </w:r>
      <w:r w:rsidR="00085614" w:rsidRPr="001D08EC">
        <w:rPr>
          <w:sz w:val="28"/>
          <w:szCs w:val="28"/>
        </w:rPr>
        <w:t xml:space="preserve">izmaksas </w:t>
      </w:r>
      <w:r w:rsidR="00EA2F85" w:rsidRPr="001D08EC">
        <w:rPr>
          <w:sz w:val="28"/>
          <w:szCs w:val="28"/>
        </w:rPr>
        <w:t xml:space="preserve">lietderīgāk </w:t>
      </w:r>
      <w:r w:rsidR="00085614" w:rsidRPr="001D08EC">
        <w:rPr>
          <w:sz w:val="28"/>
          <w:szCs w:val="28"/>
        </w:rPr>
        <w:t>būtu indeksēt ar degvielas cenu indeksu</w:t>
      </w:r>
      <w:r w:rsidR="004B22E0" w:rsidRPr="001D08EC">
        <w:rPr>
          <w:sz w:val="28"/>
          <w:szCs w:val="28"/>
        </w:rPr>
        <w:t>, vai nu indeksējot tikai degvielas izmaksas vai arī kopējās izmaksas mašīnu un mehānismu uzturēšanai un ekspluatācijai, kā arī materiālu izmaksas</w:t>
      </w:r>
      <w:r w:rsidR="00085614" w:rsidRPr="001D08EC">
        <w:rPr>
          <w:sz w:val="28"/>
          <w:szCs w:val="28"/>
        </w:rPr>
        <w:t xml:space="preserve">. Līdzīgi var izmantot arī citus </w:t>
      </w:r>
      <w:r w:rsidR="004B22E0" w:rsidRPr="001D08EC">
        <w:rPr>
          <w:sz w:val="28"/>
          <w:szCs w:val="28"/>
        </w:rPr>
        <w:t>statistikā pieejamos indeksus</w:t>
      </w:r>
      <w:r w:rsidR="00085614" w:rsidRPr="001D08EC">
        <w:rPr>
          <w:sz w:val="28"/>
          <w:szCs w:val="28"/>
        </w:rPr>
        <w:t xml:space="preserve">, piemēram, administratīvās izmaksas var indeksēt ar patēriņa cenu indeksu. </w:t>
      </w:r>
    </w:p>
    <w:p w:rsidR="00085614" w:rsidRPr="001D08EC" w:rsidRDefault="00085614" w:rsidP="005E268E">
      <w:pPr>
        <w:ind w:firstLine="720"/>
        <w:jc w:val="both"/>
        <w:rPr>
          <w:sz w:val="28"/>
          <w:szCs w:val="28"/>
        </w:rPr>
      </w:pPr>
    </w:p>
    <w:p w:rsidR="00085614" w:rsidRPr="001D08EC" w:rsidRDefault="00F7119F" w:rsidP="005E268E">
      <w:pPr>
        <w:ind w:firstLine="720"/>
        <w:jc w:val="both"/>
        <w:rPr>
          <w:sz w:val="28"/>
          <w:szCs w:val="28"/>
        </w:rPr>
      </w:pPr>
      <w:r w:rsidRPr="001D08EC">
        <w:rPr>
          <w:sz w:val="28"/>
          <w:szCs w:val="28"/>
        </w:rPr>
        <w:t>Ziņojuma 2.pielikumā ir dots pārskats</w:t>
      </w:r>
      <w:r w:rsidR="00085614" w:rsidRPr="001D08EC">
        <w:rPr>
          <w:sz w:val="28"/>
          <w:szCs w:val="28"/>
        </w:rPr>
        <w:t xml:space="preserve"> par pieejamo indeksu di</w:t>
      </w:r>
      <w:r w:rsidR="000D4322" w:rsidRPr="001D08EC">
        <w:rPr>
          <w:sz w:val="28"/>
          <w:szCs w:val="28"/>
        </w:rPr>
        <w:t>namiku pa ceturkšņiem un veikta</w:t>
      </w:r>
      <w:r w:rsidR="00085614" w:rsidRPr="001D08EC">
        <w:rPr>
          <w:sz w:val="28"/>
          <w:szCs w:val="28"/>
        </w:rPr>
        <w:t xml:space="preserve"> </w:t>
      </w:r>
      <w:r w:rsidR="000D4322" w:rsidRPr="001D08EC">
        <w:rPr>
          <w:sz w:val="28"/>
          <w:szCs w:val="28"/>
        </w:rPr>
        <w:t>to salīdzinošā analīze</w:t>
      </w:r>
      <w:r w:rsidRPr="001D08EC">
        <w:rPr>
          <w:sz w:val="28"/>
          <w:szCs w:val="28"/>
        </w:rPr>
        <w:t>.</w:t>
      </w:r>
      <w:r w:rsidR="00085614" w:rsidRPr="001D08EC">
        <w:rPr>
          <w:sz w:val="28"/>
          <w:szCs w:val="28"/>
        </w:rPr>
        <w:t xml:space="preserve"> </w:t>
      </w:r>
    </w:p>
    <w:p w:rsidR="000D4322" w:rsidRPr="001D08EC" w:rsidRDefault="000D4322" w:rsidP="005E268E">
      <w:pPr>
        <w:ind w:firstLine="720"/>
        <w:jc w:val="both"/>
        <w:rPr>
          <w:sz w:val="28"/>
          <w:szCs w:val="28"/>
        </w:rPr>
      </w:pPr>
    </w:p>
    <w:p w:rsidR="007A7F7A" w:rsidRPr="001D08EC" w:rsidRDefault="007A7F7A" w:rsidP="005E268E">
      <w:pPr>
        <w:ind w:firstLine="720"/>
        <w:jc w:val="both"/>
        <w:rPr>
          <w:sz w:val="28"/>
          <w:szCs w:val="28"/>
        </w:rPr>
      </w:pPr>
      <w:r w:rsidRPr="001D08EC">
        <w:rPr>
          <w:sz w:val="28"/>
          <w:szCs w:val="28"/>
        </w:rPr>
        <w:t>Izvērtējot visu indeksu vēsturiskos datus, jāsecina, ka:</w:t>
      </w:r>
    </w:p>
    <w:p w:rsidR="007A7F7A" w:rsidRPr="001D08EC" w:rsidRDefault="007A7F7A" w:rsidP="007A7F7A">
      <w:pPr>
        <w:pStyle w:val="ListParagraph"/>
        <w:numPr>
          <w:ilvl w:val="0"/>
          <w:numId w:val="7"/>
        </w:numPr>
        <w:jc w:val="both"/>
        <w:rPr>
          <w:sz w:val="28"/>
          <w:szCs w:val="28"/>
        </w:rPr>
      </w:pPr>
      <w:r w:rsidRPr="001D08EC">
        <w:rPr>
          <w:sz w:val="28"/>
          <w:szCs w:val="28"/>
        </w:rPr>
        <w:t>labāk izmantot katra būvniecības veida specifiskos indeksus, nekā kopējo BII;</w:t>
      </w:r>
    </w:p>
    <w:p w:rsidR="007A7F7A" w:rsidRPr="001D08EC" w:rsidRDefault="007A7F7A" w:rsidP="007A7F7A">
      <w:pPr>
        <w:pStyle w:val="ListParagraph"/>
        <w:numPr>
          <w:ilvl w:val="0"/>
          <w:numId w:val="7"/>
        </w:numPr>
        <w:jc w:val="both"/>
        <w:rPr>
          <w:sz w:val="28"/>
          <w:szCs w:val="28"/>
        </w:rPr>
      </w:pPr>
      <w:r w:rsidRPr="001D08EC">
        <w:rPr>
          <w:sz w:val="28"/>
          <w:szCs w:val="28"/>
        </w:rPr>
        <w:t xml:space="preserve">vislietderīgāk, ja iespējams, ir izmantot katra atbilstošā būvniecības veida resursu indeksus, tādejādi tuvinot kopējo indeksāciju katra projekta izmaksa struktūrai.  </w:t>
      </w:r>
    </w:p>
    <w:p w:rsidR="00534F22" w:rsidRPr="001D08EC" w:rsidRDefault="00534F22" w:rsidP="005E268E">
      <w:pPr>
        <w:ind w:firstLine="720"/>
        <w:jc w:val="both"/>
        <w:rPr>
          <w:sz w:val="28"/>
          <w:szCs w:val="28"/>
        </w:rPr>
      </w:pPr>
      <w:r w:rsidRPr="001D08EC">
        <w:rPr>
          <w:sz w:val="28"/>
          <w:szCs w:val="28"/>
        </w:rPr>
        <w:t xml:space="preserve">CSP ir apsvērusi arī iespējas paplašināt būvniecības veidu indeksu kopumu, publicējot atsevišķi </w:t>
      </w:r>
      <w:r w:rsidR="000B7FD7" w:rsidRPr="001D08EC">
        <w:rPr>
          <w:sz w:val="28"/>
          <w:szCs w:val="28"/>
        </w:rPr>
        <w:t xml:space="preserve">BII </w:t>
      </w:r>
      <w:r w:rsidRPr="001D08EC">
        <w:rPr>
          <w:sz w:val="28"/>
          <w:szCs w:val="28"/>
        </w:rPr>
        <w:t>par tiltu būvi un ceļu būvi. Jauno</w:t>
      </w:r>
      <w:r w:rsidR="00A038CF" w:rsidRPr="001D08EC">
        <w:rPr>
          <w:sz w:val="28"/>
          <w:szCs w:val="28"/>
        </w:rPr>
        <w:t>,</w:t>
      </w:r>
      <w:r w:rsidRPr="001D08EC">
        <w:rPr>
          <w:sz w:val="28"/>
          <w:szCs w:val="28"/>
        </w:rPr>
        <w:t xml:space="preserve"> izstrādāto modeli ceļa jaunbūvei</w:t>
      </w:r>
      <w:r w:rsidR="00A038CF" w:rsidRPr="001D08EC">
        <w:rPr>
          <w:sz w:val="28"/>
          <w:szCs w:val="28"/>
        </w:rPr>
        <w:t xml:space="preserve">  2012.gadā vēl nevarēs</w:t>
      </w:r>
      <w:r w:rsidRPr="001D08EC">
        <w:rPr>
          <w:sz w:val="28"/>
          <w:szCs w:val="28"/>
        </w:rPr>
        <w:t xml:space="preserve"> izmantot kopējā BII aprēķinos, jo  ir jāuzkrāj izmaksu bāze par veselu gadu.</w:t>
      </w:r>
    </w:p>
    <w:p w:rsidR="007F7282" w:rsidRDefault="007F7282" w:rsidP="005E268E">
      <w:pPr>
        <w:ind w:firstLine="720"/>
        <w:jc w:val="both"/>
        <w:rPr>
          <w:sz w:val="28"/>
          <w:szCs w:val="28"/>
        </w:rPr>
      </w:pPr>
    </w:p>
    <w:p w:rsidR="004B22E0" w:rsidRPr="001D08EC" w:rsidRDefault="008E3609" w:rsidP="005E268E">
      <w:pPr>
        <w:ind w:firstLine="720"/>
        <w:jc w:val="both"/>
        <w:rPr>
          <w:sz w:val="28"/>
          <w:szCs w:val="28"/>
        </w:rPr>
      </w:pPr>
      <w:r w:rsidRPr="001D08EC">
        <w:rPr>
          <w:sz w:val="28"/>
          <w:szCs w:val="28"/>
        </w:rPr>
        <w:t xml:space="preserve">Kā atzīmē speciālisti, lielākās problēmas resursu indeksu izmantošanā ir atbilstošo resursu grupu izmaksu izdalīšana būvprojekta izmaksās. Vairums ES dalībvalstīs tā ir normāla prakse, ka būvniecības projektu izmaksu struktūrā tiek izdalītas </w:t>
      </w:r>
      <w:r w:rsidR="00BC6AD3" w:rsidRPr="001D08EC">
        <w:rPr>
          <w:sz w:val="28"/>
          <w:szCs w:val="28"/>
        </w:rPr>
        <w:t>i</w:t>
      </w:r>
      <w:r w:rsidRPr="001D08EC">
        <w:rPr>
          <w:sz w:val="28"/>
          <w:szCs w:val="28"/>
        </w:rPr>
        <w:t>zmaksas no</w:t>
      </w:r>
      <w:r w:rsidR="00BC6AD3" w:rsidRPr="001D08EC">
        <w:rPr>
          <w:sz w:val="28"/>
          <w:szCs w:val="28"/>
        </w:rPr>
        <w:t>darbinātībai, būvmateriāliem un MM izmantošanai.</w:t>
      </w:r>
    </w:p>
    <w:p w:rsidR="004F5E01" w:rsidRPr="001D08EC" w:rsidRDefault="004F5E01" w:rsidP="005E268E">
      <w:pPr>
        <w:ind w:firstLine="720"/>
        <w:jc w:val="both"/>
        <w:rPr>
          <w:sz w:val="28"/>
          <w:szCs w:val="28"/>
        </w:rPr>
      </w:pPr>
    </w:p>
    <w:p w:rsidR="00260B1F" w:rsidRPr="001D08EC" w:rsidRDefault="004F5E01" w:rsidP="005E268E">
      <w:pPr>
        <w:ind w:firstLine="720"/>
        <w:jc w:val="both"/>
        <w:rPr>
          <w:sz w:val="28"/>
          <w:szCs w:val="28"/>
        </w:rPr>
      </w:pPr>
      <w:r w:rsidRPr="001D08EC">
        <w:rPr>
          <w:sz w:val="28"/>
          <w:szCs w:val="28"/>
        </w:rPr>
        <w:lastRenderedPageBreak/>
        <w:t xml:space="preserve">Attiecībā uz degvielas cenu izmaiņu izmantošanu </w:t>
      </w:r>
      <w:proofErr w:type="spellStart"/>
      <w:r w:rsidRPr="001D08EC">
        <w:rPr>
          <w:sz w:val="28"/>
          <w:szCs w:val="28"/>
        </w:rPr>
        <w:t>būvizmaksu</w:t>
      </w:r>
      <w:proofErr w:type="spellEnd"/>
      <w:r w:rsidRPr="001D08EC">
        <w:rPr>
          <w:sz w:val="28"/>
          <w:szCs w:val="28"/>
        </w:rPr>
        <w:t xml:space="preserve"> indeksēšanā, jāatzīmē, ka</w:t>
      </w:r>
      <w:r w:rsidR="00260B1F" w:rsidRPr="001D08EC">
        <w:rPr>
          <w:sz w:val="28"/>
          <w:szCs w:val="28"/>
        </w:rPr>
        <w:t>:</w:t>
      </w:r>
    </w:p>
    <w:p w:rsidR="00260B1F" w:rsidRPr="001D08EC" w:rsidRDefault="004F5E01" w:rsidP="00260B1F">
      <w:pPr>
        <w:pStyle w:val="ListParagraph"/>
        <w:numPr>
          <w:ilvl w:val="0"/>
          <w:numId w:val="8"/>
        </w:numPr>
        <w:jc w:val="both"/>
        <w:rPr>
          <w:sz w:val="28"/>
          <w:szCs w:val="28"/>
        </w:rPr>
      </w:pPr>
      <w:r w:rsidRPr="001D08EC">
        <w:rPr>
          <w:sz w:val="28"/>
          <w:szCs w:val="28"/>
        </w:rPr>
        <w:t>degvielas cenu izmaiņ</w:t>
      </w:r>
      <w:r w:rsidR="00260B1F" w:rsidRPr="001D08EC">
        <w:rPr>
          <w:sz w:val="28"/>
          <w:szCs w:val="28"/>
        </w:rPr>
        <w:t>as tiešā veidā nevar attiecināt uz būvniecības izmaksu indeksēšanu, jo to dinamika ir atšķirīga;</w:t>
      </w:r>
    </w:p>
    <w:p w:rsidR="00260B1F" w:rsidRPr="001D08EC" w:rsidRDefault="00260B1F" w:rsidP="00260B1F">
      <w:pPr>
        <w:pStyle w:val="ListParagraph"/>
        <w:numPr>
          <w:ilvl w:val="0"/>
          <w:numId w:val="8"/>
        </w:numPr>
        <w:jc w:val="both"/>
        <w:rPr>
          <w:sz w:val="28"/>
          <w:szCs w:val="28"/>
        </w:rPr>
      </w:pPr>
      <w:r w:rsidRPr="001D08EC">
        <w:rPr>
          <w:sz w:val="28"/>
          <w:szCs w:val="28"/>
        </w:rPr>
        <w:t>vislietderīgāk degvielas cenu izmaiņas attiecināt uz MM izmaksu indeksēšanu diviem būvniecības veidiem – transporta objektiem un pazemes maģistrālajiem cauruļvadiem;</w:t>
      </w:r>
    </w:p>
    <w:p w:rsidR="004F5E01" w:rsidRPr="001D08EC" w:rsidRDefault="00260B1F" w:rsidP="00260B1F">
      <w:pPr>
        <w:pStyle w:val="ListParagraph"/>
        <w:numPr>
          <w:ilvl w:val="0"/>
          <w:numId w:val="8"/>
        </w:numPr>
        <w:jc w:val="both"/>
        <w:rPr>
          <w:sz w:val="28"/>
          <w:szCs w:val="28"/>
        </w:rPr>
      </w:pPr>
      <w:r w:rsidRPr="001D08EC">
        <w:rPr>
          <w:sz w:val="28"/>
          <w:szCs w:val="28"/>
        </w:rPr>
        <w:t xml:space="preserve">MM izmaksu indeksēšanai no degvielas cenu </w:t>
      </w:r>
      <w:r w:rsidR="004F5E01" w:rsidRPr="001D08EC">
        <w:rPr>
          <w:sz w:val="28"/>
          <w:szCs w:val="28"/>
        </w:rPr>
        <w:t xml:space="preserve"> </w:t>
      </w:r>
      <w:r w:rsidRPr="001D08EC">
        <w:rPr>
          <w:sz w:val="28"/>
          <w:szCs w:val="28"/>
        </w:rPr>
        <w:t>izmaiņu indeksa pieauguma var izmantot tikai pusi (transporta objektu gadījumā) un 2/3 daļas (pazemes maģistrālo cauruļvadu gadījumā);</w:t>
      </w:r>
    </w:p>
    <w:p w:rsidR="00260B1F" w:rsidRPr="001D08EC" w:rsidRDefault="00260B1F" w:rsidP="00260B1F">
      <w:pPr>
        <w:pStyle w:val="ListParagraph"/>
        <w:numPr>
          <w:ilvl w:val="0"/>
          <w:numId w:val="8"/>
        </w:numPr>
        <w:jc w:val="both"/>
        <w:rPr>
          <w:sz w:val="28"/>
          <w:szCs w:val="28"/>
        </w:rPr>
      </w:pPr>
      <w:r w:rsidRPr="001D08EC">
        <w:rPr>
          <w:sz w:val="28"/>
          <w:szCs w:val="28"/>
        </w:rPr>
        <w:t>degvielas cenu izmaiņu indeksēšanai labāk izmantot degvielas cenu izmaiņas no patēriņa cenu indeksa groza</w:t>
      </w:r>
      <w:r w:rsidR="000D4322" w:rsidRPr="001D08EC">
        <w:rPr>
          <w:sz w:val="28"/>
          <w:szCs w:val="28"/>
        </w:rPr>
        <w:t>, jo tajā</w:t>
      </w:r>
      <w:r w:rsidR="00EA2F85" w:rsidRPr="001D08EC">
        <w:rPr>
          <w:sz w:val="28"/>
          <w:szCs w:val="28"/>
        </w:rPr>
        <w:t>s</w:t>
      </w:r>
      <w:r w:rsidR="000D4322" w:rsidRPr="001D08EC">
        <w:rPr>
          <w:sz w:val="28"/>
          <w:szCs w:val="28"/>
        </w:rPr>
        <w:t xml:space="preserve"> ir ietvertas arī valūtas kursa izmaiņas.</w:t>
      </w:r>
    </w:p>
    <w:p w:rsidR="000D4322" w:rsidRPr="001D08EC" w:rsidRDefault="000D4322" w:rsidP="005E268E">
      <w:pPr>
        <w:ind w:firstLine="720"/>
        <w:jc w:val="both"/>
        <w:rPr>
          <w:sz w:val="28"/>
          <w:szCs w:val="28"/>
        </w:rPr>
      </w:pPr>
    </w:p>
    <w:p w:rsidR="00EA2F85" w:rsidRDefault="00EA2F85" w:rsidP="005E268E">
      <w:pPr>
        <w:ind w:firstLine="720"/>
        <w:jc w:val="both"/>
        <w:rPr>
          <w:sz w:val="28"/>
          <w:szCs w:val="28"/>
        </w:rPr>
      </w:pPr>
      <w:r w:rsidRPr="001D08EC">
        <w:rPr>
          <w:sz w:val="28"/>
          <w:szCs w:val="28"/>
        </w:rPr>
        <w:t xml:space="preserve">Darbaspēka izmaksas labāk indeksēt ar strādnieku darba samaksas indeksu, ko sagatavo BII aprēķināšanai, jo tas ciešāk saistīts ar veikto būvniecības apjomu. Pie tam, spēja būvniecības darbu pieprasījuma vai samazinājuma gadījumā, </w:t>
      </w:r>
      <w:r w:rsidR="001252DB" w:rsidRPr="001D08EC">
        <w:rPr>
          <w:sz w:val="28"/>
          <w:szCs w:val="28"/>
        </w:rPr>
        <w:t>šī indeksa</w:t>
      </w:r>
      <w:r w:rsidRPr="001D08EC">
        <w:rPr>
          <w:sz w:val="28"/>
          <w:szCs w:val="28"/>
        </w:rPr>
        <w:t xml:space="preserve"> izmaiņas ir īpaši izteiktas, kas atstāj </w:t>
      </w:r>
      <w:r w:rsidR="001252DB" w:rsidRPr="001D08EC">
        <w:rPr>
          <w:sz w:val="28"/>
          <w:szCs w:val="28"/>
        </w:rPr>
        <w:t xml:space="preserve">būtisku ietekmi uz kopējām būvniecības izmaksām. Tāpēc, lai  labāk nodrošinātos pret šādām darbaspēka izmaksu izmaiņām, līgumā kā darbaspēka izmaksu indeksēšanas indekss būtu jāmin strādnieku darba samaksas indekss no BII. </w:t>
      </w:r>
    </w:p>
    <w:p w:rsidR="008B72B1" w:rsidRPr="001D08EC" w:rsidRDefault="008B72B1" w:rsidP="005E268E">
      <w:pPr>
        <w:ind w:firstLine="720"/>
        <w:jc w:val="both"/>
        <w:rPr>
          <w:sz w:val="28"/>
          <w:szCs w:val="28"/>
        </w:rPr>
      </w:pPr>
    </w:p>
    <w:p w:rsidR="00C054AA" w:rsidRPr="00E64964" w:rsidRDefault="00C054AA" w:rsidP="00C054AA">
      <w:pPr>
        <w:rPr>
          <w:b/>
          <w:sz w:val="28"/>
          <w:szCs w:val="28"/>
        </w:rPr>
      </w:pPr>
      <w:r w:rsidRPr="00E64964">
        <w:rPr>
          <w:b/>
          <w:sz w:val="28"/>
          <w:szCs w:val="28"/>
        </w:rPr>
        <w:t>Būvniecības izmaksu indeksēšanai izmantojamie indeksi</w:t>
      </w:r>
    </w:p>
    <w:p w:rsidR="00C054AA" w:rsidRPr="00C054AA" w:rsidRDefault="00C054AA" w:rsidP="00C054AA">
      <w:pPr>
        <w:jc w:val="center"/>
        <w:rPr>
          <w:b/>
          <w:sz w:val="28"/>
          <w:szCs w:val="28"/>
        </w:rPr>
      </w:pPr>
    </w:p>
    <w:tbl>
      <w:tblPr>
        <w:tblStyle w:val="TableGrid"/>
        <w:tblW w:w="0" w:type="auto"/>
        <w:tblLook w:val="04A0"/>
      </w:tblPr>
      <w:tblGrid>
        <w:gridCol w:w="9288"/>
      </w:tblGrid>
      <w:tr w:rsidR="00C054AA" w:rsidTr="006276EA">
        <w:tc>
          <w:tcPr>
            <w:tcW w:w="9288" w:type="dxa"/>
            <w:shd w:val="clear" w:color="auto" w:fill="F2F2F2" w:themeFill="background1" w:themeFillShade="F2"/>
          </w:tcPr>
          <w:p w:rsidR="00C054AA" w:rsidRPr="00BF1CD6" w:rsidRDefault="00C054AA" w:rsidP="006276EA">
            <w:pPr>
              <w:rPr>
                <w:b/>
                <w:sz w:val="24"/>
              </w:rPr>
            </w:pPr>
            <w:r w:rsidRPr="00BF1CD6">
              <w:rPr>
                <w:b/>
                <w:sz w:val="24"/>
              </w:rPr>
              <w:t xml:space="preserve">I. Būvniecības izmaksu indeksi (BII) </w:t>
            </w:r>
            <w:r w:rsidRPr="00BF1CD6">
              <w:rPr>
                <w:sz w:val="24"/>
              </w:rPr>
              <w:t>ietver 28 datu sērijas</w:t>
            </w:r>
          </w:p>
          <w:p w:rsidR="00C054AA" w:rsidRPr="00BF1CD6" w:rsidRDefault="00C054AA" w:rsidP="006276EA">
            <w:pPr>
              <w:ind w:left="567"/>
              <w:rPr>
                <w:sz w:val="24"/>
              </w:rPr>
            </w:pPr>
            <w:r w:rsidRPr="00BF1CD6">
              <w:rPr>
                <w:sz w:val="24"/>
              </w:rPr>
              <w:t xml:space="preserve"> BII – visi objekti</w:t>
            </w:r>
          </w:p>
          <w:p w:rsidR="00C054AA" w:rsidRPr="00BF1CD6" w:rsidRDefault="00C054AA" w:rsidP="006276EA">
            <w:pPr>
              <w:ind w:left="567" w:firstLine="567"/>
              <w:rPr>
                <w:sz w:val="24"/>
              </w:rPr>
            </w:pPr>
            <w:r w:rsidRPr="00BF1CD6">
              <w:rPr>
                <w:sz w:val="24"/>
              </w:rPr>
              <w:t>t.sk.:</w:t>
            </w:r>
          </w:p>
          <w:p w:rsidR="00C054AA" w:rsidRPr="00BF1CD6" w:rsidRDefault="00C054AA" w:rsidP="00C054AA">
            <w:pPr>
              <w:pStyle w:val="ListParagraph"/>
              <w:numPr>
                <w:ilvl w:val="0"/>
                <w:numId w:val="10"/>
              </w:numPr>
              <w:rPr>
                <w:sz w:val="24"/>
              </w:rPr>
            </w:pPr>
            <w:r w:rsidRPr="00BF1CD6">
              <w:rPr>
                <w:sz w:val="24"/>
              </w:rPr>
              <w:t>būvmateriāli;</w:t>
            </w:r>
          </w:p>
          <w:p w:rsidR="00C054AA" w:rsidRPr="00BF1CD6" w:rsidRDefault="00C054AA" w:rsidP="00C054AA">
            <w:pPr>
              <w:pStyle w:val="ListParagraph"/>
              <w:numPr>
                <w:ilvl w:val="0"/>
                <w:numId w:val="10"/>
              </w:numPr>
              <w:rPr>
                <w:sz w:val="24"/>
              </w:rPr>
            </w:pPr>
            <w:r w:rsidRPr="00BF1CD6">
              <w:rPr>
                <w:sz w:val="24"/>
              </w:rPr>
              <w:t>strādnieku darba samaksa;</w:t>
            </w:r>
          </w:p>
          <w:p w:rsidR="00C054AA" w:rsidRPr="00BF1CD6" w:rsidRDefault="00C054AA" w:rsidP="00C054AA">
            <w:pPr>
              <w:pStyle w:val="ListParagraph"/>
              <w:numPr>
                <w:ilvl w:val="0"/>
                <w:numId w:val="10"/>
              </w:numPr>
              <w:rPr>
                <w:sz w:val="24"/>
              </w:rPr>
            </w:pPr>
            <w:r w:rsidRPr="00BF1CD6">
              <w:rPr>
                <w:sz w:val="24"/>
              </w:rPr>
              <w:t>izmaksas mašīnu un mehānismu uzturēšanai un ekspluatācijai.</w:t>
            </w:r>
          </w:p>
          <w:p w:rsidR="00C054AA" w:rsidRPr="00BF1CD6" w:rsidRDefault="00C054AA" w:rsidP="006276EA">
            <w:pPr>
              <w:ind w:firstLine="709"/>
              <w:rPr>
                <w:sz w:val="24"/>
              </w:rPr>
            </w:pPr>
            <w:r w:rsidRPr="00BF1CD6">
              <w:rPr>
                <w:sz w:val="24"/>
              </w:rPr>
              <w:t>BII  –</w:t>
            </w:r>
            <w:r w:rsidRPr="00BF1CD6">
              <w:rPr>
                <w:sz w:val="24"/>
              </w:rPr>
              <w:tab/>
              <w:t>daudzdzīvokļu dzīvojamās ēkas</w:t>
            </w:r>
          </w:p>
          <w:p w:rsidR="00C054AA" w:rsidRPr="00BF1CD6" w:rsidRDefault="00C054AA" w:rsidP="006276EA">
            <w:pPr>
              <w:ind w:left="567" w:firstLine="567"/>
              <w:rPr>
                <w:sz w:val="24"/>
              </w:rPr>
            </w:pPr>
            <w:r w:rsidRPr="00BF1CD6">
              <w:rPr>
                <w:sz w:val="24"/>
              </w:rPr>
              <w:t>t.sk.:</w:t>
            </w:r>
          </w:p>
          <w:p w:rsidR="00C054AA" w:rsidRPr="00BF1CD6" w:rsidRDefault="00C054AA" w:rsidP="00C054AA">
            <w:pPr>
              <w:pStyle w:val="ListParagraph"/>
              <w:numPr>
                <w:ilvl w:val="0"/>
                <w:numId w:val="10"/>
              </w:numPr>
              <w:rPr>
                <w:sz w:val="24"/>
              </w:rPr>
            </w:pPr>
            <w:r w:rsidRPr="00BF1CD6">
              <w:rPr>
                <w:sz w:val="24"/>
              </w:rPr>
              <w:t>būvmateriāli;</w:t>
            </w:r>
          </w:p>
          <w:p w:rsidR="00C054AA" w:rsidRPr="00BF1CD6" w:rsidRDefault="00C054AA" w:rsidP="00C054AA">
            <w:pPr>
              <w:pStyle w:val="ListParagraph"/>
              <w:numPr>
                <w:ilvl w:val="0"/>
                <w:numId w:val="10"/>
              </w:numPr>
              <w:rPr>
                <w:sz w:val="24"/>
              </w:rPr>
            </w:pPr>
            <w:r w:rsidRPr="00BF1CD6">
              <w:rPr>
                <w:sz w:val="24"/>
              </w:rPr>
              <w:t>izmaksas mašīnu un mehānismu uzturēšanai un ekspluatācijai.</w:t>
            </w:r>
          </w:p>
          <w:p w:rsidR="00C054AA" w:rsidRPr="00BF1CD6" w:rsidRDefault="00C054AA" w:rsidP="006276EA">
            <w:pPr>
              <w:ind w:firstLine="709"/>
              <w:rPr>
                <w:sz w:val="24"/>
              </w:rPr>
            </w:pPr>
            <w:r w:rsidRPr="00BF1CD6">
              <w:rPr>
                <w:sz w:val="24"/>
              </w:rPr>
              <w:t>BII  –</w:t>
            </w:r>
            <w:r w:rsidRPr="00BF1CD6">
              <w:rPr>
                <w:sz w:val="24"/>
              </w:rPr>
              <w:tab/>
              <w:t>ģimenes mājas</w:t>
            </w:r>
          </w:p>
          <w:p w:rsidR="00C054AA" w:rsidRPr="00BF1CD6" w:rsidRDefault="00C054AA" w:rsidP="006276EA">
            <w:pPr>
              <w:ind w:left="567" w:firstLine="567"/>
              <w:rPr>
                <w:sz w:val="24"/>
              </w:rPr>
            </w:pPr>
            <w:r w:rsidRPr="00BF1CD6">
              <w:rPr>
                <w:sz w:val="24"/>
              </w:rPr>
              <w:t>t.sk.:</w:t>
            </w:r>
          </w:p>
          <w:p w:rsidR="00C054AA" w:rsidRPr="00BF1CD6" w:rsidRDefault="00C054AA" w:rsidP="00C054AA">
            <w:pPr>
              <w:pStyle w:val="ListParagraph"/>
              <w:numPr>
                <w:ilvl w:val="0"/>
                <w:numId w:val="10"/>
              </w:numPr>
              <w:rPr>
                <w:sz w:val="24"/>
              </w:rPr>
            </w:pPr>
            <w:r w:rsidRPr="00BF1CD6">
              <w:rPr>
                <w:sz w:val="24"/>
              </w:rPr>
              <w:t>būvmateriāli;</w:t>
            </w:r>
          </w:p>
          <w:p w:rsidR="00C054AA" w:rsidRPr="00BF1CD6" w:rsidRDefault="00C054AA" w:rsidP="00C054AA">
            <w:pPr>
              <w:pStyle w:val="ListParagraph"/>
              <w:numPr>
                <w:ilvl w:val="0"/>
                <w:numId w:val="10"/>
              </w:numPr>
              <w:rPr>
                <w:sz w:val="24"/>
              </w:rPr>
            </w:pPr>
            <w:r w:rsidRPr="00BF1CD6">
              <w:rPr>
                <w:sz w:val="24"/>
              </w:rPr>
              <w:t>izmaksas mašīnu un mehānismu uzturēšanai un ekspluatācijai.</w:t>
            </w:r>
          </w:p>
          <w:p w:rsidR="00C054AA" w:rsidRPr="00BF1CD6" w:rsidRDefault="00C054AA" w:rsidP="006276EA">
            <w:pPr>
              <w:ind w:firstLine="709"/>
              <w:rPr>
                <w:sz w:val="24"/>
              </w:rPr>
            </w:pPr>
            <w:r w:rsidRPr="00BF1CD6">
              <w:rPr>
                <w:sz w:val="24"/>
              </w:rPr>
              <w:t>BII  –</w:t>
            </w:r>
            <w:r w:rsidRPr="00BF1CD6">
              <w:rPr>
                <w:sz w:val="24"/>
              </w:rPr>
              <w:tab/>
              <w:t>viesnīcas</w:t>
            </w:r>
          </w:p>
          <w:p w:rsidR="00C054AA" w:rsidRPr="00BF1CD6" w:rsidRDefault="00C054AA" w:rsidP="006276EA">
            <w:pPr>
              <w:ind w:left="567" w:firstLine="567"/>
              <w:rPr>
                <w:sz w:val="24"/>
              </w:rPr>
            </w:pPr>
            <w:r w:rsidRPr="00BF1CD6">
              <w:rPr>
                <w:sz w:val="24"/>
              </w:rPr>
              <w:t>t.sk.:</w:t>
            </w:r>
          </w:p>
          <w:p w:rsidR="00C054AA" w:rsidRPr="00BF1CD6" w:rsidRDefault="00C054AA" w:rsidP="00C054AA">
            <w:pPr>
              <w:pStyle w:val="ListParagraph"/>
              <w:numPr>
                <w:ilvl w:val="0"/>
                <w:numId w:val="10"/>
              </w:numPr>
              <w:rPr>
                <w:sz w:val="24"/>
              </w:rPr>
            </w:pPr>
            <w:r w:rsidRPr="00BF1CD6">
              <w:rPr>
                <w:sz w:val="24"/>
              </w:rPr>
              <w:t>būvmateriāli;</w:t>
            </w:r>
          </w:p>
          <w:p w:rsidR="00C054AA" w:rsidRPr="00BF1CD6" w:rsidRDefault="00C054AA" w:rsidP="00C054AA">
            <w:pPr>
              <w:pStyle w:val="ListParagraph"/>
              <w:numPr>
                <w:ilvl w:val="0"/>
                <w:numId w:val="10"/>
              </w:numPr>
              <w:rPr>
                <w:sz w:val="24"/>
              </w:rPr>
            </w:pPr>
            <w:r w:rsidRPr="00BF1CD6">
              <w:rPr>
                <w:sz w:val="24"/>
              </w:rPr>
              <w:t>izmaksas mašīnu un mehānismu uzturēšanai un ekspluatācijai.</w:t>
            </w:r>
          </w:p>
          <w:p w:rsidR="00C054AA" w:rsidRPr="00BF1CD6" w:rsidRDefault="00C054AA" w:rsidP="006276EA">
            <w:pPr>
              <w:ind w:firstLine="709"/>
              <w:rPr>
                <w:sz w:val="24"/>
              </w:rPr>
            </w:pPr>
            <w:r w:rsidRPr="00BF1CD6">
              <w:rPr>
                <w:sz w:val="24"/>
              </w:rPr>
              <w:t>BII  –</w:t>
            </w:r>
            <w:r w:rsidRPr="00BF1CD6">
              <w:rPr>
                <w:sz w:val="24"/>
              </w:rPr>
              <w:tab/>
              <w:t>biroji</w:t>
            </w:r>
          </w:p>
          <w:p w:rsidR="00C054AA" w:rsidRPr="00BF1CD6" w:rsidRDefault="00C054AA" w:rsidP="006276EA">
            <w:pPr>
              <w:ind w:left="567" w:firstLine="567"/>
              <w:rPr>
                <w:sz w:val="24"/>
              </w:rPr>
            </w:pPr>
            <w:r w:rsidRPr="00BF1CD6">
              <w:rPr>
                <w:sz w:val="24"/>
              </w:rPr>
              <w:t>t.sk.:</w:t>
            </w:r>
          </w:p>
          <w:p w:rsidR="00C054AA" w:rsidRPr="00BF1CD6" w:rsidRDefault="00C054AA" w:rsidP="00C054AA">
            <w:pPr>
              <w:pStyle w:val="ListParagraph"/>
              <w:numPr>
                <w:ilvl w:val="0"/>
                <w:numId w:val="10"/>
              </w:numPr>
              <w:rPr>
                <w:sz w:val="24"/>
              </w:rPr>
            </w:pPr>
            <w:r w:rsidRPr="00BF1CD6">
              <w:rPr>
                <w:sz w:val="24"/>
              </w:rPr>
              <w:t>būvmateriāli;</w:t>
            </w:r>
          </w:p>
          <w:p w:rsidR="00C054AA" w:rsidRPr="00BF1CD6" w:rsidRDefault="00C054AA" w:rsidP="00C054AA">
            <w:pPr>
              <w:pStyle w:val="ListParagraph"/>
              <w:numPr>
                <w:ilvl w:val="0"/>
                <w:numId w:val="10"/>
              </w:numPr>
              <w:rPr>
                <w:sz w:val="24"/>
              </w:rPr>
            </w:pPr>
            <w:r w:rsidRPr="00BF1CD6">
              <w:rPr>
                <w:sz w:val="24"/>
              </w:rPr>
              <w:t>izmaksas mašīnu un mehānismu uzturēšanai un ekspluatācijai.</w:t>
            </w:r>
          </w:p>
          <w:p w:rsidR="00C054AA" w:rsidRPr="00BF1CD6" w:rsidRDefault="00C054AA" w:rsidP="006276EA">
            <w:pPr>
              <w:ind w:firstLine="709"/>
              <w:rPr>
                <w:sz w:val="24"/>
              </w:rPr>
            </w:pPr>
            <w:r w:rsidRPr="00BF1CD6">
              <w:rPr>
                <w:sz w:val="24"/>
              </w:rPr>
              <w:t>BII  –</w:t>
            </w:r>
            <w:r w:rsidRPr="00BF1CD6">
              <w:rPr>
                <w:sz w:val="24"/>
              </w:rPr>
              <w:tab/>
              <w:t>rūpniecības, lauksaimniecības un tirdzniecības ēkas</w:t>
            </w:r>
          </w:p>
          <w:p w:rsidR="00C054AA" w:rsidRPr="00BF1CD6" w:rsidRDefault="00C054AA" w:rsidP="006276EA">
            <w:pPr>
              <w:ind w:left="567" w:firstLine="567"/>
              <w:rPr>
                <w:sz w:val="24"/>
              </w:rPr>
            </w:pPr>
            <w:r w:rsidRPr="00BF1CD6">
              <w:rPr>
                <w:sz w:val="24"/>
              </w:rPr>
              <w:t>t.sk.:</w:t>
            </w:r>
          </w:p>
          <w:p w:rsidR="00C054AA" w:rsidRPr="00BF1CD6" w:rsidRDefault="00C054AA" w:rsidP="00C054AA">
            <w:pPr>
              <w:pStyle w:val="ListParagraph"/>
              <w:numPr>
                <w:ilvl w:val="0"/>
                <w:numId w:val="10"/>
              </w:numPr>
              <w:rPr>
                <w:sz w:val="24"/>
              </w:rPr>
            </w:pPr>
            <w:r w:rsidRPr="00BF1CD6">
              <w:rPr>
                <w:sz w:val="24"/>
              </w:rPr>
              <w:lastRenderedPageBreak/>
              <w:t>būvmateriāli;</w:t>
            </w:r>
          </w:p>
          <w:p w:rsidR="00C054AA" w:rsidRPr="00BF1CD6" w:rsidRDefault="00C054AA" w:rsidP="00C054AA">
            <w:pPr>
              <w:pStyle w:val="ListParagraph"/>
              <w:numPr>
                <w:ilvl w:val="0"/>
                <w:numId w:val="10"/>
              </w:numPr>
              <w:rPr>
                <w:sz w:val="24"/>
              </w:rPr>
            </w:pPr>
            <w:r w:rsidRPr="00BF1CD6">
              <w:rPr>
                <w:sz w:val="24"/>
              </w:rPr>
              <w:t>izmaksas mašīnu un mehānismu uzturēšanai un ekspluatācijai.</w:t>
            </w:r>
          </w:p>
          <w:p w:rsidR="00C054AA" w:rsidRPr="00BF1CD6" w:rsidRDefault="00C054AA" w:rsidP="006276EA">
            <w:pPr>
              <w:ind w:firstLine="709"/>
              <w:rPr>
                <w:sz w:val="24"/>
              </w:rPr>
            </w:pPr>
            <w:r w:rsidRPr="00BF1CD6">
              <w:rPr>
                <w:sz w:val="24"/>
              </w:rPr>
              <w:t>BII  –</w:t>
            </w:r>
            <w:r w:rsidRPr="00BF1CD6">
              <w:rPr>
                <w:sz w:val="24"/>
              </w:rPr>
              <w:tab/>
              <w:t>izglītības, veselības aprūpes un sporta ēkas</w:t>
            </w:r>
          </w:p>
          <w:p w:rsidR="00C054AA" w:rsidRPr="00BF1CD6" w:rsidRDefault="00C054AA" w:rsidP="006276EA">
            <w:pPr>
              <w:ind w:left="567" w:firstLine="567"/>
              <w:rPr>
                <w:sz w:val="24"/>
              </w:rPr>
            </w:pPr>
            <w:r w:rsidRPr="00BF1CD6">
              <w:rPr>
                <w:sz w:val="24"/>
              </w:rPr>
              <w:t>t.sk.:</w:t>
            </w:r>
          </w:p>
          <w:p w:rsidR="00C054AA" w:rsidRPr="00BF1CD6" w:rsidRDefault="00C054AA" w:rsidP="00C054AA">
            <w:pPr>
              <w:pStyle w:val="ListParagraph"/>
              <w:numPr>
                <w:ilvl w:val="0"/>
                <w:numId w:val="10"/>
              </w:numPr>
              <w:rPr>
                <w:sz w:val="24"/>
              </w:rPr>
            </w:pPr>
            <w:r w:rsidRPr="00BF1CD6">
              <w:rPr>
                <w:sz w:val="24"/>
              </w:rPr>
              <w:t>būvmateriāli;</w:t>
            </w:r>
          </w:p>
          <w:p w:rsidR="00C054AA" w:rsidRPr="00BF1CD6" w:rsidRDefault="00C054AA" w:rsidP="00C054AA">
            <w:pPr>
              <w:pStyle w:val="ListParagraph"/>
              <w:numPr>
                <w:ilvl w:val="0"/>
                <w:numId w:val="10"/>
              </w:numPr>
              <w:rPr>
                <w:sz w:val="24"/>
              </w:rPr>
            </w:pPr>
            <w:r w:rsidRPr="00BF1CD6">
              <w:rPr>
                <w:sz w:val="24"/>
              </w:rPr>
              <w:t>izmaksas mašīnu un mehānismu uzturēšanai un ekspluatācijai.</w:t>
            </w:r>
          </w:p>
          <w:p w:rsidR="00C054AA" w:rsidRPr="00BF1CD6" w:rsidRDefault="00C054AA" w:rsidP="006276EA">
            <w:pPr>
              <w:ind w:firstLine="709"/>
              <w:rPr>
                <w:sz w:val="24"/>
              </w:rPr>
            </w:pPr>
            <w:r w:rsidRPr="00BF1CD6">
              <w:rPr>
                <w:sz w:val="24"/>
              </w:rPr>
              <w:t>BII  –</w:t>
            </w:r>
            <w:r w:rsidRPr="00BF1CD6">
              <w:rPr>
                <w:sz w:val="24"/>
              </w:rPr>
              <w:tab/>
              <w:t>transporta objekti (tilti, ceļi)</w:t>
            </w:r>
          </w:p>
          <w:p w:rsidR="00C054AA" w:rsidRPr="00BF1CD6" w:rsidRDefault="00C054AA" w:rsidP="006276EA">
            <w:pPr>
              <w:ind w:left="567" w:firstLine="567"/>
              <w:rPr>
                <w:sz w:val="24"/>
              </w:rPr>
            </w:pPr>
            <w:r w:rsidRPr="00BF1CD6">
              <w:rPr>
                <w:sz w:val="24"/>
              </w:rPr>
              <w:t>t.sk.:</w:t>
            </w:r>
          </w:p>
          <w:p w:rsidR="00C054AA" w:rsidRPr="00BF1CD6" w:rsidRDefault="00C054AA" w:rsidP="00C054AA">
            <w:pPr>
              <w:pStyle w:val="ListParagraph"/>
              <w:numPr>
                <w:ilvl w:val="0"/>
                <w:numId w:val="10"/>
              </w:numPr>
              <w:rPr>
                <w:sz w:val="24"/>
              </w:rPr>
            </w:pPr>
            <w:r w:rsidRPr="00BF1CD6">
              <w:rPr>
                <w:sz w:val="24"/>
              </w:rPr>
              <w:t>būvmateriāli;</w:t>
            </w:r>
          </w:p>
          <w:p w:rsidR="00C054AA" w:rsidRPr="00BF1CD6" w:rsidRDefault="00C054AA" w:rsidP="00C054AA">
            <w:pPr>
              <w:pStyle w:val="ListParagraph"/>
              <w:numPr>
                <w:ilvl w:val="0"/>
                <w:numId w:val="10"/>
              </w:numPr>
              <w:rPr>
                <w:sz w:val="24"/>
              </w:rPr>
            </w:pPr>
            <w:r w:rsidRPr="00BF1CD6">
              <w:rPr>
                <w:sz w:val="24"/>
              </w:rPr>
              <w:t>izmaksas mašīnu un mehānismu uzturēšanai un ekspluatācijai.</w:t>
            </w:r>
          </w:p>
          <w:p w:rsidR="00C054AA" w:rsidRPr="00BF1CD6" w:rsidRDefault="00C054AA" w:rsidP="006276EA">
            <w:pPr>
              <w:ind w:firstLine="709"/>
              <w:rPr>
                <w:i/>
                <w:sz w:val="24"/>
              </w:rPr>
            </w:pPr>
            <w:r w:rsidRPr="00BF1CD6">
              <w:rPr>
                <w:i/>
                <w:sz w:val="24"/>
              </w:rPr>
              <w:t>BII  –</w:t>
            </w:r>
            <w:r w:rsidRPr="00BF1CD6">
              <w:rPr>
                <w:i/>
                <w:sz w:val="24"/>
              </w:rPr>
              <w:tab/>
              <w:t>tiltu būve (sākot ar 2013.gadu)</w:t>
            </w:r>
          </w:p>
          <w:p w:rsidR="00C054AA" w:rsidRPr="00BF1CD6" w:rsidRDefault="00C054AA" w:rsidP="006276EA">
            <w:pPr>
              <w:ind w:left="567" w:firstLine="567"/>
              <w:rPr>
                <w:i/>
                <w:sz w:val="24"/>
              </w:rPr>
            </w:pPr>
            <w:r w:rsidRPr="00BF1CD6">
              <w:rPr>
                <w:i/>
                <w:sz w:val="24"/>
              </w:rPr>
              <w:t>t.sk.:</w:t>
            </w:r>
          </w:p>
          <w:p w:rsidR="00C054AA" w:rsidRPr="00BF1CD6" w:rsidRDefault="00C054AA" w:rsidP="00C054AA">
            <w:pPr>
              <w:pStyle w:val="ListParagraph"/>
              <w:numPr>
                <w:ilvl w:val="0"/>
                <w:numId w:val="10"/>
              </w:numPr>
              <w:rPr>
                <w:i/>
                <w:sz w:val="24"/>
              </w:rPr>
            </w:pPr>
            <w:r w:rsidRPr="00BF1CD6">
              <w:rPr>
                <w:i/>
                <w:sz w:val="24"/>
              </w:rPr>
              <w:t>būvmateriāli;</w:t>
            </w:r>
          </w:p>
          <w:p w:rsidR="00C054AA" w:rsidRPr="00BF1CD6" w:rsidRDefault="00C054AA" w:rsidP="00C054AA">
            <w:pPr>
              <w:pStyle w:val="ListParagraph"/>
              <w:numPr>
                <w:ilvl w:val="0"/>
                <w:numId w:val="10"/>
              </w:numPr>
              <w:rPr>
                <w:i/>
                <w:sz w:val="24"/>
              </w:rPr>
            </w:pPr>
            <w:r w:rsidRPr="00BF1CD6">
              <w:rPr>
                <w:i/>
                <w:sz w:val="24"/>
              </w:rPr>
              <w:t>izmaksas mašīnu un mehānismu uzturēšanai un ekspluatācijai.</w:t>
            </w:r>
          </w:p>
          <w:p w:rsidR="00C054AA" w:rsidRPr="00BF1CD6" w:rsidRDefault="00C054AA" w:rsidP="006276EA">
            <w:pPr>
              <w:ind w:firstLine="709"/>
              <w:rPr>
                <w:i/>
                <w:sz w:val="24"/>
              </w:rPr>
            </w:pPr>
            <w:r w:rsidRPr="00BF1CD6">
              <w:rPr>
                <w:i/>
                <w:sz w:val="24"/>
              </w:rPr>
              <w:t>BII  –</w:t>
            </w:r>
            <w:r w:rsidRPr="00BF1CD6">
              <w:rPr>
                <w:i/>
                <w:sz w:val="24"/>
              </w:rPr>
              <w:tab/>
              <w:t>ceļu būve (sākot ar 2013.gadu)</w:t>
            </w:r>
          </w:p>
          <w:p w:rsidR="00C054AA" w:rsidRPr="00BF1CD6" w:rsidRDefault="00C054AA" w:rsidP="006276EA">
            <w:pPr>
              <w:ind w:left="567" w:firstLine="567"/>
              <w:rPr>
                <w:i/>
                <w:sz w:val="24"/>
              </w:rPr>
            </w:pPr>
            <w:r w:rsidRPr="00BF1CD6">
              <w:rPr>
                <w:i/>
                <w:sz w:val="24"/>
              </w:rPr>
              <w:t>t.sk.:</w:t>
            </w:r>
          </w:p>
          <w:p w:rsidR="00C054AA" w:rsidRPr="00BF1CD6" w:rsidRDefault="00C054AA" w:rsidP="00C054AA">
            <w:pPr>
              <w:pStyle w:val="ListParagraph"/>
              <w:numPr>
                <w:ilvl w:val="0"/>
                <w:numId w:val="10"/>
              </w:numPr>
              <w:rPr>
                <w:i/>
                <w:sz w:val="24"/>
              </w:rPr>
            </w:pPr>
            <w:r w:rsidRPr="00BF1CD6">
              <w:rPr>
                <w:i/>
                <w:sz w:val="24"/>
              </w:rPr>
              <w:t>būvmateriāli;</w:t>
            </w:r>
          </w:p>
          <w:p w:rsidR="00C054AA" w:rsidRPr="00BF1CD6" w:rsidRDefault="00C054AA" w:rsidP="00C054AA">
            <w:pPr>
              <w:pStyle w:val="ListParagraph"/>
              <w:numPr>
                <w:ilvl w:val="0"/>
                <w:numId w:val="10"/>
              </w:numPr>
              <w:rPr>
                <w:i/>
                <w:sz w:val="24"/>
              </w:rPr>
            </w:pPr>
            <w:r w:rsidRPr="00BF1CD6">
              <w:rPr>
                <w:i/>
                <w:sz w:val="24"/>
              </w:rPr>
              <w:t>izmaksas mašīnu un mehānismu uzturēšanai un ekspluatācijai.</w:t>
            </w:r>
          </w:p>
          <w:p w:rsidR="00C054AA" w:rsidRPr="00BF1CD6" w:rsidRDefault="00C054AA" w:rsidP="006276EA">
            <w:pPr>
              <w:ind w:firstLine="709"/>
              <w:rPr>
                <w:sz w:val="24"/>
              </w:rPr>
            </w:pPr>
            <w:r w:rsidRPr="00BF1CD6">
              <w:rPr>
                <w:sz w:val="24"/>
              </w:rPr>
              <w:t>BII  –</w:t>
            </w:r>
            <w:r w:rsidRPr="00BF1CD6">
              <w:rPr>
                <w:sz w:val="24"/>
              </w:rPr>
              <w:tab/>
              <w:t>pazemes maģistrālie cauruļvadi</w:t>
            </w:r>
          </w:p>
          <w:p w:rsidR="00C054AA" w:rsidRPr="00BF1CD6" w:rsidRDefault="00C054AA" w:rsidP="006276EA">
            <w:pPr>
              <w:ind w:left="567" w:firstLine="567"/>
              <w:rPr>
                <w:sz w:val="24"/>
              </w:rPr>
            </w:pPr>
            <w:r w:rsidRPr="00BF1CD6">
              <w:rPr>
                <w:sz w:val="24"/>
              </w:rPr>
              <w:t>t.sk.:</w:t>
            </w:r>
          </w:p>
          <w:p w:rsidR="00C054AA" w:rsidRPr="00BF1CD6" w:rsidRDefault="00C054AA" w:rsidP="00C054AA">
            <w:pPr>
              <w:pStyle w:val="ListParagraph"/>
              <w:numPr>
                <w:ilvl w:val="0"/>
                <w:numId w:val="10"/>
              </w:numPr>
              <w:rPr>
                <w:sz w:val="24"/>
              </w:rPr>
            </w:pPr>
            <w:r w:rsidRPr="00BF1CD6">
              <w:rPr>
                <w:sz w:val="24"/>
              </w:rPr>
              <w:t>būvmateriāli;</w:t>
            </w:r>
          </w:p>
          <w:p w:rsidR="00C054AA" w:rsidRPr="00BF1CD6" w:rsidRDefault="00C054AA" w:rsidP="00C054AA">
            <w:pPr>
              <w:pStyle w:val="ListParagraph"/>
              <w:numPr>
                <w:ilvl w:val="0"/>
                <w:numId w:val="10"/>
              </w:numPr>
              <w:rPr>
                <w:sz w:val="24"/>
              </w:rPr>
            </w:pPr>
            <w:r w:rsidRPr="00BF1CD6">
              <w:rPr>
                <w:sz w:val="24"/>
              </w:rPr>
              <w:t>izmaksas mašīnu un mehānismu uzturēšanai un ekspluatācijai.</w:t>
            </w:r>
          </w:p>
          <w:p w:rsidR="00C054AA" w:rsidRPr="00BF1CD6" w:rsidRDefault="00C054AA" w:rsidP="006276EA">
            <w:pPr>
              <w:rPr>
                <w:sz w:val="24"/>
              </w:rPr>
            </w:pPr>
          </w:p>
          <w:p w:rsidR="00C054AA" w:rsidRPr="00BF1CD6" w:rsidRDefault="00C054AA" w:rsidP="006276EA">
            <w:pPr>
              <w:jc w:val="both"/>
              <w:rPr>
                <w:sz w:val="24"/>
              </w:rPr>
            </w:pPr>
            <w:r w:rsidRPr="00BF1CD6">
              <w:rPr>
                <w:sz w:val="24"/>
              </w:rPr>
              <w:t xml:space="preserve">II. </w:t>
            </w:r>
            <w:r w:rsidRPr="00BF1CD6">
              <w:rPr>
                <w:b/>
                <w:sz w:val="24"/>
              </w:rPr>
              <w:t>Būvniecības izmaksu indekss par jaunu dzīvojamo māju būvniecību</w:t>
            </w:r>
            <w:r w:rsidRPr="00BF1CD6">
              <w:rPr>
                <w:sz w:val="24"/>
              </w:rPr>
              <w:t xml:space="preserve"> atbilstoši ES īstermiņa statistikas regulas  Nr. 1165/98 prasībām, kas ietver 3 datu sērijas:</w:t>
            </w:r>
          </w:p>
          <w:p w:rsidR="00C054AA" w:rsidRPr="00BF1CD6" w:rsidRDefault="00C054AA" w:rsidP="00C054AA">
            <w:pPr>
              <w:pStyle w:val="ListParagraph"/>
              <w:numPr>
                <w:ilvl w:val="0"/>
                <w:numId w:val="11"/>
              </w:numPr>
              <w:rPr>
                <w:sz w:val="24"/>
              </w:rPr>
            </w:pPr>
            <w:r w:rsidRPr="00BF1CD6">
              <w:rPr>
                <w:sz w:val="24"/>
              </w:rPr>
              <w:t xml:space="preserve">būvniecības izmaksas, </w:t>
            </w:r>
          </w:p>
          <w:p w:rsidR="00C054AA" w:rsidRPr="00BF1CD6" w:rsidRDefault="00C054AA" w:rsidP="00C054AA">
            <w:pPr>
              <w:pStyle w:val="ListParagraph"/>
              <w:numPr>
                <w:ilvl w:val="0"/>
                <w:numId w:val="11"/>
              </w:numPr>
              <w:rPr>
                <w:sz w:val="24"/>
              </w:rPr>
            </w:pPr>
            <w:r w:rsidRPr="00BF1CD6">
              <w:rPr>
                <w:sz w:val="24"/>
              </w:rPr>
              <w:t>būvmateriāli,</w:t>
            </w:r>
          </w:p>
          <w:p w:rsidR="00C054AA" w:rsidRPr="00BF1CD6" w:rsidRDefault="00C054AA" w:rsidP="00C054AA">
            <w:pPr>
              <w:pStyle w:val="ListParagraph"/>
              <w:numPr>
                <w:ilvl w:val="0"/>
                <w:numId w:val="11"/>
              </w:numPr>
              <w:rPr>
                <w:sz w:val="24"/>
              </w:rPr>
            </w:pPr>
            <w:r w:rsidRPr="00BF1CD6">
              <w:rPr>
                <w:sz w:val="24"/>
              </w:rPr>
              <w:t>darba spēka izmaksas.</w:t>
            </w:r>
          </w:p>
          <w:p w:rsidR="00C054AA" w:rsidRPr="00BF1CD6" w:rsidRDefault="00C054AA" w:rsidP="006276EA">
            <w:pPr>
              <w:rPr>
                <w:sz w:val="24"/>
              </w:rPr>
            </w:pPr>
          </w:p>
          <w:p w:rsidR="00C054AA" w:rsidRPr="00BF1CD6" w:rsidRDefault="00C054AA" w:rsidP="006276EA">
            <w:pPr>
              <w:rPr>
                <w:sz w:val="24"/>
              </w:rPr>
            </w:pPr>
            <w:r w:rsidRPr="00BF1CD6">
              <w:rPr>
                <w:sz w:val="24"/>
              </w:rPr>
              <w:t xml:space="preserve">III. </w:t>
            </w:r>
            <w:r w:rsidRPr="00BF1CD6">
              <w:rPr>
                <w:b/>
                <w:sz w:val="24"/>
              </w:rPr>
              <w:t>Darba spēka izmaksu indeksi</w:t>
            </w:r>
            <w:r w:rsidRPr="00BF1CD6">
              <w:rPr>
                <w:sz w:val="24"/>
              </w:rPr>
              <w:t xml:space="preserve"> pa darbības veidiem (būvniecība – F nozare)</w:t>
            </w:r>
          </w:p>
          <w:p w:rsidR="00C054AA" w:rsidRPr="00BF1CD6" w:rsidRDefault="00C054AA" w:rsidP="006276EA">
            <w:pPr>
              <w:rPr>
                <w:sz w:val="24"/>
              </w:rPr>
            </w:pPr>
          </w:p>
          <w:p w:rsidR="00C054AA" w:rsidRPr="00931BEB" w:rsidRDefault="00C054AA" w:rsidP="006276EA">
            <w:pPr>
              <w:ind w:left="426" w:hanging="426"/>
              <w:rPr>
                <w:sz w:val="24"/>
              </w:rPr>
            </w:pPr>
            <w:r w:rsidRPr="00BF1CD6">
              <w:rPr>
                <w:sz w:val="24"/>
              </w:rPr>
              <w:t xml:space="preserve">IV. </w:t>
            </w:r>
            <w:r w:rsidRPr="00BF1CD6">
              <w:rPr>
                <w:b/>
                <w:sz w:val="24"/>
              </w:rPr>
              <w:t xml:space="preserve">Patēriņa cenu indeksi </w:t>
            </w:r>
            <w:r w:rsidRPr="00BF1CD6">
              <w:rPr>
                <w:sz w:val="24"/>
              </w:rPr>
              <w:t xml:space="preserve">grupās un apakšgrupās (Personisko transporta līdzekļu ekspluatācija, t.sk., </w:t>
            </w:r>
            <w:r w:rsidRPr="00BF1CD6">
              <w:rPr>
                <w:b/>
                <w:sz w:val="24"/>
              </w:rPr>
              <w:t xml:space="preserve">degviela </w:t>
            </w:r>
            <w:r w:rsidRPr="00BF1CD6">
              <w:rPr>
                <w:sz w:val="24"/>
              </w:rPr>
              <w:t>(07.2.2.))</w:t>
            </w:r>
          </w:p>
          <w:p w:rsidR="00C054AA" w:rsidRDefault="00C054AA" w:rsidP="006276EA">
            <w:pPr>
              <w:jc w:val="center"/>
              <w:rPr>
                <w:b/>
                <w:sz w:val="24"/>
              </w:rPr>
            </w:pPr>
          </w:p>
        </w:tc>
      </w:tr>
    </w:tbl>
    <w:p w:rsidR="00C054AA" w:rsidRPr="00C054AA" w:rsidRDefault="00C054AA" w:rsidP="00C054AA">
      <w:pPr>
        <w:jc w:val="center"/>
        <w:rPr>
          <w:b/>
          <w:sz w:val="28"/>
          <w:szCs w:val="28"/>
        </w:rPr>
      </w:pPr>
    </w:p>
    <w:p w:rsidR="00733014" w:rsidRPr="001D08EC" w:rsidRDefault="00733014" w:rsidP="00733014">
      <w:pPr>
        <w:jc w:val="both"/>
        <w:rPr>
          <w:b/>
          <w:sz w:val="28"/>
          <w:szCs w:val="28"/>
        </w:rPr>
      </w:pPr>
      <w:r w:rsidRPr="001D08EC">
        <w:rPr>
          <w:b/>
          <w:sz w:val="28"/>
          <w:szCs w:val="28"/>
        </w:rPr>
        <w:t xml:space="preserve">Analītiskais </w:t>
      </w:r>
      <w:proofErr w:type="spellStart"/>
      <w:r w:rsidRPr="001D08EC">
        <w:rPr>
          <w:b/>
          <w:sz w:val="28"/>
          <w:szCs w:val="28"/>
        </w:rPr>
        <w:t>būvizmaksu</w:t>
      </w:r>
      <w:proofErr w:type="spellEnd"/>
      <w:r w:rsidRPr="001D08EC">
        <w:rPr>
          <w:b/>
          <w:sz w:val="28"/>
          <w:szCs w:val="28"/>
        </w:rPr>
        <w:t xml:space="preserve"> katalogs</w:t>
      </w:r>
    </w:p>
    <w:p w:rsidR="00733014" w:rsidRPr="001D08EC" w:rsidRDefault="00733014" w:rsidP="008B72B1">
      <w:pPr>
        <w:ind w:firstLine="720"/>
        <w:jc w:val="both"/>
        <w:rPr>
          <w:sz w:val="28"/>
          <w:szCs w:val="28"/>
        </w:rPr>
      </w:pPr>
    </w:p>
    <w:p w:rsidR="00733014" w:rsidRPr="001D08EC" w:rsidRDefault="00733014" w:rsidP="008B72B1">
      <w:pPr>
        <w:ind w:firstLine="720"/>
        <w:jc w:val="both"/>
        <w:rPr>
          <w:sz w:val="28"/>
          <w:szCs w:val="28"/>
        </w:rPr>
      </w:pPr>
      <w:r w:rsidRPr="001D08EC">
        <w:rPr>
          <w:sz w:val="28"/>
          <w:szCs w:val="28"/>
        </w:rPr>
        <w:t xml:space="preserve">Atbilstoši Ministru kabineta 2008.gada 19.februāra sēdes protokola Nr.11 9§ 8.1.punktā noteiktajam Ekonomikas ministrija un Būvniecības, enerģētikas un mājokļu valsts aģentūra sadarbībā ar Satiksmes ministriju un Vides ministriju izstrādāja Analītisko </w:t>
      </w:r>
      <w:proofErr w:type="spellStart"/>
      <w:r w:rsidRPr="001D08EC">
        <w:rPr>
          <w:sz w:val="28"/>
          <w:szCs w:val="28"/>
        </w:rPr>
        <w:t>būvizmaksu</w:t>
      </w:r>
      <w:proofErr w:type="spellEnd"/>
      <w:r w:rsidRPr="001D08EC">
        <w:rPr>
          <w:sz w:val="28"/>
          <w:szCs w:val="28"/>
        </w:rPr>
        <w:t xml:space="preserve"> katalogu (turpmāk – ABIK). ABIK mērķis ir nodrošināt ES Kohēzijas fonda un struktūrfondu projektu ietvaros efektīvu un maksimāli ticamu plānošanu, iepirkumu veikšanu, projektu uzraudzību un kontroli.</w:t>
      </w:r>
    </w:p>
    <w:p w:rsidR="00733014" w:rsidRPr="001D08EC" w:rsidRDefault="00733014" w:rsidP="008B72B1">
      <w:pPr>
        <w:ind w:firstLine="720"/>
        <w:jc w:val="both"/>
        <w:rPr>
          <w:sz w:val="28"/>
          <w:szCs w:val="28"/>
        </w:rPr>
      </w:pPr>
      <w:r w:rsidRPr="001D08EC">
        <w:rPr>
          <w:sz w:val="28"/>
          <w:szCs w:val="28"/>
        </w:rPr>
        <w:t xml:space="preserve">ABIK ir iekļauta informācija par analītiskajām izmaksām būvniecības nozarē kopumā un informācija par nedzīvojamo ēku jaunbūvēm, bērnu dārzu un slimnīcu renovāciju, piļu rekonstrukciju, speciālo liftu un </w:t>
      </w:r>
      <w:proofErr w:type="spellStart"/>
      <w:r w:rsidRPr="001D08EC">
        <w:rPr>
          <w:sz w:val="28"/>
          <w:szCs w:val="28"/>
        </w:rPr>
        <w:t>pandusu</w:t>
      </w:r>
      <w:proofErr w:type="spellEnd"/>
      <w:r w:rsidRPr="001D08EC">
        <w:rPr>
          <w:sz w:val="28"/>
          <w:szCs w:val="28"/>
        </w:rPr>
        <w:t xml:space="preserve"> ierīkošanu, fasādes un jumtu siltināšanu, maģistrālo gāzes vadu un ūdens vadu izbūvi un rekonstrukciju, sakaru komunikāciju izbūvi, šoseju un to segumu rekonstrukciju, </w:t>
      </w:r>
      <w:r w:rsidRPr="001D08EC">
        <w:rPr>
          <w:sz w:val="28"/>
          <w:szCs w:val="28"/>
        </w:rPr>
        <w:lastRenderedPageBreak/>
        <w:t>autostāvvietu ierīkošanu, autoceļiem un citiem transporta infrastruktūras elementiem, kas balstīta uz 2009.gada izmaksām/cenām.</w:t>
      </w:r>
    </w:p>
    <w:p w:rsidR="00733014" w:rsidRPr="001D08EC" w:rsidRDefault="00733014" w:rsidP="008B72B1">
      <w:pPr>
        <w:ind w:firstLine="720"/>
        <w:jc w:val="both"/>
        <w:rPr>
          <w:sz w:val="28"/>
          <w:szCs w:val="28"/>
        </w:rPr>
      </w:pPr>
      <w:r w:rsidRPr="001D08EC">
        <w:rPr>
          <w:sz w:val="28"/>
          <w:szCs w:val="28"/>
        </w:rPr>
        <w:t>Pielietojot ABIK praksē, tika konstatētas šādas problēmas:</w:t>
      </w:r>
    </w:p>
    <w:p w:rsidR="00733014" w:rsidRPr="001D08EC" w:rsidRDefault="00733014" w:rsidP="00733014">
      <w:pPr>
        <w:pStyle w:val="ListParagraph"/>
        <w:numPr>
          <w:ilvl w:val="0"/>
          <w:numId w:val="8"/>
        </w:numPr>
        <w:jc w:val="both"/>
        <w:rPr>
          <w:sz w:val="28"/>
          <w:szCs w:val="28"/>
        </w:rPr>
      </w:pPr>
      <w:r w:rsidRPr="001D08EC">
        <w:rPr>
          <w:sz w:val="28"/>
          <w:szCs w:val="28"/>
        </w:rPr>
        <w:t xml:space="preserve">informācijas apjoms ABIK datu bāzē ir nepietiekošs; </w:t>
      </w:r>
    </w:p>
    <w:p w:rsidR="00733014" w:rsidRPr="001D08EC" w:rsidRDefault="00733014" w:rsidP="00733014">
      <w:pPr>
        <w:pStyle w:val="ListParagraph"/>
        <w:numPr>
          <w:ilvl w:val="0"/>
          <w:numId w:val="8"/>
        </w:numPr>
        <w:jc w:val="both"/>
        <w:rPr>
          <w:sz w:val="28"/>
          <w:szCs w:val="28"/>
        </w:rPr>
      </w:pPr>
      <w:r w:rsidRPr="001D08EC">
        <w:rPr>
          <w:sz w:val="28"/>
          <w:szCs w:val="28"/>
        </w:rPr>
        <w:t xml:space="preserve">atsevišķos gadījumos ir iekļautas tikai viena objekta izmaksas pa konstruktīvo elementu veidiem; </w:t>
      </w:r>
    </w:p>
    <w:p w:rsidR="00733014" w:rsidRPr="001D08EC" w:rsidRDefault="00733014" w:rsidP="00733014">
      <w:pPr>
        <w:pStyle w:val="ListParagraph"/>
        <w:numPr>
          <w:ilvl w:val="0"/>
          <w:numId w:val="8"/>
        </w:numPr>
        <w:jc w:val="both"/>
        <w:rPr>
          <w:sz w:val="28"/>
          <w:szCs w:val="28"/>
        </w:rPr>
      </w:pPr>
      <w:r w:rsidRPr="001D08EC">
        <w:rPr>
          <w:sz w:val="28"/>
          <w:szCs w:val="28"/>
        </w:rPr>
        <w:t xml:space="preserve">ABIK nesatur visus iespējamos darbu veidus un objektus; </w:t>
      </w:r>
    </w:p>
    <w:p w:rsidR="00733014" w:rsidRPr="001D08EC" w:rsidRDefault="00733014" w:rsidP="00733014">
      <w:pPr>
        <w:pStyle w:val="ListParagraph"/>
        <w:numPr>
          <w:ilvl w:val="0"/>
          <w:numId w:val="8"/>
        </w:numPr>
        <w:jc w:val="both"/>
        <w:rPr>
          <w:sz w:val="28"/>
          <w:szCs w:val="28"/>
        </w:rPr>
      </w:pPr>
      <w:r w:rsidRPr="001D08EC">
        <w:rPr>
          <w:sz w:val="28"/>
          <w:szCs w:val="28"/>
        </w:rPr>
        <w:t xml:space="preserve">projektu atšķirīgo </w:t>
      </w:r>
      <w:proofErr w:type="spellStart"/>
      <w:r w:rsidRPr="001D08EC">
        <w:rPr>
          <w:sz w:val="28"/>
          <w:szCs w:val="28"/>
        </w:rPr>
        <w:t>ģeotehnisko</w:t>
      </w:r>
      <w:proofErr w:type="spellEnd"/>
      <w:r w:rsidRPr="001D08EC">
        <w:rPr>
          <w:sz w:val="28"/>
          <w:szCs w:val="28"/>
        </w:rPr>
        <w:t xml:space="preserve"> un pilsētbūvniecisko apstākļu dēļ katram projektam ir individuāli jāizvērtē objekta atbilstība attiecībā pret ABIK </w:t>
      </w:r>
      <w:proofErr w:type="spellStart"/>
      <w:r w:rsidRPr="001D08EC">
        <w:rPr>
          <w:sz w:val="28"/>
          <w:szCs w:val="28"/>
        </w:rPr>
        <w:t>etalonprojektu</w:t>
      </w:r>
      <w:proofErr w:type="spellEnd"/>
      <w:r w:rsidRPr="001D08EC">
        <w:rPr>
          <w:sz w:val="28"/>
          <w:szCs w:val="28"/>
        </w:rPr>
        <w:t xml:space="preserve"> un jāveic korekcijas cenu novērtējumos; </w:t>
      </w:r>
    </w:p>
    <w:p w:rsidR="00733014" w:rsidRPr="001D08EC" w:rsidRDefault="00733014" w:rsidP="00733014">
      <w:pPr>
        <w:pStyle w:val="ListParagraph"/>
        <w:numPr>
          <w:ilvl w:val="0"/>
          <w:numId w:val="8"/>
        </w:numPr>
        <w:jc w:val="both"/>
        <w:rPr>
          <w:sz w:val="28"/>
          <w:szCs w:val="28"/>
        </w:rPr>
      </w:pPr>
      <w:r w:rsidRPr="001D08EC">
        <w:rPr>
          <w:sz w:val="28"/>
          <w:szCs w:val="28"/>
        </w:rPr>
        <w:t xml:space="preserve">ABIK ir ievērojama amplitūda darbu izmaksu minimālajām un maksimālajām robežām. </w:t>
      </w:r>
    </w:p>
    <w:p w:rsidR="00733014" w:rsidRPr="001D08EC" w:rsidRDefault="00733014" w:rsidP="008B72B1">
      <w:pPr>
        <w:ind w:firstLine="720"/>
        <w:jc w:val="both"/>
        <w:rPr>
          <w:sz w:val="28"/>
          <w:szCs w:val="28"/>
        </w:rPr>
      </w:pPr>
    </w:p>
    <w:p w:rsidR="008B0E68" w:rsidRPr="001D08EC" w:rsidRDefault="00733014" w:rsidP="008B72B1">
      <w:pPr>
        <w:ind w:firstLine="720"/>
        <w:jc w:val="both"/>
        <w:rPr>
          <w:sz w:val="28"/>
          <w:szCs w:val="28"/>
        </w:rPr>
      </w:pPr>
      <w:r w:rsidRPr="001D08EC">
        <w:rPr>
          <w:sz w:val="28"/>
          <w:szCs w:val="28"/>
        </w:rPr>
        <w:t>Būvprojekta ekspertīze, atbilstoši Vispārīgo būvnoteikumu 99.</w:t>
      </w:r>
      <w:r w:rsidRPr="001D08EC">
        <w:rPr>
          <w:sz w:val="28"/>
          <w:szCs w:val="28"/>
          <w:vertAlign w:val="superscript"/>
        </w:rPr>
        <w:t>1</w:t>
      </w:r>
      <w:r w:rsidRPr="001D08EC">
        <w:rPr>
          <w:sz w:val="28"/>
          <w:szCs w:val="28"/>
        </w:rPr>
        <w:t>1. apakšpunktam, ir obligāta sabiedriski nozīmīgām būvēm, bet Vispārīgo būvnoteikumu 100. punktā noteiktajā gadījumā arī būvprojektiem, kuru izstrādi un īstenošanu Latvijas Republikas teritorijā vismaz 40% apmērā finansē starptautiskās finanšu institūcijas, Eiropas savienība vai tās dalībvalstis (ja attiecīgās investīcijas nav jāatmaksā). Atbilstoši Būvniecības likuma 20.pantam, būvekspertīzes nolūks ir novērst domstarpības starp būvniecības dalībniekiem.</w:t>
      </w:r>
    </w:p>
    <w:p w:rsidR="00F222A8" w:rsidRPr="001D08EC" w:rsidRDefault="00F222A8" w:rsidP="00F222A8">
      <w:pPr>
        <w:ind w:firstLine="720"/>
        <w:jc w:val="both"/>
        <w:rPr>
          <w:sz w:val="28"/>
          <w:szCs w:val="28"/>
        </w:rPr>
      </w:pPr>
      <w:r w:rsidRPr="001D08EC">
        <w:rPr>
          <w:sz w:val="28"/>
          <w:szCs w:val="28"/>
        </w:rPr>
        <w:t xml:space="preserve">Tā kā ABIK nenodrošina kataloga izstrādes sākotnējo mērķi, jo balstās uz nepietiekami pamatotu informāciju ar lielu izkliedi bez raksturīgas vērtības, tā pielietojuma modelis nav praktiski izmantojams izmaksu izvērtēšanai. Tādējādi lietderīgākais risinājums </w:t>
      </w:r>
      <w:proofErr w:type="spellStart"/>
      <w:r w:rsidRPr="001D08EC">
        <w:rPr>
          <w:sz w:val="28"/>
          <w:szCs w:val="28"/>
        </w:rPr>
        <w:t>būvizmaksu</w:t>
      </w:r>
      <w:proofErr w:type="spellEnd"/>
      <w:r w:rsidRPr="001D08EC">
        <w:rPr>
          <w:sz w:val="28"/>
          <w:szCs w:val="28"/>
        </w:rPr>
        <w:t xml:space="preserve"> pamatotības noteikšanai ir veikt būvprojekta ekonomiskās daļas ekspertīzi, savukārt izmaksu sadārdzinājuma novēršanai ilgākā termiņā pielietojama būvnieku izmaksas indeksācija.</w:t>
      </w:r>
    </w:p>
    <w:p w:rsidR="004B22E0" w:rsidRPr="001D08EC" w:rsidRDefault="004B22E0" w:rsidP="008B72B1">
      <w:pPr>
        <w:ind w:firstLine="720"/>
        <w:jc w:val="both"/>
        <w:rPr>
          <w:sz w:val="28"/>
          <w:szCs w:val="28"/>
        </w:rPr>
      </w:pPr>
    </w:p>
    <w:p w:rsidR="00C341E2" w:rsidRPr="001D08EC" w:rsidRDefault="00C341E2" w:rsidP="00C341E2">
      <w:pPr>
        <w:jc w:val="both"/>
        <w:rPr>
          <w:b/>
          <w:sz w:val="28"/>
          <w:szCs w:val="28"/>
        </w:rPr>
      </w:pPr>
      <w:r w:rsidRPr="001D08EC">
        <w:rPr>
          <w:b/>
          <w:sz w:val="28"/>
          <w:szCs w:val="28"/>
        </w:rPr>
        <w:t xml:space="preserve">Priekšlikumi būvniecības </w:t>
      </w:r>
      <w:r w:rsidR="00A84617" w:rsidRPr="001D08EC">
        <w:rPr>
          <w:b/>
          <w:sz w:val="28"/>
          <w:szCs w:val="28"/>
        </w:rPr>
        <w:t>izmaksu</w:t>
      </w:r>
      <w:r w:rsidRPr="001D08EC">
        <w:rPr>
          <w:b/>
          <w:sz w:val="28"/>
          <w:szCs w:val="28"/>
        </w:rPr>
        <w:t xml:space="preserve"> indeksēšanai</w:t>
      </w:r>
    </w:p>
    <w:p w:rsidR="00085614" w:rsidRPr="001D08EC" w:rsidRDefault="00085614" w:rsidP="0082345F">
      <w:pPr>
        <w:ind w:firstLine="567"/>
        <w:jc w:val="both"/>
        <w:rPr>
          <w:sz w:val="28"/>
          <w:szCs w:val="28"/>
        </w:rPr>
      </w:pPr>
    </w:p>
    <w:p w:rsidR="000F4EB0" w:rsidRPr="001D08EC" w:rsidRDefault="00C341E2" w:rsidP="00C341E2">
      <w:pPr>
        <w:jc w:val="both"/>
        <w:rPr>
          <w:b/>
          <w:i/>
          <w:sz w:val="28"/>
          <w:szCs w:val="28"/>
        </w:rPr>
      </w:pPr>
      <w:r w:rsidRPr="001D08EC">
        <w:rPr>
          <w:b/>
          <w:i/>
          <w:sz w:val="28"/>
          <w:szCs w:val="28"/>
        </w:rPr>
        <w:t>Pie kādiem nosacījumiem indeksēt</w:t>
      </w:r>
    </w:p>
    <w:p w:rsidR="00C341E2" w:rsidRPr="001D08EC" w:rsidRDefault="00C341E2" w:rsidP="008B72B1">
      <w:pPr>
        <w:ind w:firstLine="720"/>
        <w:jc w:val="both"/>
        <w:rPr>
          <w:sz w:val="28"/>
          <w:szCs w:val="28"/>
        </w:rPr>
      </w:pPr>
    </w:p>
    <w:p w:rsidR="000619F7" w:rsidRPr="001D08EC" w:rsidRDefault="00C341E2" w:rsidP="008B72B1">
      <w:pPr>
        <w:ind w:firstLine="720"/>
        <w:jc w:val="both"/>
        <w:rPr>
          <w:sz w:val="28"/>
          <w:szCs w:val="28"/>
        </w:rPr>
      </w:pPr>
      <w:r w:rsidRPr="001D08EC">
        <w:rPr>
          <w:sz w:val="28"/>
          <w:szCs w:val="28"/>
        </w:rPr>
        <w:t xml:space="preserve">Sastādot būvniecības </w:t>
      </w:r>
      <w:r w:rsidR="006179FF" w:rsidRPr="001D08EC">
        <w:rPr>
          <w:sz w:val="28"/>
          <w:szCs w:val="28"/>
        </w:rPr>
        <w:t xml:space="preserve"> </w:t>
      </w:r>
      <w:r w:rsidRPr="001D08EC">
        <w:rPr>
          <w:sz w:val="28"/>
          <w:szCs w:val="28"/>
        </w:rPr>
        <w:t>pr</w:t>
      </w:r>
      <w:r w:rsidR="00DE297D" w:rsidRPr="001D08EC">
        <w:rPr>
          <w:sz w:val="28"/>
          <w:szCs w:val="28"/>
        </w:rPr>
        <w:t>ojekta tāmi, parasti tiek ņemta</w:t>
      </w:r>
      <w:r w:rsidRPr="001D08EC">
        <w:rPr>
          <w:sz w:val="28"/>
          <w:szCs w:val="28"/>
        </w:rPr>
        <w:t xml:space="preserve"> vērā dažādu izmaksu posteņu (resursu vienību) pašreizējā cena</w:t>
      </w:r>
      <w:r w:rsidR="00F7119F" w:rsidRPr="001D08EC">
        <w:rPr>
          <w:sz w:val="28"/>
          <w:szCs w:val="28"/>
        </w:rPr>
        <w:t xml:space="preserve">, kura ir </w:t>
      </w:r>
      <w:r w:rsidR="003F562D" w:rsidRPr="001D08EC">
        <w:rPr>
          <w:sz w:val="28"/>
          <w:szCs w:val="28"/>
        </w:rPr>
        <w:t>indeksēta</w:t>
      </w:r>
      <w:r w:rsidRPr="001D08EC">
        <w:rPr>
          <w:sz w:val="28"/>
          <w:szCs w:val="28"/>
        </w:rPr>
        <w:t xml:space="preserve"> ar paredzamo cenu izmaiņu indeksu projekta īstenošanas laikā. Pirmā</w:t>
      </w:r>
      <w:r w:rsidR="004B22E0" w:rsidRPr="001D08EC">
        <w:rPr>
          <w:sz w:val="28"/>
          <w:szCs w:val="28"/>
        </w:rPr>
        <w:t>s</w:t>
      </w:r>
      <w:r w:rsidRPr="001D08EC">
        <w:rPr>
          <w:sz w:val="28"/>
          <w:szCs w:val="28"/>
        </w:rPr>
        <w:t xml:space="preserve"> ir bāzes cenas</w:t>
      </w:r>
      <w:r w:rsidR="00E51311" w:rsidRPr="001D08EC">
        <w:rPr>
          <w:sz w:val="28"/>
          <w:szCs w:val="28"/>
        </w:rPr>
        <w:t xml:space="preserve">, bet </w:t>
      </w:r>
      <w:r w:rsidRPr="001D08EC">
        <w:rPr>
          <w:sz w:val="28"/>
          <w:szCs w:val="28"/>
        </w:rPr>
        <w:t xml:space="preserve"> prognozētās cenas ir tāmē fiksētās cenas. </w:t>
      </w:r>
    </w:p>
    <w:p w:rsidR="00A30129" w:rsidRPr="001D08EC" w:rsidRDefault="00A30129" w:rsidP="008B72B1">
      <w:pPr>
        <w:ind w:firstLine="720"/>
        <w:jc w:val="both"/>
        <w:rPr>
          <w:sz w:val="28"/>
          <w:szCs w:val="28"/>
        </w:rPr>
      </w:pPr>
      <w:r w:rsidRPr="001D08EC">
        <w:rPr>
          <w:sz w:val="28"/>
          <w:szCs w:val="28"/>
        </w:rPr>
        <w:t>Ir valstis, kurās ir speciāls regulējums kā prognozēt būvniecības iz</w:t>
      </w:r>
      <w:r w:rsidR="00F7119F" w:rsidRPr="001D08EC">
        <w:rPr>
          <w:sz w:val="28"/>
          <w:szCs w:val="28"/>
        </w:rPr>
        <w:t>maksu indeksus, piemēram Somijā.</w:t>
      </w:r>
      <w:r w:rsidRPr="001D08EC">
        <w:rPr>
          <w:sz w:val="28"/>
          <w:szCs w:val="28"/>
        </w:rPr>
        <w:t xml:space="preserve"> </w:t>
      </w:r>
      <w:r w:rsidR="00F7119F" w:rsidRPr="001D08EC">
        <w:rPr>
          <w:sz w:val="28"/>
          <w:szCs w:val="28"/>
        </w:rPr>
        <w:t>U</w:t>
      </w:r>
      <w:r w:rsidRPr="001D08EC">
        <w:rPr>
          <w:sz w:val="28"/>
          <w:szCs w:val="28"/>
        </w:rPr>
        <w:t xml:space="preserve">n ir valstis, kurās šis process netiek regulēts, uzskatot, ka būvniecības darbu iepirkumi paši par sevi ir nepamatotu cenu paaugstinājuma ierobežojošs process.  </w:t>
      </w:r>
    </w:p>
    <w:p w:rsidR="00C341E2" w:rsidRPr="001D08EC" w:rsidRDefault="00A30129" w:rsidP="008B72B1">
      <w:pPr>
        <w:ind w:firstLine="720"/>
        <w:jc w:val="both"/>
        <w:rPr>
          <w:sz w:val="28"/>
          <w:szCs w:val="28"/>
        </w:rPr>
      </w:pPr>
      <w:r w:rsidRPr="001D08EC">
        <w:rPr>
          <w:sz w:val="28"/>
          <w:szCs w:val="28"/>
        </w:rPr>
        <w:t>Abos gadījumos f</w:t>
      </w:r>
      <w:r w:rsidR="00E51311" w:rsidRPr="001D08EC">
        <w:rPr>
          <w:sz w:val="28"/>
          <w:szCs w:val="28"/>
        </w:rPr>
        <w:t xml:space="preserve">aktiskās izmaksas, ņemot vērā būvniecības projekta īstenošanas ilgumu, var būtiski atšķirties no prognozēm.  Tāpēc līgumos tiek atrunāts kādos gadījumos un kā izmaksas tiks koriģētas paaugstinātas inflācijas vai deflācijas apstākļos.  </w:t>
      </w:r>
    </w:p>
    <w:p w:rsidR="000619F7" w:rsidRPr="001D08EC" w:rsidRDefault="000619F7" w:rsidP="008B72B1">
      <w:pPr>
        <w:ind w:firstLine="720"/>
        <w:jc w:val="both"/>
        <w:rPr>
          <w:sz w:val="28"/>
          <w:szCs w:val="28"/>
        </w:rPr>
      </w:pPr>
    </w:p>
    <w:p w:rsidR="00805312" w:rsidRPr="001D08EC" w:rsidRDefault="001A2321" w:rsidP="008B72B1">
      <w:pPr>
        <w:ind w:firstLine="720"/>
        <w:jc w:val="both"/>
        <w:rPr>
          <w:sz w:val="28"/>
          <w:szCs w:val="28"/>
        </w:rPr>
      </w:pPr>
      <w:r w:rsidRPr="001D08EC">
        <w:rPr>
          <w:sz w:val="28"/>
          <w:szCs w:val="28"/>
        </w:rPr>
        <w:lastRenderedPageBreak/>
        <w:t xml:space="preserve">Kā rāda citu valstu pieredze, tad parasti koriģēšana notiek tikai tajos gadījumos, ja faktiskā inflācija ir pārsniegusi kādu noteiktu iepriekš definētu cenu </w:t>
      </w:r>
      <w:r w:rsidR="00B56A93" w:rsidRPr="001D08EC">
        <w:rPr>
          <w:sz w:val="28"/>
          <w:szCs w:val="28"/>
        </w:rPr>
        <w:t xml:space="preserve">izmaiņu </w:t>
      </w:r>
      <w:r w:rsidRPr="001D08EC">
        <w:rPr>
          <w:sz w:val="28"/>
          <w:szCs w:val="28"/>
        </w:rPr>
        <w:t xml:space="preserve">slieksni. </w:t>
      </w:r>
      <w:r w:rsidR="0041444A" w:rsidRPr="001D08EC">
        <w:rPr>
          <w:sz w:val="28"/>
          <w:szCs w:val="28"/>
        </w:rPr>
        <w:t xml:space="preserve">Piemēram, ja slieksnis </w:t>
      </w:r>
      <w:r w:rsidR="00805312" w:rsidRPr="001D08EC">
        <w:rPr>
          <w:sz w:val="28"/>
          <w:szCs w:val="28"/>
        </w:rPr>
        <w:t>cenu indeksam</w:t>
      </w:r>
      <w:r w:rsidR="0041444A" w:rsidRPr="001D08EC">
        <w:rPr>
          <w:sz w:val="28"/>
          <w:szCs w:val="28"/>
        </w:rPr>
        <w:t xml:space="preserve"> noteiktam periodam ir 10%, bet cenas ir pieaugušas par 12%, tad fiksētās būvniecības izmaksas vai arī noteiktas resursu izmaksas tiek indeksētas par 2%. Savuk</w:t>
      </w:r>
      <w:r w:rsidR="00B56A93" w:rsidRPr="001D08EC">
        <w:rPr>
          <w:sz w:val="28"/>
          <w:szCs w:val="28"/>
        </w:rPr>
        <w:t xml:space="preserve">ārt, ja cenas pieaug par 8%, tad fiksēto cenu indeksācija nenotiek. </w:t>
      </w:r>
      <w:r w:rsidR="00E51311" w:rsidRPr="001D08EC">
        <w:rPr>
          <w:sz w:val="28"/>
          <w:szCs w:val="28"/>
        </w:rPr>
        <w:t xml:space="preserve"> </w:t>
      </w:r>
    </w:p>
    <w:p w:rsidR="00D4596D" w:rsidRPr="001D08EC" w:rsidRDefault="00CE341D" w:rsidP="008B72B1">
      <w:pPr>
        <w:ind w:firstLine="720"/>
        <w:jc w:val="both"/>
        <w:rPr>
          <w:sz w:val="28"/>
          <w:szCs w:val="28"/>
        </w:rPr>
      </w:pPr>
      <w:r w:rsidRPr="001D08EC">
        <w:rPr>
          <w:sz w:val="28"/>
          <w:szCs w:val="28"/>
        </w:rPr>
        <w:t xml:space="preserve">Ļoti būtisks ir sliekšņa noteikšanas process. </w:t>
      </w:r>
      <w:proofErr w:type="spellStart"/>
      <w:r w:rsidR="003F562D" w:rsidRPr="001D08EC">
        <w:rPr>
          <w:sz w:val="28"/>
          <w:szCs w:val="28"/>
        </w:rPr>
        <w:t>Būvizmaksu</w:t>
      </w:r>
      <w:proofErr w:type="spellEnd"/>
      <w:r w:rsidR="003F562D" w:rsidRPr="001D08EC">
        <w:rPr>
          <w:sz w:val="28"/>
          <w:szCs w:val="28"/>
        </w:rPr>
        <w:t xml:space="preserve"> indeksa pārmaiņu slieksnis </w:t>
      </w:r>
      <w:r w:rsidR="00D4596D" w:rsidRPr="001D08EC">
        <w:rPr>
          <w:sz w:val="28"/>
          <w:szCs w:val="28"/>
        </w:rPr>
        <w:t xml:space="preserve">var būt noteikts vienots visiem vai arī katram indeksam vai indeksu grupai. Slieksnis būtu jāpārskata ik gadu un </w:t>
      </w:r>
      <w:r w:rsidR="00011209" w:rsidRPr="001D08EC">
        <w:rPr>
          <w:sz w:val="28"/>
          <w:szCs w:val="28"/>
        </w:rPr>
        <w:t>jāattiecina</w:t>
      </w:r>
      <w:r w:rsidR="00D4596D" w:rsidRPr="001D08EC">
        <w:rPr>
          <w:sz w:val="28"/>
          <w:szCs w:val="28"/>
        </w:rPr>
        <w:t xml:space="preserve"> uz konkrētā gadā slēgtiem līgumiem. </w:t>
      </w:r>
      <w:r w:rsidR="00974D8D" w:rsidRPr="001D08EC">
        <w:rPr>
          <w:sz w:val="28"/>
          <w:szCs w:val="28"/>
        </w:rPr>
        <w:t>Tam jābūt objektīvi izvērtētam no ekspertu viedokļa.</w:t>
      </w:r>
    </w:p>
    <w:p w:rsidR="00974D8D" w:rsidRPr="001D08EC" w:rsidRDefault="00974D8D" w:rsidP="008B72B1">
      <w:pPr>
        <w:ind w:firstLine="720"/>
        <w:jc w:val="both"/>
        <w:rPr>
          <w:sz w:val="28"/>
          <w:szCs w:val="28"/>
        </w:rPr>
      </w:pPr>
      <w:r w:rsidRPr="001D08EC">
        <w:rPr>
          <w:sz w:val="28"/>
          <w:szCs w:val="28"/>
        </w:rPr>
        <w:t xml:space="preserve">Sliekšņa līmenis galvenokārt ir atkarīgs no ekonomiskā cikla fāzes un iepriekšējo periodu tendencēm. </w:t>
      </w:r>
      <w:r w:rsidR="00326FA1" w:rsidRPr="001D08EC">
        <w:rPr>
          <w:sz w:val="28"/>
          <w:szCs w:val="28"/>
        </w:rPr>
        <w:t>Vislielākā indeksācijas daļa būs projektiem, kuru īstenošana norit</w:t>
      </w:r>
      <w:r w:rsidR="004E5996" w:rsidRPr="001D08EC">
        <w:rPr>
          <w:sz w:val="28"/>
          <w:szCs w:val="28"/>
        </w:rPr>
        <w:t xml:space="preserve"> ekonomiskā cikla lūzuma punktā. Tas attiecas gan uz strauju izaugsmi gan uz  lejupslīdi. Šādu lūzuma punktu </w:t>
      </w:r>
      <w:r w:rsidR="00326FA1" w:rsidRPr="001D08EC">
        <w:rPr>
          <w:sz w:val="28"/>
          <w:szCs w:val="28"/>
        </w:rPr>
        <w:t xml:space="preserve">laicīgi paredzēt praktiski </w:t>
      </w:r>
      <w:r w:rsidR="004E5996" w:rsidRPr="001D08EC">
        <w:rPr>
          <w:sz w:val="28"/>
          <w:szCs w:val="28"/>
        </w:rPr>
        <w:t>nav</w:t>
      </w:r>
      <w:r w:rsidR="00326FA1" w:rsidRPr="001D08EC">
        <w:rPr>
          <w:sz w:val="28"/>
          <w:szCs w:val="28"/>
        </w:rPr>
        <w:t xml:space="preserve"> </w:t>
      </w:r>
      <w:r w:rsidR="004E5996" w:rsidRPr="001D08EC">
        <w:rPr>
          <w:sz w:val="28"/>
          <w:szCs w:val="28"/>
        </w:rPr>
        <w:t>iespējams</w:t>
      </w:r>
      <w:r w:rsidR="00326FA1" w:rsidRPr="001D08EC">
        <w:rPr>
          <w:sz w:val="28"/>
          <w:szCs w:val="28"/>
        </w:rPr>
        <w:t xml:space="preserve">. </w:t>
      </w:r>
    </w:p>
    <w:p w:rsidR="00326FA1" w:rsidRPr="001D08EC" w:rsidRDefault="004A7AB6" w:rsidP="008B72B1">
      <w:pPr>
        <w:ind w:firstLine="720"/>
        <w:jc w:val="both"/>
        <w:rPr>
          <w:sz w:val="28"/>
          <w:szCs w:val="28"/>
        </w:rPr>
      </w:pPr>
      <w:r w:rsidRPr="001D08EC">
        <w:rPr>
          <w:sz w:val="28"/>
          <w:szCs w:val="28"/>
        </w:rPr>
        <w:t>Iespējamam e</w:t>
      </w:r>
      <w:r w:rsidR="00326FA1" w:rsidRPr="001D08EC">
        <w:rPr>
          <w:sz w:val="28"/>
          <w:szCs w:val="28"/>
        </w:rPr>
        <w:t>kon</w:t>
      </w:r>
      <w:r w:rsidRPr="001D08EC">
        <w:rPr>
          <w:sz w:val="28"/>
          <w:szCs w:val="28"/>
        </w:rPr>
        <w:t>omiskā cikla lejupslīdes periodam</w:t>
      </w:r>
      <w:r w:rsidR="00326FA1" w:rsidRPr="001D08EC">
        <w:rPr>
          <w:sz w:val="28"/>
          <w:szCs w:val="28"/>
        </w:rPr>
        <w:t xml:space="preserve"> no pasūtītāja viedokļa svarīgi ir noteikt </w:t>
      </w:r>
      <w:r w:rsidRPr="001D08EC">
        <w:rPr>
          <w:sz w:val="28"/>
          <w:szCs w:val="28"/>
        </w:rPr>
        <w:t xml:space="preserve">arī </w:t>
      </w:r>
      <w:r w:rsidR="00326FA1" w:rsidRPr="001D08EC">
        <w:rPr>
          <w:sz w:val="28"/>
          <w:szCs w:val="28"/>
        </w:rPr>
        <w:t xml:space="preserve">slieksni cenu samazinājumam. </w:t>
      </w:r>
      <w:r w:rsidR="00CB7E0E" w:rsidRPr="001D08EC">
        <w:rPr>
          <w:sz w:val="28"/>
          <w:szCs w:val="28"/>
        </w:rPr>
        <w:t>Kā liecina Latvijas pieredze, krīzes laikā būvniecības izmaksu samazinājums caurmērā bija uz pusi mazāks nekā to pieaugums straujās izaug</w:t>
      </w:r>
      <w:r w:rsidRPr="001D08EC">
        <w:rPr>
          <w:sz w:val="28"/>
          <w:szCs w:val="28"/>
        </w:rPr>
        <w:t xml:space="preserve">smes laikā (skatīt 2.pielikumu), bet korekcijas ir straujākas. Tāpēc īsā laikā var notikt ļoti straujas izmaiņas būvniecības izmaksās. </w:t>
      </w:r>
    </w:p>
    <w:p w:rsidR="00A30129" w:rsidRPr="001D08EC" w:rsidRDefault="00A30129" w:rsidP="008B72B1">
      <w:pPr>
        <w:ind w:firstLine="720"/>
        <w:jc w:val="both"/>
        <w:rPr>
          <w:sz w:val="28"/>
          <w:szCs w:val="28"/>
        </w:rPr>
      </w:pPr>
    </w:p>
    <w:p w:rsidR="002904B3" w:rsidRPr="001D08EC" w:rsidRDefault="00326FA1" w:rsidP="008B72B1">
      <w:pPr>
        <w:ind w:firstLine="720"/>
        <w:jc w:val="both"/>
        <w:rPr>
          <w:sz w:val="28"/>
          <w:szCs w:val="28"/>
        </w:rPr>
      </w:pPr>
      <w:r w:rsidRPr="001D08EC">
        <w:rPr>
          <w:sz w:val="28"/>
          <w:szCs w:val="28"/>
        </w:rPr>
        <w:t xml:space="preserve">Ja izvērtē pašreizējo situāciju, </w:t>
      </w:r>
      <w:r w:rsidR="00BF18B4" w:rsidRPr="001D08EC">
        <w:rPr>
          <w:sz w:val="28"/>
          <w:szCs w:val="28"/>
        </w:rPr>
        <w:t xml:space="preserve">kas raksturojas ar vāju kreditēšanas procesa dinamiku, </w:t>
      </w:r>
      <w:r w:rsidR="0016511B">
        <w:rPr>
          <w:sz w:val="28"/>
          <w:szCs w:val="28"/>
        </w:rPr>
        <w:t xml:space="preserve">turpmākajos trijos gados </w:t>
      </w:r>
      <w:r w:rsidR="00CB1DB1" w:rsidRPr="001D08EC">
        <w:rPr>
          <w:sz w:val="28"/>
          <w:szCs w:val="28"/>
        </w:rPr>
        <w:t xml:space="preserve"> nav paredz</w:t>
      </w:r>
      <w:r w:rsidR="0016511B">
        <w:rPr>
          <w:sz w:val="28"/>
          <w:szCs w:val="28"/>
        </w:rPr>
        <w:t>ams</w:t>
      </w:r>
      <w:r w:rsidR="00CB1DB1" w:rsidRPr="001D08EC">
        <w:rPr>
          <w:sz w:val="28"/>
          <w:szCs w:val="28"/>
        </w:rPr>
        <w:t xml:space="preserve"> tāds būvniecības pieprasījuma pieaugums </w:t>
      </w:r>
      <w:r w:rsidR="00BF18B4" w:rsidRPr="001D08EC">
        <w:rPr>
          <w:sz w:val="28"/>
          <w:szCs w:val="28"/>
        </w:rPr>
        <w:t>k</w:t>
      </w:r>
      <w:r w:rsidR="00CB1DB1" w:rsidRPr="001D08EC">
        <w:rPr>
          <w:sz w:val="28"/>
          <w:szCs w:val="28"/>
        </w:rPr>
        <w:t xml:space="preserve">āds bija iepriekšējos straujās izaugsmes gados un līdz ar to cenu izmaiņas </w:t>
      </w:r>
      <w:r w:rsidR="002904B3" w:rsidRPr="001D08EC">
        <w:rPr>
          <w:sz w:val="28"/>
          <w:szCs w:val="28"/>
        </w:rPr>
        <w:t xml:space="preserve">būvniecībā vairāk saistītas ar ārējiem apstākļiem, t.i., ar straujāku pieaugumu izmaksām  mašīnu un mehānismu uzturēšanai un ekspluatācijai </w:t>
      </w:r>
      <w:r w:rsidR="00166822" w:rsidRPr="001D08EC">
        <w:rPr>
          <w:sz w:val="28"/>
          <w:szCs w:val="28"/>
        </w:rPr>
        <w:t xml:space="preserve">(BII MM izmaksām) </w:t>
      </w:r>
      <w:r w:rsidR="002904B3" w:rsidRPr="001D08EC">
        <w:rPr>
          <w:sz w:val="28"/>
          <w:szCs w:val="28"/>
        </w:rPr>
        <w:t>galvenokārt saistībā ar degvielas cenu palielinājumu.</w:t>
      </w:r>
      <w:r w:rsidR="00166822" w:rsidRPr="001D08EC">
        <w:rPr>
          <w:sz w:val="28"/>
          <w:szCs w:val="28"/>
        </w:rPr>
        <w:t xml:space="preserve">  </w:t>
      </w:r>
    </w:p>
    <w:p w:rsidR="00F42B1F" w:rsidRPr="001D08EC" w:rsidRDefault="0033212F" w:rsidP="008B72B1">
      <w:pPr>
        <w:ind w:firstLine="720"/>
        <w:jc w:val="both"/>
        <w:rPr>
          <w:sz w:val="28"/>
          <w:szCs w:val="28"/>
        </w:rPr>
      </w:pPr>
      <w:r w:rsidRPr="001D08EC">
        <w:rPr>
          <w:sz w:val="28"/>
          <w:szCs w:val="28"/>
        </w:rPr>
        <w:t>Sakarā ar pakāpeni</w:t>
      </w:r>
      <w:r w:rsidR="00A30129" w:rsidRPr="001D08EC">
        <w:rPr>
          <w:sz w:val="28"/>
          <w:szCs w:val="28"/>
        </w:rPr>
        <w:t>sku būvniecības apjomu pieaugumu</w:t>
      </w:r>
      <w:r w:rsidRPr="001D08EC">
        <w:rPr>
          <w:sz w:val="28"/>
          <w:szCs w:val="28"/>
        </w:rPr>
        <w:t xml:space="preserve">, gaidāms arī </w:t>
      </w:r>
      <w:r w:rsidR="00750379" w:rsidRPr="001D08EC">
        <w:rPr>
          <w:sz w:val="28"/>
          <w:szCs w:val="28"/>
        </w:rPr>
        <w:t xml:space="preserve">neliels </w:t>
      </w:r>
      <w:r w:rsidRPr="001D08EC">
        <w:rPr>
          <w:sz w:val="28"/>
          <w:szCs w:val="28"/>
        </w:rPr>
        <w:t xml:space="preserve">algu pieaugums, bet krietni </w:t>
      </w:r>
      <w:r w:rsidR="00F42B1F" w:rsidRPr="001D08EC">
        <w:rPr>
          <w:sz w:val="28"/>
          <w:szCs w:val="28"/>
        </w:rPr>
        <w:t>m</w:t>
      </w:r>
      <w:r w:rsidRPr="001D08EC">
        <w:rPr>
          <w:sz w:val="28"/>
          <w:szCs w:val="28"/>
        </w:rPr>
        <w:t>ērenāks nekā 2006. un 2007.gadā.</w:t>
      </w:r>
      <w:r w:rsidR="00F42B1F" w:rsidRPr="001D08EC">
        <w:rPr>
          <w:sz w:val="28"/>
          <w:szCs w:val="28"/>
        </w:rPr>
        <w:t xml:space="preserve"> </w:t>
      </w:r>
      <w:r w:rsidR="00750379" w:rsidRPr="001D08EC">
        <w:rPr>
          <w:sz w:val="28"/>
          <w:szCs w:val="28"/>
        </w:rPr>
        <w:t>Tomēr dažos būvniecības segmentos jārēķinās ar apstākli, ka krīzes laikā ir krietni samazinājies kvalificētu būvstrādnieku piedāvājums. Tāpēc algu pieaugums kvalificētiem strādniekiem var būt straujāks.</w:t>
      </w:r>
    </w:p>
    <w:p w:rsidR="00F42B1F" w:rsidRPr="001D08EC" w:rsidRDefault="00F42B1F" w:rsidP="008B72B1">
      <w:pPr>
        <w:ind w:firstLine="720"/>
        <w:jc w:val="both"/>
        <w:rPr>
          <w:sz w:val="28"/>
          <w:szCs w:val="28"/>
        </w:rPr>
      </w:pPr>
    </w:p>
    <w:p w:rsidR="00F42B1F" w:rsidRPr="001D08EC" w:rsidRDefault="00712502" w:rsidP="008B72B1">
      <w:pPr>
        <w:ind w:firstLine="720"/>
        <w:jc w:val="both"/>
        <w:rPr>
          <w:sz w:val="28"/>
          <w:szCs w:val="28"/>
        </w:rPr>
      </w:pPr>
      <w:r w:rsidRPr="001D08EC">
        <w:rPr>
          <w:sz w:val="28"/>
          <w:szCs w:val="28"/>
        </w:rPr>
        <w:t xml:space="preserve">Kā </w:t>
      </w:r>
      <w:r w:rsidR="00F7119F" w:rsidRPr="001D08EC">
        <w:rPr>
          <w:sz w:val="28"/>
          <w:szCs w:val="28"/>
        </w:rPr>
        <w:t>būtisks apsvērum</w:t>
      </w:r>
      <w:r w:rsidR="00276F59" w:rsidRPr="001D08EC">
        <w:rPr>
          <w:sz w:val="28"/>
          <w:szCs w:val="28"/>
        </w:rPr>
        <w:t xml:space="preserve">s sliekšņu noteikšanā ir </w:t>
      </w:r>
      <w:r w:rsidRPr="001D08EC">
        <w:rPr>
          <w:sz w:val="28"/>
          <w:szCs w:val="28"/>
        </w:rPr>
        <w:t xml:space="preserve">jāņem vērā tas, ka Latvijai ir jāpilda ES agrās brīdināšanas mehānisma nosacījumi. </w:t>
      </w:r>
      <w:r w:rsidR="00F42B1F" w:rsidRPr="001D08EC">
        <w:rPr>
          <w:sz w:val="28"/>
          <w:szCs w:val="28"/>
        </w:rPr>
        <w:t xml:space="preserve">Lai nodrošinātu ES ilgtspējīgu un sabalansētu izaugsmi, ES padome ekonomikas un finanšu jautājumos 2011.gada 8.novembrī ir apstiprinājusi makroekonomiskās (iekšējās un ārējās) </w:t>
      </w:r>
      <w:proofErr w:type="spellStart"/>
      <w:r w:rsidR="00F42B1F" w:rsidRPr="001D08EC">
        <w:rPr>
          <w:sz w:val="28"/>
          <w:szCs w:val="28"/>
        </w:rPr>
        <w:t>nesabalansētības</w:t>
      </w:r>
      <w:proofErr w:type="spellEnd"/>
      <w:r w:rsidR="00F42B1F" w:rsidRPr="001D08EC">
        <w:rPr>
          <w:sz w:val="28"/>
          <w:szCs w:val="28"/>
        </w:rPr>
        <w:t xml:space="preserve"> indikatorus (</w:t>
      </w:r>
      <w:proofErr w:type="spellStart"/>
      <w:r w:rsidR="00F42B1F" w:rsidRPr="001D08EC">
        <w:rPr>
          <w:i/>
          <w:sz w:val="28"/>
          <w:szCs w:val="28"/>
        </w:rPr>
        <w:t>scoreboard</w:t>
      </w:r>
      <w:proofErr w:type="spellEnd"/>
      <w:r w:rsidR="00F42B1F" w:rsidRPr="001D08EC">
        <w:rPr>
          <w:i/>
          <w:sz w:val="28"/>
          <w:szCs w:val="28"/>
        </w:rPr>
        <w:t xml:space="preserve"> </w:t>
      </w:r>
      <w:proofErr w:type="spellStart"/>
      <w:r w:rsidR="00F42B1F" w:rsidRPr="001D08EC">
        <w:rPr>
          <w:i/>
          <w:sz w:val="28"/>
          <w:szCs w:val="28"/>
        </w:rPr>
        <w:t>indicators</w:t>
      </w:r>
      <w:proofErr w:type="spellEnd"/>
      <w:r w:rsidR="00552E7D" w:rsidRPr="001D08EC">
        <w:rPr>
          <w:rStyle w:val="FootnoteReference"/>
          <w:i/>
          <w:sz w:val="28"/>
          <w:szCs w:val="28"/>
        </w:rPr>
        <w:footnoteReference w:id="3"/>
      </w:r>
      <w:r w:rsidR="00F42B1F" w:rsidRPr="001D08EC">
        <w:rPr>
          <w:sz w:val="28"/>
          <w:szCs w:val="28"/>
        </w:rPr>
        <w:t>), ES agrās brīdināšanas mehānisma (</w:t>
      </w:r>
      <w:proofErr w:type="spellStart"/>
      <w:r w:rsidR="00F42B1F" w:rsidRPr="001D08EC">
        <w:rPr>
          <w:i/>
          <w:sz w:val="28"/>
          <w:szCs w:val="28"/>
        </w:rPr>
        <w:t>alert</w:t>
      </w:r>
      <w:proofErr w:type="spellEnd"/>
      <w:r w:rsidR="00F42B1F" w:rsidRPr="001D08EC">
        <w:rPr>
          <w:i/>
          <w:sz w:val="28"/>
          <w:szCs w:val="28"/>
        </w:rPr>
        <w:t xml:space="preserve"> </w:t>
      </w:r>
      <w:proofErr w:type="spellStart"/>
      <w:r w:rsidR="00F42B1F" w:rsidRPr="001D08EC">
        <w:rPr>
          <w:i/>
          <w:sz w:val="28"/>
          <w:szCs w:val="28"/>
        </w:rPr>
        <w:t>mehanism</w:t>
      </w:r>
      <w:proofErr w:type="spellEnd"/>
      <w:r w:rsidR="00F42B1F" w:rsidRPr="001D08EC">
        <w:rPr>
          <w:sz w:val="28"/>
          <w:szCs w:val="28"/>
        </w:rPr>
        <w:t>) ietvaros. Doto indikatoru mērķis ir sniegt informāciju par iespējamiem draudiem ekonomikas attīstībai.</w:t>
      </w:r>
    </w:p>
    <w:p w:rsidR="00F42B1F" w:rsidRPr="001D08EC" w:rsidRDefault="00F42B1F" w:rsidP="008B72B1">
      <w:pPr>
        <w:ind w:firstLine="720"/>
        <w:jc w:val="both"/>
        <w:rPr>
          <w:sz w:val="28"/>
          <w:szCs w:val="28"/>
        </w:rPr>
      </w:pPr>
      <w:r w:rsidRPr="001D08EC">
        <w:rPr>
          <w:sz w:val="28"/>
          <w:szCs w:val="28"/>
        </w:rPr>
        <w:lastRenderedPageBreak/>
        <w:t xml:space="preserve">Pašlaik ir apstiprināti 10 indikatori un noteikti to sliekšņi, kuru pārsniegšana liecina par makroekonomiskās </w:t>
      </w:r>
      <w:proofErr w:type="spellStart"/>
      <w:r w:rsidRPr="001D08EC">
        <w:rPr>
          <w:sz w:val="28"/>
          <w:szCs w:val="28"/>
        </w:rPr>
        <w:t>nesabalansētības</w:t>
      </w:r>
      <w:proofErr w:type="spellEnd"/>
      <w:r w:rsidRPr="001D08EC">
        <w:rPr>
          <w:sz w:val="28"/>
          <w:szCs w:val="28"/>
        </w:rPr>
        <w:t xml:space="preserve"> draudu palielināšanos. Minēto indikatoru sarakstā ir iekļauti arī cenu un izmaksu dinamikas rādītāji: produkcijas vienības nominālās darbaspēka izmaksu un mājokļu cenu pieaugums.</w:t>
      </w:r>
    </w:p>
    <w:p w:rsidR="00F42B1F" w:rsidRPr="001D08EC" w:rsidRDefault="00F42B1F" w:rsidP="008B72B1">
      <w:pPr>
        <w:ind w:firstLine="720"/>
        <w:jc w:val="both"/>
        <w:rPr>
          <w:sz w:val="28"/>
          <w:szCs w:val="28"/>
        </w:rPr>
      </w:pPr>
      <w:r w:rsidRPr="001D08EC">
        <w:rPr>
          <w:sz w:val="28"/>
          <w:szCs w:val="28"/>
        </w:rPr>
        <w:t xml:space="preserve">Ir noteikts, ka mājokļu cenu pieaugums </w:t>
      </w:r>
      <w:r w:rsidR="00750379" w:rsidRPr="001D08EC">
        <w:rPr>
          <w:sz w:val="28"/>
          <w:szCs w:val="28"/>
        </w:rPr>
        <w:t>gadā</w:t>
      </w:r>
      <w:r w:rsidRPr="001D08EC">
        <w:rPr>
          <w:sz w:val="28"/>
          <w:szCs w:val="28"/>
        </w:rPr>
        <w:t xml:space="preserve"> nedrīkst pārsniegt 6</w:t>
      </w:r>
      <w:r w:rsidR="0091287B" w:rsidRPr="001D08EC">
        <w:rPr>
          <w:sz w:val="28"/>
          <w:szCs w:val="28"/>
        </w:rPr>
        <w:t>% no mājokļa cenu indeksa augšējās robežas</w:t>
      </w:r>
      <w:r w:rsidRPr="001D08EC">
        <w:rPr>
          <w:sz w:val="28"/>
          <w:szCs w:val="28"/>
        </w:rPr>
        <w:t>, savukārt produkcijas vienības nominālās darbaspēka izmaksu pieauguma slieksnis trīs gadu vidējām rādītājām</w:t>
      </w:r>
      <w:r w:rsidR="00C24310" w:rsidRPr="001D08EC">
        <w:rPr>
          <w:sz w:val="28"/>
          <w:szCs w:val="28"/>
        </w:rPr>
        <w:t xml:space="preserve"> ir 12%</w:t>
      </w:r>
      <w:r w:rsidRPr="001D08EC">
        <w:rPr>
          <w:sz w:val="28"/>
          <w:szCs w:val="28"/>
        </w:rPr>
        <w:t>.</w:t>
      </w:r>
    </w:p>
    <w:p w:rsidR="00F42B1F" w:rsidRPr="001D08EC" w:rsidRDefault="00712502" w:rsidP="008B72B1">
      <w:pPr>
        <w:ind w:firstLine="720"/>
        <w:jc w:val="both"/>
        <w:rPr>
          <w:sz w:val="28"/>
          <w:szCs w:val="28"/>
        </w:rPr>
      </w:pPr>
      <w:r w:rsidRPr="001D08EC">
        <w:rPr>
          <w:sz w:val="28"/>
          <w:szCs w:val="28"/>
        </w:rPr>
        <w:t>Balstoties uz šiem nosacījumiem kopējā BII inflācijas sli</w:t>
      </w:r>
      <w:r w:rsidR="00276F59" w:rsidRPr="001D08EC">
        <w:rPr>
          <w:sz w:val="28"/>
          <w:szCs w:val="28"/>
        </w:rPr>
        <w:t>eksni būtu lietderīgi noteikt 10</w:t>
      </w:r>
      <w:r w:rsidRPr="001D08EC">
        <w:rPr>
          <w:sz w:val="28"/>
          <w:szCs w:val="28"/>
        </w:rPr>
        <w:t>% līmenī</w:t>
      </w:r>
      <w:r w:rsidR="00276F59" w:rsidRPr="001D08EC">
        <w:rPr>
          <w:sz w:val="28"/>
          <w:szCs w:val="28"/>
        </w:rPr>
        <w:t xml:space="preserve"> (gada inflācijai)</w:t>
      </w:r>
      <w:r w:rsidRPr="001D08EC">
        <w:rPr>
          <w:sz w:val="28"/>
          <w:szCs w:val="28"/>
        </w:rPr>
        <w:t xml:space="preserve">, </w:t>
      </w:r>
      <w:r w:rsidR="00276F59" w:rsidRPr="001D08EC">
        <w:rPr>
          <w:sz w:val="28"/>
          <w:szCs w:val="28"/>
        </w:rPr>
        <w:t xml:space="preserve">kas atbilst arī vispārpieņemtam apsvērumam par uzņēmēju spēju prognozēt paredzamo </w:t>
      </w:r>
      <w:proofErr w:type="spellStart"/>
      <w:r w:rsidR="00276F59" w:rsidRPr="001D08EC">
        <w:rPr>
          <w:sz w:val="28"/>
          <w:szCs w:val="28"/>
        </w:rPr>
        <w:t>būvizmaksu</w:t>
      </w:r>
      <w:proofErr w:type="spellEnd"/>
      <w:r w:rsidR="00276F59" w:rsidRPr="001D08EC">
        <w:rPr>
          <w:sz w:val="28"/>
          <w:szCs w:val="28"/>
        </w:rPr>
        <w:t xml:space="preserve"> izmaiņu dinamiku un kompensēt zaudējumus pie mērenas izaugsmes cenu svārstībām.</w:t>
      </w:r>
      <w:r w:rsidRPr="001D08EC">
        <w:rPr>
          <w:sz w:val="28"/>
          <w:szCs w:val="28"/>
        </w:rPr>
        <w:t xml:space="preserve"> </w:t>
      </w:r>
    </w:p>
    <w:p w:rsidR="00B6506C" w:rsidRPr="001D08EC" w:rsidRDefault="00B6506C" w:rsidP="008B72B1">
      <w:pPr>
        <w:ind w:firstLine="720"/>
        <w:jc w:val="both"/>
        <w:rPr>
          <w:sz w:val="28"/>
          <w:szCs w:val="28"/>
        </w:rPr>
      </w:pPr>
    </w:p>
    <w:p w:rsidR="00F42B1F" w:rsidRPr="001D08EC" w:rsidRDefault="00F42B1F" w:rsidP="00F42B1F">
      <w:pPr>
        <w:jc w:val="both"/>
        <w:rPr>
          <w:b/>
          <w:i/>
          <w:sz w:val="28"/>
          <w:szCs w:val="28"/>
        </w:rPr>
      </w:pPr>
      <w:r w:rsidRPr="001D08EC">
        <w:rPr>
          <w:b/>
          <w:i/>
          <w:sz w:val="28"/>
          <w:szCs w:val="28"/>
        </w:rPr>
        <w:t>Ko indeksēt</w:t>
      </w:r>
      <w:r w:rsidR="00B16748" w:rsidRPr="001D08EC">
        <w:rPr>
          <w:b/>
          <w:i/>
          <w:sz w:val="28"/>
          <w:szCs w:val="28"/>
        </w:rPr>
        <w:t xml:space="preserve"> un kādus indeksus izmantot</w:t>
      </w:r>
    </w:p>
    <w:p w:rsidR="00F42B1F" w:rsidRPr="001D08EC" w:rsidRDefault="00F42B1F" w:rsidP="008B72B1">
      <w:pPr>
        <w:ind w:firstLine="720"/>
        <w:jc w:val="both"/>
        <w:rPr>
          <w:sz w:val="28"/>
          <w:szCs w:val="28"/>
        </w:rPr>
      </w:pPr>
    </w:p>
    <w:p w:rsidR="00326FA1" w:rsidRPr="001D08EC" w:rsidRDefault="00276F59" w:rsidP="008B72B1">
      <w:pPr>
        <w:ind w:firstLine="720"/>
        <w:jc w:val="both"/>
        <w:rPr>
          <w:sz w:val="28"/>
          <w:szCs w:val="28"/>
        </w:rPr>
      </w:pPr>
      <w:r w:rsidRPr="001D08EC">
        <w:rPr>
          <w:sz w:val="28"/>
          <w:szCs w:val="28"/>
        </w:rPr>
        <w:t xml:space="preserve">Ņemot vērā, ka katrs projekts ir </w:t>
      </w:r>
      <w:r w:rsidR="003203F4" w:rsidRPr="001D08EC">
        <w:rPr>
          <w:sz w:val="28"/>
          <w:szCs w:val="28"/>
        </w:rPr>
        <w:t xml:space="preserve">ar </w:t>
      </w:r>
      <w:r w:rsidRPr="001D08EC">
        <w:rPr>
          <w:sz w:val="28"/>
          <w:szCs w:val="28"/>
        </w:rPr>
        <w:t>individu</w:t>
      </w:r>
      <w:r w:rsidR="003203F4" w:rsidRPr="001D08EC">
        <w:rPr>
          <w:sz w:val="28"/>
          <w:szCs w:val="28"/>
        </w:rPr>
        <w:t xml:space="preserve">ālu izmaksu struktūru, </w:t>
      </w:r>
      <w:r w:rsidR="00B439BC" w:rsidRPr="001D08EC">
        <w:rPr>
          <w:sz w:val="28"/>
          <w:szCs w:val="28"/>
        </w:rPr>
        <w:t xml:space="preserve">vislietderīgāk būtu indeksēt atsevišķas </w:t>
      </w:r>
      <w:proofErr w:type="spellStart"/>
      <w:r w:rsidR="00B439BC" w:rsidRPr="001D08EC">
        <w:rPr>
          <w:sz w:val="28"/>
          <w:szCs w:val="28"/>
        </w:rPr>
        <w:t>būvizmaksu</w:t>
      </w:r>
      <w:proofErr w:type="spellEnd"/>
      <w:r w:rsidR="00B439BC" w:rsidRPr="001D08EC">
        <w:rPr>
          <w:sz w:val="28"/>
          <w:szCs w:val="28"/>
        </w:rPr>
        <w:t xml:space="preserve"> pozīcijas, kas saistītas </w:t>
      </w:r>
      <w:r w:rsidR="00F42B1F" w:rsidRPr="001D08EC">
        <w:rPr>
          <w:sz w:val="28"/>
          <w:szCs w:val="28"/>
        </w:rPr>
        <w:t xml:space="preserve"> </w:t>
      </w:r>
      <w:r w:rsidR="00B439BC" w:rsidRPr="001D08EC">
        <w:rPr>
          <w:sz w:val="28"/>
          <w:szCs w:val="28"/>
        </w:rPr>
        <w:t xml:space="preserve">tieši ar būvniecības procesa resursu izmantošanu (strādnieku darba samaksa, būvmateriāli un izmaksas mašīnu un mehānismu uzturēšanai un ekspluatācijai), jo šie cenu indeksi ir pieejami katrā no 8 būvniecības veidu grupām un indeksācija precīzāk atbilst konkrētā būvprojekta struktūrai.  Pārējo pozīciju izmaksu (peļņa, administratīvās izmaksas u.tml.) veidošanās mehānisms līgumos </w:t>
      </w:r>
      <w:r w:rsidR="009F35C6" w:rsidRPr="001D08EC">
        <w:rPr>
          <w:sz w:val="28"/>
          <w:szCs w:val="28"/>
        </w:rPr>
        <w:t xml:space="preserve">parasti </w:t>
      </w:r>
      <w:r w:rsidR="00B439BC" w:rsidRPr="001D08EC">
        <w:rPr>
          <w:sz w:val="28"/>
          <w:szCs w:val="28"/>
        </w:rPr>
        <w:t>ir speciāli atrun</w:t>
      </w:r>
      <w:r w:rsidR="00B16748" w:rsidRPr="001D08EC">
        <w:rPr>
          <w:sz w:val="28"/>
          <w:szCs w:val="28"/>
        </w:rPr>
        <w:t>āts</w:t>
      </w:r>
      <w:r w:rsidR="00B439BC" w:rsidRPr="001D08EC">
        <w:rPr>
          <w:sz w:val="28"/>
          <w:szCs w:val="28"/>
        </w:rPr>
        <w:t xml:space="preserve">. </w:t>
      </w:r>
    </w:p>
    <w:p w:rsidR="00B16748" w:rsidRPr="001D08EC" w:rsidRDefault="00B16748" w:rsidP="008B72B1">
      <w:pPr>
        <w:ind w:firstLine="720"/>
        <w:jc w:val="both"/>
        <w:rPr>
          <w:sz w:val="28"/>
          <w:szCs w:val="28"/>
        </w:rPr>
      </w:pPr>
      <w:r w:rsidRPr="001D08EC">
        <w:rPr>
          <w:sz w:val="28"/>
          <w:szCs w:val="28"/>
        </w:rPr>
        <w:t xml:space="preserve">Būtu </w:t>
      </w:r>
      <w:r w:rsidR="009F35C6" w:rsidRPr="001D08EC">
        <w:rPr>
          <w:sz w:val="28"/>
          <w:szCs w:val="28"/>
        </w:rPr>
        <w:t>vēlams izvērtēt arī iespēju</w:t>
      </w:r>
      <w:r w:rsidRPr="001D08EC">
        <w:rPr>
          <w:sz w:val="28"/>
          <w:szCs w:val="28"/>
        </w:rPr>
        <w:t xml:space="preserve"> transporta objektu </w:t>
      </w:r>
      <w:proofErr w:type="spellStart"/>
      <w:r w:rsidRPr="001D08EC">
        <w:rPr>
          <w:sz w:val="28"/>
          <w:szCs w:val="28"/>
        </w:rPr>
        <w:t>būvizmaksas</w:t>
      </w:r>
      <w:proofErr w:type="spellEnd"/>
      <w:r w:rsidRPr="001D08EC">
        <w:rPr>
          <w:sz w:val="28"/>
          <w:szCs w:val="28"/>
        </w:rPr>
        <w:t xml:space="preserve">  indeksēt ar degvielas cenu indeksu, pamatā izmantojot patēriņa cenu indeksa groza atbilstošo pozīciju. </w:t>
      </w:r>
      <w:r w:rsidR="009F35C6" w:rsidRPr="001D08EC">
        <w:rPr>
          <w:sz w:val="28"/>
          <w:szCs w:val="28"/>
        </w:rPr>
        <w:t xml:space="preserve">Jāievēro, ka </w:t>
      </w:r>
      <w:r w:rsidR="000463C0" w:rsidRPr="001D08EC">
        <w:rPr>
          <w:sz w:val="28"/>
          <w:szCs w:val="28"/>
        </w:rPr>
        <w:t>patēriņa cenu indekss atspoguļo mazumtirdzniecības cenu pārmaiņas, t.sk., izmaiņas pievienotās vērtības un akcīzes nodokļos, ja tādas ir bijušas.</w:t>
      </w:r>
    </w:p>
    <w:p w:rsidR="00B16748" w:rsidRPr="001D08EC" w:rsidRDefault="00B16748" w:rsidP="008B72B1">
      <w:pPr>
        <w:ind w:firstLine="720"/>
        <w:jc w:val="both"/>
        <w:rPr>
          <w:sz w:val="28"/>
          <w:szCs w:val="28"/>
        </w:rPr>
      </w:pPr>
    </w:p>
    <w:p w:rsidR="007C035F" w:rsidRPr="001D08EC" w:rsidRDefault="00B16748" w:rsidP="008B72B1">
      <w:pPr>
        <w:ind w:firstLine="720"/>
        <w:jc w:val="both"/>
        <w:rPr>
          <w:sz w:val="28"/>
          <w:szCs w:val="28"/>
        </w:rPr>
      </w:pPr>
      <w:r w:rsidRPr="001D08EC">
        <w:rPr>
          <w:sz w:val="28"/>
          <w:szCs w:val="28"/>
        </w:rPr>
        <w:t xml:space="preserve">Visas tās izmaksu izmaiņas, kas saistītas ar nodokļu izmaiņām būtu jāveic nesaistīti ar augšminēto indeksāciju un jāizslēdz to ietekme uz BII. </w:t>
      </w:r>
    </w:p>
    <w:p w:rsidR="007C035F" w:rsidRPr="001D08EC" w:rsidRDefault="007C035F" w:rsidP="0082345F">
      <w:pPr>
        <w:ind w:firstLine="567"/>
        <w:jc w:val="both"/>
        <w:rPr>
          <w:sz w:val="28"/>
          <w:szCs w:val="28"/>
        </w:rPr>
      </w:pPr>
    </w:p>
    <w:p w:rsidR="007C035F" w:rsidRPr="001D08EC" w:rsidRDefault="007C035F" w:rsidP="007C035F">
      <w:pPr>
        <w:jc w:val="both"/>
        <w:rPr>
          <w:b/>
          <w:i/>
          <w:sz w:val="28"/>
          <w:szCs w:val="28"/>
        </w:rPr>
      </w:pPr>
      <w:r w:rsidRPr="001D08EC">
        <w:rPr>
          <w:b/>
          <w:i/>
          <w:sz w:val="28"/>
          <w:szCs w:val="28"/>
        </w:rPr>
        <w:t>Kā indeksēt</w:t>
      </w:r>
    </w:p>
    <w:p w:rsidR="007C035F" w:rsidRPr="001D08EC" w:rsidRDefault="007C035F" w:rsidP="008B72B1">
      <w:pPr>
        <w:ind w:firstLine="720"/>
        <w:jc w:val="both"/>
        <w:rPr>
          <w:sz w:val="28"/>
          <w:szCs w:val="28"/>
        </w:rPr>
      </w:pPr>
    </w:p>
    <w:p w:rsidR="007C035F" w:rsidRPr="001D08EC" w:rsidRDefault="007C035F" w:rsidP="008B72B1">
      <w:pPr>
        <w:ind w:firstLine="720"/>
        <w:jc w:val="both"/>
        <w:rPr>
          <w:sz w:val="28"/>
          <w:szCs w:val="28"/>
        </w:rPr>
      </w:pPr>
      <w:r w:rsidRPr="001D08EC">
        <w:rPr>
          <w:sz w:val="28"/>
          <w:szCs w:val="28"/>
        </w:rPr>
        <w:t>Pašreizējos apstākļos lietderīgāk izmantot ir ceturkšņu indeksus, jo izmaiņas vairs nebūs tik straujas kādas bija 2006.-2007.gadā</w:t>
      </w:r>
      <w:r w:rsidR="002228A4">
        <w:rPr>
          <w:sz w:val="28"/>
          <w:szCs w:val="28"/>
        </w:rPr>
        <w:t xml:space="preserve"> (Latvijas Konverģences programma 2011-2014, Makroek</w:t>
      </w:r>
      <w:r w:rsidR="00C054AA">
        <w:rPr>
          <w:sz w:val="28"/>
          <w:szCs w:val="28"/>
        </w:rPr>
        <w:t>onomiskās attīstības scenārijs)</w:t>
      </w:r>
      <w:r w:rsidRPr="001D08EC">
        <w:rPr>
          <w:sz w:val="28"/>
          <w:szCs w:val="28"/>
        </w:rPr>
        <w:t xml:space="preserve">. </w:t>
      </w:r>
    </w:p>
    <w:p w:rsidR="00B16748" w:rsidRPr="001D08EC" w:rsidRDefault="007C035F" w:rsidP="008B72B1">
      <w:pPr>
        <w:ind w:firstLine="720"/>
        <w:jc w:val="both"/>
        <w:rPr>
          <w:sz w:val="28"/>
          <w:szCs w:val="28"/>
        </w:rPr>
      </w:pPr>
      <w:r w:rsidRPr="001D08EC">
        <w:rPr>
          <w:sz w:val="28"/>
          <w:szCs w:val="28"/>
        </w:rPr>
        <w:t xml:space="preserve">Izmaksu indeksācija </w:t>
      </w:r>
      <w:r w:rsidR="000463C0" w:rsidRPr="001D08EC">
        <w:rPr>
          <w:sz w:val="28"/>
          <w:szCs w:val="28"/>
        </w:rPr>
        <w:t>jāveic</w:t>
      </w:r>
      <w:r w:rsidRPr="001D08EC">
        <w:rPr>
          <w:sz w:val="28"/>
          <w:szCs w:val="28"/>
        </w:rPr>
        <w:t xml:space="preserve"> tikai</w:t>
      </w:r>
      <w:r w:rsidR="003203F4" w:rsidRPr="001D08EC">
        <w:rPr>
          <w:sz w:val="28"/>
          <w:szCs w:val="28"/>
        </w:rPr>
        <w:t>,</w:t>
      </w:r>
      <w:r w:rsidRPr="001D08EC">
        <w:rPr>
          <w:sz w:val="28"/>
          <w:szCs w:val="28"/>
        </w:rPr>
        <w:t xml:space="preserve"> sākot ar otro būvniecības projekta īstenošanas gadu</w:t>
      </w:r>
      <w:r w:rsidR="00E94285" w:rsidRPr="001D08EC">
        <w:rPr>
          <w:sz w:val="28"/>
          <w:szCs w:val="28"/>
        </w:rPr>
        <w:t>.</w:t>
      </w:r>
      <w:r w:rsidRPr="001D08EC">
        <w:rPr>
          <w:sz w:val="28"/>
          <w:szCs w:val="28"/>
        </w:rPr>
        <w:t xml:space="preserve"> Indeksācija jāsaista ar darbu nodošanas etapiem</w:t>
      </w:r>
      <w:r w:rsidR="00E94285" w:rsidRPr="001D08EC">
        <w:rPr>
          <w:sz w:val="28"/>
          <w:szCs w:val="28"/>
        </w:rPr>
        <w:t>,</w:t>
      </w:r>
      <w:r w:rsidRPr="001D08EC">
        <w:rPr>
          <w:sz w:val="28"/>
          <w:szCs w:val="28"/>
        </w:rPr>
        <w:t xml:space="preserve"> </w:t>
      </w:r>
      <w:r w:rsidR="00E94285" w:rsidRPr="001D08EC">
        <w:rPr>
          <w:sz w:val="28"/>
          <w:szCs w:val="28"/>
        </w:rPr>
        <w:t>k</w:t>
      </w:r>
      <w:r w:rsidRPr="001D08EC">
        <w:rPr>
          <w:sz w:val="28"/>
          <w:szCs w:val="28"/>
        </w:rPr>
        <w:t xml:space="preserve">atram etapam rēķinot vidējo izmaksu indeksu. </w:t>
      </w:r>
      <w:r w:rsidR="00E94285" w:rsidRPr="001D08EC">
        <w:rPr>
          <w:sz w:val="28"/>
          <w:szCs w:val="28"/>
        </w:rPr>
        <w:t>Indeksus attiecina pret bāzes ceturkšņa indeksu (bāzes ceturksnis – pēdējais ceturksnis par kuru ir pieejam statistiskā informācija lī</w:t>
      </w:r>
      <w:r w:rsidR="00D118A6" w:rsidRPr="001D08EC">
        <w:rPr>
          <w:sz w:val="28"/>
          <w:szCs w:val="28"/>
        </w:rPr>
        <w:t>dz projekta pieteikumam</w:t>
      </w:r>
      <w:r w:rsidR="00E94285" w:rsidRPr="001D08EC">
        <w:rPr>
          <w:sz w:val="28"/>
          <w:szCs w:val="28"/>
        </w:rPr>
        <w:t>).</w:t>
      </w:r>
    </w:p>
    <w:p w:rsidR="00E94285" w:rsidRDefault="00E94285" w:rsidP="008B72B1">
      <w:pPr>
        <w:ind w:firstLine="720"/>
        <w:jc w:val="both"/>
        <w:rPr>
          <w:sz w:val="28"/>
          <w:szCs w:val="28"/>
        </w:rPr>
      </w:pPr>
    </w:p>
    <w:p w:rsidR="00C054AA" w:rsidRDefault="00C054AA" w:rsidP="008B72B1">
      <w:pPr>
        <w:ind w:firstLine="720"/>
        <w:jc w:val="both"/>
        <w:rPr>
          <w:sz w:val="28"/>
          <w:szCs w:val="28"/>
        </w:rPr>
      </w:pPr>
    </w:p>
    <w:p w:rsidR="00C054AA" w:rsidRPr="001D08EC" w:rsidRDefault="00C054AA" w:rsidP="008B72B1">
      <w:pPr>
        <w:ind w:firstLine="720"/>
        <w:jc w:val="both"/>
        <w:rPr>
          <w:sz w:val="28"/>
          <w:szCs w:val="28"/>
        </w:rPr>
      </w:pPr>
    </w:p>
    <w:p w:rsidR="00E94285" w:rsidRPr="001D08EC" w:rsidRDefault="003203F4" w:rsidP="00E94285">
      <w:pPr>
        <w:jc w:val="both"/>
        <w:rPr>
          <w:b/>
          <w:sz w:val="28"/>
          <w:szCs w:val="28"/>
        </w:rPr>
      </w:pPr>
      <w:r w:rsidRPr="001D08EC">
        <w:rPr>
          <w:b/>
          <w:sz w:val="28"/>
          <w:szCs w:val="28"/>
        </w:rPr>
        <w:lastRenderedPageBreak/>
        <w:t>Secinājumi</w:t>
      </w:r>
    </w:p>
    <w:p w:rsidR="00E94285" w:rsidRPr="001D08EC" w:rsidRDefault="00E94285" w:rsidP="008B72B1">
      <w:pPr>
        <w:ind w:firstLine="720"/>
        <w:jc w:val="both"/>
        <w:rPr>
          <w:sz w:val="28"/>
          <w:szCs w:val="28"/>
        </w:rPr>
      </w:pPr>
    </w:p>
    <w:p w:rsidR="00974D8D" w:rsidRPr="001D08EC" w:rsidRDefault="00EE274E" w:rsidP="008B72B1">
      <w:pPr>
        <w:ind w:firstLine="720"/>
        <w:jc w:val="both"/>
        <w:rPr>
          <w:sz w:val="28"/>
          <w:szCs w:val="28"/>
        </w:rPr>
      </w:pPr>
      <w:r w:rsidRPr="001D08EC">
        <w:rPr>
          <w:sz w:val="28"/>
          <w:szCs w:val="28"/>
        </w:rPr>
        <w:t>Lai pārraudzītu izmaksu svārstības būvniecības projektu īstenošanas gaitā un sniegtu noteiktas garantijas izpildītājam  zaudējumu segšanai no izpildītāja neatkarīgu apstākļu dēļ pārmērīga cenu pieauguma gadījumā  un pasūtītājam pret nepamatotu būvdarbu vērtības sadārdzinājumu,  būvniecības darbu izpildes līgumos, kas saistīti ar publisko iepirkumu un ES fondu projektiem</w:t>
      </w:r>
      <w:r w:rsidR="00FE6416" w:rsidRPr="001D08EC">
        <w:rPr>
          <w:sz w:val="28"/>
          <w:szCs w:val="28"/>
        </w:rPr>
        <w:t>, jāparedz izmaksu indeksācija.</w:t>
      </w:r>
      <w:r w:rsidRPr="001D08EC">
        <w:rPr>
          <w:sz w:val="28"/>
          <w:szCs w:val="28"/>
        </w:rPr>
        <w:t xml:space="preserve"> </w:t>
      </w:r>
      <w:r w:rsidR="003203F4" w:rsidRPr="001D08EC">
        <w:rPr>
          <w:sz w:val="28"/>
          <w:szCs w:val="28"/>
        </w:rPr>
        <w:t>Galvenie principi ir šādi</w:t>
      </w:r>
      <w:r w:rsidRPr="001D08EC">
        <w:rPr>
          <w:sz w:val="28"/>
          <w:szCs w:val="28"/>
        </w:rPr>
        <w:t>:</w:t>
      </w:r>
    </w:p>
    <w:p w:rsidR="00EE274E" w:rsidRPr="001D08EC" w:rsidRDefault="00CA414B" w:rsidP="00C054AA">
      <w:pPr>
        <w:pStyle w:val="ListParagraph"/>
        <w:numPr>
          <w:ilvl w:val="0"/>
          <w:numId w:val="12"/>
        </w:numPr>
        <w:jc w:val="both"/>
        <w:rPr>
          <w:sz w:val="28"/>
          <w:szCs w:val="28"/>
        </w:rPr>
      </w:pPr>
      <w:r w:rsidRPr="00CA414B">
        <w:rPr>
          <w:sz w:val="28"/>
          <w:szCs w:val="28"/>
        </w:rPr>
        <w:t>indeksāciju veic tikai tiem projektiem, kur tā ir atrunāta būvniecības darbu izpildes līgumos un tiek ievērotas normatīvo aktu prasības iepirkuma jomā</w:t>
      </w:r>
      <w:r w:rsidR="00EE274E" w:rsidRPr="001D08EC">
        <w:rPr>
          <w:sz w:val="28"/>
          <w:szCs w:val="28"/>
        </w:rPr>
        <w:t>;</w:t>
      </w:r>
    </w:p>
    <w:p w:rsidR="00EE274E" w:rsidRPr="001D08EC" w:rsidRDefault="00EE274E" w:rsidP="00C054AA">
      <w:pPr>
        <w:pStyle w:val="ListParagraph"/>
        <w:numPr>
          <w:ilvl w:val="0"/>
          <w:numId w:val="12"/>
        </w:numPr>
        <w:jc w:val="both"/>
        <w:rPr>
          <w:sz w:val="28"/>
          <w:szCs w:val="28"/>
        </w:rPr>
      </w:pPr>
      <w:r w:rsidRPr="001D08EC">
        <w:rPr>
          <w:sz w:val="28"/>
          <w:szCs w:val="28"/>
        </w:rPr>
        <w:t>indeksācija attiecas tikai uz būvniecības darbiem</w:t>
      </w:r>
      <w:r w:rsidR="008A4980" w:rsidRPr="001D08EC">
        <w:rPr>
          <w:sz w:val="28"/>
          <w:szCs w:val="28"/>
        </w:rPr>
        <w:t>;</w:t>
      </w:r>
    </w:p>
    <w:p w:rsidR="008A4980" w:rsidRPr="001D08EC" w:rsidRDefault="008A4980" w:rsidP="00C054AA">
      <w:pPr>
        <w:pStyle w:val="ListParagraph"/>
        <w:numPr>
          <w:ilvl w:val="0"/>
          <w:numId w:val="12"/>
        </w:numPr>
        <w:jc w:val="both"/>
        <w:rPr>
          <w:sz w:val="28"/>
          <w:szCs w:val="28"/>
        </w:rPr>
      </w:pPr>
      <w:r w:rsidRPr="001D08EC">
        <w:rPr>
          <w:sz w:val="28"/>
          <w:szCs w:val="28"/>
        </w:rPr>
        <w:t>izmaksas indeksē</w:t>
      </w:r>
      <w:r w:rsidR="003203F4" w:rsidRPr="001D08EC">
        <w:rPr>
          <w:sz w:val="28"/>
          <w:szCs w:val="28"/>
        </w:rPr>
        <w:t>,</w:t>
      </w:r>
      <w:r w:rsidRPr="001D08EC">
        <w:rPr>
          <w:sz w:val="28"/>
          <w:szCs w:val="28"/>
        </w:rPr>
        <w:t xml:space="preserve"> sākot ar otro darbu izpildes gadu;</w:t>
      </w:r>
    </w:p>
    <w:p w:rsidR="008A4980" w:rsidRPr="001D08EC" w:rsidRDefault="008A4980" w:rsidP="00C054AA">
      <w:pPr>
        <w:pStyle w:val="ListParagraph"/>
        <w:numPr>
          <w:ilvl w:val="0"/>
          <w:numId w:val="12"/>
        </w:numPr>
        <w:jc w:val="both"/>
        <w:rPr>
          <w:sz w:val="28"/>
          <w:szCs w:val="28"/>
        </w:rPr>
      </w:pPr>
      <w:r w:rsidRPr="001D08EC">
        <w:rPr>
          <w:sz w:val="28"/>
          <w:szCs w:val="28"/>
        </w:rPr>
        <w:t>mazākais indeksācijas periods ir ceturksnis, var indeksēt arī pusgada vai gada izmaksas (saistībā ar darbu nodošanas etapiem) ar indeksiem, kas aprēķināti, kā atbilstošu ceturkšņu vidējie indeksi;</w:t>
      </w:r>
    </w:p>
    <w:p w:rsidR="00400B9E" w:rsidRPr="001D08EC" w:rsidRDefault="000D288F" w:rsidP="00C054AA">
      <w:pPr>
        <w:pStyle w:val="ListParagraph"/>
        <w:numPr>
          <w:ilvl w:val="0"/>
          <w:numId w:val="12"/>
        </w:numPr>
        <w:jc w:val="both"/>
        <w:rPr>
          <w:sz w:val="28"/>
          <w:szCs w:val="28"/>
        </w:rPr>
      </w:pPr>
      <w:r w:rsidRPr="001D08EC">
        <w:rPr>
          <w:sz w:val="28"/>
          <w:szCs w:val="28"/>
        </w:rPr>
        <w:t xml:space="preserve">izmaksu indeksēšanai izmantotie indeksi </w:t>
      </w:r>
      <w:r w:rsidR="002A7434" w:rsidRPr="001D08EC">
        <w:rPr>
          <w:sz w:val="28"/>
          <w:szCs w:val="28"/>
        </w:rPr>
        <w:t xml:space="preserve">un indeksēšanas objekts (visas izmaksas vai atsevišķu resursu izmaksas) </w:t>
      </w:r>
      <w:r w:rsidRPr="001D08EC">
        <w:rPr>
          <w:sz w:val="28"/>
          <w:szCs w:val="28"/>
        </w:rPr>
        <w:t>precīzi jāatrunā līgumā</w:t>
      </w:r>
      <w:r w:rsidR="002A7434" w:rsidRPr="001D08EC">
        <w:rPr>
          <w:sz w:val="28"/>
          <w:szCs w:val="28"/>
        </w:rPr>
        <w:t>;</w:t>
      </w:r>
    </w:p>
    <w:p w:rsidR="002A7434" w:rsidRPr="001D08EC" w:rsidRDefault="00400B9E" w:rsidP="00C054AA">
      <w:pPr>
        <w:pStyle w:val="ListParagraph"/>
        <w:numPr>
          <w:ilvl w:val="0"/>
          <w:numId w:val="12"/>
        </w:numPr>
        <w:jc w:val="both"/>
        <w:rPr>
          <w:sz w:val="28"/>
          <w:szCs w:val="28"/>
        </w:rPr>
      </w:pPr>
      <w:r w:rsidRPr="001D08EC">
        <w:rPr>
          <w:sz w:val="28"/>
          <w:szCs w:val="28"/>
        </w:rPr>
        <w:t>jā</w:t>
      </w:r>
      <w:r w:rsidR="000D288F" w:rsidRPr="001D08EC">
        <w:rPr>
          <w:sz w:val="28"/>
          <w:szCs w:val="28"/>
        </w:rPr>
        <w:t>izmanto CSP aprēķin</w:t>
      </w:r>
      <w:r w:rsidRPr="001D08EC">
        <w:rPr>
          <w:sz w:val="28"/>
          <w:szCs w:val="28"/>
        </w:rPr>
        <w:t>ātie kompleksie</w:t>
      </w:r>
      <w:r w:rsidR="000D288F" w:rsidRPr="001D08EC">
        <w:rPr>
          <w:sz w:val="28"/>
          <w:szCs w:val="28"/>
        </w:rPr>
        <w:t xml:space="preserve"> būvniecības </w:t>
      </w:r>
      <w:r w:rsidRPr="001D08EC">
        <w:rPr>
          <w:sz w:val="28"/>
          <w:szCs w:val="28"/>
        </w:rPr>
        <w:t>izmaksu indeksi</w:t>
      </w:r>
      <w:r w:rsidR="000D288F" w:rsidRPr="001D08EC">
        <w:rPr>
          <w:sz w:val="28"/>
          <w:szCs w:val="28"/>
        </w:rPr>
        <w:t xml:space="preserve"> </w:t>
      </w:r>
      <w:r w:rsidR="001F373F" w:rsidRPr="001D08EC">
        <w:rPr>
          <w:sz w:val="28"/>
          <w:szCs w:val="28"/>
        </w:rPr>
        <w:t xml:space="preserve">atbilstošam būvniecības veidam </w:t>
      </w:r>
      <w:r w:rsidR="000D288F" w:rsidRPr="001D08EC">
        <w:rPr>
          <w:sz w:val="28"/>
          <w:szCs w:val="28"/>
        </w:rPr>
        <w:t xml:space="preserve">vai </w:t>
      </w:r>
      <w:r w:rsidR="001F373F" w:rsidRPr="001D08EC">
        <w:rPr>
          <w:sz w:val="28"/>
          <w:szCs w:val="28"/>
        </w:rPr>
        <w:t>arī speci</w:t>
      </w:r>
      <w:r w:rsidRPr="001D08EC">
        <w:rPr>
          <w:sz w:val="28"/>
          <w:szCs w:val="28"/>
        </w:rPr>
        <w:t>ālie</w:t>
      </w:r>
      <w:r w:rsidR="001F373F" w:rsidRPr="001D08EC">
        <w:rPr>
          <w:sz w:val="28"/>
          <w:szCs w:val="28"/>
        </w:rPr>
        <w:t xml:space="preserve"> resu</w:t>
      </w:r>
      <w:r w:rsidRPr="001D08EC">
        <w:rPr>
          <w:sz w:val="28"/>
          <w:szCs w:val="28"/>
        </w:rPr>
        <w:t>rsu izmaksu indeksi</w:t>
      </w:r>
      <w:r w:rsidR="001F373F" w:rsidRPr="001D08EC">
        <w:rPr>
          <w:sz w:val="28"/>
          <w:szCs w:val="28"/>
        </w:rPr>
        <w:t xml:space="preserve"> (strādnieku darba samaksa, būvmateriāli un izmaksas mašīnu un mehānismu uzturēšanai un ekspluatācijai)</w:t>
      </w:r>
      <w:r w:rsidR="00FE6416" w:rsidRPr="001D08EC">
        <w:rPr>
          <w:sz w:val="28"/>
          <w:szCs w:val="28"/>
        </w:rPr>
        <w:t>;</w:t>
      </w:r>
    </w:p>
    <w:p w:rsidR="00FE6416" w:rsidRPr="001D08EC" w:rsidRDefault="00FE6416" w:rsidP="00C054AA">
      <w:pPr>
        <w:pStyle w:val="ListParagraph"/>
        <w:numPr>
          <w:ilvl w:val="0"/>
          <w:numId w:val="12"/>
        </w:numPr>
        <w:jc w:val="both"/>
        <w:rPr>
          <w:sz w:val="28"/>
          <w:szCs w:val="28"/>
        </w:rPr>
      </w:pPr>
      <w:r w:rsidRPr="001D08EC">
        <w:rPr>
          <w:sz w:val="28"/>
          <w:szCs w:val="28"/>
        </w:rPr>
        <w:t xml:space="preserve">atsevišķos gadījumos var izmantot arī </w:t>
      </w:r>
      <w:r w:rsidR="00166822" w:rsidRPr="001D08EC">
        <w:rPr>
          <w:sz w:val="28"/>
          <w:szCs w:val="28"/>
        </w:rPr>
        <w:t>citus</w:t>
      </w:r>
      <w:r w:rsidRPr="001D08EC">
        <w:rPr>
          <w:sz w:val="28"/>
          <w:szCs w:val="28"/>
        </w:rPr>
        <w:t xml:space="preserve"> indeksu</w:t>
      </w:r>
      <w:r w:rsidR="00166822" w:rsidRPr="001D08EC">
        <w:rPr>
          <w:sz w:val="28"/>
          <w:szCs w:val="28"/>
        </w:rPr>
        <w:t>s</w:t>
      </w:r>
      <w:r w:rsidRPr="001D08EC">
        <w:rPr>
          <w:sz w:val="28"/>
          <w:szCs w:val="28"/>
        </w:rPr>
        <w:t xml:space="preserve">, norādot </w:t>
      </w:r>
      <w:r w:rsidR="00D118A6" w:rsidRPr="001D08EC">
        <w:rPr>
          <w:sz w:val="28"/>
          <w:szCs w:val="28"/>
        </w:rPr>
        <w:t>tā aprēķinā</w:t>
      </w:r>
      <w:r w:rsidR="00166822" w:rsidRPr="001D08EC">
        <w:rPr>
          <w:sz w:val="28"/>
          <w:szCs w:val="28"/>
        </w:rPr>
        <w:t>šanas oficiālo</w:t>
      </w:r>
      <w:r w:rsidRPr="001D08EC">
        <w:rPr>
          <w:sz w:val="28"/>
          <w:szCs w:val="28"/>
        </w:rPr>
        <w:t xml:space="preserve"> avotu</w:t>
      </w:r>
      <w:r w:rsidR="00CA414B">
        <w:rPr>
          <w:sz w:val="28"/>
          <w:szCs w:val="28"/>
        </w:rPr>
        <w:t xml:space="preserve"> un norādot tā ietekmes pieļaujamo robežu uz kādu no augstāk minētiem BII vērtību</w:t>
      </w:r>
      <w:r w:rsidRPr="001D08EC">
        <w:rPr>
          <w:sz w:val="28"/>
          <w:szCs w:val="28"/>
        </w:rPr>
        <w:t>;</w:t>
      </w:r>
    </w:p>
    <w:p w:rsidR="000D288F" w:rsidRPr="001D08EC" w:rsidRDefault="001F373F" w:rsidP="00C054AA">
      <w:pPr>
        <w:pStyle w:val="ListParagraph"/>
        <w:numPr>
          <w:ilvl w:val="0"/>
          <w:numId w:val="12"/>
        </w:numPr>
        <w:jc w:val="both"/>
        <w:rPr>
          <w:sz w:val="28"/>
          <w:szCs w:val="28"/>
        </w:rPr>
      </w:pPr>
      <w:r w:rsidRPr="001D08EC">
        <w:rPr>
          <w:sz w:val="28"/>
          <w:szCs w:val="28"/>
        </w:rPr>
        <w:t>izmaksu indeksēšanu veic tikai tajos gadījumos, ja faktiskā inflācija (atbilstošā indeksa vērtība dotajā periodā) ir pārsniegusi kādu noteiktu iepriekš definētu cenu izmaiņu slieksni</w:t>
      </w:r>
      <w:r w:rsidR="00995776">
        <w:rPr>
          <w:sz w:val="28"/>
          <w:szCs w:val="28"/>
        </w:rPr>
        <w:t xml:space="preserve">, un </w:t>
      </w:r>
      <w:r w:rsidR="00A86A37">
        <w:rPr>
          <w:sz w:val="28"/>
          <w:szCs w:val="28"/>
        </w:rPr>
        <w:t>tiek indeksēts tikai pārsniegums virs sliekšņa</w:t>
      </w:r>
      <w:r w:rsidRPr="001D08EC">
        <w:rPr>
          <w:sz w:val="28"/>
          <w:szCs w:val="28"/>
        </w:rPr>
        <w:t>;</w:t>
      </w:r>
    </w:p>
    <w:p w:rsidR="00BF18B4" w:rsidRPr="001D08EC" w:rsidRDefault="00BF18B4" w:rsidP="00C054AA">
      <w:pPr>
        <w:pStyle w:val="ListParagraph"/>
        <w:numPr>
          <w:ilvl w:val="0"/>
          <w:numId w:val="12"/>
        </w:numPr>
        <w:jc w:val="both"/>
        <w:rPr>
          <w:sz w:val="28"/>
          <w:szCs w:val="28"/>
        </w:rPr>
      </w:pPr>
      <w:r w:rsidRPr="001D08EC">
        <w:rPr>
          <w:sz w:val="28"/>
          <w:szCs w:val="28"/>
        </w:rPr>
        <w:t>atkarībā no ekonomiskā cikla posma var būt cenu pieauguma slieksnis vai arī samazinājuma slieksnis;</w:t>
      </w:r>
    </w:p>
    <w:p w:rsidR="001F373F" w:rsidRPr="001D08EC" w:rsidRDefault="002A7434" w:rsidP="00C054AA">
      <w:pPr>
        <w:pStyle w:val="ListParagraph"/>
        <w:numPr>
          <w:ilvl w:val="0"/>
          <w:numId w:val="12"/>
        </w:numPr>
        <w:jc w:val="both"/>
        <w:rPr>
          <w:sz w:val="28"/>
          <w:szCs w:val="28"/>
        </w:rPr>
      </w:pPr>
      <w:proofErr w:type="spellStart"/>
      <w:r w:rsidRPr="001D08EC">
        <w:rPr>
          <w:sz w:val="28"/>
          <w:szCs w:val="28"/>
        </w:rPr>
        <w:t>b</w:t>
      </w:r>
      <w:r w:rsidR="00400B9E" w:rsidRPr="001D08EC">
        <w:rPr>
          <w:sz w:val="28"/>
          <w:szCs w:val="28"/>
        </w:rPr>
        <w:t>ūvizmaksu</w:t>
      </w:r>
      <w:proofErr w:type="spellEnd"/>
      <w:r w:rsidR="00400B9E" w:rsidRPr="001D08EC">
        <w:rPr>
          <w:sz w:val="28"/>
          <w:szCs w:val="28"/>
        </w:rPr>
        <w:t xml:space="preserve"> indeksa pārmaiņu slieksni nosaka visiem </w:t>
      </w:r>
      <w:proofErr w:type="spellStart"/>
      <w:r w:rsidR="00400B9E" w:rsidRPr="001D08EC">
        <w:rPr>
          <w:sz w:val="28"/>
          <w:szCs w:val="28"/>
        </w:rPr>
        <w:t>būvizmaksu</w:t>
      </w:r>
      <w:proofErr w:type="spellEnd"/>
      <w:r w:rsidR="00400B9E" w:rsidRPr="001D08EC">
        <w:rPr>
          <w:sz w:val="28"/>
          <w:szCs w:val="28"/>
        </w:rPr>
        <w:t xml:space="preserve"> indeksiem.  Sliekšņus pārskata ik gadu un tos attiecina uz konkrētā gadā slēgtiem līgumiem. Tiem jābūt objektīvi izvērtētiem no ekspertu viedokļa</w:t>
      </w:r>
      <w:r w:rsidR="0044555E">
        <w:rPr>
          <w:sz w:val="28"/>
          <w:szCs w:val="28"/>
        </w:rPr>
        <w:t xml:space="preserve"> (F</w:t>
      </w:r>
      <w:r w:rsidR="00C65F42">
        <w:rPr>
          <w:sz w:val="28"/>
          <w:szCs w:val="28"/>
        </w:rPr>
        <w:t>inanšu ministrijas</w:t>
      </w:r>
      <w:r w:rsidR="0044555E">
        <w:rPr>
          <w:sz w:val="28"/>
          <w:szCs w:val="28"/>
        </w:rPr>
        <w:t xml:space="preserve"> un </w:t>
      </w:r>
      <w:r w:rsidR="00C65F42">
        <w:rPr>
          <w:sz w:val="28"/>
          <w:szCs w:val="28"/>
        </w:rPr>
        <w:t>Ekonomikas ministrijas</w:t>
      </w:r>
      <w:r w:rsidR="0044555E">
        <w:rPr>
          <w:sz w:val="28"/>
          <w:szCs w:val="28"/>
        </w:rPr>
        <w:t xml:space="preserve"> makroekonomiskās analīzes un prognozēšanas speciālisti)</w:t>
      </w:r>
      <w:r w:rsidR="00400B9E" w:rsidRPr="001D08EC">
        <w:rPr>
          <w:sz w:val="28"/>
          <w:szCs w:val="28"/>
        </w:rPr>
        <w:t>.</w:t>
      </w:r>
      <w:r w:rsidRPr="001D08EC">
        <w:rPr>
          <w:sz w:val="28"/>
          <w:szCs w:val="28"/>
        </w:rPr>
        <w:t xml:space="preserve"> Ļoti būtisku cenu izmaiņu gadījumā sliekšņus var pārskatīt ar</w:t>
      </w:r>
      <w:r w:rsidR="003203F4" w:rsidRPr="001D08EC">
        <w:rPr>
          <w:sz w:val="28"/>
          <w:szCs w:val="28"/>
        </w:rPr>
        <w:t>ī ik ceturksni;</w:t>
      </w:r>
    </w:p>
    <w:p w:rsidR="008A4980" w:rsidRPr="001D08EC" w:rsidRDefault="00400B9E" w:rsidP="00C054AA">
      <w:pPr>
        <w:pStyle w:val="ListParagraph"/>
        <w:numPr>
          <w:ilvl w:val="0"/>
          <w:numId w:val="12"/>
        </w:numPr>
        <w:jc w:val="both"/>
        <w:rPr>
          <w:sz w:val="28"/>
          <w:szCs w:val="28"/>
        </w:rPr>
      </w:pPr>
      <w:r w:rsidRPr="001D08EC">
        <w:rPr>
          <w:sz w:val="28"/>
          <w:szCs w:val="28"/>
        </w:rPr>
        <w:t>var indeksēt visas izmaksas kopumā, vai arī atsevišķi resursu izmaksas (strādnieku darba samaksa, būvmateriāli un izmaksas mašīnu un mehānismu uzturēšanai un ekspluatācijai)</w:t>
      </w:r>
      <w:r w:rsidR="00A038CF" w:rsidRPr="001D08EC">
        <w:rPr>
          <w:sz w:val="28"/>
          <w:szCs w:val="28"/>
        </w:rPr>
        <w:t xml:space="preserve">, vai arī </w:t>
      </w:r>
      <w:r w:rsidR="00D118A6" w:rsidRPr="001D08EC">
        <w:rPr>
          <w:sz w:val="28"/>
          <w:szCs w:val="28"/>
        </w:rPr>
        <w:t>atsevišķu darbu izmaksas</w:t>
      </w:r>
      <w:r w:rsidRPr="001D08EC">
        <w:rPr>
          <w:sz w:val="28"/>
          <w:szCs w:val="28"/>
        </w:rPr>
        <w:t>;</w:t>
      </w:r>
    </w:p>
    <w:p w:rsidR="00FE6416" w:rsidRPr="001D08EC" w:rsidRDefault="00FE6416" w:rsidP="00C054AA">
      <w:pPr>
        <w:pStyle w:val="ListParagraph"/>
        <w:numPr>
          <w:ilvl w:val="0"/>
          <w:numId w:val="12"/>
        </w:numPr>
        <w:jc w:val="both"/>
        <w:rPr>
          <w:sz w:val="28"/>
          <w:szCs w:val="28"/>
        </w:rPr>
      </w:pPr>
      <w:r w:rsidRPr="001D08EC">
        <w:rPr>
          <w:sz w:val="28"/>
          <w:szCs w:val="28"/>
        </w:rPr>
        <w:t>atsevišķos gadījumos var indeksēt arī tikai vienu konkrēta resursa veida (piemēram, degvielas) izmaksas;</w:t>
      </w:r>
    </w:p>
    <w:p w:rsidR="00400B9E" w:rsidRPr="001D08EC" w:rsidRDefault="00FE6416" w:rsidP="00C054AA">
      <w:pPr>
        <w:pStyle w:val="ListParagraph"/>
        <w:numPr>
          <w:ilvl w:val="0"/>
          <w:numId w:val="12"/>
        </w:numPr>
        <w:jc w:val="both"/>
        <w:rPr>
          <w:sz w:val="28"/>
          <w:szCs w:val="28"/>
        </w:rPr>
      </w:pPr>
      <w:r w:rsidRPr="001D08EC">
        <w:rPr>
          <w:sz w:val="28"/>
          <w:szCs w:val="28"/>
        </w:rPr>
        <w:lastRenderedPageBreak/>
        <w:t>indeksus attiecina pret bāzes ceturkšņa indeksu (bāzes ceturksnis – pēdējais ceturksnis par kuru ir pieejam statistiskā informācija lī</w:t>
      </w:r>
      <w:r w:rsidR="00D118A6" w:rsidRPr="001D08EC">
        <w:rPr>
          <w:sz w:val="28"/>
          <w:szCs w:val="28"/>
        </w:rPr>
        <w:t>dz projekta pieteikumam</w:t>
      </w:r>
      <w:r w:rsidRPr="001D08EC">
        <w:rPr>
          <w:sz w:val="28"/>
          <w:szCs w:val="28"/>
        </w:rPr>
        <w:t>)</w:t>
      </w:r>
      <w:r w:rsidR="00867091" w:rsidRPr="001D08EC">
        <w:rPr>
          <w:sz w:val="28"/>
          <w:szCs w:val="28"/>
        </w:rPr>
        <w:t>;</w:t>
      </w:r>
    </w:p>
    <w:p w:rsidR="00867091" w:rsidRPr="001D08EC" w:rsidRDefault="00867091" w:rsidP="00C054AA">
      <w:pPr>
        <w:pStyle w:val="ListParagraph"/>
        <w:numPr>
          <w:ilvl w:val="0"/>
          <w:numId w:val="12"/>
        </w:numPr>
        <w:jc w:val="both"/>
        <w:rPr>
          <w:sz w:val="28"/>
          <w:szCs w:val="28"/>
        </w:rPr>
      </w:pPr>
      <w:r w:rsidRPr="001D08EC">
        <w:rPr>
          <w:sz w:val="28"/>
          <w:szCs w:val="28"/>
        </w:rPr>
        <w:t>visas tās izmaksu izmaiņas, kas saistītas ar nodokļu</w:t>
      </w:r>
      <w:r w:rsidR="00D118A6" w:rsidRPr="001D08EC">
        <w:rPr>
          <w:sz w:val="28"/>
          <w:szCs w:val="28"/>
        </w:rPr>
        <w:t xml:space="preserve"> (darbaspēka nodokļi un netiešie nodokļi)</w:t>
      </w:r>
      <w:r w:rsidRPr="001D08EC">
        <w:rPr>
          <w:sz w:val="28"/>
          <w:szCs w:val="28"/>
        </w:rPr>
        <w:t xml:space="preserve"> izmaiņām, jāveic nesaistīti ar augšminēto indeksāciju</w:t>
      </w:r>
      <w:r w:rsidR="000B7FD7" w:rsidRPr="001D08EC">
        <w:rPr>
          <w:sz w:val="28"/>
          <w:szCs w:val="28"/>
        </w:rPr>
        <w:t xml:space="preserve"> un jāizslēdz to ietekme uz BII;</w:t>
      </w:r>
    </w:p>
    <w:p w:rsidR="000B7FD7" w:rsidRPr="001D08EC" w:rsidRDefault="000B7FD7" w:rsidP="00C054AA">
      <w:pPr>
        <w:pStyle w:val="ListParagraph"/>
        <w:numPr>
          <w:ilvl w:val="0"/>
          <w:numId w:val="12"/>
        </w:numPr>
        <w:jc w:val="both"/>
        <w:rPr>
          <w:sz w:val="28"/>
          <w:szCs w:val="28"/>
        </w:rPr>
      </w:pPr>
      <w:r w:rsidRPr="001D08EC">
        <w:rPr>
          <w:sz w:val="28"/>
          <w:szCs w:val="28"/>
        </w:rPr>
        <w:t>l</w:t>
      </w:r>
      <w:r w:rsidR="00A86A37">
        <w:rPr>
          <w:sz w:val="28"/>
          <w:szCs w:val="28"/>
        </w:rPr>
        <w:t xml:space="preserve">ai varētu pielietot resursu </w:t>
      </w:r>
      <w:r w:rsidR="001E0636">
        <w:rPr>
          <w:sz w:val="28"/>
          <w:szCs w:val="28"/>
        </w:rPr>
        <w:t xml:space="preserve">grupu indeksus, nepieciešams </w:t>
      </w:r>
      <w:r w:rsidRPr="001D08EC">
        <w:rPr>
          <w:sz w:val="28"/>
          <w:szCs w:val="28"/>
        </w:rPr>
        <w:t>būvprojekta izmaksās</w:t>
      </w:r>
      <w:r w:rsidR="001E0636">
        <w:rPr>
          <w:sz w:val="28"/>
          <w:szCs w:val="28"/>
        </w:rPr>
        <w:t xml:space="preserve"> </w:t>
      </w:r>
      <w:r w:rsidRPr="001D08EC">
        <w:rPr>
          <w:sz w:val="28"/>
          <w:szCs w:val="28"/>
        </w:rPr>
        <w:t xml:space="preserve">izdalīt </w:t>
      </w:r>
      <w:r w:rsidR="001E0636">
        <w:rPr>
          <w:sz w:val="28"/>
          <w:szCs w:val="28"/>
        </w:rPr>
        <w:t xml:space="preserve">atbilstošas resursu grupas </w:t>
      </w:r>
      <w:r w:rsidR="00863333">
        <w:rPr>
          <w:sz w:val="28"/>
          <w:szCs w:val="28"/>
        </w:rPr>
        <w:t>(</w:t>
      </w:r>
      <w:r w:rsidRPr="001D08EC">
        <w:rPr>
          <w:sz w:val="28"/>
          <w:szCs w:val="28"/>
        </w:rPr>
        <w:t>nodarbinātībai, būvmateriāliem un MM izmantošanai</w:t>
      </w:r>
      <w:r w:rsidR="00863333">
        <w:rPr>
          <w:sz w:val="28"/>
          <w:szCs w:val="28"/>
        </w:rPr>
        <w:t>)</w:t>
      </w:r>
      <w:r w:rsidRPr="001D08EC">
        <w:rPr>
          <w:sz w:val="28"/>
          <w:szCs w:val="28"/>
        </w:rPr>
        <w:t>.</w:t>
      </w:r>
    </w:p>
    <w:p w:rsidR="00D7369A" w:rsidRPr="001D08EC" w:rsidRDefault="00D7369A" w:rsidP="008B72B1">
      <w:pPr>
        <w:ind w:firstLine="720"/>
        <w:jc w:val="both"/>
        <w:rPr>
          <w:sz w:val="28"/>
          <w:szCs w:val="28"/>
        </w:rPr>
      </w:pPr>
    </w:p>
    <w:p w:rsidR="00733014" w:rsidRPr="001D08EC" w:rsidRDefault="00733014" w:rsidP="008B72B1">
      <w:pPr>
        <w:ind w:firstLine="720"/>
        <w:jc w:val="both"/>
        <w:rPr>
          <w:sz w:val="28"/>
          <w:szCs w:val="28"/>
        </w:rPr>
      </w:pPr>
      <w:r w:rsidRPr="001D08EC">
        <w:rPr>
          <w:sz w:val="28"/>
          <w:szCs w:val="28"/>
        </w:rPr>
        <w:t xml:space="preserve">Tā kā ABIK nenodrošina kataloga izstrādes sākotnējo mērķi, jo balstās uz nepietiekami pamatotu informāciju ar lielu izkliedi bez raksturīgas vērtības, tā pielietojuma modelis nav praktiski izmantojams izmaksu izvērtēšanai. Tādējādi lietderīgākais risinājums </w:t>
      </w:r>
      <w:proofErr w:type="spellStart"/>
      <w:r w:rsidRPr="001D08EC">
        <w:rPr>
          <w:sz w:val="28"/>
          <w:szCs w:val="28"/>
        </w:rPr>
        <w:t>būvizmaksu</w:t>
      </w:r>
      <w:proofErr w:type="spellEnd"/>
      <w:r w:rsidRPr="001D08EC">
        <w:rPr>
          <w:sz w:val="28"/>
          <w:szCs w:val="28"/>
        </w:rPr>
        <w:t xml:space="preserve"> pamatotības noteikšanai ir veikt būvprojekta ekonomiskās daļas ekspertīzi, savukārt izmaksu sadārdzinājuma novēršanai ilgākā termiņā pielietojama būvnieku izmaksas indeksācija.</w:t>
      </w:r>
    </w:p>
    <w:p w:rsidR="00733014" w:rsidRPr="001D08EC" w:rsidRDefault="00733014" w:rsidP="008B72B1">
      <w:pPr>
        <w:ind w:firstLine="720"/>
        <w:jc w:val="both"/>
        <w:rPr>
          <w:sz w:val="28"/>
          <w:szCs w:val="28"/>
        </w:rPr>
      </w:pPr>
    </w:p>
    <w:p w:rsidR="00937713" w:rsidRPr="001D08EC" w:rsidRDefault="00937713" w:rsidP="008B72B1">
      <w:pPr>
        <w:ind w:firstLine="720"/>
        <w:jc w:val="both"/>
        <w:rPr>
          <w:sz w:val="28"/>
          <w:szCs w:val="28"/>
        </w:rPr>
      </w:pPr>
      <w:r w:rsidRPr="001D08EC">
        <w:rPr>
          <w:sz w:val="28"/>
          <w:szCs w:val="28"/>
        </w:rPr>
        <w:t>Ziņojumam pievienotais protokols paredz:</w:t>
      </w:r>
    </w:p>
    <w:p w:rsidR="0028353E" w:rsidRDefault="003203F4" w:rsidP="00C054AA">
      <w:pPr>
        <w:pStyle w:val="ListParagraph"/>
        <w:numPr>
          <w:ilvl w:val="0"/>
          <w:numId w:val="13"/>
        </w:numPr>
        <w:jc w:val="both"/>
        <w:rPr>
          <w:sz w:val="28"/>
          <w:szCs w:val="28"/>
        </w:rPr>
      </w:pPr>
      <w:r w:rsidRPr="001A698B">
        <w:rPr>
          <w:sz w:val="28"/>
          <w:szCs w:val="28"/>
        </w:rPr>
        <w:t xml:space="preserve">Slēdzot </w:t>
      </w:r>
      <w:r w:rsidR="001A698B" w:rsidRPr="001A698B">
        <w:rPr>
          <w:sz w:val="28"/>
          <w:szCs w:val="28"/>
        </w:rPr>
        <w:t xml:space="preserve">publiski finansētus </w:t>
      </w:r>
      <w:r w:rsidRPr="001A698B">
        <w:rPr>
          <w:sz w:val="28"/>
          <w:szCs w:val="28"/>
        </w:rPr>
        <w:t xml:space="preserve">būvniecības līgumus, nodrošināt būvniecības līgumu nosacījumu atbilstību informatīvajam </w:t>
      </w:r>
      <w:r w:rsidRPr="00763CCF">
        <w:rPr>
          <w:sz w:val="28"/>
          <w:szCs w:val="28"/>
        </w:rPr>
        <w:t xml:space="preserve">ziņojumam par </w:t>
      </w:r>
      <w:r w:rsidR="00763CCF" w:rsidRPr="00763CCF">
        <w:rPr>
          <w:sz w:val="28"/>
          <w:szCs w:val="28"/>
        </w:rPr>
        <w:t>vadlīnijām būvniecības izmaksu indeksācijai</w:t>
      </w:r>
      <w:r w:rsidRPr="00763CCF">
        <w:rPr>
          <w:sz w:val="28"/>
          <w:szCs w:val="28"/>
        </w:rPr>
        <w:t>.</w:t>
      </w:r>
      <w:r w:rsidR="001A698B" w:rsidRPr="001A698B">
        <w:rPr>
          <w:sz w:val="28"/>
          <w:szCs w:val="28"/>
        </w:rPr>
        <w:t xml:space="preserve"> </w:t>
      </w:r>
      <w:r w:rsidR="0028353E" w:rsidRPr="001A698B">
        <w:rPr>
          <w:sz w:val="28"/>
          <w:szCs w:val="28"/>
        </w:rPr>
        <w:t>Atbildīgajām iestādēm</w:t>
      </w:r>
      <w:r w:rsidR="00763CCF">
        <w:rPr>
          <w:sz w:val="28"/>
          <w:szCs w:val="28"/>
        </w:rPr>
        <w:t xml:space="preserve">, slēdzot iepriekš minētos līgumus, </w:t>
      </w:r>
      <w:r w:rsidR="0028353E" w:rsidRPr="001A698B">
        <w:rPr>
          <w:sz w:val="28"/>
          <w:szCs w:val="28"/>
        </w:rPr>
        <w:t>nodrošin</w:t>
      </w:r>
      <w:r w:rsidR="00763CCF">
        <w:rPr>
          <w:sz w:val="28"/>
          <w:szCs w:val="28"/>
        </w:rPr>
        <w:t>āt</w:t>
      </w:r>
      <w:r w:rsidR="0028353E" w:rsidRPr="001A698B">
        <w:rPr>
          <w:sz w:val="28"/>
          <w:szCs w:val="28"/>
        </w:rPr>
        <w:t xml:space="preserve"> standarta nosacījum</w:t>
      </w:r>
      <w:r w:rsidR="00763CCF">
        <w:rPr>
          <w:sz w:val="28"/>
          <w:szCs w:val="28"/>
        </w:rPr>
        <w:t>u izstrādi</w:t>
      </w:r>
      <w:r w:rsidR="0028353E" w:rsidRPr="001A698B">
        <w:rPr>
          <w:sz w:val="28"/>
          <w:szCs w:val="28"/>
        </w:rPr>
        <w:t>, kas iekļaujami būvniecības līgumos.</w:t>
      </w:r>
    </w:p>
    <w:p w:rsidR="001A698B" w:rsidRPr="001A698B" w:rsidRDefault="001A698B" w:rsidP="00C054AA">
      <w:pPr>
        <w:pStyle w:val="ListParagraph"/>
        <w:numPr>
          <w:ilvl w:val="0"/>
          <w:numId w:val="13"/>
        </w:numPr>
        <w:jc w:val="both"/>
        <w:rPr>
          <w:sz w:val="28"/>
          <w:szCs w:val="28"/>
        </w:rPr>
      </w:pPr>
      <w:r w:rsidRPr="001A698B">
        <w:rPr>
          <w:sz w:val="28"/>
          <w:szCs w:val="28"/>
        </w:rPr>
        <w:t>M</w:t>
      </w:r>
      <w:r w:rsidR="00763CCF">
        <w:rPr>
          <w:sz w:val="28"/>
          <w:szCs w:val="28"/>
        </w:rPr>
        <w:t>inistrijām turpmāk ievērot</w:t>
      </w:r>
      <w:r w:rsidRPr="001A698B">
        <w:rPr>
          <w:sz w:val="28"/>
          <w:szCs w:val="28"/>
        </w:rPr>
        <w:t xml:space="preserve"> informatīvaj</w:t>
      </w:r>
      <w:r w:rsidR="00763CCF">
        <w:rPr>
          <w:sz w:val="28"/>
          <w:szCs w:val="28"/>
        </w:rPr>
        <w:t>ā ziņojumā iekļauto nosacījumu Ministru kabineta</w:t>
      </w:r>
      <w:r w:rsidRPr="001A698B">
        <w:rPr>
          <w:sz w:val="28"/>
          <w:szCs w:val="28"/>
        </w:rPr>
        <w:t xml:space="preserve"> </w:t>
      </w:r>
      <w:r w:rsidR="00763CCF">
        <w:rPr>
          <w:sz w:val="28"/>
          <w:szCs w:val="28"/>
        </w:rPr>
        <w:t>noteikumu izstrādē, kas attiecas uz</w:t>
      </w:r>
      <w:r w:rsidRPr="001A698B">
        <w:rPr>
          <w:sz w:val="28"/>
          <w:szCs w:val="28"/>
        </w:rPr>
        <w:t xml:space="preserve"> ES fondu aktivitāšu īstenošanu. </w:t>
      </w:r>
    </w:p>
    <w:p w:rsidR="003203F4" w:rsidRDefault="003203F4" w:rsidP="00C054AA">
      <w:pPr>
        <w:pStyle w:val="ListParagraph"/>
        <w:numPr>
          <w:ilvl w:val="0"/>
          <w:numId w:val="13"/>
        </w:numPr>
        <w:jc w:val="both"/>
        <w:rPr>
          <w:sz w:val="28"/>
          <w:szCs w:val="28"/>
        </w:rPr>
      </w:pPr>
      <w:r w:rsidRPr="001D08EC">
        <w:rPr>
          <w:sz w:val="28"/>
          <w:szCs w:val="28"/>
        </w:rPr>
        <w:t xml:space="preserve">Indeksēšanas slieksni </w:t>
      </w:r>
      <w:proofErr w:type="spellStart"/>
      <w:r w:rsidRPr="001D08EC">
        <w:rPr>
          <w:sz w:val="28"/>
          <w:szCs w:val="28"/>
        </w:rPr>
        <w:t>būvizmaksu</w:t>
      </w:r>
      <w:proofErr w:type="spellEnd"/>
      <w:r w:rsidRPr="001D08EC">
        <w:rPr>
          <w:sz w:val="28"/>
          <w:szCs w:val="28"/>
        </w:rPr>
        <w:t xml:space="preserve"> indeksiem nosaka Ekonomikas ministrija sadarbībā ar Finanšu ministriju</w:t>
      </w:r>
      <w:r w:rsidR="00965940" w:rsidRPr="001D08EC">
        <w:rPr>
          <w:sz w:val="28"/>
          <w:szCs w:val="28"/>
        </w:rPr>
        <w:t xml:space="preserve"> līdz 30.</w:t>
      </w:r>
      <w:r w:rsidR="0028353E">
        <w:rPr>
          <w:sz w:val="28"/>
          <w:szCs w:val="28"/>
        </w:rPr>
        <w:t>novembrim</w:t>
      </w:r>
      <w:r w:rsidR="00965940" w:rsidRPr="001D08EC">
        <w:rPr>
          <w:sz w:val="28"/>
          <w:szCs w:val="28"/>
        </w:rPr>
        <w:t xml:space="preserve">, ko jāpiemēro nākošā gadā </w:t>
      </w:r>
      <w:r w:rsidR="00D118A6" w:rsidRPr="001D08EC">
        <w:rPr>
          <w:sz w:val="28"/>
          <w:szCs w:val="28"/>
        </w:rPr>
        <w:t>izsludinātiem konkursiem</w:t>
      </w:r>
      <w:r w:rsidR="0028353E">
        <w:rPr>
          <w:sz w:val="28"/>
          <w:szCs w:val="28"/>
        </w:rPr>
        <w:t xml:space="preserve"> un atbilstoši </w:t>
      </w:r>
      <w:r w:rsidR="0028353E" w:rsidRPr="001D08EC">
        <w:rPr>
          <w:sz w:val="28"/>
          <w:szCs w:val="28"/>
        </w:rPr>
        <w:t>noslēgtiem līgumiem</w:t>
      </w:r>
      <w:r w:rsidR="00965940" w:rsidRPr="001D08EC">
        <w:rPr>
          <w:sz w:val="28"/>
          <w:szCs w:val="28"/>
        </w:rPr>
        <w:t>.</w:t>
      </w:r>
    </w:p>
    <w:p w:rsidR="0028353E" w:rsidRPr="001D08EC" w:rsidRDefault="0028353E" w:rsidP="00C054AA">
      <w:pPr>
        <w:pStyle w:val="ListParagraph"/>
        <w:numPr>
          <w:ilvl w:val="0"/>
          <w:numId w:val="13"/>
        </w:numPr>
        <w:jc w:val="both"/>
        <w:rPr>
          <w:sz w:val="28"/>
          <w:szCs w:val="28"/>
        </w:rPr>
      </w:pPr>
      <w:r>
        <w:rPr>
          <w:sz w:val="28"/>
          <w:szCs w:val="28"/>
        </w:rPr>
        <w:t xml:space="preserve">CSP nodrošināt visu BII publicēšanu CSP </w:t>
      </w:r>
      <w:r w:rsidR="00763CCF">
        <w:rPr>
          <w:sz w:val="28"/>
          <w:szCs w:val="28"/>
        </w:rPr>
        <w:t>tīmekļa vietnē</w:t>
      </w:r>
      <w:r>
        <w:rPr>
          <w:sz w:val="28"/>
          <w:szCs w:val="28"/>
        </w:rPr>
        <w:t>.</w:t>
      </w:r>
    </w:p>
    <w:p w:rsidR="00F222A8" w:rsidRPr="001D08EC" w:rsidRDefault="00F222A8" w:rsidP="00C054AA">
      <w:pPr>
        <w:pStyle w:val="ListParagraph"/>
        <w:numPr>
          <w:ilvl w:val="0"/>
          <w:numId w:val="13"/>
        </w:numPr>
        <w:jc w:val="both"/>
        <w:rPr>
          <w:sz w:val="28"/>
          <w:szCs w:val="28"/>
        </w:rPr>
      </w:pPr>
      <w:r w:rsidRPr="008C3F0D">
        <w:rPr>
          <w:sz w:val="28"/>
          <w:szCs w:val="28"/>
        </w:rPr>
        <w:t>Ņemot vērā sniegto informāciju</w:t>
      </w:r>
      <w:r>
        <w:rPr>
          <w:sz w:val="28"/>
          <w:szCs w:val="28"/>
        </w:rPr>
        <w:t xml:space="preserve"> par ABIK</w:t>
      </w:r>
      <w:r w:rsidRPr="008C3F0D">
        <w:rPr>
          <w:sz w:val="28"/>
          <w:szCs w:val="28"/>
        </w:rPr>
        <w:t xml:space="preserve">, Ministru kabineta 2011.gada 28.jūnija sēdes </w:t>
      </w:r>
      <w:proofErr w:type="spellStart"/>
      <w:r w:rsidRPr="008C3F0D">
        <w:rPr>
          <w:sz w:val="28"/>
          <w:szCs w:val="28"/>
        </w:rPr>
        <w:t>protokollēmuma</w:t>
      </w:r>
      <w:proofErr w:type="spellEnd"/>
      <w:r w:rsidRPr="008C3F0D">
        <w:rPr>
          <w:sz w:val="28"/>
          <w:szCs w:val="28"/>
        </w:rPr>
        <w:t xml:space="preserve"> (prot.Nr.40, 43.§) „Informatīvais ziņojums „Par izmaksu pieaugumu Eiropas Savienības fondu līdzfinansēto projektu ietvaros”” 2. un 5. punktu atzīt par aktualitāti zaudējušu.</w:t>
      </w:r>
      <w:r w:rsidRPr="00F222A8">
        <w:rPr>
          <w:sz w:val="28"/>
          <w:szCs w:val="28"/>
        </w:rPr>
        <w:t xml:space="preserve"> </w:t>
      </w:r>
    </w:p>
    <w:p w:rsidR="001D08EC" w:rsidRDefault="001D08EC" w:rsidP="001D08EC">
      <w:pPr>
        <w:tabs>
          <w:tab w:val="left" w:pos="6804"/>
        </w:tabs>
        <w:ind w:right="-143"/>
        <w:jc w:val="both"/>
        <w:rPr>
          <w:bCs/>
          <w:color w:val="000000"/>
          <w:sz w:val="28"/>
          <w:szCs w:val="28"/>
        </w:rPr>
      </w:pPr>
    </w:p>
    <w:p w:rsidR="001D08EC" w:rsidRDefault="001D08EC" w:rsidP="001D08EC">
      <w:pPr>
        <w:tabs>
          <w:tab w:val="left" w:pos="6804"/>
        </w:tabs>
        <w:ind w:right="-143"/>
        <w:jc w:val="both"/>
        <w:rPr>
          <w:sz w:val="28"/>
        </w:rPr>
      </w:pPr>
      <w:r w:rsidRPr="00004628">
        <w:rPr>
          <w:bCs/>
          <w:color w:val="000000"/>
          <w:sz w:val="28"/>
          <w:szCs w:val="28"/>
        </w:rPr>
        <w:t>Ekonomikas ministrs</w:t>
      </w:r>
      <w:r>
        <w:rPr>
          <w:sz w:val="28"/>
        </w:rPr>
        <w:tab/>
      </w:r>
      <w:r>
        <w:rPr>
          <w:bCs/>
          <w:color w:val="000000"/>
          <w:sz w:val="28"/>
          <w:szCs w:val="28"/>
        </w:rPr>
        <w:t>D.Pavļuts</w:t>
      </w:r>
    </w:p>
    <w:p w:rsidR="001D08EC" w:rsidRDefault="001D08EC" w:rsidP="001D08EC">
      <w:pPr>
        <w:jc w:val="both"/>
        <w:rPr>
          <w:sz w:val="28"/>
          <w:szCs w:val="28"/>
        </w:rPr>
      </w:pPr>
    </w:p>
    <w:p w:rsidR="00A9542A" w:rsidRDefault="00A9542A" w:rsidP="001D08EC">
      <w:pPr>
        <w:jc w:val="both"/>
        <w:rPr>
          <w:sz w:val="28"/>
          <w:szCs w:val="28"/>
        </w:rPr>
      </w:pPr>
    </w:p>
    <w:p w:rsidR="001D08EC" w:rsidRDefault="001D08EC" w:rsidP="001D08EC">
      <w:pPr>
        <w:tabs>
          <w:tab w:val="left" w:pos="6804"/>
        </w:tabs>
        <w:ind w:right="-143"/>
        <w:jc w:val="both"/>
        <w:rPr>
          <w:sz w:val="28"/>
        </w:rPr>
      </w:pPr>
      <w:r>
        <w:rPr>
          <w:sz w:val="28"/>
          <w:szCs w:val="28"/>
        </w:rPr>
        <w:t>Vīza: Valsts sekretārs</w:t>
      </w:r>
      <w:r>
        <w:rPr>
          <w:sz w:val="28"/>
        </w:rPr>
        <w:t xml:space="preserve"> </w:t>
      </w:r>
      <w:r>
        <w:rPr>
          <w:sz w:val="28"/>
        </w:rPr>
        <w:tab/>
      </w:r>
      <w:r>
        <w:rPr>
          <w:sz w:val="28"/>
          <w:szCs w:val="28"/>
        </w:rPr>
        <w:t>J.Pūce</w:t>
      </w:r>
    </w:p>
    <w:p w:rsidR="001D08EC" w:rsidRPr="00A9542A" w:rsidRDefault="009A215A" w:rsidP="00A9542A">
      <w:pPr>
        <w:pStyle w:val="Subtitle"/>
        <w:widowControl/>
        <w:spacing w:before="360" w:after="100" w:afterAutospacing="1"/>
        <w:rPr>
          <w:b w:val="0"/>
          <w:bCs/>
          <w:sz w:val="20"/>
        </w:rPr>
      </w:pPr>
      <w:r>
        <w:rPr>
          <w:b w:val="0"/>
          <w:bCs/>
          <w:sz w:val="20"/>
        </w:rPr>
        <w:t>02.02.2012</w:t>
      </w:r>
      <w:r w:rsidR="001D08EC" w:rsidRPr="00640A20">
        <w:rPr>
          <w:b w:val="0"/>
          <w:bCs/>
          <w:sz w:val="20"/>
        </w:rPr>
        <w:br/>
      </w:r>
      <w:fldSimple w:instr=" NUMWORDS   \* MERGEFORMAT ">
        <w:r w:rsidR="002C4DBF" w:rsidRPr="002C4DBF">
          <w:rPr>
            <w:b w:val="0"/>
            <w:bCs/>
            <w:noProof/>
            <w:sz w:val="20"/>
          </w:rPr>
          <w:t>2874</w:t>
        </w:r>
      </w:fldSimple>
      <w:r w:rsidR="001D08EC" w:rsidRPr="00640A20">
        <w:rPr>
          <w:b w:val="0"/>
          <w:bCs/>
          <w:sz w:val="20"/>
        </w:rPr>
        <w:br/>
        <w:t>Ušpelis</w:t>
      </w:r>
      <w:r w:rsidR="001D08EC" w:rsidRPr="00640A20">
        <w:rPr>
          <w:b w:val="0"/>
          <w:bCs/>
          <w:sz w:val="20"/>
        </w:rPr>
        <w:br/>
        <w:t xml:space="preserve">67013164, </w:t>
      </w:r>
      <w:hyperlink r:id="rId8" w:history="1">
        <w:r w:rsidR="001D08EC" w:rsidRPr="00640A20">
          <w:rPr>
            <w:rStyle w:val="Hyperlink"/>
            <w:b w:val="0"/>
            <w:bCs/>
            <w:sz w:val="20"/>
          </w:rPr>
          <w:t>Janis.Uspelis@em.gov.lv</w:t>
        </w:r>
      </w:hyperlink>
    </w:p>
    <w:sectPr w:rsidR="001D08EC" w:rsidRPr="00A9542A" w:rsidSect="001D08EC">
      <w:headerReference w:type="default" r:id="rId9"/>
      <w:footerReference w:type="default" r:id="rId10"/>
      <w:footerReference w:type="first" r:id="rId11"/>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60C" w:rsidRDefault="0084260C">
      <w:r>
        <w:separator/>
      </w:r>
    </w:p>
  </w:endnote>
  <w:endnote w:type="continuationSeparator" w:id="0">
    <w:p w:rsidR="0084260C" w:rsidRDefault="00842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EC" w:rsidRPr="00BE78B5" w:rsidRDefault="009A4E57" w:rsidP="001D08EC">
    <w:pPr>
      <w:rPr>
        <w:sz w:val="20"/>
        <w:szCs w:val="20"/>
      </w:rPr>
    </w:pPr>
    <w:r w:rsidRPr="00BE78B5">
      <w:rPr>
        <w:sz w:val="20"/>
        <w:szCs w:val="20"/>
      </w:rPr>
      <w:fldChar w:fldCharType="begin"/>
    </w:r>
    <w:r w:rsidR="001D08EC" w:rsidRPr="00BE78B5">
      <w:rPr>
        <w:sz w:val="20"/>
        <w:szCs w:val="20"/>
      </w:rPr>
      <w:instrText xml:space="preserve"> FILENAME  </w:instrText>
    </w:r>
    <w:r w:rsidRPr="00BE78B5">
      <w:rPr>
        <w:sz w:val="20"/>
        <w:szCs w:val="20"/>
      </w:rPr>
      <w:fldChar w:fldCharType="separate"/>
    </w:r>
    <w:r w:rsidR="00C054AA">
      <w:rPr>
        <w:noProof/>
        <w:sz w:val="20"/>
        <w:szCs w:val="20"/>
      </w:rPr>
      <w:t>EMZino_020212_BII</w:t>
    </w:r>
    <w:r w:rsidRPr="00BE78B5">
      <w:rPr>
        <w:sz w:val="20"/>
        <w:szCs w:val="20"/>
      </w:rPr>
      <w:fldChar w:fldCharType="end"/>
    </w:r>
    <w:r w:rsidR="001D08EC" w:rsidRPr="00BE78B5">
      <w:rPr>
        <w:sz w:val="20"/>
        <w:szCs w:val="20"/>
      </w:rPr>
      <w:t>; Informatīvais ziņojums par vadlīnijām būvniecības izmaksu indeksācijai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6C" w:rsidRPr="00BE78B5" w:rsidRDefault="009A4E57" w:rsidP="00B6506C">
    <w:pPr>
      <w:rPr>
        <w:sz w:val="20"/>
        <w:szCs w:val="20"/>
      </w:rPr>
    </w:pPr>
    <w:r w:rsidRPr="00BE78B5">
      <w:rPr>
        <w:sz w:val="20"/>
        <w:szCs w:val="20"/>
      </w:rPr>
      <w:fldChar w:fldCharType="begin"/>
    </w:r>
    <w:r w:rsidR="00B6506C" w:rsidRPr="00BE78B5">
      <w:rPr>
        <w:sz w:val="20"/>
        <w:szCs w:val="20"/>
      </w:rPr>
      <w:instrText xml:space="preserve"> FILENAME  </w:instrText>
    </w:r>
    <w:r w:rsidRPr="00BE78B5">
      <w:rPr>
        <w:sz w:val="20"/>
        <w:szCs w:val="20"/>
      </w:rPr>
      <w:fldChar w:fldCharType="separate"/>
    </w:r>
    <w:r w:rsidR="00C054AA">
      <w:rPr>
        <w:noProof/>
        <w:sz w:val="20"/>
        <w:szCs w:val="20"/>
      </w:rPr>
      <w:t>EMZino_020212_BII</w:t>
    </w:r>
    <w:r w:rsidRPr="00BE78B5">
      <w:rPr>
        <w:sz w:val="20"/>
        <w:szCs w:val="20"/>
      </w:rPr>
      <w:fldChar w:fldCharType="end"/>
    </w:r>
    <w:r w:rsidR="00B6506C" w:rsidRPr="00BE78B5">
      <w:rPr>
        <w:sz w:val="20"/>
        <w:szCs w:val="20"/>
      </w:rPr>
      <w:t>; Informatīvais ziņojums par vadlīnijām būvniecības izmaksu indeksācijai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60C" w:rsidRDefault="0084260C">
      <w:r>
        <w:separator/>
      </w:r>
    </w:p>
  </w:footnote>
  <w:footnote w:type="continuationSeparator" w:id="0">
    <w:p w:rsidR="0084260C" w:rsidRDefault="0084260C">
      <w:r>
        <w:continuationSeparator/>
      </w:r>
    </w:p>
  </w:footnote>
  <w:footnote w:id="1">
    <w:p w:rsidR="00B1137A" w:rsidRDefault="00B1137A">
      <w:pPr>
        <w:pStyle w:val="FootnoteText"/>
      </w:pPr>
      <w:r>
        <w:rPr>
          <w:rStyle w:val="FootnoteReference"/>
        </w:rPr>
        <w:footnoteRef/>
      </w:r>
      <w:r>
        <w:t xml:space="preserve"> </w:t>
      </w:r>
      <w:hyperlink r:id="rId1" w:history="1">
        <w:r w:rsidR="009D15BA" w:rsidRPr="00833C67">
          <w:rPr>
            <w:rStyle w:val="Hyperlink"/>
          </w:rPr>
          <w:t>http://www.oecd.org/dataoecd/49/4/2372435.pdf</w:t>
        </w:r>
      </w:hyperlink>
      <w:r w:rsidR="009D15BA">
        <w:t xml:space="preserve"> </w:t>
      </w:r>
    </w:p>
  </w:footnote>
  <w:footnote w:id="2">
    <w:p w:rsidR="009D15BA" w:rsidRDefault="009D15BA">
      <w:pPr>
        <w:pStyle w:val="FootnoteText"/>
      </w:pPr>
      <w:r>
        <w:rPr>
          <w:rStyle w:val="FootnoteReference"/>
        </w:rPr>
        <w:footnoteRef/>
      </w:r>
      <w:r>
        <w:t xml:space="preserve"> </w:t>
      </w:r>
      <w:hyperlink r:id="rId2" w:history="1">
        <w:r w:rsidR="00632BD7" w:rsidRPr="00833C67">
          <w:rPr>
            <w:rStyle w:val="Hyperlink"/>
          </w:rPr>
          <w:t>http://epp.eurostat.ec.europa.eu/portal/page/portal/short_term_business_statistics/documents/KS-BG-06-001-EN.pdf</w:t>
        </w:r>
      </w:hyperlink>
      <w:r w:rsidR="00632BD7">
        <w:t xml:space="preserve"> </w:t>
      </w:r>
      <w:r>
        <w:t xml:space="preserve"> </w:t>
      </w:r>
    </w:p>
  </w:footnote>
  <w:footnote w:id="3">
    <w:p w:rsidR="00552E7D" w:rsidRDefault="00552E7D">
      <w:pPr>
        <w:pStyle w:val="FootnoteText"/>
      </w:pPr>
      <w:r>
        <w:rPr>
          <w:rStyle w:val="FootnoteReference"/>
        </w:rPr>
        <w:footnoteRef/>
      </w:r>
      <w:r>
        <w:t xml:space="preserve"> </w:t>
      </w:r>
      <w:hyperlink r:id="rId3" w:history="1">
        <w:r w:rsidRPr="00664B80">
          <w:rPr>
            <w:rStyle w:val="Hyperlink"/>
          </w:rPr>
          <w:t>http://www.eurasiareview.com/12122011-eu-economic-governance-six-pack-enters-into-force/</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4771"/>
      <w:docPartObj>
        <w:docPartGallery w:val="Page Numbers (Top of Page)"/>
        <w:docPartUnique/>
      </w:docPartObj>
    </w:sdtPr>
    <w:sdtContent>
      <w:p w:rsidR="001D08EC" w:rsidRDefault="009A4E57">
        <w:pPr>
          <w:pStyle w:val="Header"/>
          <w:jc w:val="center"/>
        </w:pPr>
        <w:r>
          <w:fldChar w:fldCharType="begin"/>
        </w:r>
        <w:r w:rsidR="00AA3A3D">
          <w:instrText xml:space="preserve"> PAGE   \* MERGEFORMAT </w:instrText>
        </w:r>
        <w:r>
          <w:fldChar w:fldCharType="separate"/>
        </w:r>
        <w:r w:rsidR="002C4DBF">
          <w:rPr>
            <w:noProof/>
          </w:rPr>
          <w:t>10</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DB9"/>
    <w:multiLevelType w:val="hybridMultilevel"/>
    <w:tmpl w:val="548E38B2"/>
    <w:lvl w:ilvl="0" w:tplc="DFB01162">
      <w:start w:val="1"/>
      <w:numFmt w:val="bullet"/>
      <w:lvlText w:val="–"/>
      <w:lvlJc w:val="left"/>
      <w:pPr>
        <w:ind w:left="1346" w:hanging="360"/>
      </w:pPr>
      <w:rPr>
        <w:rFonts w:ascii="Times New Roman" w:hAnsi="Times New Roman" w:cs="Times New Roman" w:hint="default"/>
      </w:rPr>
    </w:lvl>
    <w:lvl w:ilvl="1" w:tplc="04260003" w:tentative="1">
      <w:start w:val="1"/>
      <w:numFmt w:val="bullet"/>
      <w:lvlText w:val="o"/>
      <w:lvlJc w:val="left"/>
      <w:pPr>
        <w:ind w:left="2066" w:hanging="360"/>
      </w:pPr>
      <w:rPr>
        <w:rFonts w:ascii="Courier New" w:hAnsi="Courier New" w:cs="Courier New" w:hint="default"/>
      </w:rPr>
    </w:lvl>
    <w:lvl w:ilvl="2" w:tplc="04260005" w:tentative="1">
      <w:start w:val="1"/>
      <w:numFmt w:val="bullet"/>
      <w:lvlText w:val=""/>
      <w:lvlJc w:val="left"/>
      <w:pPr>
        <w:ind w:left="2786" w:hanging="360"/>
      </w:pPr>
      <w:rPr>
        <w:rFonts w:ascii="Wingdings" w:hAnsi="Wingdings" w:hint="default"/>
      </w:rPr>
    </w:lvl>
    <w:lvl w:ilvl="3" w:tplc="04260001" w:tentative="1">
      <w:start w:val="1"/>
      <w:numFmt w:val="bullet"/>
      <w:lvlText w:val=""/>
      <w:lvlJc w:val="left"/>
      <w:pPr>
        <w:ind w:left="3506" w:hanging="360"/>
      </w:pPr>
      <w:rPr>
        <w:rFonts w:ascii="Symbol" w:hAnsi="Symbol" w:hint="default"/>
      </w:rPr>
    </w:lvl>
    <w:lvl w:ilvl="4" w:tplc="04260003" w:tentative="1">
      <w:start w:val="1"/>
      <w:numFmt w:val="bullet"/>
      <w:lvlText w:val="o"/>
      <w:lvlJc w:val="left"/>
      <w:pPr>
        <w:ind w:left="4226" w:hanging="360"/>
      </w:pPr>
      <w:rPr>
        <w:rFonts w:ascii="Courier New" w:hAnsi="Courier New" w:cs="Courier New" w:hint="default"/>
      </w:rPr>
    </w:lvl>
    <w:lvl w:ilvl="5" w:tplc="04260005" w:tentative="1">
      <w:start w:val="1"/>
      <w:numFmt w:val="bullet"/>
      <w:lvlText w:val=""/>
      <w:lvlJc w:val="left"/>
      <w:pPr>
        <w:ind w:left="4946" w:hanging="360"/>
      </w:pPr>
      <w:rPr>
        <w:rFonts w:ascii="Wingdings" w:hAnsi="Wingdings" w:hint="default"/>
      </w:rPr>
    </w:lvl>
    <w:lvl w:ilvl="6" w:tplc="04260001" w:tentative="1">
      <w:start w:val="1"/>
      <w:numFmt w:val="bullet"/>
      <w:lvlText w:val=""/>
      <w:lvlJc w:val="left"/>
      <w:pPr>
        <w:ind w:left="5666" w:hanging="360"/>
      </w:pPr>
      <w:rPr>
        <w:rFonts w:ascii="Symbol" w:hAnsi="Symbol" w:hint="default"/>
      </w:rPr>
    </w:lvl>
    <w:lvl w:ilvl="7" w:tplc="04260003" w:tentative="1">
      <w:start w:val="1"/>
      <w:numFmt w:val="bullet"/>
      <w:lvlText w:val="o"/>
      <w:lvlJc w:val="left"/>
      <w:pPr>
        <w:ind w:left="6386" w:hanging="360"/>
      </w:pPr>
      <w:rPr>
        <w:rFonts w:ascii="Courier New" w:hAnsi="Courier New" w:cs="Courier New" w:hint="default"/>
      </w:rPr>
    </w:lvl>
    <w:lvl w:ilvl="8" w:tplc="04260005" w:tentative="1">
      <w:start w:val="1"/>
      <w:numFmt w:val="bullet"/>
      <w:lvlText w:val=""/>
      <w:lvlJc w:val="left"/>
      <w:pPr>
        <w:ind w:left="7106" w:hanging="360"/>
      </w:pPr>
      <w:rPr>
        <w:rFonts w:ascii="Wingdings" w:hAnsi="Wingdings" w:hint="default"/>
      </w:rPr>
    </w:lvl>
  </w:abstractNum>
  <w:abstractNum w:abstractNumId="1">
    <w:nsid w:val="0B770D5F"/>
    <w:multiLevelType w:val="hybridMultilevel"/>
    <w:tmpl w:val="6D9C8058"/>
    <w:lvl w:ilvl="0" w:tplc="DFB01162">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168366CD"/>
    <w:multiLevelType w:val="hybridMultilevel"/>
    <w:tmpl w:val="3B6E3F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A4576F0"/>
    <w:multiLevelType w:val="hybridMultilevel"/>
    <w:tmpl w:val="3E80396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225A1D1E"/>
    <w:multiLevelType w:val="hybridMultilevel"/>
    <w:tmpl w:val="67FC8AA0"/>
    <w:lvl w:ilvl="0" w:tplc="DFB01162">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389D0F0C"/>
    <w:multiLevelType w:val="hybridMultilevel"/>
    <w:tmpl w:val="D94859B8"/>
    <w:lvl w:ilvl="0" w:tplc="DFB01162">
      <w:start w:val="1"/>
      <w:numFmt w:val="bullet"/>
      <w:lvlText w:val="–"/>
      <w:lvlJc w:val="left"/>
      <w:pPr>
        <w:ind w:left="1854" w:hanging="360"/>
      </w:pPr>
      <w:rPr>
        <w:rFonts w:ascii="Times New Roman" w:hAnsi="Times New Roman" w:cs="Times New Roman"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6">
    <w:nsid w:val="42BD1B13"/>
    <w:multiLevelType w:val="hybridMultilevel"/>
    <w:tmpl w:val="CE9AA58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4D6F6F53"/>
    <w:multiLevelType w:val="hybridMultilevel"/>
    <w:tmpl w:val="406E2A3C"/>
    <w:lvl w:ilvl="0" w:tplc="30187AC0">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690F3A70"/>
    <w:multiLevelType w:val="hybridMultilevel"/>
    <w:tmpl w:val="4F6A2F22"/>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72BB4EE4"/>
    <w:multiLevelType w:val="hybridMultilevel"/>
    <w:tmpl w:val="785257C8"/>
    <w:lvl w:ilvl="0" w:tplc="DFB01162">
      <w:start w:val="1"/>
      <w:numFmt w:val="bullet"/>
      <w:lvlText w:val="–"/>
      <w:lvlJc w:val="left"/>
      <w:pPr>
        <w:ind w:left="1346" w:hanging="360"/>
      </w:pPr>
      <w:rPr>
        <w:rFonts w:ascii="Times New Roman" w:hAnsi="Times New Roman" w:cs="Times New Roman" w:hint="default"/>
      </w:rPr>
    </w:lvl>
    <w:lvl w:ilvl="1" w:tplc="04260003" w:tentative="1">
      <w:start w:val="1"/>
      <w:numFmt w:val="bullet"/>
      <w:lvlText w:val="o"/>
      <w:lvlJc w:val="left"/>
      <w:pPr>
        <w:ind w:left="2066" w:hanging="360"/>
      </w:pPr>
      <w:rPr>
        <w:rFonts w:ascii="Courier New" w:hAnsi="Courier New" w:cs="Courier New" w:hint="default"/>
      </w:rPr>
    </w:lvl>
    <w:lvl w:ilvl="2" w:tplc="04260005" w:tentative="1">
      <w:start w:val="1"/>
      <w:numFmt w:val="bullet"/>
      <w:lvlText w:val=""/>
      <w:lvlJc w:val="left"/>
      <w:pPr>
        <w:ind w:left="2786" w:hanging="360"/>
      </w:pPr>
      <w:rPr>
        <w:rFonts w:ascii="Wingdings" w:hAnsi="Wingdings" w:hint="default"/>
      </w:rPr>
    </w:lvl>
    <w:lvl w:ilvl="3" w:tplc="04260001" w:tentative="1">
      <w:start w:val="1"/>
      <w:numFmt w:val="bullet"/>
      <w:lvlText w:val=""/>
      <w:lvlJc w:val="left"/>
      <w:pPr>
        <w:ind w:left="3506" w:hanging="360"/>
      </w:pPr>
      <w:rPr>
        <w:rFonts w:ascii="Symbol" w:hAnsi="Symbol" w:hint="default"/>
      </w:rPr>
    </w:lvl>
    <w:lvl w:ilvl="4" w:tplc="04260003" w:tentative="1">
      <w:start w:val="1"/>
      <w:numFmt w:val="bullet"/>
      <w:lvlText w:val="o"/>
      <w:lvlJc w:val="left"/>
      <w:pPr>
        <w:ind w:left="4226" w:hanging="360"/>
      </w:pPr>
      <w:rPr>
        <w:rFonts w:ascii="Courier New" w:hAnsi="Courier New" w:cs="Courier New" w:hint="default"/>
      </w:rPr>
    </w:lvl>
    <w:lvl w:ilvl="5" w:tplc="04260005" w:tentative="1">
      <w:start w:val="1"/>
      <w:numFmt w:val="bullet"/>
      <w:lvlText w:val=""/>
      <w:lvlJc w:val="left"/>
      <w:pPr>
        <w:ind w:left="4946" w:hanging="360"/>
      </w:pPr>
      <w:rPr>
        <w:rFonts w:ascii="Wingdings" w:hAnsi="Wingdings" w:hint="default"/>
      </w:rPr>
    </w:lvl>
    <w:lvl w:ilvl="6" w:tplc="04260001" w:tentative="1">
      <w:start w:val="1"/>
      <w:numFmt w:val="bullet"/>
      <w:lvlText w:val=""/>
      <w:lvlJc w:val="left"/>
      <w:pPr>
        <w:ind w:left="5666" w:hanging="360"/>
      </w:pPr>
      <w:rPr>
        <w:rFonts w:ascii="Symbol" w:hAnsi="Symbol" w:hint="default"/>
      </w:rPr>
    </w:lvl>
    <w:lvl w:ilvl="7" w:tplc="04260003" w:tentative="1">
      <w:start w:val="1"/>
      <w:numFmt w:val="bullet"/>
      <w:lvlText w:val="o"/>
      <w:lvlJc w:val="left"/>
      <w:pPr>
        <w:ind w:left="6386" w:hanging="360"/>
      </w:pPr>
      <w:rPr>
        <w:rFonts w:ascii="Courier New" w:hAnsi="Courier New" w:cs="Courier New" w:hint="default"/>
      </w:rPr>
    </w:lvl>
    <w:lvl w:ilvl="8" w:tplc="04260005" w:tentative="1">
      <w:start w:val="1"/>
      <w:numFmt w:val="bullet"/>
      <w:lvlText w:val=""/>
      <w:lvlJc w:val="left"/>
      <w:pPr>
        <w:ind w:left="7106" w:hanging="360"/>
      </w:pPr>
      <w:rPr>
        <w:rFonts w:ascii="Wingdings" w:hAnsi="Wingdings" w:hint="default"/>
      </w:rPr>
    </w:lvl>
  </w:abstractNum>
  <w:abstractNum w:abstractNumId="10">
    <w:nsid w:val="73265315"/>
    <w:multiLevelType w:val="hybridMultilevel"/>
    <w:tmpl w:val="4202AFB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nsid w:val="7BFC3C39"/>
    <w:multiLevelType w:val="hybridMultilevel"/>
    <w:tmpl w:val="4B1A9822"/>
    <w:lvl w:ilvl="0" w:tplc="30187AC0">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nsid w:val="7E3D3695"/>
    <w:multiLevelType w:val="hybridMultilevel"/>
    <w:tmpl w:val="46E2BC40"/>
    <w:lvl w:ilvl="0" w:tplc="DFB0116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
  </w:num>
  <w:num w:numId="5">
    <w:abstractNumId w:val="6"/>
  </w:num>
  <w:num w:numId="6">
    <w:abstractNumId w:val="3"/>
  </w:num>
  <w:num w:numId="7">
    <w:abstractNumId w:val="0"/>
  </w:num>
  <w:num w:numId="8">
    <w:abstractNumId w:val="9"/>
  </w:num>
  <w:num w:numId="9">
    <w:abstractNumId w:val="2"/>
  </w:num>
  <w:num w:numId="10">
    <w:abstractNumId w:val="5"/>
  </w:num>
  <w:num w:numId="11">
    <w:abstractNumId w:val="1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56FA2"/>
    <w:rsid w:val="00010DA5"/>
    <w:rsid w:val="00011209"/>
    <w:rsid w:val="000232FB"/>
    <w:rsid w:val="00035CB3"/>
    <w:rsid w:val="000404C3"/>
    <w:rsid w:val="00044DE9"/>
    <w:rsid w:val="000463C0"/>
    <w:rsid w:val="000619F7"/>
    <w:rsid w:val="00082449"/>
    <w:rsid w:val="00085614"/>
    <w:rsid w:val="000A0ED2"/>
    <w:rsid w:val="000A5D6C"/>
    <w:rsid w:val="000B7FD7"/>
    <w:rsid w:val="000C1191"/>
    <w:rsid w:val="000C4CCB"/>
    <w:rsid w:val="000C63BB"/>
    <w:rsid w:val="000D288F"/>
    <w:rsid w:val="000D4322"/>
    <w:rsid w:val="000E7B9D"/>
    <w:rsid w:val="000F4EB0"/>
    <w:rsid w:val="000F525A"/>
    <w:rsid w:val="00100147"/>
    <w:rsid w:val="001252DB"/>
    <w:rsid w:val="00150727"/>
    <w:rsid w:val="00156FA2"/>
    <w:rsid w:val="0016511B"/>
    <w:rsid w:val="00166822"/>
    <w:rsid w:val="00186620"/>
    <w:rsid w:val="001A2321"/>
    <w:rsid w:val="001A6483"/>
    <w:rsid w:val="001A698B"/>
    <w:rsid w:val="001C0780"/>
    <w:rsid w:val="001C4040"/>
    <w:rsid w:val="001D08EC"/>
    <w:rsid w:val="001E0636"/>
    <w:rsid w:val="001E0BC8"/>
    <w:rsid w:val="001F373F"/>
    <w:rsid w:val="002228A4"/>
    <w:rsid w:val="00254D81"/>
    <w:rsid w:val="00260B1F"/>
    <w:rsid w:val="00276F59"/>
    <w:rsid w:val="0028353E"/>
    <w:rsid w:val="002904B3"/>
    <w:rsid w:val="002A7434"/>
    <w:rsid w:val="002B3737"/>
    <w:rsid w:val="002C4DBF"/>
    <w:rsid w:val="002D02E9"/>
    <w:rsid w:val="002D2122"/>
    <w:rsid w:val="002F7D8C"/>
    <w:rsid w:val="00303327"/>
    <w:rsid w:val="003051B1"/>
    <w:rsid w:val="003077EB"/>
    <w:rsid w:val="00310B33"/>
    <w:rsid w:val="003203F4"/>
    <w:rsid w:val="00326FA1"/>
    <w:rsid w:val="0033212F"/>
    <w:rsid w:val="00353657"/>
    <w:rsid w:val="00371122"/>
    <w:rsid w:val="00380285"/>
    <w:rsid w:val="003D339C"/>
    <w:rsid w:val="003D5665"/>
    <w:rsid w:val="003E5D71"/>
    <w:rsid w:val="003F091B"/>
    <w:rsid w:val="003F562D"/>
    <w:rsid w:val="00400B9E"/>
    <w:rsid w:val="00405637"/>
    <w:rsid w:val="0041444A"/>
    <w:rsid w:val="0044555E"/>
    <w:rsid w:val="004526D0"/>
    <w:rsid w:val="004A6423"/>
    <w:rsid w:val="004A7AB6"/>
    <w:rsid w:val="004B22E0"/>
    <w:rsid w:val="004E5996"/>
    <w:rsid w:val="004F5E01"/>
    <w:rsid w:val="00514E45"/>
    <w:rsid w:val="00523006"/>
    <w:rsid w:val="005337F3"/>
    <w:rsid w:val="00534F22"/>
    <w:rsid w:val="00552E7D"/>
    <w:rsid w:val="005557CC"/>
    <w:rsid w:val="00556025"/>
    <w:rsid w:val="005657DB"/>
    <w:rsid w:val="00571F35"/>
    <w:rsid w:val="005903E0"/>
    <w:rsid w:val="005A562B"/>
    <w:rsid w:val="005C1C2F"/>
    <w:rsid w:val="005E268E"/>
    <w:rsid w:val="006179FF"/>
    <w:rsid w:val="00632BD7"/>
    <w:rsid w:val="00671C54"/>
    <w:rsid w:val="00696074"/>
    <w:rsid w:val="0069650A"/>
    <w:rsid w:val="006A7FA6"/>
    <w:rsid w:val="006E3D66"/>
    <w:rsid w:val="00710ECA"/>
    <w:rsid w:val="00712502"/>
    <w:rsid w:val="00724857"/>
    <w:rsid w:val="007279A6"/>
    <w:rsid w:val="00733014"/>
    <w:rsid w:val="00750379"/>
    <w:rsid w:val="00763CCF"/>
    <w:rsid w:val="00780507"/>
    <w:rsid w:val="007A7F7A"/>
    <w:rsid w:val="007C035F"/>
    <w:rsid w:val="007C30C5"/>
    <w:rsid w:val="007D7C3B"/>
    <w:rsid w:val="007F7282"/>
    <w:rsid w:val="0080103B"/>
    <w:rsid w:val="00805312"/>
    <w:rsid w:val="0082345F"/>
    <w:rsid w:val="0084260C"/>
    <w:rsid w:val="00852C4C"/>
    <w:rsid w:val="00863333"/>
    <w:rsid w:val="00863D08"/>
    <w:rsid w:val="00867091"/>
    <w:rsid w:val="00890A47"/>
    <w:rsid w:val="008A4980"/>
    <w:rsid w:val="008B0E68"/>
    <w:rsid w:val="008B3380"/>
    <w:rsid w:val="008B494C"/>
    <w:rsid w:val="008B72B1"/>
    <w:rsid w:val="008D7671"/>
    <w:rsid w:val="008E3609"/>
    <w:rsid w:val="008E75FD"/>
    <w:rsid w:val="008F33B7"/>
    <w:rsid w:val="008F5B6F"/>
    <w:rsid w:val="00900561"/>
    <w:rsid w:val="0091287B"/>
    <w:rsid w:val="00935AEB"/>
    <w:rsid w:val="00937713"/>
    <w:rsid w:val="00946C15"/>
    <w:rsid w:val="00965940"/>
    <w:rsid w:val="00974D8D"/>
    <w:rsid w:val="00983DAD"/>
    <w:rsid w:val="00987A0B"/>
    <w:rsid w:val="00995776"/>
    <w:rsid w:val="009A215A"/>
    <w:rsid w:val="009A4E57"/>
    <w:rsid w:val="009B29C4"/>
    <w:rsid w:val="009B68FC"/>
    <w:rsid w:val="009D15BA"/>
    <w:rsid w:val="009F35C6"/>
    <w:rsid w:val="00A038CF"/>
    <w:rsid w:val="00A30129"/>
    <w:rsid w:val="00A30D15"/>
    <w:rsid w:val="00A7328B"/>
    <w:rsid w:val="00A736F2"/>
    <w:rsid w:val="00A84617"/>
    <w:rsid w:val="00A86A37"/>
    <w:rsid w:val="00A9542A"/>
    <w:rsid w:val="00AA3A3D"/>
    <w:rsid w:val="00AC16F2"/>
    <w:rsid w:val="00AD1C65"/>
    <w:rsid w:val="00B00EC3"/>
    <w:rsid w:val="00B1137A"/>
    <w:rsid w:val="00B15FAD"/>
    <w:rsid w:val="00B16748"/>
    <w:rsid w:val="00B26B54"/>
    <w:rsid w:val="00B41311"/>
    <w:rsid w:val="00B439BC"/>
    <w:rsid w:val="00B56A93"/>
    <w:rsid w:val="00B6506C"/>
    <w:rsid w:val="00BB79B1"/>
    <w:rsid w:val="00BC6AD3"/>
    <w:rsid w:val="00BD71D7"/>
    <w:rsid w:val="00BE49AE"/>
    <w:rsid w:val="00BF18B4"/>
    <w:rsid w:val="00C054AA"/>
    <w:rsid w:val="00C24310"/>
    <w:rsid w:val="00C341E2"/>
    <w:rsid w:val="00C535CD"/>
    <w:rsid w:val="00C61F97"/>
    <w:rsid w:val="00C65F42"/>
    <w:rsid w:val="00CA0857"/>
    <w:rsid w:val="00CA2919"/>
    <w:rsid w:val="00CA414B"/>
    <w:rsid w:val="00CB1DB1"/>
    <w:rsid w:val="00CB7E0E"/>
    <w:rsid w:val="00CE341D"/>
    <w:rsid w:val="00CE5CA5"/>
    <w:rsid w:val="00D118A6"/>
    <w:rsid w:val="00D4596D"/>
    <w:rsid w:val="00D54E23"/>
    <w:rsid w:val="00D7369A"/>
    <w:rsid w:val="00DE297D"/>
    <w:rsid w:val="00DF3CF4"/>
    <w:rsid w:val="00E23847"/>
    <w:rsid w:val="00E31BD9"/>
    <w:rsid w:val="00E4570A"/>
    <w:rsid w:val="00E51311"/>
    <w:rsid w:val="00E574B9"/>
    <w:rsid w:val="00E65051"/>
    <w:rsid w:val="00E67E76"/>
    <w:rsid w:val="00E94285"/>
    <w:rsid w:val="00EA2F85"/>
    <w:rsid w:val="00EB3F43"/>
    <w:rsid w:val="00EB5C92"/>
    <w:rsid w:val="00ED48F6"/>
    <w:rsid w:val="00EE274E"/>
    <w:rsid w:val="00F13740"/>
    <w:rsid w:val="00F222A8"/>
    <w:rsid w:val="00F41471"/>
    <w:rsid w:val="00F42B1F"/>
    <w:rsid w:val="00F503C5"/>
    <w:rsid w:val="00F5458A"/>
    <w:rsid w:val="00F7119F"/>
    <w:rsid w:val="00F80641"/>
    <w:rsid w:val="00F84AF9"/>
    <w:rsid w:val="00F90F56"/>
    <w:rsid w:val="00FA0F6C"/>
    <w:rsid w:val="00FA6751"/>
    <w:rsid w:val="00FD11B0"/>
    <w:rsid w:val="00FE641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665"/>
    <w:rPr>
      <w:sz w:val="26"/>
      <w:lang w:eastAsia="en-US"/>
    </w:rPr>
  </w:style>
  <w:style w:type="paragraph" w:styleId="Heading1">
    <w:name w:val="heading 1"/>
    <w:basedOn w:val="Normal"/>
    <w:next w:val="Normal"/>
    <w:link w:val="Heading1Char"/>
    <w:qFormat/>
    <w:rsid w:val="003D56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3D56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B54"/>
    <w:pPr>
      <w:tabs>
        <w:tab w:val="center" w:pos="4153"/>
        <w:tab w:val="right" w:pos="8306"/>
      </w:tabs>
    </w:pPr>
  </w:style>
  <w:style w:type="paragraph" w:styleId="Footer">
    <w:name w:val="footer"/>
    <w:basedOn w:val="Normal"/>
    <w:link w:val="FooterChar"/>
    <w:uiPriority w:val="99"/>
    <w:rsid w:val="00B26B54"/>
    <w:pPr>
      <w:tabs>
        <w:tab w:val="center" w:pos="4153"/>
        <w:tab w:val="right" w:pos="8306"/>
      </w:tabs>
    </w:pPr>
  </w:style>
  <w:style w:type="paragraph" w:styleId="Subtitle">
    <w:name w:val="Subtitle"/>
    <w:basedOn w:val="Normal"/>
    <w:next w:val="Normal"/>
    <w:link w:val="SubtitleChar"/>
    <w:qFormat/>
    <w:rsid w:val="003D5665"/>
    <w:pPr>
      <w:keepNext/>
      <w:keepLines/>
      <w:widowControl w:val="0"/>
      <w:suppressAutoHyphens/>
      <w:spacing w:before="600" w:after="600"/>
      <w:ind w:right="4820"/>
    </w:pPr>
    <w:rPr>
      <w:b/>
      <w:sz w:val="24"/>
    </w:rPr>
  </w:style>
  <w:style w:type="paragraph" w:styleId="BodyText">
    <w:name w:val="Body Text"/>
    <w:basedOn w:val="Normal"/>
    <w:rsid w:val="00B26B54"/>
    <w:pPr>
      <w:widowControl w:val="0"/>
      <w:spacing w:before="60" w:after="60"/>
    </w:pPr>
    <w:rPr>
      <w:sz w:val="20"/>
    </w:rPr>
  </w:style>
  <w:style w:type="character" w:customStyle="1" w:styleId="Heading1Char">
    <w:name w:val="Heading 1 Char"/>
    <w:basedOn w:val="DefaultParagraphFont"/>
    <w:link w:val="Heading1"/>
    <w:rsid w:val="003D5665"/>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3D5665"/>
    <w:rPr>
      <w:rFonts w:asciiTheme="majorHAnsi" w:eastAsiaTheme="majorEastAsia" w:hAnsiTheme="majorHAnsi" w:cstheme="majorBidi"/>
      <w:b/>
      <w:bCs/>
      <w:color w:val="4F81BD" w:themeColor="accent1"/>
      <w:sz w:val="26"/>
      <w:lang w:eastAsia="en-US"/>
    </w:rPr>
  </w:style>
  <w:style w:type="character" w:customStyle="1" w:styleId="SubtitleChar">
    <w:name w:val="Subtitle Char"/>
    <w:basedOn w:val="DefaultParagraphFont"/>
    <w:link w:val="Subtitle"/>
    <w:rsid w:val="003D5665"/>
    <w:rPr>
      <w:b/>
      <w:lang w:eastAsia="en-US"/>
    </w:rPr>
  </w:style>
  <w:style w:type="character" w:styleId="Strong">
    <w:name w:val="Strong"/>
    <w:basedOn w:val="DefaultParagraphFont"/>
    <w:qFormat/>
    <w:rsid w:val="003D5665"/>
    <w:rPr>
      <w:b/>
      <w:bCs/>
    </w:rPr>
  </w:style>
  <w:style w:type="character" w:styleId="Emphasis">
    <w:name w:val="Emphasis"/>
    <w:basedOn w:val="DefaultParagraphFont"/>
    <w:qFormat/>
    <w:rsid w:val="003D5665"/>
    <w:rPr>
      <w:i/>
      <w:iCs/>
    </w:rPr>
  </w:style>
  <w:style w:type="paragraph" w:styleId="ListParagraph">
    <w:name w:val="List Paragraph"/>
    <w:basedOn w:val="Normal"/>
    <w:uiPriority w:val="34"/>
    <w:qFormat/>
    <w:rsid w:val="003D5665"/>
    <w:pPr>
      <w:ind w:left="720"/>
      <w:contextualSpacing/>
    </w:pPr>
  </w:style>
  <w:style w:type="character" w:customStyle="1" w:styleId="FooterChar">
    <w:name w:val="Footer Char"/>
    <w:basedOn w:val="DefaultParagraphFont"/>
    <w:link w:val="Footer"/>
    <w:uiPriority w:val="99"/>
    <w:rsid w:val="001C4040"/>
    <w:rPr>
      <w:sz w:val="26"/>
      <w:lang w:eastAsia="en-US"/>
    </w:rPr>
  </w:style>
  <w:style w:type="paragraph" w:styleId="BalloonText">
    <w:name w:val="Balloon Text"/>
    <w:basedOn w:val="Normal"/>
    <w:link w:val="BalloonTextChar"/>
    <w:rsid w:val="00867091"/>
    <w:rPr>
      <w:rFonts w:ascii="Tahoma" w:hAnsi="Tahoma" w:cs="Tahoma"/>
      <w:sz w:val="16"/>
      <w:szCs w:val="16"/>
    </w:rPr>
  </w:style>
  <w:style w:type="character" w:customStyle="1" w:styleId="BalloonTextChar">
    <w:name w:val="Balloon Text Char"/>
    <w:basedOn w:val="DefaultParagraphFont"/>
    <w:link w:val="BalloonText"/>
    <w:rsid w:val="00867091"/>
    <w:rPr>
      <w:rFonts w:ascii="Tahoma" w:hAnsi="Tahoma" w:cs="Tahoma"/>
      <w:sz w:val="16"/>
      <w:szCs w:val="16"/>
      <w:lang w:eastAsia="en-US"/>
    </w:rPr>
  </w:style>
  <w:style w:type="paragraph" w:styleId="FootnoteText">
    <w:name w:val="footnote text"/>
    <w:basedOn w:val="Normal"/>
    <w:link w:val="FootnoteTextChar"/>
    <w:rsid w:val="00B1137A"/>
    <w:rPr>
      <w:sz w:val="20"/>
      <w:szCs w:val="20"/>
    </w:rPr>
  </w:style>
  <w:style w:type="character" w:customStyle="1" w:styleId="FootnoteTextChar">
    <w:name w:val="Footnote Text Char"/>
    <w:basedOn w:val="DefaultParagraphFont"/>
    <w:link w:val="FootnoteText"/>
    <w:rsid w:val="00B1137A"/>
    <w:rPr>
      <w:sz w:val="20"/>
      <w:szCs w:val="20"/>
      <w:lang w:eastAsia="en-US"/>
    </w:rPr>
  </w:style>
  <w:style w:type="character" w:styleId="FootnoteReference">
    <w:name w:val="footnote reference"/>
    <w:basedOn w:val="DefaultParagraphFont"/>
    <w:rsid w:val="00B1137A"/>
    <w:rPr>
      <w:vertAlign w:val="superscript"/>
    </w:rPr>
  </w:style>
  <w:style w:type="character" w:styleId="Hyperlink">
    <w:name w:val="Hyperlink"/>
    <w:basedOn w:val="DefaultParagraphFont"/>
    <w:rsid w:val="009D15BA"/>
    <w:rPr>
      <w:color w:val="0000FF" w:themeColor="hyperlink"/>
      <w:u w:val="single"/>
    </w:rPr>
  </w:style>
  <w:style w:type="character" w:customStyle="1" w:styleId="HeaderChar">
    <w:name w:val="Header Char"/>
    <w:basedOn w:val="DefaultParagraphFont"/>
    <w:link w:val="Header"/>
    <w:uiPriority w:val="99"/>
    <w:rsid w:val="001D08EC"/>
    <w:rPr>
      <w:sz w:val="26"/>
      <w:lang w:eastAsia="en-US"/>
    </w:rPr>
  </w:style>
  <w:style w:type="table" w:styleId="TableGrid">
    <w:name w:val="Table Grid"/>
    <w:basedOn w:val="TableNormal"/>
    <w:rsid w:val="00C05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665"/>
    <w:rPr>
      <w:sz w:val="26"/>
      <w:lang w:eastAsia="en-US"/>
    </w:rPr>
  </w:style>
  <w:style w:type="paragraph" w:styleId="Heading1">
    <w:name w:val="heading 1"/>
    <w:basedOn w:val="Normal"/>
    <w:next w:val="Normal"/>
    <w:link w:val="Heading1Char"/>
    <w:qFormat/>
    <w:rsid w:val="003D56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3D56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B26B54"/>
    <w:pPr>
      <w:tabs>
        <w:tab w:val="center" w:pos="4153"/>
        <w:tab w:val="right" w:pos="8306"/>
      </w:tabs>
    </w:pPr>
  </w:style>
  <w:style w:type="paragraph" w:styleId="Footer">
    <w:name w:val="footer"/>
    <w:basedOn w:val="Normal"/>
    <w:link w:val="FooterChar"/>
    <w:uiPriority w:val="99"/>
    <w:rsid w:val="00B26B54"/>
    <w:pPr>
      <w:tabs>
        <w:tab w:val="center" w:pos="4153"/>
        <w:tab w:val="right" w:pos="8306"/>
      </w:tabs>
    </w:pPr>
  </w:style>
  <w:style w:type="paragraph" w:styleId="Subtitle">
    <w:name w:val="Subtitle"/>
    <w:basedOn w:val="Normal"/>
    <w:next w:val="Normal"/>
    <w:link w:val="SubtitleChar"/>
    <w:qFormat/>
    <w:rsid w:val="003D5665"/>
    <w:pPr>
      <w:keepNext/>
      <w:keepLines/>
      <w:widowControl w:val="0"/>
      <w:suppressAutoHyphens/>
      <w:spacing w:before="600" w:after="600"/>
      <w:ind w:right="4820"/>
    </w:pPr>
    <w:rPr>
      <w:b/>
      <w:sz w:val="24"/>
    </w:rPr>
  </w:style>
  <w:style w:type="paragraph" w:styleId="BodyText">
    <w:name w:val="Body Text"/>
    <w:basedOn w:val="Normal"/>
    <w:rsid w:val="00B26B54"/>
    <w:pPr>
      <w:widowControl w:val="0"/>
      <w:spacing w:before="60" w:after="60"/>
    </w:pPr>
    <w:rPr>
      <w:sz w:val="20"/>
    </w:rPr>
  </w:style>
  <w:style w:type="character" w:customStyle="1" w:styleId="Heading1Char">
    <w:name w:val="Heading 1 Char"/>
    <w:basedOn w:val="DefaultParagraphFont"/>
    <w:link w:val="Heading1"/>
    <w:rsid w:val="003D5665"/>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3D5665"/>
    <w:rPr>
      <w:rFonts w:asciiTheme="majorHAnsi" w:eastAsiaTheme="majorEastAsia" w:hAnsiTheme="majorHAnsi" w:cstheme="majorBidi"/>
      <w:b/>
      <w:bCs/>
      <w:color w:val="4F81BD" w:themeColor="accent1"/>
      <w:sz w:val="26"/>
      <w:lang w:eastAsia="en-US"/>
    </w:rPr>
  </w:style>
  <w:style w:type="character" w:customStyle="1" w:styleId="SubtitleChar">
    <w:name w:val="Subtitle Char"/>
    <w:basedOn w:val="DefaultParagraphFont"/>
    <w:link w:val="Subtitle"/>
    <w:rsid w:val="003D5665"/>
    <w:rPr>
      <w:b/>
      <w:lang w:eastAsia="en-US"/>
    </w:rPr>
  </w:style>
  <w:style w:type="character" w:styleId="Strong">
    <w:name w:val="Strong"/>
    <w:basedOn w:val="DefaultParagraphFont"/>
    <w:qFormat/>
    <w:rsid w:val="003D5665"/>
    <w:rPr>
      <w:b/>
      <w:bCs/>
    </w:rPr>
  </w:style>
  <w:style w:type="character" w:styleId="Emphasis">
    <w:name w:val="Emphasis"/>
    <w:basedOn w:val="DefaultParagraphFont"/>
    <w:qFormat/>
    <w:rsid w:val="003D5665"/>
    <w:rPr>
      <w:i/>
      <w:iCs/>
    </w:rPr>
  </w:style>
  <w:style w:type="paragraph" w:styleId="ListParagraph">
    <w:name w:val="List Paragraph"/>
    <w:basedOn w:val="Normal"/>
    <w:uiPriority w:val="34"/>
    <w:qFormat/>
    <w:rsid w:val="003D5665"/>
    <w:pPr>
      <w:ind w:left="720"/>
      <w:contextualSpacing/>
    </w:pPr>
  </w:style>
  <w:style w:type="character" w:customStyle="1" w:styleId="FooterChar">
    <w:name w:val="Footer Char"/>
    <w:basedOn w:val="DefaultParagraphFont"/>
    <w:link w:val="Footer"/>
    <w:uiPriority w:val="99"/>
    <w:rsid w:val="001C4040"/>
    <w:rPr>
      <w:sz w:val="26"/>
      <w:lang w:eastAsia="en-US"/>
    </w:rPr>
  </w:style>
  <w:style w:type="paragraph" w:styleId="BalloonText">
    <w:name w:val="Balloon Text"/>
    <w:basedOn w:val="Normal"/>
    <w:link w:val="BalloonTextChar"/>
    <w:rsid w:val="00867091"/>
    <w:rPr>
      <w:rFonts w:ascii="Tahoma" w:hAnsi="Tahoma" w:cs="Tahoma"/>
      <w:sz w:val="16"/>
      <w:szCs w:val="16"/>
    </w:rPr>
  </w:style>
  <w:style w:type="character" w:customStyle="1" w:styleId="BalloonTextChar">
    <w:name w:val="Balloon Text Char"/>
    <w:basedOn w:val="DefaultParagraphFont"/>
    <w:link w:val="BalloonText"/>
    <w:rsid w:val="00867091"/>
    <w:rPr>
      <w:rFonts w:ascii="Tahoma" w:hAnsi="Tahoma" w:cs="Tahoma"/>
      <w:sz w:val="16"/>
      <w:szCs w:val="16"/>
      <w:lang w:eastAsia="en-US"/>
    </w:rPr>
  </w:style>
  <w:style w:type="paragraph" w:styleId="FootnoteText">
    <w:name w:val="footnote text"/>
    <w:basedOn w:val="Normal"/>
    <w:link w:val="FootnoteTextChar"/>
    <w:rsid w:val="00B1137A"/>
    <w:rPr>
      <w:sz w:val="20"/>
      <w:szCs w:val="20"/>
    </w:rPr>
  </w:style>
  <w:style w:type="character" w:customStyle="1" w:styleId="FootnoteTextChar">
    <w:name w:val="Footnote Text Char"/>
    <w:basedOn w:val="DefaultParagraphFont"/>
    <w:link w:val="FootnoteText"/>
    <w:rsid w:val="00B1137A"/>
    <w:rPr>
      <w:sz w:val="20"/>
      <w:szCs w:val="20"/>
      <w:lang w:eastAsia="en-US"/>
    </w:rPr>
  </w:style>
  <w:style w:type="character" w:styleId="FootnoteReference">
    <w:name w:val="footnote reference"/>
    <w:basedOn w:val="DefaultParagraphFont"/>
    <w:rsid w:val="00B1137A"/>
    <w:rPr>
      <w:vertAlign w:val="superscript"/>
    </w:rPr>
  </w:style>
  <w:style w:type="character" w:styleId="Hyperlink">
    <w:name w:val="Hyperlink"/>
    <w:basedOn w:val="DefaultParagraphFont"/>
    <w:rsid w:val="009D15BA"/>
    <w:rPr>
      <w:color w:val="0000FF" w:themeColor="hyperlink"/>
      <w:u w:val="single"/>
    </w:rPr>
  </w:style>
  <w:style w:type="character" w:customStyle="1" w:styleId="HeaderChar">
    <w:name w:val="Header Char"/>
    <w:basedOn w:val="DefaultParagraphFont"/>
    <w:link w:val="Header"/>
    <w:uiPriority w:val="99"/>
    <w:rsid w:val="001D08EC"/>
    <w:rPr>
      <w:sz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Uspeli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eurasiareview.com/12122011-eu-economic-governance-six-pack-enters-into-force/" TargetMode="External"/><Relationship Id="rId2" Type="http://schemas.openxmlformats.org/officeDocument/2006/relationships/hyperlink" Target="http://epp.eurostat.ec.europa.eu/portal/page/portal/short_term_business_statistics/documents/KS-BG-06-001-EN.pdf" TargetMode="External"/><Relationship Id="rId1" Type="http://schemas.openxmlformats.org/officeDocument/2006/relationships/hyperlink" Target="http://www.oecd.org/dataoecd/49/4/23724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3CAF-4873-482A-B7CC-A5258FBE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2893</Words>
  <Characters>20659</Characters>
  <Application>Microsoft Office Word</Application>
  <DocSecurity>0</DocSecurity>
  <Lines>459</Lines>
  <Paragraphs>178</Paragraphs>
  <ScaleCrop>false</ScaleCrop>
  <HeadingPairs>
    <vt:vector size="2" baseType="variant">
      <vt:variant>
        <vt:lpstr>Title</vt:lpstr>
      </vt:variant>
      <vt:variant>
        <vt:i4>1</vt:i4>
      </vt:variant>
    </vt:vector>
  </HeadingPairs>
  <TitlesOfParts>
    <vt:vector size="1" baseType="lpstr">
      <vt:lpstr>Informatīvais ziņojums par vadlīnijām būvniecības izmaksu indeksācijai</vt:lpstr>
    </vt:vector>
  </TitlesOfParts>
  <Company> Ekonomikas ministrija</Company>
  <LinksUpToDate>false</LinksUpToDate>
  <CharactersWithSpaces>23374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vadlīnijām būvniecības izmaksu indeksācijai</dc:title>
  <dc:subject>Informatīvais ziņojums</dc:subject>
  <dc:creator>Gunta Piņķe</dc:creator>
  <cp:keywords/>
  <dc:description/>
  <cp:lastModifiedBy>Jānis Ušpelis</cp:lastModifiedBy>
  <cp:revision>19</cp:revision>
  <cp:lastPrinted>2012-02-03T09:02:00Z</cp:lastPrinted>
  <dcterms:created xsi:type="dcterms:W3CDTF">2012-02-01T14:31:00Z</dcterms:created>
  <dcterms:modified xsi:type="dcterms:W3CDTF">2012-02-03T09:36:00Z</dcterms:modified>
</cp:coreProperties>
</file>