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charts/chart149.xml" ContentType="application/vnd.openxmlformats-officedocument.drawingml.chart+xml"/>
  <Override PartName="/word/theme/themeOverride40.xml" ContentType="application/vnd.openxmlformats-officedocument.themeOverride+xml"/>
  <Override PartName="/word/charts/chart59.xml" ContentType="application/vnd.openxmlformats-officedocument.drawingml.chart+xml"/>
  <Override PartName="/word/charts/chart138.xml" ContentType="application/vnd.openxmlformats-officedocument.drawingml.chart+xml"/>
  <Override PartName="/word/theme/themeOverride117.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theme/themeOverride106.xml" ContentType="application/vnd.openxmlformats-officedocument.themeOverride+xml"/>
  <Override PartName="/word/charts/chart12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theme/themeOverride89.xml" ContentType="application/vnd.openxmlformats-officedocument.themeOverride+xml"/>
  <Override PartName="/word/charts/chart105.xml" ContentType="application/vnd.openxmlformats-officedocument.drawingml.chart+xml"/>
  <Override PartName="/word/charts/chart116.xml" ContentType="application/vnd.openxmlformats-officedocument.drawingml.chart+xml"/>
  <Override PartName="/word/drawings/drawing2.xml" ContentType="application/vnd.openxmlformats-officedocument.drawingml.chartshapes+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141.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theme/themeOverride67.xml" ContentType="application/vnd.openxmlformats-officedocument.themeOverride+xml"/>
  <Override PartName="/word/charts/chart130.xml" ContentType="application/vnd.openxmlformats-officedocument.drawingml.chart+xml"/>
  <Override PartName="/word/theme/themeOverride120.xml" ContentType="application/vnd.openxmlformats-officedocument.themeOverride+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drawings/drawing7.xml" ContentType="application/vnd.openxmlformats-officedocument.drawingml.chartshapes+xml"/>
  <Override PartName="/word/charts/chart157.xml" ContentType="application/vnd.openxmlformats-officedocument.drawingml.chart+xml"/>
  <Override PartName="/word/charts/chart6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92.xml" ContentType="application/vnd.openxmlformats-officedocument.drawingml.chart+xml"/>
  <Override PartName="/word/charts/chart124.xml" ContentType="application/vnd.openxmlformats-officedocument.drawingml.chart+xml"/>
  <Override PartName="/word/theme/themeOverride114.xml" ContentType="application/vnd.openxmlformats-officedocument.themeOverride+xml"/>
  <Override PartName="/word/charts/chart34.xml" ContentType="application/vnd.openxmlformats-officedocument.drawingml.chart+xml"/>
  <Override PartName="/word/charts/chart81.xml" ContentType="application/vnd.openxmlformats-officedocument.drawingml.chart+xml"/>
  <Override PartName="/word/theme/themeOverride97.xml" ContentType="application/vnd.openxmlformats-officedocument.themeOverride+xml"/>
  <Override PartName="/word/charts/chart113.xml" ContentType="application/vnd.openxmlformats-officedocument.drawingml.chart+xml"/>
  <Override PartName="/word/theme/themeOverride103.xml" ContentType="application/vnd.openxmlformats-officedocument.themeOverride+xml"/>
  <Override PartName="/word/charts/chart160.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charts/chart102.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footnotes.xml" ContentType="application/vnd.openxmlformats-officedocument.wordprocessingml.footnotes+xml"/>
  <Override PartName="/word/theme/themeOverride5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97.xml" ContentType="application/vnd.openxmlformats-officedocument.drawingml.chart+xml"/>
  <Override PartName="/word/theme/themeOverride108.xml" ContentType="application/vnd.openxmlformats-officedocument.themeOverride+xml"/>
  <Override PartName="/word/charts/chart129.xml" ContentType="application/vnd.openxmlformats-officedocument.drawingml.chart+xml"/>
  <Override PartName="/word/theme/themeOverride119.xml" ContentType="application/vnd.openxmlformats-officedocument.themeOverride+xml"/>
  <Override PartName="/word/charts/chart28.xml" ContentType="application/vnd.openxmlformats-officedocument.drawingml.chart+xml"/>
  <Override PartName="/word/charts/chart39.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drawings/drawing4.xml" ContentType="application/vnd.openxmlformats-officedocument.drawingml.chartshapes+xml"/>
  <Override PartName="/word/charts/chart154.xml" ContentType="application/vnd.openxmlformats-officedocument.drawingml.chart+xml"/>
  <Override PartName="/word/charts/chart165.xml" ContentType="application/vnd.openxmlformats-officedocument.drawingml.chart+xml"/>
  <Override PartName="/word/charts/chart17.xml" ContentType="application/vnd.openxmlformats-officedocument.drawingml.chart+xml"/>
  <Override PartName="/word/charts/chart64.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theme/themeOverride69.xml" ContentType="application/vnd.openxmlformats-officedocument.themeOverride+xml"/>
  <Override PartName="/word/charts/chart82.xml" ContentType="application/vnd.openxmlformats-officedocument.drawingml.chart+xml"/>
  <Override PartName="/word/theme/themeOverride8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theme/themeOverride111.xml" ContentType="application/vnd.openxmlformats-officedocument.themeOverride+xml"/>
  <Override PartName="/word/charts/chart132.xml" ContentType="application/vnd.openxmlformats-officedocument.drawingml.chart+xml"/>
  <Override PartName="/word/charts/chart150.xml" ContentType="application/vnd.openxmlformats-officedocument.drawingml.chart+xml"/>
  <Override PartName="/word/theme/themeOverride12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theme/themeOverride76.xml" ContentType="application/vnd.openxmlformats-officedocument.themeOverride+xml"/>
  <Override PartName="/word/theme/themeOverride100.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Override PartName="/word/charts/chart159.xml" ContentType="application/vnd.openxmlformats-officedocument.drawingml.chart+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theme/themeOverride109.xml" ContentType="application/vnd.openxmlformats-officedocument.themeOverride+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drawings/drawing5.xml" ContentType="application/vnd.openxmlformats-officedocument.drawingml.chartshapes+xml"/>
  <Override PartName="/word/theme/themeOverride116.xml" ContentType="application/vnd.openxmlformats-officedocument.themeOverride+xml"/>
  <Override PartName="/word/charts/chart155.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theme/themeOverride99.xml" ContentType="application/vnd.openxmlformats-officedocument.themeOverride+xml"/>
  <Override PartName="/word/charts/chart115.xml" ContentType="application/vnd.openxmlformats-officedocument.drawingml.chart+xml"/>
  <Override PartName="/word/theme/themeOverride105.xml" ContentType="application/vnd.openxmlformats-officedocument.themeOverride+xml"/>
  <Override PartName="/word/charts/chart133.xml" ContentType="application/vnd.openxmlformats-officedocument.drawingml.chart+xml"/>
  <Override PartName="/word/drawings/drawing1.xml" ContentType="application/vnd.openxmlformats-officedocument.drawingml.chartshapes+xml"/>
  <Override PartName="/word/charts/chart144.xml" ContentType="application/vnd.openxmlformats-officedocument.drawingml.chart+xml"/>
  <Override PartName="/word/charts/chart162.xml" ContentType="application/vnd.openxmlformats-officedocument.drawingml.chart+xml"/>
  <Override PartName="/word/theme/themeOverride123.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charts/chart90.xml" ContentType="application/vnd.openxmlformats-officedocument.drawingml.chart+xml"/>
  <Override PartName="/word/theme/themeOverride88.xml" ContentType="application/vnd.openxmlformats-officedocument.themeOverride+xml"/>
  <Override PartName="/word/charts/chart104.xml" ContentType="application/vnd.openxmlformats-officedocument.drawingml.chart+xml"/>
  <Override PartName="/word/charts/chart122.xml" ContentType="application/vnd.openxmlformats-officedocument.drawingml.chart+xml"/>
  <Override PartName="/word/theme/themeOverride112.xml" ContentType="application/vnd.openxmlformats-officedocument.themeOverride+xml"/>
  <Override PartName="/word/charts/chart151.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theme/themeOverride95.xml" ContentType="application/vnd.openxmlformats-officedocument.themeOverride+xml"/>
  <Override PartName="/word/theme/themeOverride101.xml" ContentType="application/vnd.openxmlformats-officedocument.themeOverride+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drawings/drawing6.xml" ContentType="application/vnd.openxmlformats-officedocument.drawingml.chartshapes+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theme/themeOverride113.xml" ContentType="application/vnd.openxmlformats-officedocument.themeOverride+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theme/themeOverride102.xml" ContentType="application/vnd.openxmlformats-officedocument.themeOverride+xml"/>
  <Override PartName="/word/charts/chart123.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01.xml" ContentType="application/vnd.openxmlformats-officedocument.drawingml.chart+xml"/>
  <Override PartName="/word/theme/themeOverride96.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theme/themeOverride118.xml" ContentType="application/vnd.openxmlformats-officedocument.themeOverride+xml"/>
  <Override PartName="/word/charts/chart38.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theme/themeOverride107.xml" ContentType="application/vnd.openxmlformats-officedocument.themeOverride+xml"/>
  <Override PartName="/word/drawings/drawing3.xml" ContentType="application/vnd.openxmlformats-officedocument.drawingml.chartshapes+xml"/>
  <Override PartName="/word/charts/chart164.xml" ContentType="application/vnd.openxmlformats-officedocument.drawingml.chart+xml"/>
  <Override PartName="/word/charts/chart27.xml" ContentType="application/vnd.openxmlformats-officedocument.drawingml.chart+xml"/>
  <Override PartName="/word/charts/chart74.xml" ContentType="application/vnd.openxmlformats-officedocument.drawingml.chart+xml"/>
  <Override PartName="/word/charts/chart106.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131.xml" ContentType="application/vnd.openxmlformats-officedocument.drawingml.chart+xml"/>
  <Override PartName="/word/charts/chart142.xml" ContentType="application/vnd.openxmlformats-officedocument.drawingml.chart+xml"/>
  <Override PartName="/word/theme/themeOverride121.xml" ContentType="application/vnd.openxmlformats-officedocument.themeOverride+xml"/>
  <Override PartName="/word/charts/chart2.xml" ContentType="application/vnd.openxmlformats-officedocument.drawingml.chart+xml"/>
  <Override PartName="/word/charts/chart41.xml" ContentType="application/vnd.openxmlformats-officedocument.drawingml.chart+xml"/>
  <Override PartName="/word/theme/themeOverride57.xml" ContentType="application/vnd.openxmlformats-officedocument.themeOverride+xml"/>
  <Override PartName="/word/charts/chart120.xml" ContentType="application/vnd.openxmlformats-officedocument.drawingml.chart+xml"/>
  <Override PartName="/word/theme/themeOverride110.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30.xml" ContentType="application/vnd.openxmlformats-officedocument.drawingml.chart+xml"/>
  <Override PartName="/word/theme/themeOverride46.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Override PartName="/word/theme/themeOverride24.xml" ContentType="application/vnd.openxmlformats-officedocument.themeOverride+xml"/>
  <Override PartName="/word/theme/themeOverride35.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charts/chart158.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57.xml" ContentType="application/vnd.openxmlformats-officedocument.drawingml.chart+xml"/>
  <Override PartName="/word/charts/chart136.xml" ContentType="application/vnd.openxmlformats-officedocument.drawingml.chart+xml"/>
  <Override PartName="/word/theme/themeOverride115.xml" ContentType="application/vnd.openxmlformats-officedocument.themeOverride+xml"/>
  <Override PartName="/word/charts/chart7.xml" ContentType="application/vnd.openxmlformats-officedocument.drawingml.chart+xml"/>
  <Override PartName="/word/charts/chart46.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theme/themeOverride104.xml" ContentType="application/vnd.openxmlformats-officedocument.themeOverride+xml"/>
  <Override PartName="/word/charts/chart125.xml" ContentType="application/vnd.openxmlformats-officedocument.drawingml.chart+xml"/>
  <Override PartName="/word/charts/chart161.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0"/>
          <w:szCs w:val="40"/>
        </w:rPr>
      </w:pPr>
    </w:p>
    <w:p w:rsidR="00BE41C7" w:rsidRPr="009F6E8E" w:rsidRDefault="00BE41C7" w:rsidP="00BE41C7">
      <w:pPr>
        <w:jc w:val="center"/>
        <w:rPr>
          <w:sz w:val="44"/>
          <w:szCs w:val="40"/>
        </w:rPr>
      </w:pPr>
      <w:r w:rsidRPr="009F6E8E">
        <w:rPr>
          <w:b/>
          <w:sz w:val="44"/>
          <w:szCs w:val="40"/>
        </w:rPr>
        <w:t>Informatīvais ziņojums</w:t>
      </w:r>
    </w:p>
    <w:p w:rsidR="00BE41C7" w:rsidRPr="009F6E8E" w:rsidRDefault="00BE41C7" w:rsidP="00BE41C7">
      <w:pPr>
        <w:jc w:val="center"/>
        <w:rPr>
          <w:b/>
          <w:sz w:val="44"/>
          <w:szCs w:val="40"/>
        </w:rPr>
      </w:pPr>
      <w:r w:rsidRPr="009F6E8E">
        <w:rPr>
          <w:b/>
          <w:sz w:val="44"/>
          <w:szCs w:val="40"/>
        </w:rPr>
        <w:t>Par makroekonomisko situāciju valstī</w:t>
      </w: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p>
    <w:p w:rsidR="00BE41C7" w:rsidRPr="009F6E8E" w:rsidRDefault="00BE41C7" w:rsidP="00BE41C7">
      <w:pPr>
        <w:jc w:val="center"/>
        <w:rPr>
          <w:sz w:val="28"/>
        </w:rPr>
      </w:pPr>
      <w:r w:rsidRPr="009F6E8E">
        <w:rPr>
          <w:sz w:val="28"/>
        </w:rPr>
        <w:t>RĪGA</w:t>
      </w:r>
    </w:p>
    <w:p w:rsidR="00BE41C7" w:rsidRPr="009F6E8E" w:rsidRDefault="004A062D" w:rsidP="00BE41C7">
      <w:pPr>
        <w:jc w:val="center"/>
        <w:rPr>
          <w:sz w:val="28"/>
        </w:rPr>
      </w:pPr>
      <w:r>
        <w:rPr>
          <w:sz w:val="28"/>
        </w:rPr>
        <w:t>201</w:t>
      </w:r>
      <w:r w:rsidR="009A7B5F">
        <w:rPr>
          <w:sz w:val="28"/>
        </w:rPr>
        <w:t>1</w:t>
      </w:r>
      <w:r w:rsidR="00BE41C7" w:rsidRPr="009F6E8E">
        <w:rPr>
          <w:sz w:val="28"/>
        </w:rPr>
        <w:t xml:space="preserve">.gada </w:t>
      </w:r>
      <w:r w:rsidR="003A0C50">
        <w:rPr>
          <w:sz w:val="28"/>
        </w:rPr>
        <w:t>oktobris</w:t>
      </w:r>
      <w:r w:rsidR="00BE41C7" w:rsidRPr="009F6E8E">
        <w:rPr>
          <w:sz w:val="28"/>
        </w:rPr>
        <w:br w:type="page"/>
      </w:r>
    </w:p>
    <w:p w:rsidR="00BE41C7" w:rsidRPr="009F6E8E" w:rsidRDefault="00BE41C7" w:rsidP="00BE41C7">
      <w:pPr>
        <w:jc w:val="center"/>
        <w:rPr>
          <w:bCs/>
          <w:sz w:val="28"/>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Ievads</w:t>
      </w:r>
    </w:p>
    <w:p w:rsidR="00BE41C7" w:rsidRPr="009F6E8E" w:rsidRDefault="00BE41C7" w:rsidP="00BE41C7">
      <w:pPr>
        <w:ind w:firstLine="567"/>
        <w:jc w:val="both"/>
        <w:rPr>
          <w:color w:val="000000" w:themeColor="text1"/>
          <w:sz w:val="28"/>
        </w:rPr>
      </w:pPr>
    </w:p>
    <w:p w:rsidR="00BE41C7" w:rsidRPr="009F6E8E" w:rsidRDefault="00BE41C7" w:rsidP="00BE41C7">
      <w:pPr>
        <w:ind w:firstLine="567"/>
        <w:jc w:val="both"/>
        <w:rPr>
          <w:color w:val="000000" w:themeColor="text1"/>
          <w:sz w:val="28"/>
        </w:rPr>
      </w:pPr>
    </w:p>
    <w:p w:rsidR="007E172B" w:rsidRPr="005F734C" w:rsidRDefault="007E172B" w:rsidP="007E172B">
      <w:pPr>
        <w:ind w:firstLine="567"/>
        <w:jc w:val="both"/>
        <w:rPr>
          <w:rFonts w:eastAsia="Times New Roman"/>
          <w:sz w:val="28"/>
          <w:lang w:eastAsia="lv-LV"/>
        </w:rPr>
      </w:pPr>
      <w:r w:rsidRPr="005F734C">
        <w:rPr>
          <w:sz w:val="28"/>
        </w:rPr>
        <w:t>Ekonomikas ministrija sadarbībā ar Fin</w:t>
      </w:r>
      <w:r w:rsidR="005D7325">
        <w:rPr>
          <w:sz w:val="28"/>
        </w:rPr>
        <w:t>anšu ministriju ir sagatavojusi četr</w:t>
      </w:r>
      <w:r w:rsidR="00106CEB">
        <w:rPr>
          <w:sz w:val="28"/>
        </w:rPr>
        <w:t>pad</w:t>
      </w:r>
      <w:r w:rsidR="00F53018" w:rsidRPr="005F734C">
        <w:rPr>
          <w:sz w:val="28"/>
        </w:rPr>
        <w:t>smito</w:t>
      </w:r>
      <w:r w:rsidRPr="005F734C">
        <w:rPr>
          <w:sz w:val="28"/>
        </w:rPr>
        <w:t xml:space="preserve"> informatīvo ziņojumu par makroekonomisko situāciju valstī</w:t>
      </w:r>
      <w:r w:rsidRPr="005F734C">
        <w:rPr>
          <w:rFonts w:eastAsia="Times New Roman"/>
          <w:sz w:val="28"/>
          <w:lang w:eastAsia="lv-LV"/>
        </w:rPr>
        <w:t>.</w:t>
      </w:r>
    </w:p>
    <w:p w:rsidR="007E172B" w:rsidRPr="005F734C" w:rsidRDefault="007E172B" w:rsidP="007E172B">
      <w:pPr>
        <w:ind w:firstLine="567"/>
        <w:jc w:val="both"/>
        <w:rPr>
          <w:sz w:val="28"/>
        </w:rPr>
      </w:pPr>
      <w:r w:rsidRPr="005F734C">
        <w:rPr>
          <w:rFonts w:eastAsia="Times New Roman"/>
          <w:sz w:val="28"/>
          <w:lang w:eastAsia="lv-LV"/>
        </w:rPr>
        <w:t xml:space="preserve">Ziņojums sagatavots, pamatojoties uz </w:t>
      </w:r>
      <w:r w:rsidRPr="005F734C">
        <w:rPr>
          <w:sz w:val="28"/>
        </w:rPr>
        <w:t>Ministru kabineta 2008.gada 15.aprīļa sēdes protokola 43</w:t>
      </w:r>
      <w:r w:rsidR="00DF3A37" w:rsidRPr="005F734C">
        <w:rPr>
          <w:sz w:val="28"/>
        </w:rPr>
        <w:t>.</w:t>
      </w:r>
      <w:r w:rsidRPr="005F734C">
        <w:rPr>
          <w:sz w:val="28"/>
        </w:rPr>
        <w:t xml:space="preserve">§ 6.punktu, kas uzdod Ekonomikas ministrijai sadarbībā ar Finanšu ministriju līdz 2008.gada 15.jūnijam un turpmāk reizi divos mēnešos iesniegt kārtējo ziņojumu Ministru kabinetā par makroekonomisko situāciju valstī. Ziņojuma iesniegšanas termiņi ir precizēti Ministru prezidenta Valda </w:t>
      </w:r>
      <w:proofErr w:type="spellStart"/>
      <w:r w:rsidRPr="005F734C">
        <w:rPr>
          <w:sz w:val="28"/>
        </w:rPr>
        <w:t>Dombrovska</w:t>
      </w:r>
      <w:proofErr w:type="spellEnd"/>
      <w:r w:rsidRPr="005F734C">
        <w:rPr>
          <w:sz w:val="28"/>
        </w:rPr>
        <w:t xml:space="preserve"> 2009.gada 16.oktobra rezolūcijā Nr. 12/SAN-1005/21380, kas uzdod sagatavot</w:t>
      </w:r>
      <w:r w:rsidR="001B6E11" w:rsidRPr="005F734C">
        <w:rPr>
          <w:sz w:val="28"/>
        </w:rPr>
        <w:t xml:space="preserve"> kārtējo</w:t>
      </w:r>
      <w:r w:rsidRPr="005F734C">
        <w:rPr>
          <w:sz w:val="28"/>
        </w:rPr>
        <w:t xml:space="preserve"> informatīvo ziņojumu līdz 2009.gada 29.decembrim un </w:t>
      </w:r>
      <w:r w:rsidR="001B6E11" w:rsidRPr="005F734C">
        <w:rPr>
          <w:sz w:val="28"/>
        </w:rPr>
        <w:t>nākamos</w:t>
      </w:r>
      <w:r w:rsidRPr="005F734C">
        <w:rPr>
          <w:sz w:val="28"/>
        </w:rPr>
        <w:t xml:space="preserve"> reizi trīs mēnešos.</w:t>
      </w:r>
    </w:p>
    <w:p w:rsidR="007E172B" w:rsidRDefault="007E172B" w:rsidP="007E172B">
      <w:pPr>
        <w:ind w:firstLine="567"/>
        <w:jc w:val="both"/>
        <w:rPr>
          <w:sz w:val="28"/>
        </w:rPr>
      </w:pPr>
      <w:r w:rsidRPr="005F734C">
        <w:rPr>
          <w:sz w:val="28"/>
        </w:rPr>
        <w:t>Saskaņā ar 2008.gada 12.decembra sēdes protokola Nr.94 88</w:t>
      </w:r>
      <w:r w:rsidR="00DF3A37" w:rsidRPr="005F734C">
        <w:rPr>
          <w:sz w:val="28"/>
        </w:rPr>
        <w:t>.</w:t>
      </w:r>
      <w:r w:rsidRPr="005F734C">
        <w:rPr>
          <w:sz w:val="28"/>
        </w:rPr>
        <w:t>§ 2.punktu,</w:t>
      </w:r>
      <w:r w:rsidR="004F0186" w:rsidRPr="005F734C">
        <w:rPr>
          <w:sz w:val="28"/>
        </w:rPr>
        <w:t xml:space="preserve"> </w:t>
      </w:r>
      <w:r w:rsidRPr="005F734C">
        <w:rPr>
          <w:sz w:val="28"/>
        </w:rPr>
        <w:t>Ekonomikas ministrija, sagatavojot kārtējo ziņojumu, ir iekļāvusi arī nozares ražotāju un pakalpojumu sniedzēju asociāciju prognozes</w:t>
      </w:r>
      <w:r w:rsidR="00AE74E9">
        <w:rPr>
          <w:sz w:val="28"/>
        </w:rPr>
        <w:t>. A</w:t>
      </w:r>
      <w:r w:rsidRPr="005F734C">
        <w:rPr>
          <w:sz w:val="28"/>
        </w:rPr>
        <w:t>tbilstoši 2009.gada 31.marta sēdes protokola Nr.22 29</w:t>
      </w:r>
      <w:r w:rsidR="00DF3A37" w:rsidRPr="005F734C">
        <w:rPr>
          <w:sz w:val="28"/>
        </w:rPr>
        <w:t>.</w:t>
      </w:r>
      <w:r w:rsidRPr="005F734C">
        <w:rPr>
          <w:sz w:val="28"/>
        </w:rPr>
        <w:t>§ 2.punktam</w:t>
      </w:r>
      <w:r w:rsidR="00C7190A" w:rsidRPr="005F734C">
        <w:rPr>
          <w:sz w:val="28"/>
        </w:rPr>
        <w:t>,</w:t>
      </w:r>
      <w:r w:rsidRPr="005F734C">
        <w:rPr>
          <w:sz w:val="28"/>
        </w:rPr>
        <w:t xml:space="preserve"> Ekonomikas ministrija sadarbībā ar iesaistītajām institūcijām ir papildinājusi ziņojumu ar ekonomikas attīstības prognozēm 2011.gadam.</w:t>
      </w:r>
    </w:p>
    <w:p w:rsidR="00BE78AF" w:rsidRPr="005F734C" w:rsidRDefault="00BE78AF" w:rsidP="00BE78AF">
      <w:pPr>
        <w:ind w:firstLine="567"/>
        <w:jc w:val="both"/>
        <w:rPr>
          <w:sz w:val="28"/>
        </w:rPr>
      </w:pPr>
      <w:r>
        <w:rPr>
          <w:sz w:val="28"/>
        </w:rPr>
        <w:t xml:space="preserve">Sagatavojot informatīvo ziņojumu, Ekonomikas ministrija ir iekļāvusi operatīvo informāciju par 2.ceturkšņa radītājiem, kas atbilst 2011.gada 26.aprīļa Ministru kabineta sēdēs protokola Nr.27, </w:t>
      </w:r>
      <w:r w:rsidRPr="00FD497B">
        <w:rPr>
          <w:sz w:val="28"/>
        </w:rPr>
        <w:t>28.§ 3.punkt</w:t>
      </w:r>
      <w:r>
        <w:rPr>
          <w:sz w:val="28"/>
        </w:rPr>
        <w:t>ā uzdotajam.</w:t>
      </w:r>
    </w:p>
    <w:p w:rsidR="007E172B" w:rsidRPr="005F734C" w:rsidRDefault="00C6408C" w:rsidP="007E172B">
      <w:pPr>
        <w:ind w:firstLine="567"/>
        <w:jc w:val="both"/>
        <w:rPr>
          <w:sz w:val="28"/>
          <w:szCs w:val="32"/>
        </w:rPr>
      </w:pPr>
      <w:r w:rsidRPr="005F734C">
        <w:rPr>
          <w:sz w:val="28"/>
        </w:rPr>
        <w:t xml:space="preserve">Ziņojums ietver kopsavilkumu un </w:t>
      </w:r>
      <w:r w:rsidR="001B6E11" w:rsidRPr="005F734C">
        <w:rPr>
          <w:sz w:val="28"/>
        </w:rPr>
        <w:t>8</w:t>
      </w:r>
      <w:r w:rsidR="007E172B" w:rsidRPr="005F734C">
        <w:rPr>
          <w:sz w:val="28"/>
        </w:rPr>
        <w:t xml:space="preserve"> nodaļas –</w:t>
      </w:r>
      <w:r w:rsidR="001B6E11" w:rsidRPr="005F734C">
        <w:rPr>
          <w:sz w:val="28"/>
        </w:rPr>
        <w:t xml:space="preserve"> ārējā ekonomiskā vide, </w:t>
      </w:r>
      <w:r w:rsidR="007E172B" w:rsidRPr="005F734C">
        <w:rPr>
          <w:sz w:val="28"/>
        </w:rPr>
        <w:t xml:space="preserve">tekošās situācijas raksturojums reālajā, ārējā un finanšu sektorā, tendences darba tirgū, </w:t>
      </w:r>
      <w:r w:rsidRPr="005F734C">
        <w:rPr>
          <w:sz w:val="28"/>
        </w:rPr>
        <w:t>cenu izmaiņas</w:t>
      </w:r>
      <w:r w:rsidR="007E172B" w:rsidRPr="005F734C">
        <w:rPr>
          <w:sz w:val="28"/>
        </w:rPr>
        <w:t>, kā arī ekonomiskās attīstības prognozes.</w:t>
      </w:r>
    </w:p>
    <w:p w:rsidR="007E172B" w:rsidRPr="00850001" w:rsidRDefault="007E172B" w:rsidP="007E172B">
      <w:pPr>
        <w:ind w:firstLine="567"/>
        <w:jc w:val="both"/>
        <w:rPr>
          <w:sz w:val="28"/>
        </w:rPr>
      </w:pPr>
      <w:r w:rsidRPr="005F734C">
        <w:rPr>
          <w:sz w:val="28"/>
        </w:rPr>
        <w:t xml:space="preserve">Visa skaitliskā informācija un dati, izņemot īpaši norādītajos gadījumos, ir ņemti no Latvijas Republikas Centrālās statistikas pārvaldes vai Eurostat datu bāzes. Latvijas Bankas un Finanšu un kapitāla tirgus komisijas dati ir izmantoti maksājumu bilances un monetāro rādītāju </w:t>
      </w:r>
      <w:r w:rsidR="008839B1" w:rsidRPr="005F734C">
        <w:rPr>
          <w:sz w:val="28"/>
        </w:rPr>
        <w:t>aprakstā</w:t>
      </w:r>
      <w:r w:rsidRPr="005F734C">
        <w:rPr>
          <w:sz w:val="28"/>
        </w:rPr>
        <w:t>.</w:t>
      </w:r>
      <w:r w:rsidR="00F52009" w:rsidRPr="005F734C">
        <w:rPr>
          <w:sz w:val="28"/>
        </w:rPr>
        <w:t xml:space="preserve"> Finanšu ministrijas un Valsts kases dati izmantoti </w:t>
      </w:r>
      <w:r w:rsidR="008839B1" w:rsidRPr="005F734C">
        <w:rPr>
          <w:sz w:val="28"/>
        </w:rPr>
        <w:t>valdības finanšu raksturojumā.</w:t>
      </w:r>
    </w:p>
    <w:p w:rsidR="00BE41C7" w:rsidRPr="009F6E8E" w:rsidRDefault="00BE41C7" w:rsidP="00BE41C7">
      <w:pPr>
        <w:rPr>
          <w:b/>
          <w:bCs/>
          <w:sz w:val="36"/>
          <w:szCs w:val="36"/>
        </w:rPr>
      </w:pPr>
      <w:r w:rsidRPr="009F6E8E">
        <w:rPr>
          <w:b/>
          <w:bCs/>
          <w:sz w:val="36"/>
          <w:szCs w:val="36"/>
        </w:rPr>
        <w:br w:type="page"/>
      </w: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p>
    <w:p w:rsidR="00BE41C7" w:rsidRPr="009F6E8E" w:rsidRDefault="00BE41C7" w:rsidP="00BE41C7">
      <w:pPr>
        <w:jc w:val="center"/>
        <w:rPr>
          <w:b/>
          <w:bCs/>
          <w:sz w:val="36"/>
          <w:szCs w:val="36"/>
        </w:rPr>
      </w:pPr>
      <w:r w:rsidRPr="009F6E8E">
        <w:rPr>
          <w:b/>
          <w:bCs/>
          <w:sz w:val="36"/>
          <w:szCs w:val="36"/>
        </w:rPr>
        <w:t>Saturs</w:t>
      </w:r>
    </w:p>
    <w:p w:rsidR="00BE41C7" w:rsidRPr="009F6E8E" w:rsidRDefault="00BE41C7" w:rsidP="00BE41C7">
      <w:pPr>
        <w:jc w:val="center"/>
        <w:rPr>
          <w:sz w:val="8"/>
          <w:szCs w:val="32"/>
        </w:rPr>
      </w:pPr>
    </w:p>
    <w:p w:rsidR="00BE41C7" w:rsidRPr="009F6E8E" w:rsidRDefault="00BE41C7" w:rsidP="00BE41C7">
      <w:pPr>
        <w:jc w:val="center"/>
        <w:rPr>
          <w:sz w:val="28"/>
          <w:szCs w:val="32"/>
        </w:rPr>
      </w:pPr>
    </w:p>
    <w:p w:rsidR="00BE41C7" w:rsidRPr="009F6E8E" w:rsidRDefault="00BE41C7" w:rsidP="00BE41C7">
      <w:pPr>
        <w:jc w:val="center"/>
        <w:rPr>
          <w:sz w:val="28"/>
          <w:szCs w:val="32"/>
        </w:rPr>
      </w:pPr>
    </w:p>
    <w:p w:rsidR="00E701AA" w:rsidRPr="00E701AA" w:rsidRDefault="0005180F">
      <w:pPr>
        <w:pStyle w:val="TOC1"/>
        <w:rPr>
          <w:rFonts w:asciiTheme="minorHAnsi" w:eastAsiaTheme="minorEastAsia" w:hAnsiTheme="minorHAnsi" w:cstheme="minorBidi"/>
          <w:b w:val="0"/>
          <w:sz w:val="28"/>
          <w:szCs w:val="22"/>
          <w:lang w:eastAsia="lv-LV"/>
        </w:rPr>
      </w:pPr>
      <w:r w:rsidRPr="0005180F">
        <w:rPr>
          <w:rFonts w:eastAsiaTheme="minorEastAsia" w:cstheme="minorBidi"/>
          <w:b w:val="0"/>
          <w:noProof w:val="0"/>
          <w:sz w:val="36"/>
        </w:rPr>
        <w:fldChar w:fldCharType="begin"/>
      </w:r>
      <w:r w:rsidR="00BE41C7" w:rsidRPr="00E701AA">
        <w:rPr>
          <w:rFonts w:eastAsiaTheme="minorEastAsia" w:cstheme="minorBidi"/>
          <w:b w:val="0"/>
          <w:noProof w:val="0"/>
          <w:sz w:val="36"/>
        </w:rPr>
        <w:instrText xml:space="preserve"> TOC \o "1-1" \h \z \u </w:instrText>
      </w:r>
      <w:r w:rsidRPr="0005180F">
        <w:rPr>
          <w:rFonts w:eastAsiaTheme="minorEastAsia" w:cstheme="minorBidi"/>
          <w:b w:val="0"/>
          <w:noProof w:val="0"/>
          <w:sz w:val="36"/>
        </w:rPr>
        <w:fldChar w:fldCharType="separate"/>
      </w:r>
      <w:hyperlink w:anchor="_Toc305069148" w:history="1">
        <w:r w:rsidR="00E701AA" w:rsidRPr="00E701AA">
          <w:rPr>
            <w:rStyle w:val="Hyperlink"/>
            <w:b w:val="0"/>
            <w:sz w:val="28"/>
          </w:rPr>
          <w:t>Attēlu un tabulu saraksts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_Toc305069148 \h </w:instrText>
        </w:r>
        <w:r w:rsidRPr="00E701AA">
          <w:rPr>
            <w:b w:val="0"/>
            <w:webHidden/>
            <w:sz w:val="28"/>
          </w:rPr>
        </w:r>
        <w:r w:rsidRPr="00E701AA">
          <w:rPr>
            <w:b w:val="0"/>
            <w:webHidden/>
            <w:sz w:val="28"/>
          </w:rPr>
          <w:fldChar w:fldCharType="separate"/>
        </w:r>
        <w:r w:rsidR="002F07A8">
          <w:rPr>
            <w:b w:val="0"/>
            <w:webHidden/>
            <w:sz w:val="28"/>
          </w:rPr>
          <w:t>5</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49" w:history="1">
        <w:r w:rsidR="00E701AA" w:rsidRPr="00E701AA">
          <w:rPr>
            <w:rStyle w:val="Hyperlink"/>
            <w:b w:val="0"/>
            <w:sz w:val="28"/>
          </w:rPr>
          <w:t>Ekonomiskais stāvoklis: īss kopsavilkums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_Toc305069149 \h </w:instrText>
        </w:r>
        <w:r w:rsidRPr="00E701AA">
          <w:rPr>
            <w:b w:val="0"/>
            <w:webHidden/>
            <w:sz w:val="28"/>
          </w:rPr>
        </w:r>
        <w:r w:rsidRPr="00E701AA">
          <w:rPr>
            <w:b w:val="0"/>
            <w:webHidden/>
            <w:sz w:val="28"/>
          </w:rPr>
          <w:fldChar w:fldCharType="separate"/>
        </w:r>
        <w:r w:rsidR="002F07A8">
          <w:rPr>
            <w:b w:val="0"/>
            <w:webHidden/>
            <w:sz w:val="28"/>
          </w:rPr>
          <w:t>7</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0" w:history="1">
        <w:r w:rsidR="00E701AA" w:rsidRPr="00E701AA">
          <w:rPr>
            <w:rStyle w:val="Hyperlink"/>
            <w:b w:val="0"/>
            <w:sz w:val="28"/>
          </w:rPr>
          <w:t>1. Ārējā ekonomiskā vide</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_Toc305069150 \h </w:instrText>
        </w:r>
        <w:r w:rsidRPr="00E701AA">
          <w:rPr>
            <w:b w:val="0"/>
            <w:webHidden/>
            <w:sz w:val="28"/>
          </w:rPr>
        </w:r>
        <w:r w:rsidRPr="00E701AA">
          <w:rPr>
            <w:b w:val="0"/>
            <w:webHidden/>
            <w:sz w:val="28"/>
          </w:rPr>
          <w:fldChar w:fldCharType="separate"/>
        </w:r>
        <w:r w:rsidR="002F07A8">
          <w:rPr>
            <w:b w:val="0"/>
            <w:webHidden/>
            <w:sz w:val="28"/>
          </w:rPr>
          <w:t>8</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1" w:history="1">
        <w:r w:rsidR="00E701AA" w:rsidRPr="00E701AA">
          <w:rPr>
            <w:rStyle w:val="Hyperlink"/>
            <w:b w:val="0"/>
            <w:sz w:val="28"/>
          </w:rPr>
          <w:t>2. Produkcijas izlaide</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_Toc305069151 \h </w:instrText>
        </w:r>
        <w:r w:rsidRPr="00E701AA">
          <w:rPr>
            <w:b w:val="0"/>
            <w:webHidden/>
            <w:sz w:val="28"/>
          </w:rPr>
        </w:r>
        <w:r w:rsidRPr="00E701AA">
          <w:rPr>
            <w:b w:val="0"/>
            <w:webHidden/>
            <w:sz w:val="28"/>
          </w:rPr>
          <w:fldChar w:fldCharType="separate"/>
        </w:r>
        <w:r w:rsidR="002F07A8">
          <w:rPr>
            <w:b w:val="0"/>
            <w:webHidden/>
            <w:sz w:val="28"/>
          </w:rPr>
          <w:t>12</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2" w:history="1">
        <w:r w:rsidR="00E701AA" w:rsidRPr="00E701AA">
          <w:rPr>
            <w:rStyle w:val="Hyperlink"/>
            <w:b w:val="0"/>
            <w:sz w:val="28"/>
          </w:rPr>
          <w:t>3. Pieprasījums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_Toc305069152 \h </w:instrText>
        </w:r>
        <w:r w:rsidRPr="00E701AA">
          <w:rPr>
            <w:b w:val="0"/>
            <w:webHidden/>
            <w:sz w:val="28"/>
          </w:rPr>
        </w:r>
        <w:r w:rsidRPr="00E701AA">
          <w:rPr>
            <w:b w:val="0"/>
            <w:webHidden/>
            <w:sz w:val="28"/>
          </w:rPr>
          <w:fldChar w:fldCharType="separate"/>
        </w:r>
        <w:r w:rsidR="002F07A8">
          <w:rPr>
            <w:b w:val="0"/>
            <w:webHidden/>
            <w:sz w:val="28"/>
          </w:rPr>
          <w:t>26</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3" w:history="1">
        <w:r w:rsidR="00E701AA" w:rsidRPr="00E701AA">
          <w:rPr>
            <w:rStyle w:val="Hyperlink"/>
            <w:b w:val="0"/>
            <w:sz w:val="28"/>
          </w:rPr>
          <w:t>4. Ārējais sektors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_Toc305069153 \h </w:instrText>
        </w:r>
        <w:r w:rsidRPr="00E701AA">
          <w:rPr>
            <w:b w:val="0"/>
            <w:webHidden/>
            <w:sz w:val="28"/>
          </w:rPr>
        </w:r>
        <w:r w:rsidRPr="00E701AA">
          <w:rPr>
            <w:b w:val="0"/>
            <w:webHidden/>
            <w:sz w:val="28"/>
          </w:rPr>
          <w:fldChar w:fldCharType="separate"/>
        </w:r>
        <w:r w:rsidR="002F07A8">
          <w:rPr>
            <w:b w:val="0"/>
            <w:webHidden/>
            <w:sz w:val="28"/>
          </w:rPr>
          <w:t>31</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4" w:history="1">
        <w:r w:rsidR="00E701AA" w:rsidRPr="00E701AA">
          <w:rPr>
            <w:rStyle w:val="Hyperlink"/>
            <w:b w:val="0"/>
            <w:sz w:val="28"/>
          </w:rPr>
          <w:t>5. Finanšu sektors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_Toc305069154 \h </w:instrText>
        </w:r>
        <w:r w:rsidRPr="00E701AA">
          <w:rPr>
            <w:b w:val="0"/>
            <w:webHidden/>
            <w:sz w:val="28"/>
          </w:rPr>
        </w:r>
        <w:r w:rsidRPr="00E701AA">
          <w:rPr>
            <w:b w:val="0"/>
            <w:webHidden/>
            <w:sz w:val="28"/>
          </w:rPr>
          <w:fldChar w:fldCharType="separate"/>
        </w:r>
        <w:r w:rsidR="002F07A8">
          <w:rPr>
            <w:b w:val="0"/>
            <w:webHidden/>
            <w:sz w:val="28"/>
          </w:rPr>
          <w:t>35</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5" w:history="1">
        <w:r w:rsidR="00E701AA" w:rsidRPr="00E701AA">
          <w:rPr>
            <w:rStyle w:val="Hyperlink"/>
            <w:b w:val="0"/>
            <w:sz w:val="28"/>
          </w:rPr>
          <w:t>6. Darba tirgus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_Toc305069155 \h </w:instrText>
        </w:r>
        <w:r w:rsidRPr="00E701AA">
          <w:rPr>
            <w:b w:val="0"/>
            <w:webHidden/>
            <w:sz w:val="28"/>
          </w:rPr>
        </w:r>
        <w:r w:rsidRPr="00E701AA">
          <w:rPr>
            <w:b w:val="0"/>
            <w:webHidden/>
            <w:sz w:val="28"/>
          </w:rPr>
          <w:fldChar w:fldCharType="separate"/>
        </w:r>
        <w:r w:rsidR="002F07A8">
          <w:rPr>
            <w:b w:val="0"/>
            <w:webHidden/>
            <w:sz w:val="28"/>
          </w:rPr>
          <w:t>41</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6" w:history="1">
        <w:r w:rsidR="00E701AA" w:rsidRPr="00E701AA">
          <w:rPr>
            <w:rStyle w:val="Hyperlink"/>
            <w:b w:val="0"/>
            <w:sz w:val="28"/>
          </w:rPr>
          <w:t>7. Cenas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_Toc305069156 \h </w:instrText>
        </w:r>
        <w:r w:rsidRPr="00E701AA">
          <w:rPr>
            <w:b w:val="0"/>
            <w:webHidden/>
            <w:sz w:val="28"/>
          </w:rPr>
        </w:r>
        <w:r w:rsidRPr="00E701AA">
          <w:rPr>
            <w:b w:val="0"/>
            <w:webHidden/>
            <w:sz w:val="28"/>
          </w:rPr>
          <w:fldChar w:fldCharType="separate"/>
        </w:r>
        <w:r w:rsidR="002F07A8">
          <w:rPr>
            <w:b w:val="0"/>
            <w:webHidden/>
            <w:sz w:val="28"/>
          </w:rPr>
          <w:t>43</w:t>
        </w:r>
        <w:r w:rsidRPr="00E701AA">
          <w:rPr>
            <w:b w:val="0"/>
            <w:webHidden/>
            <w:sz w:val="28"/>
          </w:rPr>
          <w:fldChar w:fldCharType="end"/>
        </w:r>
      </w:hyperlink>
    </w:p>
    <w:p w:rsidR="00E701AA" w:rsidRPr="00E701AA" w:rsidRDefault="0005180F">
      <w:pPr>
        <w:pStyle w:val="TOC1"/>
        <w:rPr>
          <w:rFonts w:asciiTheme="minorHAnsi" w:eastAsiaTheme="minorEastAsia" w:hAnsiTheme="minorHAnsi" w:cstheme="minorBidi"/>
          <w:b w:val="0"/>
          <w:sz w:val="28"/>
          <w:szCs w:val="22"/>
          <w:lang w:eastAsia="lv-LV"/>
        </w:rPr>
      </w:pPr>
      <w:hyperlink w:anchor="_Toc305069157" w:history="1">
        <w:r w:rsidR="00E701AA" w:rsidRPr="00E701AA">
          <w:rPr>
            <w:rStyle w:val="Hyperlink"/>
            <w:b w:val="0"/>
            <w:sz w:val="28"/>
          </w:rPr>
          <w:t>8. Prognozes</w:t>
        </w:r>
        <w:r w:rsidR="00E701AA" w:rsidRPr="00E701AA">
          <w:rPr>
            <w:b w:val="0"/>
            <w:webHidden/>
            <w:sz w:val="28"/>
          </w:rPr>
          <w:tab/>
        </w:r>
        <w:r w:rsidRPr="00E701AA">
          <w:rPr>
            <w:b w:val="0"/>
            <w:webHidden/>
            <w:sz w:val="28"/>
          </w:rPr>
          <w:fldChar w:fldCharType="begin"/>
        </w:r>
        <w:r w:rsidR="00E701AA" w:rsidRPr="00E701AA">
          <w:rPr>
            <w:b w:val="0"/>
            <w:webHidden/>
            <w:sz w:val="28"/>
          </w:rPr>
          <w:instrText xml:space="preserve"> PAGEREF _Toc305069157 \h </w:instrText>
        </w:r>
        <w:r w:rsidRPr="00E701AA">
          <w:rPr>
            <w:b w:val="0"/>
            <w:webHidden/>
            <w:sz w:val="28"/>
          </w:rPr>
        </w:r>
        <w:r w:rsidRPr="00E701AA">
          <w:rPr>
            <w:b w:val="0"/>
            <w:webHidden/>
            <w:sz w:val="28"/>
          </w:rPr>
          <w:fldChar w:fldCharType="separate"/>
        </w:r>
        <w:r w:rsidR="002F07A8">
          <w:rPr>
            <w:b w:val="0"/>
            <w:webHidden/>
            <w:sz w:val="28"/>
          </w:rPr>
          <w:t>49</w:t>
        </w:r>
        <w:r w:rsidRPr="00E701AA">
          <w:rPr>
            <w:b w:val="0"/>
            <w:webHidden/>
            <w:sz w:val="28"/>
          </w:rPr>
          <w:fldChar w:fldCharType="end"/>
        </w:r>
      </w:hyperlink>
    </w:p>
    <w:p w:rsidR="00BE41C7" w:rsidRPr="00F77E00" w:rsidRDefault="0005180F" w:rsidP="00BE41C7">
      <w:pPr>
        <w:pStyle w:val="Heading1"/>
        <w:tabs>
          <w:tab w:val="right" w:leader="dot" w:pos="8789"/>
          <w:tab w:val="right" w:leader="dot" w:pos="9072"/>
          <w:tab w:val="right" w:leader="dot" w:pos="9356"/>
        </w:tabs>
        <w:spacing w:before="120" w:after="120"/>
        <w:ind w:left="1134"/>
      </w:pPr>
      <w:r w:rsidRPr="00E701AA">
        <w:rPr>
          <w:rFonts w:eastAsiaTheme="minorEastAsia" w:cstheme="minorBidi"/>
          <w:b w:val="0"/>
          <w:sz w:val="36"/>
        </w:rPr>
        <w:fldChar w:fldCharType="end"/>
      </w:r>
      <w:r w:rsidR="00BE41C7" w:rsidRPr="00F77E00">
        <w:br w:type="page"/>
      </w:r>
    </w:p>
    <w:p w:rsidR="00BE41C7" w:rsidRPr="009F6E8E" w:rsidRDefault="00BE41C7" w:rsidP="00BE41C7">
      <w:pPr>
        <w:pStyle w:val="Heading1"/>
      </w:pPr>
      <w:bookmarkStart w:id="0" w:name="_Toc216077028"/>
      <w:bookmarkStart w:id="1" w:name="_Toc216077732"/>
      <w:bookmarkStart w:id="2" w:name="_Toc216077836"/>
      <w:bookmarkStart w:id="3" w:name="_Toc216077916"/>
      <w:bookmarkStart w:id="4" w:name="_Toc216078658"/>
      <w:bookmarkStart w:id="5" w:name="_Toc216079262"/>
      <w:bookmarkStart w:id="6" w:name="_Toc216079505"/>
      <w:bookmarkStart w:id="7" w:name="_Toc216079573"/>
      <w:bookmarkStart w:id="8" w:name="_Toc216079635"/>
      <w:bookmarkStart w:id="9" w:name="_Toc216079691"/>
      <w:bookmarkStart w:id="10" w:name="_Toc216079747"/>
      <w:bookmarkStart w:id="11" w:name="_Toc216079803"/>
      <w:bookmarkStart w:id="12" w:name="_Toc216080160"/>
    </w:p>
    <w:p w:rsidR="00BE41C7" w:rsidRPr="009F6E8E" w:rsidRDefault="00BE41C7" w:rsidP="00BE41C7">
      <w:pPr>
        <w:pStyle w:val="Heading1"/>
      </w:pPr>
    </w:p>
    <w:p w:rsidR="00BE41C7" w:rsidRPr="00A34A6E" w:rsidRDefault="00BE41C7" w:rsidP="00BE41C7">
      <w:pPr>
        <w:jc w:val="center"/>
        <w:rPr>
          <w:b/>
          <w:sz w:val="32"/>
        </w:rPr>
      </w:pPr>
      <w:bookmarkStart w:id="13" w:name="_Toc216083814"/>
      <w:r w:rsidRPr="00A34A6E">
        <w:rPr>
          <w:b/>
          <w:sz w:val="32"/>
        </w:rPr>
        <w:t>Saīsinājumi</w:t>
      </w:r>
      <w:bookmarkEnd w:id="0"/>
      <w:bookmarkEnd w:id="1"/>
      <w:bookmarkEnd w:id="2"/>
      <w:bookmarkEnd w:id="3"/>
      <w:bookmarkEnd w:id="4"/>
      <w:bookmarkEnd w:id="5"/>
      <w:bookmarkEnd w:id="6"/>
      <w:bookmarkEnd w:id="7"/>
      <w:bookmarkEnd w:id="8"/>
      <w:bookmarkEnd w:id="9"/>
      <w:bookmarkEnd w:id="10"/>
      <w:bookmarkEnd w:id="11"/>
      <w:bookmarkEnd w:id="12"/>
      <w:bookmarkEnd w:id="13"/>
    </w:p>
    <w:p w:rsidR="00BE41C7" w:rsidRPr="009F6E8E" w:rsidRDefault="00BE41C7" w:rsidP="00BE41C7">
      <w:pPr>
        <w:jc w:val="center"/>
        <w:rPr>
          <w:sz w:val="28"/>
          <w:szCs w:val="32"/>
        </w:rPr>
      </w:pPr>
    </w:p>
    <w:p w:rsidR="00BE41C7" w:rsidRPr="009F6E8E" w:rsidRDefault="00BE41C7" w:rsidP="00BE41C7">
      <w:pPr>
        <w:jc w:val="center"/>
        <w:rPr>
          <w:sz w:val="28"/>
          <w:szCs w:val="32"/>
        </w:rPr>
      </w:pPr>
    </w:p>
    <w:tbl>
      <w:tblPr>
        <w:tblW w:w="0" w:type="auto"/>
        <w:jc w:val="right"/>
        <w:tblInd w:w="-1154" w:type="dxa"/>
        <w:tblLayout w:type="fixed"/>
        <w:tblCellMar>
          <w:left w:w="107" w:type="dxa"/>
          <w:right w:w="107" w:type="dxa"/>
        </w:tblCellMar>
        <w:tblLook w:val="0000"/>
      </w:tblPr>
      <w:tblGrid>
        <w:gridCol w:w="1468"/>
        <w:gridCol w:w="7599"/>
      </w:tblGrid>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ASV</w:t>
            </w:r>
          </w:p>
        </w:tc>
        <w:tc>
          <w:tcPr>
            <w:tcW w:w="7599" w:type="dxa"/>
            <w:shd w:val="clear" w:color="auto" w:fill="auto"/>
          </w:tcPr>
          <w:p w:rsidR="00BE41C7" w:rsidRPr="00E82732" w:rsidRDefault="00BE41C7" w:rsidP="009A2453">
            <w:pPr>
              <w:spacing w:before="40"/>
              <w:rPr>
                <w:sz w:val="28"/>
              </w:rPr>
            </w:pPr>
            <w:r w:rsidRPr="00E82732">
              <w:rPr>
                <w:sz w:val="28"/>
              </w:rPr>
              <w:t>Amerikas</w:t>
            </w:r>
            <w:r>
              <w:rPr>
                <w:sz w:val="28"/>
              </w:rPr>
              <w:t xml:space="preserve"> </w:t>
            </w:r>
            <w:r w:rsidRPr="00E82732">
              <w:rPr>
                <w:sz w:val="28"/>
              </w:rPr>
              <w:t>Savienotās</w:t>
            </w:r>
            <w:r>
              <w:rPr>
                <w:sz w:val="28"/>
              </w:rPr>
              <w:t xml:space="preserve"> </w:t>
            </w:r>
            <w:r w:rsidRPr="00E82732">
              <w:rPr>
                <w:sz w:val="28"/>
              </w:rPr>
              <w:t>Valstis</w:t>
            </w:r>
          </w:p>
        </w:tc>
      </w:tr>
      <w:tr w:rsidR="00832DE5" w:rsidRPr="00E82732" w:rsidTr="009A2453">
        <w:trPr>
          <w:jc w:val="right"/>
        </w:trPr>
        <w:tc>
          <w:tcPr>
            <w:tcW w:w="1468" w:type="dxa"/>
          </w:tcPr>
          <w:p w:rsidR="00832DE5" w:rsidRPr="00E82732" w:rsidRDefault="00832DE5" w:rsidP="009A2453">
            <w:pPr>
              <w:spacing w:before="40"/>
              <w:rPr>
                <w:sz w:val="28"/>
              </w:rPr>
            </w:pPr>
            <w:r>
              <w:rPr>
                <w:sz w:val="28"/>
              </w:rPr>
              <w:t>ĀTI</w:t>
            </w:r>
          </w:p>
        </w:tc>
        <w:tc>
          <w:tcPr>
            <w:tcW w:w="7599" w:type="dxa"/>
            <w:shd w:val="clear" w:color="auto" w:fill="auto"/>
          </w:tcPr>
          <w:p w:rsidR="00832DE5" w:rsidRPr="00E82732" w:rsidRDefault="00832DE5" w:rsidP="009A2453">
            <w:pPr>
              <w:spacing w:before="40"/>
              <w:rPr>
                <w:sz w:val="28"/>
              </w:rPr>
            </w:pPr>
            <w:r>
              <w:rPr>
                <w:sz w:val="28"/>
              </w:rPr>
              <w:t>Ārvalstu tiešās investīcijas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EE</w:t>
            </w:r>
          </w:p>
        </w:tc>
        <w:tc>
          <w:tcPr>
            <w:tcW w:w="7599" w:type="dxa"/>
          </w:tcPr>
          <w:p w:rsidR="00BE41C7" w:rsidRPr="00E82732" w:rsidRDefault="00BE41C7" w:rsidP="009A2453">
            <w:pPr>
              <w:spacing w:before="40"/>
              <w:rPr>
                <w:sz w:val="28"/>
              </w:rPr>
            </w:pPr>
            <w:r w:rsidRPr="00E82732">
              <w:rPr>
                <w:sz w:val="28"/>
              </w:rPr>
              <w:t>Igaunija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ES</w:t>
            </w:r>
          </w:p>
        </w:tc>
        <w:tc>
          <w:tcPr>
            <w:tcW w:w="7599" w:type="dxa"/>
          </w:tcPr>
          <w:p w:rsidR="00BE41C7" w:rsidRPr="00E82732" w:rsidRDefault="00BE41C7" w:rsidP="009A2453">
            <w:pPr>
              <w:spacing w:before="40"/>
              <w:rPr>
                <w:sz w:val="28"/>
              </w:rPr>
            </w:pPr>
            <w:r w:rsidRPr="00E82732">
              <w:rPr>
                <w:sz w:val="28"/>
              </w:rPr>
              <w:t>Eiropas</w:t>
            </w:r>
            <w:r>
              <w:rPr>
                <w:sz w:val="28"/>
              </w:rPr>
              <w:t xml:space="preserve"> </w:t>
            </w:r>
            <w:r w:rsidRPr="00E82732">
              <w:rPr>
                <w:sz w:val="28"/>
              </w:rPr>
              <w:t>Savienība</w:t>
            </w:r>
          </w:p>
        </w:tc>
      </w:tr>
      <w:tr w:rsidR="00BE41C7" w:rsidRPr="00E82732" w:rsidTr="009A2453">
        <w:trPr>
          <w:jc w:val="right"/>
        </w:trPr>
        <w:tc>
          <w:tcPr>
            <w:tcW w:w="1468" w:type="dxa"/>
          </w:tcPr>
          <w:p w:rsidR="00BE41C7" w:rsidRPr="00E82732" w:rsidRDefault="00BE41C7" w:rsidP="009A2453">
            <w:pPr>
              <w:spacing w:before="40"/>
              <w:rPr>
                <w:sz w:val="28"/>
              </w:rPr>
            </w:pPr>
            <w:smartTag w:uri="schemas-tilde-lv/tildestengine" w:element="currency2">
              <w:smartTagPr>
                <w:attr w:name="currency_id" w:val="16"/>
                <w:attr w:name="currency_key" w:val="EUR"/>
                <w:attr w:name="currency_value" w:val="1"/>
                <w:attr w:name="currency_text" w:val="EUR"/>
              </w:smartTagPr>
              <w:r w:rsidRPr="00E82732">
                <w:rPr>
                  <w:sz w:val="28"/>
                </w:rPr>
                <w:t>EUR</w:t>
              </w:r>
            </w:smartTag>
          </w:p>
        </w:tc>
        <w:tc>
          <w:tcPr>
            <w:tcW w:w="7599" w:type="dxa"/>
          </w:tcPr>
          <w:p w:rsidR="00BE41C7" w:rsidRPr="00E82732" w:rsidRDefault="00BE41C7" w:rsidP="009A2453">
            <w:pPr>
              <w:spacing w:before="40"/>
              <w:rPr>
                <w:color w:val="000000"/>
                <w:sz w:val="28"/>
              </w:rPr>
            </w:pPr>
            <w:r w:rsidRPr="00E82732">
              <w:rPr>
                <w:color w:val="000000"/>
                <w:sz w:val="28"/>
              </w:rPr>
              <w:t>eiro, oficiālā Eiropas</w:t>
            </w:r>
            <w:r>
              <w:rPr>
                <w:color w:val="000000"/>
                <w:sz w:val="28"/>
              </w:rPr>
              <w:t xml:space="preserve"> </w:t>
            </w:r>
            <w:r w:rsidRPr="00E82732">
              <w:rPr>
                <w:color w:val="000000"/>
                <w:sz w:val="28"/>
              </w:rPr>
              <w:t>Savienības</w:t>
            </w:r>
            <w:r>
              <w:rPr>
                <w:color w:val="000000"/>
                <w:sz w:val="28"/>
              </w:rPr>
              <w:t xml:space="preserve"> </w:t>
            </w:r>
            <w:r w:rsidRPr="00E82732">
              <w:rPr>
                <w:color w:val="000000"/>
                <w:sz w:val="28"/>
              </w:rPr>
              <w:t>naudas</w:t>
            </w:r>
            <w:r>
              <w:rPr>
                <w:color w:val="000000"/>
                <w:sz w:val="28"/>
              </w:rPr>
              <w:t xml:space="preserve"> </w:t>
            </w:r>
            <w:r w:rsidRPr="00E82732">
              <w:rPr>
                <w:color w:val="000000"/>
                <w:sz w:val="28"/>
              </w:rPr>
              <w:t>vienība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EU</w:t>
            </w:r>
            <w:r w:rsidR="003F213A">
              <w:rPr>
                <w:sz w:val="28"/>
              </w:rPr>
              <w:t>-</w:t>
            </w:r>
            <w:r w:rsidRPr="00E82732">
              <w:rPr>
                <w:sz w:val="28"/>
              </w:rPr>
              <w:t>27</w:t>
            </w:r>
          </w:p>
        </w:tc>
        <w:tc>
          <w:tcPr>
            <w:tcW w:w="7599" w:type="dxa"/>
          </w:tcPr>
          <w:p w:rsidR="00BE41C7" w:rsidRPr="00E82732" w:rsidRDefault="00BE41C7" w:rsidP="009A2453">
            <w:pPr>
              <w:spacing w:before="40"/>
              <w:rPr>
                <w:color w:val="000000"/>
                <w:sz w:val="28"/>
              </w:rPr>
            </w:pPr>
            <w:r w:rsidRPr="00E82732">
              <w:rPr>
                <w:sz w:val="28"/>
              </w:rPr>
              <w:t>Eiropas</w:t>
            </w:r>
            <w:r>
              <w:rPr>
                <w:sz w:val="28"/>
              </w:rPr>
              <w:t xml:space="preserve"> </w:t>
            </w:r>
            <w:r w:rsidRPr="00E82732">
              <w:rPr>
                <w:sz w:val="28"/>
              </w:rPr>
              <w:t>Savienība (visas 27 dalībvalstis)</w:t>
            </w:r>
          </w:p>
        </w:tc>
      </w:tr>
      <w:tr w:rsidR="002109E8" w:rsidRPr="00E82732" w:rsidTr="0043108A">
        <w:trPr>
          <w:jc w:val="right"/>
        </w:trPr>
        <w:tc>
          <w:tcPr>
            <w:tcW w:w="1468" w:type="dxa"/>
          </w:tcPr>
          <w:p w:rsidR="002109E8" w:rsidRPr="00E82732" w:rsidRDefault="002109E8" w:rsidP="0043108A">
            <w:pPr>
              <w:spacing w:before="40"/>
              <w:rPr>
                <w:rFonts w:eastAsia="Times New Roman"/>
                <w:sz w:val="28"/>
              </w:rPr>
            </w:pPr>
            <w:r>
              <w:rPr>
                <w:rFonts w:eastAsia="Times New Roman"/>
                <w:sz w:val="28"/>
              </w:rPr>
              <w:t>IIN</w:t>
            </w:r>
          </w:p>
        </w:tc>
        <w:tc>
          <w:tcPr>
            <w:tcW w:w="7599" w:type="dxa"/>
          </w:tcPr>
          <w:p w:rsidR="002109E8" w:rsidRDefault="002109E8" w:rsidP="0043108A">
            <w:pPr>
              <w:spacing w:before="40"/>
              <w:rPr>
                <w:rFonts w:eastAsia="Times New Roman"/>
                <w:sz w:val="28"/>
              </w:rPr>
            </w:pPr>
            <w:r>
              <w:rPr>
                <w:rFonts w:eastAsia="Times New Roman"/>
                <w:sz w:val="28"/>
              </w:rPr>
              <w:t>iedzīvotāju ienākuma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IKP</w:t>
            </w:r>
          </w:p>
        </w:tc>
        <w:tc>
          <w:tcPr>
            <w:tcW w:w="7599" w:type="dxa"/>
          </w:tcPr>
          <w:p w:rsidR="00BE41C7" w:rsidRPr="00E82732" w:rsidRDefault="00BE41C7" w:rsidP="009A2453">
            <w:pPr>
              <w:spacing w:before="40"/>
              <w:rPr>
                <w:sz w:val="28"/>
              </w:rPr>
            </w:pPr>
            <w:r>
              <w:rPr>
                <w:sz w:val="28"/>
              </w:rPr>
              <w:t>i</w:t>
            </w:r>
            <w:r w:rsidRPr="00E82732">
              <w:rPr>
                <w:sz w:val="28"/>
              </w:rPr>
              <w:t>ekšzemes</w:t>
            </w:r>
            <w:r>
              <w:rPr>
                <w:sz w:val="28"/>
              </w:rPr>
              <w:t xml:space="preserve"> </w:t>
            </w:r>
            <w:r w:rsidRPr="00E82732">
              <w:rPr>
                <w:sz w:val="28"/>
              </w:rPr>
              <w:t>kopprodukts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Ls</w:t>
            </w:r>
          </w:p>
        </w:tc>
        <w:tc>
          <w:tcPr>
            <w:tcW w:w="7599" w:type="dxa"/>
          </w:tcPr>
          <w:p w:rsidR="00BE41C7" w:rsidRPr="00E82732" w:rsidRDefault="002109E8" w:rsidP="009A2453">
            <w:pPr>
              <w:spacing w:before="40"/>
              <w:rPr>
                <w:sz w:val="28"/>
              </w:rPr>
            </w:pPr>
            <w:r>
              <w:rPr>
                <w:color w:val="000000"/>
                <w:sz w:val="28"/>
              </w:rPr>
              <w:t>L</w:t>
            </w:r>
            <w:r w:rsidR="00BE41C7" w:rsidRPr="00E82732">
              <w:rPr>
                <w:color w:val="000000"/>
                <w:sz w:val="28"/>
              </w:rPr>
              <w:t>ats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LT</w:t>
            </w:r>
          </w:p>
        </w:tc>
        <w:tc>
          <w:tcPr>
            <w:tcW w:w="7599" w:type="dxa"/>
          </w:tcPr>
          <w:p w:rsidR="00BE41C7" w:rsidRPr="00E82732" w:rsidRDefault="00BE41C7" w:rsidP="009A2453">
            <w:pPr>
              <w:spacing w:before="40"/>
              <w:rPr>
                <w:sz w:val="28"/>
              </w:rPr>
            </w:pPr>
            <w:r w:rsidRPr="00E82732">
              <w:rPr>
                <w:sz w:val="28"/>
              </w:rPr>
              <w:t>Lietuva</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LV</w:t>
            </w:r>
          </w:p>
        </w:tc>
        <w:tc>
          <w:tcPr>
            <w:tcW w:w="7599" w:type="dxa"/>
          </w:tcPr>
          <w:p w:rsidR="00BE41C7" w:rsidRPr="00E82732" w:rsidRDefault="00BE41C7" w:rsidP="009A2453">
            <w:pPr>
              <w:spacing w:before="40"/>
              <w:rPr>
                <w:sz w:val="28"/>
              </w:rPr>
            </w:pPr>
            <w:r w:rsidRPr="00E82732">
              <w:rPr>
                <w:sz w:val="28"/>
              </w:rPr>
              <w:t>Latvija</w:t>
            </w:r>
          </w:p>
        </w:tc>
      </w:tr>
      <w:tr w:rsidR="00EA7E80" w:rsidRPr="00E82732" w:rsidTr="009A2453">
        <w:trPr>
          <w:jc w:val="right"/>
        </w:trPr>
        <w:tc>
          <w:tcPr>
            <w:tcW w:w="1468" w:type="dxa"/>
          </w:tcPr>
          <w:p w:rsidR="00EA7E80" w:rsidRPr="00E82732" w:rsidRDefault="00EA7E80" w:rsidP="009A2453">
            <w:pPr>
              <w:spacing w:before="40"/>
              <w:rPr>
                <w:sz w:val="28"/>
              </w:rPr>
            </w:pPr>
            <w:r>
              <w:rPr>
                <w:sz w:val="28"/>
              </w:rPr>
              <w:t>NVS</w:t>
            </w:r>
          </w:p>
        </w:tc>
        <w:tc>
          <w:tcPr>
            <w:tcW w:w="7599" w:type="dxa"/>
          </w:tcPr>
          <w:p w:rsidR="00EA7E80" w:rsidRDefault="00EA7E80" w:rsidP="009A2453">
            <w:pPr>
              <w:spacing w:before="40"/>
              <w:rPr>
                <w:sz w:val="28"/>
              </w:rPr>
            </w:pPr>
            <w:r>
              <w:rPr>
                <w:sz w:val="28"/>
              </w:rPr>
              <w:t xml:space="preserve">Neatkarīga </w:t>
            </w:r>
            <w:r w:rsidR="002F4DE4">
              <w:rPr>
                <w:sz w:val="28"/>
              </w:rPr>
              <w:t>V</w:t>
            </w:r>
            <w:r>
              <w:rPr>
                <w:sz w:val="28"/>
              </w:rPr>
              <w:t xml:space="preserve">alstu </w:t>
            </w:r>
            <w:r w:rsidR="002F4DE4">
              <w:rPr>
                <w:sz w:val="28"/>
              </w:rPr>
              <w:t>S</w:t>
            </w:r>
            <w:r>
              <w:rPr>
                <w:sz w:val="28"/>
              </w:rPr>
              <w:t>adraudzība</w:t>
            </w:r>
          </w:p>
        </w:tc>
      </w:tr>
      <w:tr w:rsidR="003B03DF" w:rsidRPr="00E82732" w:rsidTr="009A2453">
        <w:trPr>
          <w:jc w:val="right"/>
        </w:trPr>
        <w:tc>
          <w:tcPr>
            <w:tcW w:w="1468" w:type="dxa"/>
          </w:tcPr>
          <w:p w:rsidR="003B03DF" w:rsidRPr="00E82732" w:rsidRDefault="003B03DF" w:rsidP="009A2453">
            <w:pPr>
              <w:spacing w:before="40"/>
              <w:rPr>
                <w:sz w:val="28"/>
              </w:rPr>
            </w:pPr>
            <w:r>
              <w:rPr>
                <w:sz w:val="28"/>
              </w:rPr>
              <w:t>PVN</w:t>
            </w:r>
          </w:p>
        </w:tc>
        <w:tc>
          <w:tcPr>
            <w:tcW w:w="7599" w:type="dxa"/>
          </w:tcPr>
          <w:p w:rsidR="003B03DF" w:rsidRDefault="003B03DF" w:rsidP="009A2453">
            <w:pPr>
              <w:spacing w:before="40"/>
              <w:rPr>
                <w:sz w:val="28"/>
              </w:rPr>
            </w:pPr>
            <w:r>
              <w:rPr>
                <w:sz w:val="28"/>
              </w:rPr>
              <w:t>pievienotās vērtības nodoklis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RCI</w:t>
            </w:r>
          </w:p>
        </w:tc>
        <w:tc>
          <w:tcPr>
            <w:tcW w:w="7599" w:type="dxa"/>
          </w:tcPr>
          <w:p w:rsidR="00BE41C7" w:rsidRPr="00E82732" w:rsidRDefault="00BE41C7" w:rsidP="009A2453">
            <w:pPr>
              <w:spacing w:before="40"/>
              <w:rPr>
                <w:sz w:val="28"/>
              </w:rPr>
            </w:pPr>
            <w:r>
              <w:rPr>
                <w:sz w:val="28"/>
              </w:rPr>
              <w:t>r</w:t>
            </w:r>
            <w:r w:rsidRPr="00E82732">
              <w:rPr>
                <w:sz w:val="28"/>
              </w:rPr>
              <w:t>ažotāju</w:t>
            </w:r>
            <w:r>
              <w:rPr>
                <w:sz w:val="28"/>
              </w:rPr>
              <w:t xml:space="preserve"> </w:t>
            </w:r>
            <w:r w:rsidRPr="00E82732">
              <w:rPr>
                <w:sz w:val="28"/>
              </w:rPr>
              <w:t>cenu</w:t>
            </w:r>
            <w:r>
              <w:rPr>
                <w:sz w:val="28"/>
              </w:rPr>
              <w:t xml:space="preserve"> </w:t>
            </w:r>
            <w:r w:rsidRPr="00E82732">
              <w:rPr>
                <w:sz w:val="28"/>
              </w:rPr>
              <w:t>indekss</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VCI</w:t>
            </w:r>
          </w:p>
        </w:tc>
        <w:tc>
          <w:tcPr>
            <w:tcW w:w="7599" w:type="dxa"/>
          </w:tcPr>
          <w:p w:rsidR="00BE41C7" w:rsidRPr="00E82732" w:rsidRDefault="00BE41C7" w:rsidP="009A2453">
            <w:pPr>
              <w:spacing w:before="40"/>
              <w:rPr>
                <w:sz w:val="28"/>
              </w:rPr>
            </w:pPr>
            <w:r w:rsidRPr="00E82732">
              <w:rPr>
                <w:sz w:val="28"/>
              </w:rPr>
              <w:t>ražotāju cenu indekss vietējā tirgū realizētajai produkcijai</w:t>
            </w:r>
          </w:p>
        </w:tc>
      </w:tr>
      <w:tr w:rsidR="00BE41C7" w:rsidRPr="00E82732" w:rsidTr="009A2453">
        <w:trPr>
          <w:jc w:val="right"/>
        </w:trPr>
        <w:tc>
          <w:tcPr>
            <w:tcW w:w="1468" w:type="dxa"/>
          </w:tcPr>
          <w:p w:rsidR="00BE41C7" w:rsidRPr="00E82732" w:rsidRDefault="00BE41C7" w:rsidP="009A2453">
            <w:pPr>
              <w:spacing w:before="40"/>
              <w:rPr>
                <w:sz w:val="28"/>
              </w:rPr>
            </w:pPr>
            <w:r w:rsidRPr="00E82732">
              <w:rPr>
                <w:sz w:val="28"/>
              </w:rPr>
              <w:t>XCI</w:t>
            </w:r>
          </w:p>
        </w:tc>
        <w:tc>
          <w:tcPr>
            <w:tcW w:w="7599" w:type="dxa"/>
          </w:tcPr>
          <w:p w:rsidR="00BE41C7" w:rsidRPr="00E82732" w:rsidRDefault="00BE41C7" w:rsidP="009A2453">
            <w:pPr>
              <w:spacing w:before="40"/>
              <w:rPr>
                <w:sz w:val="28"/>
              </w:rPr>
            </w:pPr>
            <w:r w:rsidRPr="00E82732">
              <w:rPr>
                <w:sz w:val="28"/>
              </w:rPr>
              <w:t>ražotāju</w:t>
            </w:r>
            <w:r w:rsidRPr="00E82732">
              <w:rPr>
                <w:color w:val="FFFFFF" w:themeColor="background1"/>
                <w:sz w:val="28"/>
                <w:shd w:val="clear" w:color="auto" w:fill="FFFFFF" w:themeFill="background1"/>
              </w:rPr>
              <w:t>_</w:t>
            </w:r>
            <w:r w:rsidRPr="00E82732">
              <w:rPr>
                <w:sz w:val="28"/>
              </w:rPr>
              <w:t>cenu</w:t>
            </w:r>
            <w:r w:rsidRPr="00E82732">
              <w:rPr>
                <w:color w:val="FFFFFF" w:themeColor="background1"/>
                <w:sz w:val="28"/>
                <w:shd w:val="clear" w:color="auto" w:fill="FFFFFF" w:themeFill="background1"/>
              </w:rPr>
              <w:t>_</w:t>
            </w:r>
            <w:r w:rsidRPr="00E82732">
              <w:rPr>
                <w:sz w:val="28"/>
              </w:rPr>
              <w:t>indekss</w:t>
            </w:r>
            <w:r w:rsidRPr="00E82732">
              <w:rPr>
                <w:color w:val="FFFFFF" w:themeColor="background1"/>
                <w:sz w:val="28"/>
                <w:shd w:val="clear" w:color="auto" w:fill="FFFFFF" w:themeFill="background1"/>
              </w:rPr>
              <w:t>_</w:t>
            </w:r>
            <w:r w:rsidRPr="00E82732">
              <w:rPr>
                <w:sz w:val="28"/>
              </w:rPr>
              <w:t>eksportētajai</w:t>
            </w:r>
            <w:r w:rsidRPr="00E82732">
              <w:rPr>
                <w:color w:val="FFFFFF" w:themeColor="background1"/>
                <w:sz w:val="28"/>
                <w:shd w:val="clear" w:color="auto" w:fill="FFFFFF" w:themeFill="background1"/>
              </w:rPr>
              <w:t>_</w:t>
            </w:r>
            <w:r w:rsidRPr="00E82732">
              <w:rPr>
                <w:sz w:val="28"/>
              </w:rPr>
              <w:t>produkcijai</w:t>
            </w:r>
          </w:p>
        </w:tc>
      </w:tr>
    </w:tbl>
    <w:p w:rsidR="00BE41C7" w:rsidRPr="00E82732" w:rsidRDefault="00BE41C7" w:rsidP="00BE41C7">
      <w:pPr>
        <w:pStyle w:val="Heading1"/>
        <w:tabs>
          <w:tab w:val="right" w:leader="dot" w:pos="9356"/>
        </w:tabs>
        <w:spacing w:before="120" w:after="120"/>
        <w:rPr>
          <w:sz w:val="28"/>
          <w:szCs w:val="32"/>
        </w:rPr>
      </w:pPr>
      <w:r w:rsidRPr="00E82732">
        <w:rPr>
          <w:sz w:val="28"/>
          <w:szCs w:val="32"/>
        </w:rPr>
        <w:br w:type="page"/>
      </w:r>
      <w:bookmarkStart w:id="14" w:name="_Toc206815978"/>
    </w:p>
    <w:p w:rsidR="00BE41C7" w:rsidRPr="009F6E8E" w:rsidRDefault="00BE41C7" w:rsidP="00CD3CE6">
      <w:pPr>
        <w:pStyle w:val="Heading1"/>
        <w:jc w:val="center"/>
      </w:pPr>
      <w:bookmarkStart w:id="15" w:name="_Toc216077027"/>
      <w:bookmarkStart w:id="16" w:name="_Toc216077731"/>
      <w:bookmarkStart w:id="17" w:name="_Toc216077835"/>
      <w:bookmarkStart w:id="18" w:name="_Toc216077915"/>
      <w:bookmarkStart w:id="19" w:name="_Toc216078657"/>
      <w:bookmarkStart w:id="20" w:name="_Toc216079261"/>
      <w:bookmarkStart w:id="21" w:name="_Toc216079504"/>
      <w:bookmarkStart w:id="22" w:name="_Toc216079572"/>
      <w:bookmarkStart w:id="23" w:name="_Toc216079634"/>
      <w:bookmarkStart w:id="24" w:name="_Toc216079690"/>
      <w:bookmarkStart w:id="25" w:name="_Toc216079746"/>
      <w:bookmarkStart w:id="26" w:name="_Toc216079802"/>
      <w:bookmarkStart w:id="27" w:name="_Toc216080159"/>
      <w:bookmarkStart w:id="28" w:name="_Toc216083815"/>
      <w:bookmarkStart w:id="29" w:name="_Toc305069148"/>
      <w:bookmarkStart w:id="30" w:name="_Toc305421407"/>
      <w:r w:rsidRPr="009F6E8E">
        <w:lastRenderedPageBreak/>
        <w:t>Attēlu un tabulu saraksts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BE41C7" w:rsidRPr="009F6E8E" w:rsidRDefault="00BE41C7" w:rsidP="00BE41C7">
      <w:pPr>
        <w:rPr>
          <w:sz w:val="18"/>
        </w:rPr>
      </w:pPr>
    </w:p>
    <w:p w:rsidR="001A5EAD" w:rsidRDefault="0005180F">
      <w:pPr>
        <w:pStyle w:val="TOC1"/>
        <w:rPr>
          <w:rFonts w:asciiTheme="minorHAnsi" w:eastAsiaTheme="minorEastAsia" w:hAnsiTheme="minorHAnsi" w:cstheme="minorBidi"/>
          <w:b w:val="0"/>
          <w:szCs w:val="22"/>
          <w:lang w:eastAsia="lv-LV"/>
        </w:rPr>
      </w:pPr>
      <w:r w:rsidRPr="0005180F">
        <w:rPr>
          <w:noProof w:val="0"/>
          <w:szCs w:val="24"/>
        </w:rPr>
        <w:fldChar w:fldCharType="begin"/>
      </w:r>
      <w:r w:rsidR="00BE41C7" w:rsidRPr="00CD3CE6">
        <w:rPr>
          <w:noProof w:val="0"/>
          <w:szCs w:val="24"/>
        </w:rPr>
        <w:instrText xml:space="preserve"> TOC \o "1-2" \h \z \u </w:instrText>
      </w:r>
      <w:r w:rsidRPr="0005180F">
        <w:rPr>
          <w:noProof w:val="0"/>
          <w:szCs w:val="24"/>
        </w:rPr>
        <w:fldChar w:fldCharType="separate"/>
      </w:r>
      <w:hyperlink w:anchor="_Toc305421407" w:history="1">
        <w:r w:rsidR="001A5EAD" w:rsidRPr="004B3983">
          <w:rPr>
            <w:rStyle w:val="Hyperlink"/>
          </w:rPr>
          <w:t>Attēlu un tabulu saraksts</w:t>
        </w:r>
        <w:r w:rsidR="001A5EAD">
          <w:rPr>
            <w:webHidden/>
          </w:rPr>
          <w:tab/>
        </w:r>
        <w:r w:rsidR="001A5EAD">
          <w:rPr>
            <w:webHidden/>
          </w:rPr>
          <w:fldChar w:fldCharType="begin"/>
        </w:r>
        <w:r w:rsidR="001A5EAD">
          <w:rPr>
            <w:webHidden/>
          </w:rPr>
          <w:instrText xml:space="preserve"> PAGEREF _Toc305421407 \h </w:instrText>
        </w:r>
        <w:r w:rsidR="001A5EAD">
          <w:rPr>
            <w:webHidden/>
          </w:rPr>
        </w:r>
        <w:r w:rsidR="001A5EAD">
          <w:rPr>
            <w:webHidden/>
          </w:rPr>
          <w:fldChar w:fldCharType="separate"/>
        </w:r>
        <w:r w:rsidR="002F07A8">
          <w:rPr>
            <w:webHidden/>
          </w:rPr>
          <w:t>5</w:t>
        </w:r>
        <w:r w:rsidR="001A5EAD">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08" w:history="1">
        <w:r w:rsidRPr="004B3983">
          <w:rPr>
            <w:rStyle w:val="Hyperlink"/>
          </w:rPr>
          <w:t>Ekonomiskais stāvoklis: īss kopsavilkums</w:t>
        </w:r>
        <w:r>
          <w:rPr>
            <w:webHidden/>
          </w:rPr>
          <w:tab/>
        </w:r>
        <w:r>
          <w:rPr>
            <w:webHidden/>
          </w:rPr>
          <w:fldChar w:fldCharType="begin"/>
        </w:r>
        <w:r>
          <w:rPr>
            <w:webHidden/>
          </w:rPr>
          <w:instrText xml:space="preserve"> PAGEREF _Toc305421408 \h </w:instrText>
        </w:r>
        <w:r>
          <w:rPr>
            <w:webHidden/>
          </w:rPr>
        </w:r>
        <w:r>
          <w:rPr>
            <w:webHidden/>
          </w:rPr>
          <w:fldChar w:fldCharType="separate"/>
        </w:r>
        <w:r w:rsidR="002F07A8">
          <w:rPr>
            <w:webHidden/>
          </w:rPr>
          <w:t>7</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09" w:history="1">
        <w:r w:rsidRPr="004B3983">
          <w:rPr>
            <w:rStyle w:val="Hyperlink"/>
          </w:rPr>
          <w:t>1. Ārējā ekonomiskā vide</w:t>
        </w:r>
        <w:r>
          <w:rPr>
            <w:webHidden/>
          </w:rPr>
          <w:tab/>
        </w:r>
        <w:r>
          <w:rPr>
            <w:webHidden/>
          </w:rPr>
          <w:fldChar w:fldCharType="begin"/>
        </w:r>
        <w:r>
          <w:rPr>
            <w:webHidden/>
          </w:rPr>
          <w:instrText xml:space="preserve"> PAGEREF _Toc305421409 \h </w:instrText>
        </w:r>
        <w:r>
          <w:rPr>
            <w:webHidden/>
          </w:rPr>
        </w:r>
        <w:r>
          <w:rPr>
            <w:webHidden/>
          </w:rPr>
          <w:fldChar w:fldCharType="separate"/>
        </w:r>
        <w:r w:rsidR="002F07A8">
          <w:rPr>
            <w:webHidden/>
          </w:rPr>
          <w:t>8</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0" w:history="1">
        <w:r w:rsidRPr="004B3983">
          <w:rPr>
            <w:rStyle w:val="Hyperlink"/>
          </w:rPr>
          <w:t>1.1.tabula. IKP dinamika valstīs</w:t>
        </w:r>
        <w:r>
          <w:rPr>
            <w:webHidden/>
          </w:rPr>
          <w:tab/>
        </w:r>
        <w:r>
          <w:rPr>
            <w:webHidden/>
          </w:rPr>
          <w:fldChar w:fldCharType="begin"/>
        </w:r>
        <w:r>
          <w:rPr>
            <w:webHidden/>
          </w:rPr>
          <w:instrText xml:space="preserve"> PAGEREF _Toc305421410 \h </w:instrText>
        </w:r>
        <w:r>
          <w:rPr>
            <w:webHidden/>
          </w:rPr>
        </w:r>
        <w:r>
          <w:rPr>
            <w:webHidden/>
          </w:rPr>
          <w:fldChar w:fldCharType="separate"/>
        </w:r>
        <w:r w:rsidR="002F07A8">
          <w:rPr>
            <w:webHidden/>
          </w:rPr>
          <w:t>11</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11" w:history="1">
        <w:r w:rsidRPr="004B3983">
          <w:rPr>
            <w:rStyle w:val="Hyperlink"/>
          </w:rPr>
          <w:t>2. Produkcijas izlaide</w:t>
        </w:r>
        <w:r>
          <w:rPr>
            <w:webHidden/>
          </w:rPr>
          <w:tab/>
        </w:r>
        <w:r>
          <w:rPr>
            <w:webHidden/>
          </w:rPr>
          <w:fldChar w:fldCharType="begin"/>
        </w:r>
        <w:r>
          <w:rPr>
            <w:webHidden/>
          </w:rPr>
          <w:instrText xml:space="preserve"> PAGEREF _Toc305421411 \h </w:instrText>
        </w:r>
        <w:r>
          <w:rPr>
            <w:webHidden/>
          </w:rPr>
        </w:r>
        <w:r>
          <w:rPr>
            <w:webHidden/>
          </w:rPr>
          <w:fldChar w:fldCharType="separate"/>
        </w:r>
        <w:r w:rsidR="002F07A8">
          <w:rPr>
            <w:webHidden/>
          </w:rPr>
          <w:t>12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2" w:history="1">
        <w:r w:rsidRPr="004B3983">
          <w:rPr>
            <w:rStyle w:val="Hyperlink"/>
          </w:rPr>
          <w:t>2.1.tabula. IKP dinamika</w:t>
        </w:r>
        <w:r>
          <w:rPr>
            <w:webHidden/>
          </w:rPr>
          <w:tab/>
        </w:r>
        <w:r>
          <w:rPr>
            <w:webHidden/>
          </w:rPr>
          <w:fldChar w:fldCharType="begin"/>
        </w:r>
        <w:r>
          <w:rPr>
            <w:webHidden/>
          </w:rPr>
          <w:instrText xml:space="preserve"> PAGEREF _Toc305421412 \h </w:instrText>
        </w:r>
        <w:r>
          <w:rPr>
            <w:webHidden/>
          </w:rPr>
        </w:r>
        <w:r>
          <w:rPr>
            <w:webHidden/>
          </w:rPr>
          <w:fldChar w:fldCharType="separate"/>
        </w:r>
        <w:r w:rsidR="002F07A8">
          <w:rPr>
            <w:webHidden/>
          </w:rPr>
          <w:t>15</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3" w:history="1">
        <w:r w:rsidRPr="004B3983">
          <w:rPr>
            <w:rStyle w:val="Hyperlink"/>
          </w:rPr>
          <w:t>2.1.attēls. IKP dinamika pa ceturkšņiem</w:t>
        </w:r>
        <w:r>
          <w:rPr>
            <w:webHidden/>
          </w:rPr>
          <w:tab/>
        </w:r>
        <w:r>
          <w:rPr>
            <w:webHidden/>
          </w:rPr>
          <w:fldChar w:fldCharType="begin"/>
        </w:r>
        <w:r>
          <w:rPr>
            <w:webHidden/>
          </w:rPr>
          <w:instrText xml:space="preserve"> PAGEREF _Toc305421413 \h </w:instrText>
        </w:r>
        <w:r>
          <w:rPr>
            <w:webHidden/>
          </w:rPr>
        </w:r>
        <w:r>
          <w:rPr>
            <w:webHidden/>
          </w:rPr>
          <w:fldChar w:fldCharType="separate"/>
        </w:r>
        <w:r w:rsidR="002F07A8">
          <w:rPr>
            <w:webHidden/>
          </w:rPr>
          <w:t>15</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4" w:history="1">
        <w:r w:rsidRPr="004B3983">
          <w:rPr>
            <w:rStyle w:val="Hyperlink"/>
          </w:rPr>
          <w:t>2.2. attēls. Ekonomikas sentimenta indekss</w:t>
        </w:r>
        <w:r>
          <w:rPr>
            <w:webHidden/>
          </w:rPr>
          <w:tab/>
        </w:r>
        <w:r>
          <w:rPr>
            <w:webHidden/>
          </w:rPr>
          <w:fldChar w:fldCharType="begin"/>
        </w:r>
        <w:r>
          <w:rPr>
            <w:webHidden/>
          </w:rPr>
          <w:instrText xml:space="preserve"> PAGEREF _Toc305421414 \h </w:instrText>
        </w:r>
        <w:r>
          <w:rPr>
            <w:webHidden/>
          </w:rPr>
        </w:r>
        <w:r>
          <w:rPr>
            <w:webHidden/>
          </w:rPr>
          <w:fldChar w:fldCharType="separate"/>
        </w:r>
        <w:r w:rsidR="002F07A8">
          <w:rPr>
            <w:webHidden/>
          </w:rPr>
          <w:t>15</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5" w:history="1">
        <w:r w:rsidRPr="004B3983">
          <w:rPr>
            <w:rStyle w:val="Hyperlink"/>
          </w:rPr>
          <w:t>2.3.attēls. Mazumtirdzniecība</w:t>
        </w:r>
        <w:r>
          <w:rPr>
            <w:webHidden/>
          </w:rPr>
          <w:tab/>
        </w:r>
        <w:r>
          <w:rPr>
            <w:webHidden/>
          </w:rPr>
          <w:fldChar w:fldCharType="begin"/>
        </w:r>
        <w:r>
          <w:rPr>
            <w:webHidden/>
          </w:rPr>
          <w:instrText xml:space="preserve"> PAGEREF _Toc305421415 \h </w:instrText>
        </w:r>
        <w:r>
          <w:rPr>
            <w:webHidden/>
          </w:rPr>
        </w:r>
        <w:r>
          <w:rPr>
            <w:webHidden/>
          </w:rPr>
          <w:fldChar w:fldCharType="separate"/>
        </w:r>
        <w:r w:rsidR="002F07A8">
          <w:rPr>
            <w:webHidden/>
          </w:rPr>
          <w:t>16</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6" w:history="1">
        <w:r w:rsidRPr="004B3983">
          <w:rPr>
            <w:rStyle w:val="Hyperlink"/>
          </w:rPr>
          <w:t>2.4.attēls. Mazumtirdzniecības konfidences rādītājs</w:t>
        </w:r>
        <w:r>
          <w:rPr>
            <w:webHidden/>
          </w:rPr>
          <w:tab/>
        </w:r>
        <w:r>
          <w:rPr>
            <w:webHidden/>
          </w:rPr>
          <w:fldChar w:fldCharType="begin"/>
        </w:r>
        <w:r>
          <w:rPr>
            <w:webHidden/>
          </w:rPr>
          <w:instrText xml:space="preserve"> PAGEREF _Toc305421416 \h </w:instrText>
        </w:r>
        <w:r>
          <w:rPr>
            <w:webHidden/>
          </w:rPr>
        </w:r>
        <w:r>
          <w:rPr>
            <w:webHidden/>
          </w:rPr>
          <w:fldChar w:fldCharType="separate"/>
        </w:r>
        <w:r w:rsidR="002F07A8">
          <w:rPr>
            <w:webHidden/>
          </w:rPr>
          <w:t>16</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7" w:history="1">
        <w:r w:rsidRPr="004B3983">
          <w:rPr>
            <w:rStyle w:val="Hyperlink"/>
          </w:rPr>
          <w:t>2.5.attēls. Būvniecību raksturojošie rādītāji</w:t>
        </w:r>
        <w:r>
          <w:rPr>
            <w:webHidden/>
          </w:rPr>
          <w:tab/>
        </w:r>
        <w:r>
          <w:rPr>
            <w:webHidden/>
          </w:rPr>
          <w:fldChar w:fldCharType="begin"/>
        </w:r>
        <w:r>
          <w:rPr>
            <w:webHidden/>
          </w:rPr>
          <w:instrText xml:space="preserve"> PAGEREF _Toc305421417 \h </w:instrText>
        </w:r>
        <w:r>
          <w:rPr>
            <w:webHidden/>
          </w:rPr>
        </w:r>
        <w:r>
          <w:rPr>
            <w:webHidden/>
          </w:rPr>
          <w:fldChar w:fldCharType="separate"/>
        </w:r>
        <w:r w:rsidR="002F07A8">
          <w:rPr>
            <w:webHidden/>
          </w:rPr>
          <w:t>17</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8" w:history="1">
        <w:r w:rsidRPr="004B3983">
          <w:rPr>
            <w:rStyle w:val="Hyperlink"/>
          </w:rPr>
          <w:t>2.6.attēls. Kravu apgrozījums</w:t>
        </w:r>
        <w:r>
          <w:rPr>
            <w:webHidden/>
          </w:rPr>
          <w:tab/>
        </w:r>
        <w:r>
          <w:rPr>
            <w:webHidden/>
          </w:rPr>
          <w:fldChar w:fldCharType="begin"/>
        </w:r>
        <w:r>
          <w:rPr>
            <w:webHidden/>
          </w:rPr>
          <w:instrText xml:space="preserve"> PAGEREF _Toc305421418 \h </w:instrText>
        </w:r>
        <w:r>
          <w:rPr>
            <w:webHidden/>
          </w:rPr>
        </w:r>
        <w:r>
          <w:rPr>
            <w:webHidden/>
          </w:rPr>
          <w:fldChar w:fldCharType="separate"/>
        </w:r>
        <w:r w:rsidR="002F07A8">
          <w:rPr>
            <w:webHidden/>
          </w:rPr>
          <w:t>17</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19" w:history="1">
        <w:r w:rsidRPr="004B3983">
          <w:rPr>
            <w:rStyle w:val="Hyperlink"/>
          </w:rPr>
          <w:t>2.7.attēls. Apstrādes rūpniecības produkcijas fiziskā apjoma indekss</w:t>
        </w:r>
        <w:r>
          <w:rPr>
            <w:webHidden/>
          </w:rPr>
          <w:tab/>
        </w:r>
        <w:r>
          <w:rPr>
            <w:webHidden/>
          </w:rPr>
          <w:fldChar w:fldCharType="begin"/>
        </w:r>
        <w:r>
          <w:rPr>
            <w:webHidden/>
          </w:rPr>
          <w:instrText xml:space="preserve"> PAGEREF _Toc305421419 \h </w:instrText>
        </w:r>
        <w:r>
          <w:rPr>
            <w:webHidden/>
          </w:rPr>
        </w:r>
        <w:r>
          <w:rPr>
            <w:webHidden/>
          </w:rPr>
          <w:fldChar w:fldCharType="separate"/>
        </w:r>
        <w:r w:rsidR="002F07A8">
          <w:rPr>
            <w:webHidden/>
          </w:rPr>
          <w:t>18</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0" w:history="1">
        <w:r w:rsidRPr="004B3983">
          <w:rPr>
            <w:rStyle w:val="Hyperlink"/>
          </w:rPr>
          <w:t>2.8.attēls. Rūpniecības konfidences rādītājs un ražošanas jaudu noslodze</w:t>
        </w:r>
        <w:r>
          <w:rPr>
            <w:webHidden/>
          </w:rPr>
          <w:tab/>
        </w:r>
        <w:r>
          <w:rPr>
            <w:webHidden/>
          </w:rPr>
          <w:fldChar w:fldCharType="begin"/>
        </w:r>
        <w:r>
          <w:rPr>
            <w:webHidden/>
          </w:rPr>
          <w:instrText xml:space="preserve"> PAGEREF _Toc305421420 \h </w:instrText>
        </w:r>
        <w:r>
          <w:rPr>
            <w:webHidden/>
          </w:rPr>
        </w:r>
        <w:r>
          <w:rPr>
            <w:webHidden/>
          </w:rPr>
          <w:fldChar w:fldCharType="separate"/>
        </w:r>
        <w:r w:rsidR="002F07A8">
          <w:rPr>
            <w:webHidden/>
          </w:rPr>
          <w:t>18</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1" w:history="1">
        <w:r w:rsidRPr="004B3983">
          <w:rPr>
            <w:rStyle w:val="Hyperlink"/>
          </w:rPr>
          <w:t>2.9.attēls. Jaunie pasūtījumi apstrādes rūpniecībā</w:t>
        </w:r>
        <w:r>
          <w:rPr>
            <w:webHidden/>
          </w:rPr>
          <w:tab/>
        </w:r>
        <w:r>
          <w:rPr>
            <w:webHidden/>
          </w:rPr>
          <w:fldChar w:fldCharType="begin"/>
        </w:r>
        <w:r>
          <w:rPr>
            <w:webHidden/>
          </w:rPr>
          <w:instrText xml:space="preserve"> PAGEREF _Toc305421421 \h </w:instrText>
        </w:r>
        <w:r>
          <w:rPr>
            <w:webHidden/>
          </w:rPr>
        </w:r>
        <w:r>
          <w:rPr>
            <w:webHidden/>
          </w:rPr>
          <w:fldChar w:fldCharType="separate"/>
        </w:r>
        <w:r w:rsidR="002F07A8">
          <w:rPr>
            <w:webHidden/>
          </w:rPr>
          <w:t>19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2" w:history="1">
        <w:r w:rsidRPr="004B3983">
          <w:rPr>
            <w:rStyle w:val="Hyperlink"/>
          </w:rPr>
          <w:t>2.10.attēls. Apstrādes rūpniecību raksturojošie rādītāji</w:t>
        </w:r>
        <w:r>
          <w:rPr>
            <w:webHidden/>
          </w:rPr>
          <w:tab/>
        </w:r>
        <w:r>
          <w:rPr>
            <w:webHidden/>
          </w:rPr>
          <w:fldChar w:fldCharType="begin"/>
        </w:r>
        <w:r>
          <w:rPr>
            <w:webHidden/>
          </w:rPr>
          <w:instrText xml:space="preserve"> PAGEREF _Toc305421422 \h </w:instrText>
        </w:r>
        <w:r>
          <w:rPr>
            <w:webHidden/>
          </w:rPr>
        </w:r>
        <w:r>
          <w:rPr>
            <w:webHidden/>
          </w:rPr>
          <w:fldChar w:fldCharType="separate"/>
        </w:r>
        <w:r w:rsidR="002F07A8">
          <w:rPr>
            <w:webHidden/>
          </w:rPr>
          <w:t>20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3" w:history="1">
        <w:r w:rsidRPr="004B3983">
          <w:rPr>
            <w:rStyle w:val="Hyperlink"/>
          </w:rPr>
          <w:t>2.11.attēls. Pārtikas un dzērienu ražošanu raksturojošie rādītāji</w:t>
        </w:r>
        <w:r>
          <w:rPr>
            <w:webHidden/>
          </w:rPr>
          <w:tab/>
        </w:r>
        <w:r>
          <w:rPr>
            <w:webHidden/>
          </w:rPr>
          <w:fldChar w:fldCharType="begin"/>
        </w:r>
        <w:r>
          <w:rPr>
            <w:webHidden/>
          </w:rPr>
          <w:instrText xml:space="preserve"> PAGEREF _Toc305421423 \h </w:instrText>
        </w:r>
        <w:r>
          <w:rPr>
            <w:webHidden/>
          </w:rPr>
        </w:r>
        <w:r>
          <w:rPr>
            <w:webHidden/>
          </w:rPr>
          <w:fldChar w:fldCharType="separate"/>
        </w:r>
        <w:r w:rsidR="002F07A8">
          <w:rPr>
            <w:webHidden/>
          </w:rPr>
          <w:t>20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4" w:history="1">
        <w:r w:rsidRPr="004B3983">
          <w:rPr>
            <w:rStyle w:val="Hyperlink"/>
          </w:rPr>
          <w:t>2.12.attēls. Vieglo rūpniecību raksturojoši rādītāji</w:t>
        </w:r>
        <w:r>
          <w:rPr>
            <w:webHidden/>
          </w:rPr>
          <w:tab/>
        </w:r>
        <w:r>
          <w:rPr>
            <w:webHidden/>
          </w:rPr>
          <w:fldChar w:fldCharType="begin"/>
        </w:r>
        <w:r>
          <w:rPr>
            <w:webHidden/>
          </w:rPr>
          <w:instrText xml:space="preserve"> PAGEREF _Toc305421424 \h </w:instrText>
        </w:r>
        <w:r>
          <w:rPr>
            <w:webHidden/>
          </w:rPr>
        </w:r>
        <w:r>
          <w:rPr>
            <w:webHidden/>
          </w:rPr>
          <w:fldChar w:fldCharType="separate"/>
        </w:r>
        <w:r w:rsidR="002F07A8">
          <w:rPr>
            <w:webHidden/>
          </w:rPr>
          <w:t>21</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5" w:history="1">
        <w:r w:rsidRPr="004B3983">
          <w:rPr>
            <w:rStyle w:val="Hyperlink"/>
          </w:rPr>
          <w:t>2.13.attēls. Kokapstrādi raksturojoši rādītāji</w:t>
        </w:r>
        <w:r>
          <w:rPr>
            <w:webHidden/>
          </w:rPr>
          <w:tab/>
        </w:r>
        <w:r>
          <w:rPr>
            <w:webHidden/>
          </w:rPr>
          <w:fldChar w:fldCharType="begin"/>
        </w:r>
        <w:r>
          <w:rPr>
            <w:webHidden/>
          </w:rPr>
          <w:instrText xml:space="preserve"> PAGEREF _Toc305421425 \h </w:instrText>
        </w:r>
        <w:r>
          <w:rPr>
            <w:webHidden/>
          </w:rPr>
        </w:r>
        <w:r>
          <w:rPr>
            <w:webHidden/>
          </w:rPr>
          <w:fldChar w:fldCharType="separate"/>
        </w:r>
        <w:r w:rsidR="002F07A8">
          <w:rPr>
            <w:webHidden/>
          </w:rPr>
          <w:t>21</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6" w:history="1">
        <w:r w:rsidRPr="004B3983">
          <w:rPr>
            <w:rStyle w:val="Hyperlink"/>
          </w:rPr>
          <w:t>2.14.attēls. Papīra ražošanu un izdevējdarbību raksturojoši rādītāji</w:t>
        </w:r>
        <w:r>
          <w:rPr>
            <w:webHidden/>
          </w:rPr>
          <w:tab/>
        </w:r>
        <w:r>
          <w:rPr>
            <w:webHidden/>
          </w:rPr>
          <w:fldChar w:fldCharType="begin"/>
        </w:r>
        <w:r>
          <w:rPr>
            <w:webHidden/>
          </w:rPr>
          <w:instrText xml:space="preserve"> PAGEREF _Toc305421426 \h </w:instrText>
        </w:r>
        <w:r>
          <w:rPr>
            <w:webHidden/>
          </w:rPr>
        </w:r>
        <w:r>
          <w:rPr>
            <w:webHidden/>
          </w:rPr>
          <w:fldChar w:fldCharType="separate"/>
        </w:r>
        <w:r w:rsidR="002F07A8">
          <w:rPr>
            <w:webHidden/>
          </w:rPr>
          <w:t>22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7" w:history="1">
        <w:r w:rsidRPr="004B3983">
          <w:rPr>
            <w:rStyle w:val="Hyperlink"/>
          </w:rPr>
          <w:t>2.15.attēls. Ķīmisko rūpniecību un tās saskarnozares raksturojoši rādītāji</w:t>
        </w:r>
        <w:r>
          <w:rPr>
            <w:webHidden/>
          </w:rPr>
          <w:tab/>
        </w:r>
        <w:r>
          <w:rPr>
            <w:webHidden/>
          </w:rPr>
          <w:fldChar w:fldCharType="begin"/>
        </w:r>
        <w:r>
          <w:rPr>
            <w:webHidden/>
          </w:rPr>
          <w:instrText xml:space="preserve"> PAGEREF _Toc305421427 \h </w:instrText>
        </w:r>
        <w:r>
          <w:rPr>
            <w:webHidden/>
          </w:rPr>
        </w:r>
        <w:r>
          <w:rPr>
            <w:webHidden/>
          </w:rPr>
          <w:fldChar w:fldCharType="separate"/>
        </w:r>
        <w:r w:rsidR="002F07A8">
          <w:rPr>
            <w:webHidden/>
          </w:rPr>
          <w:t>22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8" w:history="1">
        <w:r w:rsidRPr="004B3983">
          <w:rPr>
            <w:rStyle w:val="Hyperlink"/>
          </w:rPr>
          <w:t>2.16.attēls. Nemetālisko minerālu izstrādājumu ražošanu raksturojoši rādītāji</w:t>
        </w:r>
        <w:r>
          <w:rPr>
            <w:webHidden/>
          </w:rPr>
          <w:tab/>
        </w:r>
        <w:r>
          <w:rPr>
            <w:webHidden/>
          </w:rPr>
          <w:fldChar w:fldCharType="begin"/>
        </w:r>
        <w:r>
          <w:rPr>
            <w:webHidden/>
          </w:rPr>
          <w:instrText xml:space="preserve"> PAGEREF _Toc305421428 \h </w:instrText>
        </w:r>
        <w:r>
          <w:rPr>
            <w:webHidden/>
          </w:rPr>
        </w:r>
        <w:r>
          <w:rPr>
            <w:webHidden/>
          </w:rPr>
          <w:fldChar w:fldCharType="separate"/>
        </w:r>
        <w:r w:rsidR="002F07A8">
          <w:rPr>
            <w:webHidden/>
          </w:rPr>
          <w:t>23</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29" w:history="1">
        <w:r w:rsidRPr="004B3983">
          <w:rPr>
            <w:rStyle w:val="Hyperlink"/>
          </w:rPr>
          <w:t>2.17.attēls. Metāla un gatavo metāla izstrādājumu ražošanu raksturojoši rādītāji</w:t>
        </w:r>
        <w:r>
          <w:rPr>
            <w:webHidden/>
          </w:rPr>
          <w:tab/>
        </w:r>
        <w:r>
          <w:rPr>
            <w:webHidden/>
          </w:rPr>
          <w:fldChar w:fldCharType="begin"/>
        </w:r>
        <w:r>
          <w:rPr>
            <w:webHidden/>
          </w:rPr>
          <w:instrText xml:space="preserve"> PAGEREF _Toc305421429 \h </w:instrText>
        </w:r>
        <w:r>
          <w:rPr>
            <w:webHidden/>
          </w:rPr>
        </w:r>
        <w:r>
          <w:rPr>
            <w:webHidden/>
          </w:rPr>
          <w:fldChar w:fldCharType="separate"/>
        </w:r>
        <w:r w:rsidR="002F07A8">
          <w:rPr>
            <w:webHidden/>
          </w:rPr>
          <w:t>23</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0" w:history="1">
        <w:r w:rsidRPr="004B3983">
          <w:rPr>
            <w:rStyle w:val="Hyperlink"/>
          </w:rPr>
          <w:t>2.18.attēls. Elektrisko un optisko iekārtu ražošanu raksturojoši rādītāji</w:t>
        </w:r>
        <w:r>
          <w:rPr>
            <w:webHidden/>
          </w:rPr>
          <w:tab/>
        </w:r>
        <w:r>
          <w:rPr>
            <w:webHidden/>
          </w:rPr>
          <w:fldChar w:fldCharType="begin"/>
        </w:r>
        <w:r>
          <w:rPr>
            <w:webHidden/>
          </w:rPr>
          <w:instrText xml:space="preserve"> PAGEREF _Toc305421430 \h </w:instrText>
        </w:r>
        <w:r>
          <w:rPr>
            <w:webHidden/>
          </w:rPr>
        </w:r>
        <w:r>
          <w:rPr>
            <w:webHidden/>
          </w:rPr>
          <w:fldChar w:fldCharType="separate"/>
        </w:r>
        <w:r w:rsidR="002F07A8">
          <w:rPr>
            <w:webHidden/>
          </w:rPr>
          <w:t>24</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1" w:history="1">
        <w:r w:rsidRPr="004B3983">
          <w:rPr>
            <w:rStyle w:val="Hyperlink"/>
          </w:rPr>
          <w:t>2.19.attēls. Mašīnu un iekārtu ražošanu raksturojoši rādītāji</w:t>
        </w:r>
        <w:r>
          <w:rPr>
            <w:webHidden/>
          </w:rPr>
          <w:tab/>
        </w:r>
        <w:r>
          <w:rPr>
            <w:webHidden/>
          </w:rPr>
          <w:fldChar w:fldCharType="begin"/>
        </w:r>
        <w:r>
          <w:rPr>
            <w:webHidden/>
          </w:rPr>
          <w:instrText xml:space="preserve"> PAGEREF _Toc305421431 \h </w:instrText>
        </w:r>
        <w:r>
          <w:rPr>
            <w:webHidden/>
          </w:rPr>
        </w:r>
        <w:r>
          <w:rPr>
            <w:webHidden/>
          </w:rPr>
          <w:fldChar w:fldCharType="separate"/>
        </w:r>
        <w:r w:rsidR="002F07A8">
          <w:rPr>
            <w:webHidden/>
          </w:rPr>
          <w:t>24</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2" w:history="1">
        <w:r w:rsidRPr="004B3983">
          <w:rPr>
            <w:rStyle w:val="Hyperlink"/>
          </w:rPr>
          <w:t>2.20.attēls. Transporta līdzekļu ražošanu raksturojoši rādītāji</w:t>
        </w:r>
        <w:r>
          <w:rPr>
            <w:webHidden/>
          </w:rPr>
          <w:tab/>
        </w:r>
        <w:r>
          <w:rPr>
            <w:webHidden/>
          </w:rPr>
          <w:fldChar w:fldCharType="begin"/>
        </w:r>
        <w:r>
          <w:rPr>
            <w:webHidden/>
          </w:rPr>
          <w:instrText xml:space="preserve"> PAGEREF _Toc305421432 \h </w:instrText>
        </w:r>
        <w:r>
          <w:rPr>
            <w:webHidden/>
          </w:rPr>
        </w:r>
        <w:r>
          <w:rPr>
            <w:webHidden/>
          </w:rPr>
          <w:fldChar w:fldCharType="separate"/>
        </w:r>
        <w:r w:rsidR="002F07A8">
          <w:rPr>
            <w:webHidden/>
          </w:rPr>
          <w:t>25</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33" w:history="1">
        <w:r w:rsidRPr="004B3983">
          <w:rPr>
            <w:rStyle w:val="Hyperlink"/>
          </w:rPr>
          <w:t>3. Pieprasījums</w:t>
        </w:r>
        <w:r>
          <w:rPr>
            <w:webHidden/>
          </w:rPr>
          <w:tab/>
        </w:r>
        <w:r>
          <w:rPr>
            <w:webHidden/>
          </w:rPr>
          <w:fldChar w:fldCharType="begin"/>
        </w:r>
        <w:r>
          <w:rPr>
            <w:webHidden/>
          </w:rPr>
          <w:instrText xml:space="preserve"> PAGEREF _Toc305421433 \h </w:instrText>
        </w:r>
        <w:r>
          <w:rPr>
            <w:webHidden/>
          </w:rPr>
        </w:r>
        <w:r>
          <w:rPr>
            <w:webHidden/>
          </w:rPr>
          <w:fldChar w:fldCharType="separate"/>
        </w:r>
        <w:r w:rsidR="002F07A8">
          <w:rPr>
            <w:webHidden/>
          </w:rPr>
          <w:t>26</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4" w:history="1">
        <w:r w:rsidRPr="004B3983">
          <w:rPr>
            <w:rStyle w:val="Hyperlink"/>
          </w:rPr>
          <w:t>3.1.tabula. IKP no izlietojuma puses</w:t>
        </w:r>
        <w:r>
          <w:rPr>
            <w:webHidden/>
          </w:rPr>
          <w:tab/>
        </w:r>
        <w:r>
          <w:rPr>
            <w:webHidden/>
          </w:rPr>
          <w:fldChar w:fldCharType="begin"/>
        </w:r>
        <w:r>
          <w:rPr>
            <w:webHidden/>
          </w:rPr>
          <w:instrText xml:space="preserve"> PAGEREF _Toc305421434 \h </w:instrText>
        </w:r>
        <w:r>
          <w:rPr>
            <w:webHidden/>
          </w:rPr>
        </w:r>
        <w:r>
          <w:rPr>
            <w:webHidden/>
          </w:rPr>
          <w:fldChar w:fldCharType="separate"/>
        </w:r>
        <w:r w:rsidR="002F07A8">
          <w:rPr>
            <w:webHidden/>
          </w:rPr>
          <w:t>28</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5" w:history="1">
        <w:r w:rsidRPr="004B3983">
          <w:rPr>
            <w:rStyle w:val="Hyperlink"/>
          </w:rPr>
          <w:t>3.1.attēls. Iekšzemes pieprasījuma izmaiņas pa ceturkšņiem</w:t>
        </w:r>
        <w:r>
          <w:rPr>
            <w:webHidden/>
          </w:rPr>
          <w:tab/>
        </w:r>
        <w:r>
          <w:rPr>
            <w:webHidden/>
          </w:rPr>
          <w:fldChar w:fldCharType="begin"/>
        </w:r>
        <w:r>
          <w:rPr>
            <w:webHidden/>
          </w:rPr>
          <w:instrText xml:space="preserve"> PAGEREF _Toc305421435 \h </w:instrText>
        </w:r>
        <w:r>
          <w:rPr>
            <w:webHidden/>
          </w:rPr>
        </w:r>
        <w:r>
          <w:rPr>
            <w:webHidden/>
          </w:rPr>
          <w:fldChar w:fldCharType="separate"/>
        </w:r>
        <w:r w:rsidR="002F07A8">
          <w:rPr>
            <w:webHidden/>
          </w:rPr>
          <w:t>29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6" w:history="1">
        <w:r w:rsidRPr="004B3983">
          <w:rPr>
            <w:rStyle w:val="Hyperlink"/>
          </w:rPr>
          <w:t>3.2.attēls. Privātā patēriņa izmaiņas pa ceturkšņiem</w:t>
        </w:r>
        <w:r>
          <w:rPr>
            <w:webHidden/>
          </w:rPr>
          <w:tab/>
        </w:r>
        <w:r>
          <w:rPr>
            <w:webHidden/>
          </w:rPr>
          <w:fldChar w:fldCharType="begin"/>
        </w:r>
        <w:r>
          <w:rPr>
            <w:webHidden/>
          </w:rPr>
          <w:instrText xml:space="preserve"> PAGEREF _Toc305421436 \h </w:instrText>
        </w:r>
        <w:r>
          <w:rPr>
            <w:webHidden/>
          </w:rPr>
        </w:r>
        <w:r>
          <w:rPr>
            <w:webHidden/>
          </w:rPr>
          <w:fldChar w:fldCharType="separate"/>
        </w:r>
        <w:r w:rsidR="002F07A8">
          <w:rPr>
            <w:webHidden/>
          </w:rPr>
          <w:t>29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7" w:history="1">
        <w:r w:rsidRPr="004B3983">
          <w:rPr>
            <w:rStyle w:val="Hyperlink"/>
          </w:rPr>
          <w:t>3.3.attēls. Sabiedriskā patēriņa izmaiņas pa ceturkšņiem</w:t>
        </w:r>
        <w:r>
          <w:rPr>
            <w:webHidden/>
          </w:rPr>
          <w:tab/>
        </w:r>
        <w:r>
          <w:rPr>
            <w:webHidden/>
          </w:rPr>
          <w:fldChar w:fldCharType="begin"/>
        </w:r>
        <w:r>
          <w:rPr>
            <w:webHidden/>
          </w:rPr>
          <w:instrText xml:space="preserve"> PAGEREF _Toc305421437 \h </w:instrText>
        </w:r>
        <w:r>
          <w:rPr>
            <w:webHidden/>
          </w:rPr>
        </w:r>
        <w:r>
          <w:rPr>
            <w:webHidden/>
          </w:rPr>
          <w:fldChar w:fldCharType="separate"/>
        </w:r>
        <w:r w:rsidR="002F07A8">
          <w:rPr>
            <w:webHidden/>
          </w:rPr>
          <w:t>29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8" w:history="1">
        <w:r w:rsidRPr="004B3983">
          <w:rPr>
            <w:rStyle w:val="Hyperlink"/>
          </w:rPr>
          <w:t>3.4.attēls. Investīcijas pamatlīdzekļos pa ceturkšņiem</w:t>
        </w:r>
        <w:r>
          <w:rPr>
            <w:webHidden/>
          </w:rPr>
          <w:tab/>
        </w:r>
        <w:r>
          <w:rPr>
            <w:webHidden/>
          </w:rPr>
          <w:fldChar w:fldCharType="begin"/>
        </w:r>
        <w:r>
          <w:rPr>
            <w:webHidden/>
          </w:rPr>
          <w:instrText xml:space="preserve"> PAGEREF _Toc305421438 \h </w:instrText>
        </w:r>
        <w:r>
          <w:rPr>
            <w:webHidden/>
          </w:rPr>
        </w:r>
        <w:r>
          <w:rPr>
            <w:webHidden/>
          </w:rPr>
          <w:fldChar w:fldCharType="separate"/>
        </w:r>
        <w:r w:rsidR="002F07A8">
          <w:rPr>
            <w:webHidden/>
          </w:rPr>
          <w:t>30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39" w:history="1">
        <w:r w:rsidRPr="004B3983">
          <w:rPr>
            <w:rStyle w:val="Hyperlink"/>
          </w:rPr>
          <w:t>3.5.attēls. Preču un pakalpojumu eksports pa ceturkšņiem</w:t>
        </w:r>
        <w:r>
          <w:rPr>
            <w:webHidden/>
          </w:rPr>
          <w:tab/>
        </w:r>
        <w:r>
          <w:rPr>
            <w:webHidden/>
          </w:rPr>
          <w:fldChar w:fldCharType="begin"/>
        </w:r>
        <w:r>
          <w:rPr>
            <w:webHidden/>
          </w:rPr>
          <w:instrText xml:space="preserve"> PAGEREF _Toc305421439 \h </w:instrText>
        </w:r>
        <w:r>
          <w:rPr>
            <w:webHidden/>
          </w:rPr>
        </w:r>
        <w:r>
          <w:rPr>
            <w:webHidden/>
          </w:rPr>
          <w:fldChar w:fldCharType="separate"/>
        </w:r>
        <w:r w:rsidR="002F07A8">
          <w:rPr>
            <w:webHidden/>
          </w:rPr>
          <w:t>30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0" w:history="1">
        <w:r w:rsidRPr="004B3983">
          <w:rPr>
            <w:rStyle w:val="Hyperlink"/>
          </w:rPr>
          <w:t>3.6.attēls. Preču un pakalpojumu imports pa ceturkšņiem</w:t>
        </w:r>
        <w:r>
          <w:rPr>
            <w:webHidden/>
          </w:rPr>
          <w:tab/>
        </w:r>
        <w:r>
          <w:rPr>
            <w:webHidden/>
          </w:rPr>
          <w:fldChar w:fldCharType="begin"/>
        </w:r>
        <w:r>
          <w:rPr>
            <w:webHidden/>
          </w:rPr>
          <w:instrText xml:space="preserve"> PAGEREF _Toc305421440 \h </w:instrText>
        </w:r>
        <w:r>
          <w:rPr>
            <w:webHidden/>
          </w:rPr>
        </w:r>
        <w:r>
          <w:rPr>
            <w:webHidden/>
          </w:rPr>
          <w:fldChar w:fldCharType="separate"/>
        </w:r>
        <w:r w:rsidR="002F07A8">
          <w:rPr>
            <w:webHidden/>
          </w:rPr>
          <w:t>30</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41" w:history="1">
        <w:r w:rsidRPr="004B3983">
          <w:rPr>
            <w:rStyle w:val="Hyperlink"/>
          </w:rPr>
          <w:t>4. Ārējais sektors</w:t>
        </w:r>
        <w:r>
          <w:rPr>
            <w:webHidden/>
          </w:rPr>
          <w:tab/>
        </w:r>
        <w:r>
          <w:rPr>
            <w:webHidden/>
          </w:rPr>
          <w:fldChar w:fldCharType="begin"/>
        </w:r>
        <w:r>
          <w:rPr>
            <w:webHidden/>
          </w:rPr>
          <w:instrText xml:space="preserve"> PAGEREF _Toc305421441 \h </w:instrText>
        </w:r>
        <w:r>
          <w:rPr>
            <w:webHidden/>
          </w:rPr>
        </w:r>
        <w:r>
          <w:rPr>
            <w:webHidden/>
          </w:rPr>
          <w:fldChar w:fldCharType="separate"/>
        </w:r>
        <w:r w:rsidR="002F07A8">
          <w:rPr>
            <w:webHidden/>
          </w:rPr>
          <w:t>31</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2" w:history="1">
        <w:r w:rsidRPr="004B3983">
          <w:rPr>
            <w:rStyle w:val="Hyperlink"/>
          </w:rPr>
          <w:t>4.1.attēls. Preču eksports un imports pa mēnešiem</w:t>
        </w:r>
        <w:r>
          <w:rPr>
            <w:webHidden/>
          </w:rPr>
          <w:tab/>
        </w:r>
        <w:r>
          <w:rPr>
            <w:webHidden/>
          </w:rPr>
          <w:fldChar w:fldCharType="begin"/>
        </w:r>
        <w:r>
          <w:rPr>
            <w:webHidden/>
          </w:rPr>
          <w:instrText xml:space="preserve"> PAGEREF _Toc305421442 \h </w:instrText>
        </w:r>
        <w:r>
          <w:rPr>
            <w:webHidden/>
          </w:rPr>
        </w:r>
        <w:r>
          <w:rPr>
            <w:webHidden/>
          </w:rPr>
          <w:fldChar w:fldCharType="separate"/>
        </w:r>
        <w:r w:rsidR="002F07A8">
          <w:rPr>
            <w:webHidden/>
          </w:rPr>
          <w:t>33</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3" w:history="1">
        <w:r w:rsidRPr="004B3983">
          <w:rPr>
            <w:rStyle w:val="Hyperlink"/>
          </w:rPr>
          <w:t>4.2.attēls. Pakalpojumu eksports un imports pa mēnešiem</w:t>
        </w:r>
        <w:r>
          <w:rPr>
            <w:webHidden/>
          </w:rPr>
          <w:tab/>
        </w:r>
        <w:r>
          <w:rPr>
            <w:webHidden/>
          </w:rPr>
          <w:fldChar w:fldCharType="begin"/>
        </w:r>
        <w:r>
          <w:rPr>
            <w:webHidden/>
          </w:rPr>
          <w:instrText xml:space="preserve"> PAGEREF _Toc305421443 \h </w:instrText>
        </w:r>
        <w:r>
          <w:rPr>
            <w:webHidden/>
          </w:rPr>
        </w:r>
        <w:r>
          <w:rPr>
            <w:webHidden/>
          </w:rPr>
          <w:fldChar w:fldCharType="separate"/>
        </w:r>
        <w:r w:rsidR="002F07A8">
          <w:rPr>
            <w:webHidden/>
          </w:rPr>
          <w:t>33</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4" w:history="1">
        <w:r w:rsidRPr="004B3983">
          <w:rPr>
            <w:rStyle w:val="Hyperlink"/>
          </w:rPr>
          <w:t>4.3.attēls. Maksājumu bilance pa ceturkšņiem</w:t>
        </w:r>
        <w:r>
          <w:rPr>
            <w:webHidden/>
          </w:rPr>
          <w:tab/>
        </w:r>
        <w:r>
          <w:rPr>
            <w:webHidden/>
          </w:rPr>
          <w:fldChar w:fldCharType="begin"/>
        </w:r>
        <w:r>
          <w:rPr>
            <w:webHidden/>
          </w:rPr>
          <w:instrText xml:space="preserve"> PAGEREF _Toc305421444 \h </w:instrText>
        </w:r>
        <w:r>
          <w:rPr>
            <w:webHidden/>
          </w:rPr>
        </w:r>
        <w:r>
          <w:rPr>
            <w:webHidden/>
          </w:rPr>
          <w:fldChar w:fldCharType="separate"/>
        </w:r>
        <w:r w:rsidR="002F07A8">
          <w:rPr>
            <w:webHidden/>
          </w:rPr>
          <w:t>34</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5" w:history="1">
        <w:r w:rsidRPr="004B3983">
          <w:rPr>
            <w:rStyle w:val="Hyperlink"/>
          </w:rPr>
          <w:t>4.4.attēls. Lata reālā efektīvā kursa indekss</w:t>
        </w:r>
        <w:r>
          <w:rPr>
            <w:webHidden/>
          </w:rPr>
          <w:tab/>
        </w:r>
        <w:r>
          <w:rPr>
            <w:webHidden/>
          </w:rPr>
          <w:fldChar w:fldCharType="begin"/>
        </w:r>
        <w:r>
          <w:rPr>
            <w:webHidden/>
          </w:rPr>
          <w:instrText xml:space="preserve"> PAGEREF _Toc305421445 \h </w:instrText>
        </w:r>
        <w:r>
          <w:rPr>
            <w:webHidden/>
          </w:rPr>
        </w:r>
        <w:r>
          <w:rPr>
            <w:webHidden/>
          </w:rPr>
          <w:fldChar w:fldCharType="separate"/>
        </w:r>
        <w:r w:rsidR="002F07A8">
          <w:rPr>
            <w:webHidden/>
          </w:rPr>
          <w:t>34</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46" w:history="1">
        <w:r w:rsidRPr="004B3983">
          <w:rPr>
            <w:rStyle w:val="Hyperlink"/>
          </w:rPr>
          <w:t>5. Finanšu sektors</w:t>
        </w:r>
        <w:r>
          <w:rPr>
            <w:webHidden/>
          </w:rPr>
          <w:tab/>
        </w:r>
        <w:r>
          <w:rPr>
            <w:webHidden/>
          </w:rPr>
          <w:fldChar w:fldCharType="begin"/>
        </w:r>
        <w:r>
          <w:rPr>
            <w:webHidden/>
          </w:rPr>
          <w:instrText xml:space="preserve"> PAGEREF _Toc305421446 \h </w:instrText>
        </w:r>
        <w:r>
          <w:rPr>
            <w:webHidden/>
          </w:rPr>
        </w:r>
        <w:r>
          <w:rPr>
            <w:webHidden/>
          </w:rPr>
          <w:fldChar w:fldCharType="separate"/>
        </w:r>
        <w:r w:rsidR="002F07A8">
          <w:rPr>
            <w:webHidden/>
          </w:rPr>
          <w:t>35</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7" w:history="1">
        <w:r w:rsidRPr="004B3983">
          <w:rPr>
            <w:rStyle w:val="Hyperlink"/>
          </w:rPr>
          <w:t>5.1.attēls. Valsts konsolidētā kopbudžeta finansiālie rādītāji</w:t>
        </w:r>
        <w:r>
          <w:rPr>
            <w:webHidden/>
          </w:rPr>
          <w:tab/>
        </w:r>
        <w:r>
          <w:rPr>
            <w:webHidden/>
          </w:rPr>
          <w:fldChar w:fldCharType="begin"/>
        </w:r>
        <w:r>
          <w:rPr>
            <w:webHidden/>
          </w:rPr>
          <w:instrText xml:space="preserve"> PAGEREF _Toc305421447 \h </w:instrText>
        </w:r>
        <w:r>
          <w:rPr>
            <w:webHidden/>
          </w:rPr>
        </w:r>
        <w:r>
          <w:rPr>
            <w:webHidden/>
          </w:rPr>
          <w:fldChar w:fldCharType="separate"/>
        </w:r>
        <w:r w:rsidR="002F07A8">
          <w:rPr>
            <w:webHidden/>
          </w:rPr>
          <w:t>39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8" w:history="1">
        <w:r w:rsidRPr="004B3983">
          <w:rPr>
            <w:rStyle w:val="Hyperlink"/>
          </w:rPr>
          <w:t>5.2.attēls. Nodokļu ieņēmumi</w:t>
        </w:r>
        <w:r>
          <w:rPr>
            <w:webHidden/>
          </w:rPr>
          <w:tab/>
        </w:r>
        <w:r>
          <w:rPr>
            <w:webHidden/>
          </w:rPr>
          <w:fldChar w:fldCharType="begin"/>
        </w:r>
        <w:r>
          <w:rPr>
            <w:webHidden/>
          </w:rPr>
          <w:instrText xml:space="preserve"> PAGEREF _Toc305421448 \h </w:instrText>
        </w:r>
        <w:r>
          <w:rPr>
            <w:webHidden/>
          </w:rPr>
        </w:r>
        <w:r>
          <w:rPr>
            <w:webHidden/>
          </w:rPr>
          <w:fldChar w:fldCharType="separate"/>
        </w:r>
        <w:r w:rsidR="002F07A8">
          <w:rPr>
            <w:webHidden/>
          </w:rPr>
          <w:t>39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49" w:history="1">
        <w:r w:rsidRPr="004B3983">
          <w:rPr>
            <w:rStyle w:val="Hyperlink"/>
          </w:rPr>
          <w:t xml:space="preserve">5.3.attēls. </w:t>
        </w:r>
        <w:r w:rsidRPr="004B3983">
          <w:rPr>
            <w:rStyle w:val="Hyperlink"/>
            <w:rFonts w:eastAsia="Times New Roman"/>
          </w:rPr>
          <w:t>Rezidentu finanšu iestādēm, nefinanšu sabiedrībām un mājsaimniecībām izsniegtie kredīti</w:t>
        </w:r>
        <w:r>
          <w:rPr>
            <w:webHidden/>
          </w:rPr>
          <w:tab/>
        </w:r>
        <w:r>
          <w:rPr>
            <w:webHidden/>
          </w:rPr>
          <w:fldChar w:fldCharType="begin"/>
        </w:r>
        <w:r>
          <w:rPr>
            <w:webHidden/>
          </w:rPr>
          <w:instrText xml:space="preserve"> PAGEREF _Toc305421449 \h </w:instrText>
        </w:r>
        <w:r>
          <w:rPr>
            <w:webHidden/>
          </w:rPr>
        </w:r>
        <w:r>
          <w:rPr>
            <w:webHidden/>
          </w:rPr>
          <w:fldChar w:fldCharType="separate"/>
        </w:r>
        <w:r w:rsidR="002F07A8">
          <w:rPr>
            <w:webHidden/>
          </w:rPr>
          <w:t>40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0" w:history="1">
        <w:r w:rsidRPr="004B3983">
          <w:rPr>
            <w:rStyle w:val="Hyperlink"/>
          </w:rPr>
          <w:t>5.4.attēls. Vidējās svērtās % likmes izsniegtajiem kredītiem, (LVL; EUR)</w:t>
        </w:r>
        <w:r>
          <w:rPr>
            <w:webHidden/>
          </w:rPr>
          <w:tab/>
        </w:r>
        <w:r>
          <w:rPr>
            <w:webHidden/>
          </w:rPr>
          <w:fldChar w:fldCharType="begin"/>
        </w:r>
        <w:r>
          <w:rPr>
            <w:webHidden/>
          </w:rPr>
          <w:instrText xml:space="preserve"> PAGEREF _Toc305421450 \h </w:instrText>
        </w:r>
        <w:r>
          <w:rPr>
            <w:webHidden/>
          </w:rPr>
        </w:r>
        <w:r>
          <w:rPr>
            <w:webHidden/>
          </w:rPr>
          <w:fldChar w:fldCharType="separate"/>
        </w:r>
        <w:r w:rsidR="002F07A8">
          <w:rPr>
            <w:webHidden/>
          </w:rPr>
          <w:t>40</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51" w:history="1">
        <w:r w:rsidRPr="004B3983">
          <w:rPr>
            <w:rStyle w:val="Hyperlink"/>
          </w:rPr>
          <w:t>6. Darba tirgus</w:t>
        </w:r>
        <w:r>
          <w:rPr>
            <w:webHidden/>
          </w:rPr>
          <w:tab/>
        </w:r>
        <w:r>
          <w:rPr>
            <w:webHidden/>
          </w:rPr>
          <w:fldChar w:fldCharType="begin"/>
        </w:r>
        <w:r>
          <w:rPr>
            <w:webHidden/>
          </w:rPr>
          <w:instrText xml:space="preserve"> PAGEREF _Toc305421451 \h </w:instrText>
        </w:r>
        <w:r>
          <w:rPr>
            <w:webHidden/>
          </w:rPr>
        </w:r>
        <w:r>
          <w:rPr>
            <w:webHidden/>
          </w:rPr>
          <w:fldChar w:fldCharType="separate"/>
        </w:r>
        <w:r w:rsidR="002F07A8">
          <w:rPr>
            <w:webHidden/>
          </w:rPr>
          <w:t>41</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2" w:history="1">
        <w:r w:rsidRPr="004B3983">
          <w:rPr>
            <w:rStyle w:val="Hyperlink"/>
          </w:rPr>
          <w:t>6.1.attēls. Nodarbinātība</w:t>
        </w:r>
        <w:r>
          <w:rPr>
            <w:webHidden/>
          </w:rPr>
          <w:tab/>
        </w:r>
        <w:r>
          <w:rPr>
            <w:webHidden/>
          </w:rPr>
          <w:fldChar w:fldCharType="begin"/>
        </w:r>
        <w:r>
          <w:rPr>
            <w:webHidden/>
          </w:rPr>
          <w:instrText xml:space="preserve"> PAGEREF _Toc305421452 \h </w:instrText>
        </w:r>
        <w:r>
          <w:rPr>
            <w:webHidden/>
          </w:rPr>
        </w:r>
        <w:r>
          <w:rPr>
            <w:webHidden/>
          </w:rPr>
          <w:fldChar w:fldCharType="separate"/>
        </w:r>
        <w:r w:rsidR="002F07A8">
          <w:rPr>
            <w:webHidden/>
          </w:rPr>
          <w:t>42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3" w:history="1">
        <w:r w:rsidRPr="004B3983">
          <w:rPr>
            <w:rStyle w:val="Hyperlink"/>
          </w:rPr>
          <w:t>6.2.attēls. Bezdarbs</w:t>
        </w:r>
        <w:r>
          <w:rPr>
            <w:webHidden/>
          </w:rPr>
          <w:tab/>
        </w:r>
        <w:r>
          <w:rPr>
            <w:webHidden/>
          </w:rPr>
          <w:fldChar w:fldCharType="begin"/>
        </w:r>
        <w:r>
          <w:rPr>
            <w:webHidden/>
          </w:rPr>
          <w:instrText xml:space="preserve"> PAGEREF _Toc305421453 \h </w:instrText>
        </w:r>
        <w:r>
          <w:rPr>
            <w:webHidden/>
          </w:rPr>
        </w:r>
        <w:r>
          <w:rPr>
            <w:webHidden/>
          </w:rPr>
          <w:fldChar w:fldCharType="separate"/>
        </w:r>
        <w:r w:rsidR="002F07A8">
          <w:rPr>
            <w:webHidden/>
          </w:rPr>
          <w:t>42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4" w:history="1">
        <w:r w:rsidRPr="004B3983">
          <w:rPr>
            <w:rStyle w:val="Hyperlink"/>
          </w:rPr>
          <w:t xml:space="preserve">6.3.attēls. </w:t>
        </w:r>
        <w:r w:rsidRPr="004B3983">
          <w:rPr>
            <w:rStyle w:val="Hyperlink"/>
            <w:rFonts w:eastAsia="Times New Roman"/>
          </w:rPr>
          <w:t>Strādājošo mēneša vidējā bruto darba samaksa</w:t>
        </w:r>
        <w:r>
          <w:rPr>
            <w:webHidden/>
          </w:rPr>
          <w:tab/>
        </w:r>
        <w:r>
          <w:rPr>
            <w:webHidden/>
          </w:rPr>
          <w:fldChar w:fldCharType="begin"/>
        </w:r>
        <w:r>
          <w:rPr>
            <w:webHidden/>
          </w:rPr>
          <w:instrText xml:space="preserve"> PAGEREF _Toc305421454 \h </w:instrText>
        </w:r>
        <w:r>
          <w:rPr>
            <w:webHidden/>
          </w:rPr>
        </w:r>
        <w:r>
          <w:rPr>
            <w:webHidden/>
          </w:rPr>
          <w:fldChar w:fldCharType="separate"/>
        </w:r>
        <w:r w:rsidR="002F07A8">
          <w:rPr>
            <w:webHidden/>
          </w:rPr>
          <w:t>42</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55" w:history="1">
        <w:r w:rsidRPr="004B3983">
          <w:rPr>
            <w:rStyle w:val="Hyperlink"/>
          </w:rPr>
          <w:t>7. Cenas</w:t>
        </w:r>
        <w:r>
          <w:rPr>
            <w:webHidden/>
          </w:rPr>
          <w:tab/>
        </w:r>
        <w:r>
          <w:rPr>
            <w:webHidden/>
          </w:rPr>
          <w:fldChar w:fldCharType="begin"/>
        </w:r>
        <w:r>
          <w:rPr>
            <w:webHidden/>
          </w:rPr>
          <w:instrText xml:space="preserve"> PAGEREF _Toc305421455 \h </w:instrText>
        </w:r>
        <w:r>
          <w:rPr>
            <w:webHidden/>
          </w:rPr>
        </w:r>
        <w:r>
          <w:rPr>
            <w:webHidden/>
          </w:rPr>
          <w:fldChar w:fldCharType="separate"/>
        </w:r>
        <w:r w:rsidR="002F07A8">
          <w:rPr>
            <w:webHidden/>
          </w:rPr>
          <w:t>43</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6" w:history="1">
        <w:r w:rsidRPr="004B3983">
          <w:rPr>
            <w:rStyle w:val="Hyperlink"/>
          </w:rPr>
          <w:t>7.1.attēls. Patēriņa cenu pārmaiņas</w:t>
        </w:r>
        <w:r>
          <w:rPr>
            <w:webHidden/>
          </w:rPr>
          <w:tab/>
        </w:r>
        <w:r>
          <w:rPr>
            <w:webHidden/>
          </w:rPr>
          <w:fldChar w:fldCharType="begin"/>
        </w:r>
        <w:r>
          <w:rPr>
            <w:webHidden/>
          </w:rPr>
          <w:instrText xml:space="preserve"> PAGEREF _Toc305421456 \h </w:instrText>
        </w:r>
        <w:r>
          <w:rPr>
            <w:webHidden/>
          </w:rPr>
        </w:r>
        <w:r>
          <w:rPr>
            <w:webHidden/>
          </w:rPr>
          <w:fldChar w:fldCharType="separate"/>
        </w:r>
        <w:r w:rsidR="002F07A8">
          <w:rPr>
            <w:webHidden/>
          </w:rPr>
          <w:t>44</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7" w:history="1">
        <w:r w:rsidRPr="004B3983">
          <w:rPr>
            <w:rStyle w:val="Hyperlink"/>
          </w:rPr>
          <w:t>7.1.tabula. Patēriņa cenu pārmaiņas pa mēnešiem</w:t>
        </w:r>
        <w:r>
          <w:rPr>
            <w:webHidden/>
          </w:rPr>
          <w:tab/>
        </w:r>
        <w:r>
          <w:rPr>
            <w:webHidden/>
          </w:rPr>
          <w:fldChar w:fldCharType="begin"/>
        </w:r>
        <w:r>
          <w:rPr>
            <w:webHidden/>
          </w:rPr>
          <w:instrText xml:space="preserve"> PAGEREF _Toc305421457 \h </w:instrText>
        </w:r>
        <w:r>
          <w:rPr>
            <w:webHidden/>
          </w:rPr>
        </w:r>
        <w:r>
          <w:rPr>
            <w:webHidden/>
          </w:rPr>
          <w:fldChar w:fldCharType="separate"/>
        </w:r>
        <w:r w:rsidR="002F07A8">
          <w:rPr>
            <w:webHidden/>
          </w:rPr>
          <w:t>44</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8" w:history="1">
        <w:r w:rsidRPr="004B3983">
          <w:rPr>
            <w:rStyle w:val="Hyperlink"/>
          </w:rPr>
          <w:t>7.2.attēls. Patēriņa cenu indekss grupās un apakšgrupās</w:t>
        </w:r>
        <w:r>
          <w:rPr>
            <w:webHidden/>
          </w:rPr>
          <w:tab/>
        </w:r>
        <w:r>
          <w:rPr>
            <w:webHidden/>
          </w:rPr>
          <w:fldChar w:fldCharType="begin"/>
        </w:r>
        <w:r>
          <w:rPr>
            <w:webHidden/>
          </w:rPr>
          <w:instrText xml:space="preserve"> PAGEREF _Toc305421458 \h </w:instrText>
        </w:r>
        <w:r>
          <w:rPr>
            <w:webHidden/>
          </w:rPr>
        </w:r>
        <w:r>
          <w:rPr>
            <w:webHidden/>
          </w:rPr>
          <w:fldChar w:fldCharType="separate"/>
        </w:r>
        <w:r w:rsidR="002F07A8">
          <w:rPr>
            <w:webHidden/>
          </w:rPr>
          <w:t>45</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59" w:history="1">
        <w:r w:rsidRPr="004B3983">
          <w:rPr>
            <w:rStyle w:val="Hyperlink"/>
          </w:rPr>
          <w:t>7.3.attēls. Atsevišķu preču un pakalpojumu grupu ietekme uz kopējo patēriņa cenu indeksu</w:t>
        </w:r>
        <w:r>
          <w:rPr>
            <w:webHidden/>
          </w:rPr>
          <w:tab/>
        </w:r>
        <w:r>
          <w:rPr>
            <w:webHidden/>
          </w:rPr>
          <w:fldChar w:fldCharType="begin"/>
        </w:r>
        <w:r>
          <w:rPr>
            <w:webHidden/>
          </w:rPr>
          <w:instrText xml:space="preserve"> PAGEREF _Toc305421459 \h </w:instrText>
        </w:r>
        <w:r>
          <w:rPr>
            <w:webHidden/>
          </w:rPr>
        </w:r>
        <w:r>
          <w:rPr>
            <w:webHidden/>
          </w:rPr>
          <w:fldChar w:fldCharType="separate"/>
        </w:r>
        <w:r w:rsidR="002F07A8">
          <w:rPr>
            <w:webHidden/>
          </w:rPr>
          <w:t>46</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0" w:history="1">
        <w:r w:rsidRPr="004B3983">
          <w:rPr>
            <w:rStyle w:val="Hyperlink"/>
          </w:rPr>
          <w:t>7.4.attēls. Saskaņotais patēriņa cenu indekss pa mēnešiem</w:t>
        </w:r>
        <w:r>
          <w:rPr>
            <w:webHidden/>
          </w:rPr>
          <w:tab/>
        </w:r>
        <w:r>
          <w:rPr>
            <w:webHidden/>
          </w:rPr>
          <w:fldChar w:fldCharType="begin"/>
        </w:r>
        <w:r>
          <w:rPr>
            <w:webHidden/>
          </w:rPr>
          <w:instrText xml:space="preserve"> PAGEREF _Toc305421460 \h </w:instrText>
        </w:r>
        <w:r>
          <w:rPr>
            <w:webHidden/>
          </w:rPr>
        </w:r>
        <w:r>
          <w:rPr>
            <w:webHidden/>
          </w:rPr>
          <w:fldChar w:fldCharType="separate"/>
        </w:r>
        <w:r w:rsidR="002F07A8">
          <w:rPr>
            <w:webHidden/>
          </w:rPr>
          <w:t>47</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1" w:history="1">
        <w:r w:rsidRPr="004B3983">
          <w:rPr>
            <w:rStyle w:val="Hyperlink"/>
          </w:rPr>
          <w:t xml:space="preserve">7.5.attēls. </w:t>
        </w:r>
        <w:r w:rsidRPr="004B3983">
          <w:rPr>
            <w:rStyle w:val="Hyperlink"/>
            <w:rFonts w:eastAsia="Times New Roman"/>
          </w:rPr>
          <w:t>Ražotāju cenu pārmaiņas</w:t>
        </w:r>
        <w:r>
          <w:rPr>
            <w:webHidden/>
          </w:rPr>
          <w:tab/>
        </w:r>
        <w:r>
          <w:rPr>
            <w:webHidden/>
          </w:rPr>
          <w:fldChar w:fldCharType="begin"/>
        </w:r>
        <w:r>
          <w:rPr>
            <w:webHidden/>
          </w:rPr>
          <w:instrText xml:space="preserve"> PAGEREF _Toc305421461 \h </w:instrText>
        </w:r>
        <w:r>
          <w:rPr>
            <w:webHidden/>
          </w:rPr>
        </w:r>
        <w:r>
          <w:rPr>
            <w:webHidden/>
          </w:rPr>
          <w:fldChar w:fldCharType="separate"/>
        </w:r>
        <w:r w:rsidR="002F07A8">
          <w:rPr>
            <w:webHidden/>
          </w:rPr>
          <w:t>47</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2" w:history="1">
        <w:r w:rsidRPr="004B3983">
          <w:rPr>
            <w:rStyle w:val="Hyperlink"/>
          </w:rPr>
          <w:t>7.6.attēls. Ražotāju cenu dinamika apstrādes rūpniecībā</w:t>
        </w:r>
        <w:r>
          <w:rPr>
            <w:webHidden/>
          </w:rPr>
          <w:tab/>
        </w:r>
        <w:r>
          <w:rPr>
            <w:webHidden/>
          </w:rPr>
          <w:fldChar w:fldCharType="begin"/>
        </w:r>
        <w:r>
          <w:rPr>
            <w:webHidden/>
          </w:rPr>
          <w:instrText xml:space="preserve"> PAGEREF _Toc305421462 \h </w:instrText>
        </w:r>
        <w:r>
          <w:rPr>
            <w:webHidden/>
          </w:rPr>
        </w:r>
        <w:r>
          <w:rPr>
            <w:webHidden/>
          </w:rPr>
          <w:fldChar w:fldCharType="separate"/>
        </w:r>
        <w:r w:rsidR="002F07A8">
          <w:rPr>
            <w:webHidden/>
          </w:rPr>
          <w:t>48</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3" w:history="1">
        <w:r w:rsidRPr="004B3983">
          <w:rPr>
            <w:rStyle w:val="Hyperlink"/>
          </w:rPr>
          <w:t>7.7.attēls. Patēriņa cenu, ražotāju cenu un tirgus pakalpojumu pievienotās vērtības deflatora izmaiņas</w:t>
        </w:r>
        <w:r>
          <w:rPr>
            <w:webHidden/>
          </w:rPr>
          <w:tab/>
        </w:r>
        <w:r>
          <w:rPr>
            <w:webHidden/>
          </w:rPr>
          <w:fldChar w:fldCharType="begin"/>
        </w:r>
        <w:r>
          <w:rPr>
            <w:webHidden/>
          </w:rPr>
          <w:instrText xml:space="preserve"> PAGEREF _Toc305421463 \h </w:instrText>
        </w:r>
        <w:r>
          <w:rPr>
            <w:webHidden/>
          </w:rPr>
        </w:r>
        <w:r>
          <w:rPr>
            <w:webHidden/>
          </w:rPr>
          <w:fldChar w:fldCharType="separate"/>
        </w:r>
        <w:r w:rsidR="002F07A8">
          <w:rPr>
            <w:webHidden/>
          </w:rPr>
          <w:t>48</w:t>
        </w:r>
        <w:r>
          <w:rPr>
            <w:webHidden/>
          </w:rPr>
          <w:fldChar w:fldCharType="end"/>
        </w:r>
      </w:hyperlink>
    </w:p>
    <w:p w:rsidR="001A5EAD" w:rsidRDefault="001A5EAD">
      <w:pPr>
        <w:pStyle w:val="TOC1"/>
        <w:rPr>
          <w:rFonts w:asciiTheme="minorHAnsi" w:eastAsiaTheme="minorEastAsia" w:hAnsiTheme="minorHAnsi" w:cstheme="minorBidi"/>
          <w:b w:val="0"/>
          <w:szCs w:val="22"/>
          <w:lang w:eastAsia="lv-LV"/>
        </w:rPr>
      </w:pPr>
      <w:hyperlink w:anchor="_Toc305421464" w:history="1">
        <w:r w:rsidRPr="004B3983">
          <w:rPr>
            <w:rStyle w:val="Hyperlink"/>
          </w:rPr>
          <w:t>8. Prognozes</w:t>
        </w:r>
        <w:r>
          <w:rPr>
            <w:webHidden/>
          </w:rPr>
          <w:tab/>
        </w:r>
        <w:r>
          <w:rPr>
            <w:webHidden/>
          </w:rPr>
          <w:fldChar w:fldCharType="begin"/>
        </w:r>
        <w:r>
          <w:rPr>
            <w:webHidden/>
          </w:rPr>
          <w:instrText xml:space="preserve"> PAGEREF _Toc305421464 \h </w:instrText>
        </w:r>
        <w:r>
          <w:rPr>
            <w:webHidden/>
          </w:rPr>
        </w:r>
        <w:r>
          <w:rPr>
            <w:webHidden/>
          </w:rPr>
          <w:fldChar w:fldCharType="separate"/>
        </w:r>
        <w:r w:rsidR="002F07A8">
          <w:rPr>
            <w:webHidden/>
          </w:rPr>
          <w:t>49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5" w:history="1">
        <w:r w:rsidRPr="004B3983">
          <w:rPr>
            <w:rStyle w:val="Hyperlink"/>
          </w:rPr>
          <w:t>8.1.attēls. IKP no izlietojuma puses</w:t>
        </w:r>
        <w:r>
          <w:rPr>
            <w:webHidden/>
          </w:rPr>
          <w:tab/>
        </w:r>
        <w:r>
          <w:rPr>
            <w:webHidden/>
          </w:rPr>
          <w:fldChar w:fldCharType="begin"/>
        </w:r>
        <w:r>
          <w:rPr>
            <w:webHidden/>
          </w:rPr>
          <w:instrText xml:space="preserve"> PAGEREF _Toc305421465 \h </w:instrText>
        </w:r>
        <w:r>
          <w:rPr>
            <w:webHidden/>
          </w:rPr>
        </w:r>
        <w:r>
          <w:rPr>
            <w:webHidden/>
          </w:rPr>
          <w:fldChar w:fldCharType="separate"/>
        </w:r>
        <w:r w:rsidR="002F07A8">
          <w:rPr>
            <w:webHidden/>
          </w:rPr>
          <w:t>49</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6" w:history="1">
        <w:r w:rsidRPr="004B3983">
          <w:rPr>
            <w:rStyle w:val="Hyperlink"/>
          </w:rPr>
          <w:t>8.2.attēls. Nozaru attīstības tendences</w:t>
        </w:r>
        <w:r>
          <w:rPr>
            <w:webHidden/>
          </w:rPr>
          <w:tab/>
        </w:r>
        <w:r>
          <w:rPr>
            <w:webHidden/>
          </w:rPr>
          <w:fldChar w:fldCharType="begin"/>
        </w:r>
        <w:r>
          <w:rPr>
            <w:webHidden/>
          </w:rPr>
          <w:instrText xml:space="preserve"> PAGEREF _Toc305421466 \h </w:instrText>
        </w:r>
        <w:r>
          <w:rPr>
            <w:webHidden/>
          </w:rPr>
        </w:r>
        <w:r>
          <w:rPr>
            <w:webHidden/>
          </w:rPr>
          <w:fldChar w:fldCharType="separate"/>
        </w:r>
        <w:r w:rsidR="002F07A8">
          <w:rPr>
            <w:webHidden/>
          </w:rPr>
          <w:t>50</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7" w:history="1">
        <w:r w:rsidRPr="004B3983">
          <w:rPr>
            <w:rStyle w:val="Hyperlink"/>
          </w:rPr>
          <w:t>8.1.tabula. IKP dinamika, % pret iepriekšējo gadu</w:t>
        </w:r>
        <w:r>
          <w:rPr>
            <w:webHidden/>
          </w:rPr>
          <w:tab/>
        </w:r>
        <w:r>
          <w:rPr>
            <w:webHidden/>
          </w:rPr>
          <w:fldChar w:fldCharType="begin"/>
        </w:r>
        <w:r>
          <w:rPr>
            <w:webHidden/>
          </w:rPr>
          <w:instrText xml:space="preserve"> PAGEREF _Toc305421467 \h </w:instrText>
        </w:r>
        <w:r>
          <w:rPr>
            <w:webHidden/>
          </w:rPr>
        </w:r>
        <w:r>
          <w:rPr>
            <w:webHidden/>
          </w:rPr>
          <w:fldChar w:fldCharType="separate"/>
        </w:r>
        <w:r w:rsidR="002F07A8">
          <w:rPr>
            <w:webHidden/>
          </w:rPr>
          <w:t>51</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8" w:history="1">
        <w:r w:rsidRPr="004B3983">
          <w:rPr>
            <w:rStyle w:val="Hyperlink"/>
          </w:rPr>
          <w:t>8.3.attēls. Darba tirgus attīstības tendences</w:t>
        </w:r>
        <w:r>
          <w:rPr>
            <w:webHidden/>
          </w:rPr>
          <w:tab/>
        </w:r>
        <w:r>
          <w:rPr>
            <w:webHidden/>
          </w:rPr>
          <w:fldChar w:fldCharType="begin"/>
        </w:r>
        <w:r>
          <w:rPr>
            <w:webHidden/>
          </w:rPr>
          <w:instrText xml:space="preserve"> PAGEREF _Toc305421468 \h </w:instrText>
        </w:r>
        <w:r>
          <w:rPr>
            <w:webHidden/>
          </w:rPr>
        </w:r>
        <w:r>
          <w:rPr>
            <w:webHidden/>
          </w:rPr>
          <w:fldChar w:fldCharType="separate"/>
        </w:r>
        <w:r w:rsidR="002F07A8">
          <w:rPr>
            <w:webHidden/>
          </w:rPr>
          <w:t>52</w:t>
        </w:r>
        <w:r>
          <w:rPr>
            <w:webHidden/>
          </w:rPr>
          <w:fldChar w:fldCharType="end"/>
        </w:r>
      </w:hyperlink>
    </w:p>
    <w:p w:rsidR="001A5EAD" w:rsidRDefault="001A5EAD">
      <w:pPr>
        <w:pStyle w:val="TOC2"/>
        <w:rPr>
          <w:rFonts w:asciiTheme="minorHAnsi" w:hAnsiTheme="minorHAnsi" w:cstheme="minorBidi"/>
          <w:sz w:val="22"/>
          <w:szCs w:val="22"/>
          <w:lang w:val="lv-LV" w:eastAsia="lv-LV"/>
        </w:rPr>
      </w:pPr>
      <w:hyperlink w:anchor="_Toc305421469" w:history="1">
        <w:r w:rsidRPr="004B3983">
          <w:rPr>
            <w:rStyle w:val="Hyperlink"/>
          </w:rPr>
          <w:t>8.4.attēls. Patēriņa cenu tendences</w:t>
        </w:r>
        <w:r>
          <w:rPr>
            <w:webHidden/>
          </w:rPr>
          <w:tab/>
        </w:r>
        <w:r>
          <w:rPr>
            <w:webHidden/>
          </w:rPr>
          <w:fldChar w:fldCharType="begin"/>
        </w:r>
        <w:r>
          <w:rPr>
            <w:webHidden/>
          </w:rPr>
          <w:instrText xml:space="preserve"> PAGEREF _Toc305421469 \h </w:instrText>
        </w:r>
        <w:r>
          <w:rPr>
            <w:webHidden/>
          </w:rPr>
        </w:r>
        <w:r>
          <w:rPr>
            <w:webHidden/>
          </w:rPr>
          <w:fldChar w:fldCharType="separate"/>
        </w:r>
        <w:r w:rsidR="002F07A8">
          <w:rPr>
            <w:webHidden/>
          </w:rPr>
          <w:t>53</w:t>
        </w:r>
        <w:r>
          <w:rPr>
            <w:webHidden/>
          </w:rPr>
          <w:fldChar w:fldCharType="end"/>
        </w:r>
      </w:hyperlink>
    </w:p>
    <w:p w:rsidR="00BE41C7" w:rsidRPr="009F6E8E" w:rsidRDefault="0005180F" w:rsidP="00BE41C7">
      <w:pPr>
        <w:rPr>
          <w:rFonts w:eastAsiaTheme="majorEastAsia" w:cstheme="majorBidi"/>
          <w:b/>
          <w:bCs/>
          <w:sz w:val="32"/>
        </w:rPr>
      </w:pPr>
      <w:r w:rsidRPr="00CD3CE6">
        <w:rPr>
          <w:sz w:val="22"/>
          <w:szCs w:val="24"/>
        </w:rPr>
        <w:fldChar w:fldCharType="end"/>
      </w:r>
      <w:r w:rsidR="00BE41C7" w:rsidRPr="009F6E8E">
        <w:br w:type="page"/>
      </w:r>
    </w:p>
    <w:p w:rsidR="00B20AFE" w:rsidRDefault="00B20AFE" w:rsidP="00A3615D">
      <w:pPr>
        <w:pStyle w:val="Heading1"/>
      </w:pPr>
      <w:bookmarkStart w:id="31" w:name="_Toc305069149"/>
      <w:bookmarkStart w:id="32" w:name="_Toc206815979"/>
      <w:bookmarkStart w:id="33" w:name="_Toc216077837"/>
      <w:bookmarkStart w:id="34" w:name="_Toc216079506"/>
      <w:bookmarkStart w:id="35" w:name="_Toc216079574"/>
      <w:bookmarkStart w:id="36" w:name="_Toc216079636"/>
      <w:bookmarkStart w:id="37" w:name="_Toc216079692"/>
      <w:bookmarkStart w:id="38" w:name="_Toc216079748"/>
      <w:bookmarkStart w:id="39" w:name="_Toc216079804"/>
      <w:bookmarkEnd w:id="14"/>
    </w:p>
    <w:p w:rsidR="00A3615D" w:rsidRDefault="006338DA" w:rsidP="00A3615D">
      <w:pPr>
        <w:pStyle w:val="Heading1"/>
      </w:pPr>
      <w:bookmarkStart w:id="40" w:name="_Toc305421408"/>
      <w:r>
        <w:t>Ekonomiskais stāvoklis: īss k</w:t>
      </w:r>
      <w:r w:rsidR="00A3615D">
        <w:t>opsavilkums</w:t>
      </w:r>
      <w:bookmarkEnd w:id="31"/>
      <w:bookmarkEnd w:id="40"/>
    </w:p>
    <w:p w:rsidR="00D64827" w:rsidRPr="00FF4A95" w:rsidRDefault="00D64827" w:rsidP="00473F77">
      <w:pPr>
        <w:spacing w:after="80"/>
        <w:ind w:firstLine="567"/>
        <w:jc w:val="both"/>
        <w:rPr>
          <w:sz w:val="10"/>
        </w:rPr>
      </w:pPr>
    </w:p>
    <w:p w:rsidR="003F3A1D" w:rsidRDefault="003F3A1D" w:rsidP="00F753E9">
      <w:pPr>
        <w:spacing w:after="60"/>
        <w:ind w:firstLine="425"/>
        <w:jc w:val="both"/>
        <w:rPr>
          <w:sz w:val="28"/>
        </w:rPr>
      </w:pPr>
      <w:r>
        <w:rPr>
          <w:sz w:val="28"/>
        </w:rPr>
        <w:t>Latvijas ekonomikā 2011.gada 1.pusgadā turpinājās izaugsme, turklāt pieauguma tempi bija vieni no straujākajiem ES.</w:t>
      </w:r>
      <w:r w:rsidR="003F213A" w:rsidRPr="003F213A">
        <w:rPr>
          <w:sz w:val="28"/>
        </w:rPr>
        <w:t xml:space="preserve"> </w:t>
      </w:r>
      <w:r w:rsidRPr="00B327D3">
        <w:rPr>
          <w:sz w:val="28"/>
        </w:rPr>
        <w:t xml:space="preserve">Kopš ekonomikas zemākā punkta 2009.gada nogalē IKP ir pieaudzis par 7,5%. Šī gada </w:t>
      </w:r>
      <w:r w:rsidR="000451F1">
        <w:rPr>
          <w:sz w:val="28"/>
        </w:rPr>
        <w:t>pirmajā pusē IKP par 4</w:t>
      </w:r>
      <w:r w:rsidRPr="00B327D3">
        <w:rPr>
          <w:sz w:val="28"/>
        </w:rPr>
        <w:t>,6% pārsniedza</w:t>
      </w:r>
      <w:r>
        <w:rPr>
          <w:sz w:val="28"/>
        </w:rPr>
        <w:t xml:space="preserve"> 2010.gada </w:t>
      </w:r>
      <w:r w:rsidR="000451F1">
        <w:rPr>
          <w:sz w:val="28"/>
        </w:rPr>
        <w:t>1.pusgada</w:t>
      </w:r>
      <w:r>
        <w:rPr>
          <w:sz w:val="28"/>
        </w:rPr>
        <w:t xml:space="preserve"> līmeni.</w:t>
      </w:r>
    </w:p>
    <w:p w:rsidR="003F3A1D" w:rsidRPr="003F3A1D" w:rsidRDefault="003F3A1D" w:rsidP="00F753E9">
      <w:pPr>
        <w:spacing w:after="60"/>
        <w:ind w:firstLine="425"/>
        <w:jc w:val="both"/>
        <w:rPr>
          <w:sz w:val="28"/>
        </w:rPr>
      </w:pPr>
      <w:r>
        <w:rPr>
          <w:sz w:val="28"/>
        </w:rPr>
        <w:t xml:space="preserve">Galvenais izaugsmes dzinulis joprojām ir </w:t>
      </w:r>
      <w:r w:rsidRPr="003F3A1D">
        <w:rPr>
          <w:sz w:val="28"/>
        </w:rPr>
        <w:t>eksport</w:t>
      </w:r>
      <w:r w:rsidR="00D34582">
        <w:rPr>
          <w:sz w:val="28"/>
        </w:rPr>
        <w:t xml:space="preserve">s </w:t>
      </w:r>
      <w:r w:rsidR="000126A1">
        <w:rPr>
          <w:sz w:val="28"/>
        </w:rPr>
        <w:t xml:space="preserve">– šī gada septiņos mēnešos preču eksports faktiskajās cenās par 34% pārsniedza iepriekšējā gada atbilstošā perioda līmeni. </w:t>
      </w:r>
      <w:r w:rsidRPr="003F3A1D">
        <w:rPr>
          <w:sz w:val="28"/>
        </w:rPr>
        <w:t>Eksporta apjomu palielinājums ir vērojams visās preču eksporta grupās. Gandrīz pusi no visa eksporta pieauguma</w:t>
      </w:r>
      <w:r>
        <w:rPr>
          <w:sz w:val="28"/>
        </w:rPr>
        <w:t xml:space="preserve"> </w:t>
      </w:r>
      <w:r w:rsidRPr="003F3A1D">
        <w:rPr>
          <w:sz w:val="28"/>
        </w:rPr>
        <w:t>nodrošina koksnes un tās izstrādājumu, metāla izstrādājumu un ķīmiskās rūpniecības produkcijas eksports.</w:t>
      </w:r>
    </w:p>
    <w:p w:rsidR="003F3A1D" w:rsidRPr="003F3A1D" w:rsidRDefault="003F3A1D" w:rsidP="00F753E9">
      <w:pPr>
        <w:spacing w:after="60"/>
        <w:ind w:firstLine="425"/>
        <w:jc w:val="both"/>
        <w:rPr>
          <w:sz w:val="28"/>
        </w:rPr>
      </w:pPr>
      <w:r w:rsidRPr="003F3A1D">
        <w:rPr>
          <w:sz w:val="28"/>
        </w:rPr>
        <w:t xml:space="preserve">Eksporta iespēju paplašināšanās ir pamats apstrādes rūpniecības ražošanas apjomu palielinājumam, kas 2011.gada </w:t>
      </w:r>
      <w:r w:rsidR="000126A1">
        <w:rPr>
          <w:sz w:val="28"/>
        </w:rPr>
        <w:t>1.pusgadā par gandrīz 15</w:t>
      </w:r>
      <w:r w:rsidRPr="003F3A1D">
        <w:rPr>
          <w:sz w:val="28"/>
        </w:rPr>
        <w:t xml:space="preserve">% </w:t>
      </w:r>
      <w:r w:rsidR="00F753E9">
        <w:rPr>
          <w:sz w:val="28"/>
        </w:rPr>
        <w:t xml:space="preserve">pārsniedz 2010.gada atbilstošā perioda līmeni. </w:t>
      </w:r>
      <w:r w:rsidRPr="003F3A1D">
        <w:rPr>
          <w:sz w:val="28"/>
        </w:rPr>
        <w:t xml:space="preserve">Lielākais ieguldījums nozares izaugsmē ir </w:t>
      </w:r>
      <w:r w:rsidR="00F753E9">
        <w:rPr>
          <w:sz w:val="28"/>
        </w:rPr>
        <w:t>kokapstrādei un metālapstrādei, s</w:t>
      </w:r>
      <w:r w:rsidRPr="003F3A1D">
        <w:rPr>
          <w:sz w:val="28"/>
        </w:rPr>
        <w:t xml:space="preserve">trauji palielinās ražošanas apjomi tādās nozarēs kā elektronisko iekārtu, kā arī mašīnu un iekārtu ražošanā. Kopumā apstrādes rūpniecība </w:t>
      </w:r>
      <w:r w:rsidR="00F753E9">
        <w:rPr>
          <w:sz w:val="28"/>
        </w:rPr>
        <w:t xml:space="preserve">ir nodrošinājusi </w:t>
      </w:r>
      <w:r w:rsidRPr="003F3A1D">
        <w:rPr>
          <w:sz w:val="28"/>
        </w:rPr>
        <w:t>trešdaļu no kopējā IKP palielinājuma.</w:t>
      </w:r>
    </w:p>
    <w:p w:rsidR="00F753E9" w:rsidRDefault="003F3A1D" w:rsidP="00B20AFE">
      <w:pPr>
        <w:spacing w:after="60"/>
        <w:ind w:firstLine="425"/>
        <w:jc w:val="both"/>
        <w:rPr>
          <w:sz w:val="28"/>
        </w:rPr>
      </w:pPr>
      <w:r w:rsidRPr="003F3A1D">
        <w:rPr>
          <w:sz w:val="28"/>
        </w:rPr>
        <w:t xml:space="preserve">Ienākumu pieaugums no eksporta stimulē arī ekonomisko aktivitāšu palielināšanos iekšējā tirgū. Iekšzemes pieprasījums </w:t>
      </w:r>
      <w:r w:rsidR="00F753E9">
        <w:rPr>
          <w:sz w:val="28"/>
        </w:rPr>
        <w:t>1.pusgadā</w:t>
      </w:r>
      <w:r w:rsidRPr="003F3A1D">
        <w:rPr>
          <w:sz w:val="28"/>
        </w:rPr>
        <w:t xml:space="preserve"> bija par 6,</w:t>
      </w:r>
      <w:r w:rsidR="00F753E9">
        <w:rPr>
          <w:sz w:val="28"/>
        </w:rPr>
        <w:t>8</w:t>
      </w:r>
      <w:r w:rsidRPr="003F3A1D">
        <w:rPr>
          <w:sz w:val="28"/>
        </w:rPr>
        <w:t xml:space="preserve">% lielāks nekā pirms gada. </w:t>
      </w:r>
      <w:r w:rsidR="00F753E9">
        <w:rPr>
          <w:sz w:val="28"/>
        </w:rPr>
        <w:t xml:space="preserve">Divus ceturkšņus </w:t>
      </w:r>
      <w:r w:rsidRPr="003F3A1D">
        <w:rPr>
          <w:sz w:val="28"/>
        </w:rPr>
        <w:t xml:space="preserve">pēc kārtas investīciju pieaugums pārsniedz 20% salīdzinājumā ar </w:t>
      </w:r>
      <w:r w:rsidR="00F753E9">
        <w:rPr>
          <w:sz w:val="28"/>
        </w:rPr>
        <w:t>2010.</w:t>
      </w:r>
      <w:r w:rsidRPr="003F3A1D">
        <w:rPr>
          <w:sz w:val="28"/>
        </w:rPr>
        <w:t>gada attiecīgajiem ceturkšņiem</w:t>
      </w:r>
      <w:r w:rsidR="00F753E9">
        <w:rPr>
          <w:sz w:val="28"/>
        </w:rPr>
        <w:t>, ko</w:t>
      </w:r>
      <w:r w:rsidRPr="003F3A1D">
        <w:rPr>
          <w:sz w:val="28"/>
        </w:rPr>
        <w:t xml:space="preserve"> </w:t>
      </w:r>
      <w:r w:rsidR="00F753E9">
        <w:rPr>
          <w:sz w:val="28"/>
        </w:rPr>
        <w:t xml:space="preserve">pamatā </w:t>
      </w:r>
      <w:r w:rsidRPr="003F3A1D">
        <w:rPr>
          <w:sz w:val="28"/>
        </w:rPr>
        <w:t>no</w:t>
      </w:r>
      <w:r w:rsidR="00F753E9">
        <w:rPr>
          <w:sz w:val="28"/>
        </w:rPr>
        <w:t xml:space="preserve">saka </w:t>
      </w:r>
      <w:r w:rsidRPr="003F3A1D">
        <w:rPr>
          <w:sz w:val="28"/>
        </w:rPr>
        <w:t>uzņēmumu ieguldījumi ražošanas iekārtās, kā arī valsts investīcijas saistībā ar ES struktūrfondu apguvi. Nodarbinātības un darba samaksas pieaugums veicina privāt</w:t>
      </w:r>
      <w:r w:rsidR="00F753E9">
        <w:rPr>
          <w:sz w:val="28"/>
        </w:rPr>
        <w:t>o</w:t>
      </w:r>
      <w:r w:rsidRPr="003F3A1D">
        <w:rPr>
          <w:sz w:val="28"/>
        </w:rPr>
        <w:t xml:space="preserve"> patēriņ</w:t>
      </w:r>
      <w:r w:rsidR="00F753E9">
        <w:rPr>
          <w:sz w:val="28"/>
        </w:rPr>
        <w:t>u, kas 1.pusgadā</w:t>
      </w:r>
      <w:r w:rsidRPr="003F3A1D">
        <w:rPr>
          <w:sz w:val="28"/>
        </w:rPr>
        <w:t xml:space="preserve"> </w:t>
      </w:r>
      <w:r w:rsidR="00F753E9">
        <w:rPr>
          <w:sz w:val="28"/>
        </w:rPr>
        <w:t xml:space="preserve">bija par </w:t>
      </w:r>
      <w:r w:rsidRPr="003F3A1D">
        <w:rPr>
          <w:sz w:val="28"/>
        </w:rPr>
        <w:t xml:space="preserve">4% </w:t>
      </w:r>
      <w:r w:rsidR="00F753E9">
        <w:rPr>
          <w:sz w:val="28"/>
        </w:rPr>
        <w:t>lielāk nekā pirms gada.</w:t>
      </w:r>
    </w:p>
    <w:p w:rsidR="000126A1" w:rsidRPr="00D84BB5" w:rsidRDefault="000126A1" w:rsidP="00B20AFE">
      <w:pPr>
        <w:spacing w:after="60"/>
        <w:ind w:firstLine="425"/>
        <w:jc w:val="both"/>
        <w:rPr>
          <w:sz w:val="28"/>
        </w:rPr>
      </w:pPr>
      <w:r w:rsidRPr="006F5355">
        <w:rPr>
          <w:bCs/>
          <w:sz w:val="28"/>
        </w:rPr>
        <w:t xml:space="preserve">2011.gada </w:t>
      </w:r>
      <w:r>
        <w:rPr>
          <w:bCs/>
          <w:sz w:val="28"/>
        </w:rPr>
        <w:t>astoņos</w:t>
      </w:r>
      <w:r w:rsidRPr="006F5355">
        <w:rPr>
          <w:bCs/>
          <w:sz w:val="28"/>
        </w:rPr>
        <w:t xml:space="preserve"> mēnešos patēriņa cenas </w:t>
      </w:r>
      <w:r>
        <w:rPr>
          <w:bCs/>
          <w:sz w:val="28"/>
        </w:rPr>
        <w:t xml:space="preserve">ir </w:t>
      </w:r>
      <w:r w:rsidRPr="006F5355">
        <w:rPr>
          <w:bCs/>
          <w:sz w:val="28"/>
        </w:rPr>
        <w:t>palielināj</w:t>
      </w:r>
      <w:r>
        <w:rPr>
          <w:bCs/>
          <w:sz w:val="28"/>
        </w:rPr>
        <w:t xml:space="preserve">ušās </w:t>
      </w:r>
      <w:r w:rsidRPr="006F5355">
        <w:rPr>
          <w:bCs/>
          <w:sz w:val="28"/>
        </w:rPr>
        <w:t xml:space="preserve">par </w:t>
      </w:r>
      <w:r>
        <w:rPr>
          <w:bCs/>
          <w:sz w:val="28"/>
        </w:rPr>
        <w:t>3,5%, kas ir ievērojami straujāk nekā iepriekšējā gada attiecīgajā laika periodā</w:t>
      </w:r>
      <w:r>
        <w:rPr>
          <w:sz w:val="28"/>
        </w:rPr>
        <w:t xml:space="preserve">. Cenu pieaugumu nosaka gan iekšējie faktori kā nodokļu likmju palielinājums, privātā patēriņa pakāpenisks pieaugums, gan cenu tendences pasaulē – cenu kāpums </w:t>
      </w:r>
      <w:r w:rsidRPr="00646C04">
        <w:rPr>
          <w:sz w:val="28"/>
        </w:rPr>
        <w:t>pārtikai un enerģētikas resursiem</w:t>
      </w:r>
      <w:r>
        <w:rPr>
          <w:sz w:val="28"/>
        </w:rPr>
        <w:t xml:space="preserve">. </w:t>
      </w:r>
      <w:r w:rsidR="00F753E9">
        <w:rPr>
          <w:sz w:val="28"/>
        </w:rPr>
        <w:t>T</w:t>
      </w:r>
      <w:r w:rsidRPr="00D84BB5">
        <w:rPr>
          <w:sz w:val="28"/>
        </w:rPr>
        <w:t>urpmākos gada mēnešos cenu izmaiņas preču un pakalpojumu grupās būs tuvas sezonālām svārstībām.</w:t>
      </w:r>
      <w:r>
        <w:rPr>
          <w:sz w:val="28"/>
        </w:rPr>
        <w:t xml:space="preserve"> </w:t>
      </w:r>
      <w:r w:rsidRPr="00D84BB5">
        <w:rPr>
          <w:sz w:val="28"/>
        </w:rPr>
        <w:t>Šāda cenu dinamika kopējo cenu līmeni 2011.gadā var palielināt par 4,5% salīdzinājumā ar iepriekšējo gadu</w:t>
      </w:r>
      <w:r w:rsidR="001A5EAD">
        <w:rPr>
          <w:sz w:val="28"/>
        </w:rPr>
        <w:t>.</w:t>
      </w:r>
    </w:p>
    <w:p w:rsidR="00B20AFE" w:rsidRDefault="007A520A" w:rsidP="00B20AFE">
      <w:pPr>
        <w:ind w:firstLine="425"/>
        <w:jc w:val="both"/>
        <w:rPr>
          <w:bCs/>
          <w:sz w:val="28"/>
        </w:rPr>
      </w:pPr>
      <w:r>
        <w:rPr>
          <w:sz w:val="28"/>
        </w:rPr>
        <w:t xml:space="preserve">Tuvākajos gados Latvijas tautsaimniecības attīstības pamatā joprojām </w:t>
      </w:r>
      <w:r w:rsidRPr="003F3A1D">
        <w:rPr>
          <w:sz w:val="28"/>
        </w:rPr>
        <w:t>būs eksports</w:t>
      </w:r>
      <w:r>
        <w:rPr>
          <w:sz w:val="28"/>
        </w:rPr>
        <w:t>, tomēr tas būs cieši atkarīgas no ārējā pieprasījuma dinamikas. Mūsu tirdzniecības partnervalstīs pieaug izaugsmes riski nākamajam gadam, kas</w:t>
      </w:r>
      <w:r w:rsidR="00D20CAC" w:rsidRPr="00517603">
        <w:rPr>
          <w:sz w:val="28"/>
        </w:rPr>
        <w:t xml:space="preserve"> galvenokārt saistīti ar spriedzes turpināšanos dažos e</w:t>
      </w:r>
      <w:r w:rsidR="00D20CAC">
        <w:rPr>
          <w:sz w:val="28"/>
        </w:rPr>
        <w:t>i</w:t>
      </w:r>
      <w:r w:rsidR="00D20CAC" w:rsidRPr="00517603">
        <w:rPr>
          <w:sz w:val="28"/>
        </w:rPr>
        <w:t>ro zonas un pasaules finanšu tirgu</w:t>
      </w:r>
      <w:r w:rsidR="00D20CAC">
        <w:rPr>
          <w:sz w:val="28"/>
        </w:rPr>
        <w:t>s</w:t>
      </w:r>
      <w:r w:rsidR="00D20CAC" w:rsidRPr="00517603">
        <w:rPr>
          <w:sz w:val="28"/>
        </w:rPr>
        <w:t xml:space="preserve"> segmentos un iespēju, ka šis spiediens varētu tālāk izplatīties reālajā sektorā.</w:t>
      </w:r>
      <w:r>
        <w:rPr>
          <w:sz w:val="28"/>
        </w:rPr>
        <w:t xml:space="preserve"> </w:t>
      </w:r>
      <w:r w:rsidR="00D34582">
        <w:rPr>
          <w:sz w:val="28"/>
        </w:rPr>
        <w:t>K</w:t>
      </w:r>
      <w:r w:rsidR="00D34582">
        <w:rPr>
          <w:bCs/>
          <w:sz w:val="28"/>
        </w:rPr>
        <w:t xml:space="preserve">opumā 2011.gadā IKP varētu pārsniegt 2010.gada līmeni vismaz par 4,5%. </w:t>
      </w:r>
      <w:r w:rsidR="00B20AFE">
        <w:rPr>
          <w:bCs/>
          <w:sz w:val="28"/>
        </w:rPr>
        <w:t>2012.gadā, ņemot vērā pieaugošo nenoteiktību par pasaules ekonomikas attīstību, Latvijas tautsaimniecības izaugsme varētu būt 2,5 – 3% robežās.</w:t>
      </w:r>
    </w:p>
    <w:p w:rsidR="003F3A1D" w:rsidRPr="003F3A1D" w:rsidRDefault="003F3A1D" w:rsidP="00B20AFE">
      <w:pPr>
        <w:spacing w:after="60"/>
        <w:ind w:firstLine="425"/>
        <w:jc w:val="both"/>
        <w:rPr>
          <w:sz w:val="28"/>
        </w:rPr>
      </w:pPr>
    </w:p>
    <w:p w:rsidR="00B20AFE" w:rsidRDefault="00B20AFE">
      <w:pPr>
        <w:rPr>
          <w:rFonts w:eastAsiaTheme="majorEastAsia" w:cstheme="majorBidi"/>
          <w:b/>
          <w:bCs/>
          <w:sz w:val="32"/>
        </w:rPr>
      </w:pPr>
      <w:bookmarkStart w:id="41" w:name="_Toc305069150"/>
      <w:r>
        <w:br w:type="page"/>
      </w:r>
    </w:p>
    <w:p w:rsidR="002E5313" w:rsidRDefault="002E5313" w:rsidP="002E5313">
      <w:pPr>
        <w:pStyle w:val="Heading1"/>
      </w:pPr>
      <w:bookmarkStart w:id="42" w:name="_Toc305421409"/>
      <w:r w:rsidRPr="009F6E8E">
        <w:lastRenderedPageBreak/>
        <w:t xml:space="preserve">1. </w:t>
      </w:r>
      <w:r>
        <w:t>Ārējā ekonomiskā vide</w:t>
      </w:r>
      <w:bookmarkEnd w:id="41"/>
      <w:bookmarkEnd w:id="42"/>
    </w:p>
    <w:p w:rsidR="002E5313" w:rsidRPr="00CB6FDB" w:rsidRDefault="002E5313" w:rsidP="002E5313">
      <w:pPr>
        <w:spacing w:after="80"/>
        <w:ind w:firstLine="567"/>
        <w:jc w:val="both"/>
        <w:rPr>
          <w:sz w:val="14"/>
        </w:rPr>
      </w:pPr>
    </w:p>
    <w:p w:rsidR="001C2361" w:rsidRPr="00FE45FC" w:rsidRDefault="001C2361" w:rsidP="002664EE">
      <w:pPr>
        <w:ind w:firstLine="426"/>
        <w:jc w:val="both"/>
        <w:rPr>
          <w:sz w:val="28"/>
        </w:rPr>
      </w:pPr>
      <w:bookmarkStart w:id="43" w:name="_Toc249189471"/>
      <w:bookmarkStart w:id="44" w:name="_Toc216079507"/>
      <w:bookmarkStart w:id="45" w:name="_Toc216079575"/>
      <w:bookmarkStart w:id="46" w:name="_Toc216079637"/>
      <w:bookmarkStart w:id="47" w:name="_Toc216079693"/>
      <w:bookmarkStart w:id="48" w:name="_Toc216079749"/>
      <w:bookmarkStart w:id="49" w:name="_Toc216079805"/>
      <w:bookmarkStart w:id="50" w:name="_Ref216075281"/>
      <w:bookmarkStart w:id="51" w:name="_Toc216077838"/>
      <w:bookmarkEnd w:id="32"/>
      <w:bookmarkEnd w:id="33"/>
      <w:bookmarkEnd w:id="34"/>
      <w:bookmarkEnd w:id="35"/>
      <w:bookmarkEnd w:id="36"/>
      <w:bookmarkEnd w:id="37"/>
      <w:bookmarkEnd w:id="38"/>
      <w:bookmarkEnd w:id="39"/>
      <w:r>
        <w:rPr>
          <w:sz w:val="28"/>
        </w:rPr>
        <w:t>Pēdējo d</w:t>
      </w:r>
      <w:r w:rsidRPr="00FE45FC">
        <w:rPr>
          <w:sz w:val="28"/>
        </w:rPr>
        <w:t xml:space="preserve">ivu gadu laikā </w:t>
      </w:r>
      <w:r w:rsidR="00FB0087">
        <w:rPr>
          <w:sz w:val="28"/>
        </w:rPr>
        <w:t>straujāk</w:t>
      </w:r>
      <w:r w:rsidRPr="00FE45FC">
        <w:rPr>
          <w:sz w:val="28"/>
        </w:rPr>
        <w:t xml:space="preserve"> ir att</w:t>
      </w:r>
      <w:r w:rsidRPr="00FE45FC">
        <w:rPr>
          <w:rFonts w:hint="eastAsia"/>
          <w:sz w:val="28"/>
        </w:rPr>
        <w:t>ī</w:t>
      </w:r>
      <w:r w:rsidRPr="00FE45FC">
        <w:rPr>
          <w:sz w:val="28"/>
        </w:rPr>
        <w:t>st</w:t>
      </w:r>
      <w:r w:rsidRPr="00FE45FC">
        <w:rPr>
          <w:rFonts w:hint="eastAsia"/>
          <w:sz w:val="28"/>
        </w:rPr>
        <w:t>ī</w:t>
      </w:r>
      <w:r w:rsidRPr="00FE45FC">
        <w:rPr>
          <w:sz w:val="28"/>
        </w:rPr>
        <w:t>juš</w:t>
      </w:r>
      <w:r w:rsidRPr="00FE45FC">
        <w:rPr>
          <w:rFonts w:hint="eastAsia"/>
          <w:sz w:val="28"/>
        </w:rPr>
        <w:t>ā</w:t>
      </w:r>
      <w:r w:rsidRPr="00FE45FC">
        <w:rPr>
          <w:sz w:val="28"/>
        </w:rPr>
        <w:t>s tās valstis, kuru ekonomikas pirms kr</w:t>
      </w:r>
      <w:r w:rsidRPr="00FE45FC">
        <w:rPr>
          <w:rFonts w:hint="eastAsia"/>
          <w:sz w:val="28"/>
        </w:rPr>
        <w:t>ī</w:t>
      </w:r>
      <w:r w:rsidRPr="00FE45FC">
        <w:rPr>
          <w:sz w:val="28"/>
        </w:rPr>
        <w:t>zes bija sabalans</w:t>
      </w:r>
      <w:r w:rsidRPr="00FE45FC">
        <w:rPr>
          <w:rFonts w:hint="eastAsia"/>
          <w:sz w:val="28"/>
        </w:rPr>
        <w:t>ē</w:t>
      </w:r>
      <w:r w:rsidRPr="00FE45FC">
        <w:rPr>
          <w:sz w:val="28"/>
        </w:rPr>
        <w:t>tākas</w:t>
      </w:r>
      <w:r w:rsidR="000A38A1">
        <w:rPr>
          <w:sz w:val="28"/>
        </w:rPr>
        <w:t xml:space="preserve"> un </w:t>
      </w:r>
      <w:r w:rsidRPr="00FE45FC">
        <w:rPr>
          <w:sz w:val="28"/>
        </w:rPr>
        <w:t>kuras krīzes laikā cieta sal</w:t>
      </w:r>
      <w:r w:rsidRPr="00FE45FC">
        <w:rPr>
          <w:rFonts w:hint="eastAsia"/>
          <w:sz w:val="28"/>
        </w:rPr>
        <w:t>ī</w:t>
      </w:r>
      <w:r w:rsidRPr="00FE45FC">
        <w:rPr>
          <w:sz w:val="28"/>
        </w:rPr>
        <w:t>dzinoši maz</w:t>
      </w:r>
      <w:r w:rsidRPr="00FE45FC">
        <w:rPr>
          <w:rFonts w:hint="eastAsia"/>
          <w:sz w:val="28"/>
        </w:rPr>
        <w:t>ā</w:t>
      </w:r>
      <w:r w:rsidRPr="00FE45FC">
        <w:rPr>
          <w:sz w:val="28"/>
        </w:rPr>
        <w:t>k, k</w:t>
      </w:r>
      <w:r w:rsidRPr="00FE45FC">
        <w:rPr>
          <w:rFonts w:hint="eastAsia"/>
          <w:sz w:val="28"/>
        </w:rPr>
        <w:t>ā</w:t>
      </w:r>
      <w:r w:rsidRPr="00FE45FC">
        <w:rPr>
          <w:sz w:val="28"/>
        </w:rPr>
        <w:t xml:space="preserve"> ar</w:t>
      </w:r>
      <w:r w:rsidRPr="00FE45FC">
        <w:rPr>
          <w:rFonts w:hint="eastAsia"/>
          <w:sz w:val="28"/>
        </w:rPr>
        <w:t>ī</w:t>
      </w:r>
      <w:r w:rsidRPr="00FE45FC">
        <w:rPr>
          <w:sz w:val="28"/>
        </w:rPr>
        <w:t xml:space="preserve"> t</w:t>
      </w:r>
      <w:r w:rsidRPr="00FE45FC">
        <w:rPr>
          <w:rFonts w:hint="eastAsia"/>
          <w:sz w:val="28"/>
        </w:rPr>
        <w:t>ā</w:t>
      </w:r>
      <w:r w:rsidRPr="00FE45FC">
        <w:rPr>
          <w:sz w:val="28"/>
        </w:rPr>
        <w:t>s, kur</w:t>
      </w:r>
      <w:r w:rsidRPr="00FE45FC">
        <w:rPr>
          <w:rFonts w:hint="eastAsia"/>
          <w:sz w:val="28"/>
        </w:rPr>
        <w:t>ā</w:t>
      </w:r>
      <w:r w:rsidRPr="00FE45FC">
        <w:rPr>
          <w:sz w:val="28"/>
        </w:rPr>
        <w:t>m bija liel</w:t>
      </w:r>
      <w:r w:rsidRPr="00FE45FC">
        <w:rPr>
          <w:rFonts w:hint="eastAsia"/>
          <w:sz w:val="28"/>
        </w:rPr>
        <w:t>ā</w:t>
      </w:r>
      <w:r w:rsidRPr="00FE45FC">
        <w:rPr>
          <w:sz w:val="28"/>
        </w:rPr>
        <w:t>kas iesp</w:t>
      </w:r>
      <w:r w:rsidRPr="00FE45FC">
        <w:rPr>
          <w:rFonts w:hint="eastAsia"/>
          <w:sz w:val="28"/>
        </w:rPr>
        <w:t>ē</w:t>
      </w:r>
      <w:r w:rsidRPr="00FE45FC">
        <w:rPr>
          <w:sz w:val="28"/>
        </w:rPr>
        <w:t>jas īstenot ekonomikas atbalsta politiku p</w:t>
      </w:r>
      <w:r w:rsidRPr="00FE45FC">
        <w:rPr>
          <w:rFonts w:hint="eastAsia"/>
          <w:sz w:val="28"/>
        </w:rPr>
        <w:t>ē</w:t>
      </w:r>
      <w:r w:rsidRPr="00FE45FC">
        <w:rPr>
          <w:sz w:val="28"/>
        </w:rPr>
        <w:t>ckr</w:t>
      </w:r>
      <w:r w:rsidRPr="00FE45FC">
        <w:rPr>
          <w:rFonts w:hint="eastAsia"/>
          <w:sz w:val="28"/>
        </w:rPr>
        <w:t>ī</w:t>
      </w:r>
      <w:r w:rsidRPr="00FE45FC">
        <w:rPr>
          <w:sz w:val="28"/>
        </w:rPr>
        <w:t>zes period</w:t>
      </w:r>
      <w:r w:rsidRPr="00FE45FC">
        <w:rPr>
          <w:rFonts w:hint="eastAsia"/>
          <w:sz w:val="28"/>
        </w:rPr>
        <w:t>ā</w:t>
      </w:r>
      <w:r w:rsidRPr="00FE45FC">
        <w:rPr>
          <w:sz w:val="28"/>
        </w:rPr>
        <w:t>.</w:t>
      </w:r>
      <w:r w:rsidR="00FB0087">
        <w:rPr>
          <w:sz w:val="28"/>
        </w:rPr>
        <w:t xml:space="preserve"> </w:t>
      </w:r>
    </w:p>
    <w:p w:rsidR="002B7544" w:rsidRDefault="001C2361" w:rsidP="002664EE">
      <w:pPr>
        <w:autoSpaceDE w:val="0"/>
        <w:autoSpaceDN w:val="0"/>
        <w:adjustRightInd w:val="0"/>
        <w:ind w:firstLine="426"/>
        <w:jc w:val="both"/>
        <w:rPr>
          <w:sz w:val="28"/>
        </w:rPr>
      </w:pPr>
      <w:r w:rsidRPr="00CD03B6">
        <w:rPr>
          <w:sz w:val="28"/>
        </w:rPr>
        <w:t>Pasaules e</w:t>
      </w:r>
      <w:r>
        <w:rPr>
          <w:sz w:val="28"/>
        </w:rPr>
        <w:t>konomika 2</w:t>
      </w:r>
      <w:r w:rsidRPr="00307D32">
        <w:rPr>
          <w:sz w:val="28"/>
        </w:rPr>
        <w:t>011.gada 1.ceturksnī pieauga par 4,3%</w:t>
      </w:r>
      <w:r>
        <w:rPr>
          <w:sz w:val="28"/>
        </w:rPr>
        <w:t xml:space="preserve">, </w:t>
      </w:r>
      <w:r w:rsidR="00FB0087">
        <w:rPr>
          <w:sz w:val="28"/>
        </w:rPr>
        <w:t xml:space="preserve">turpretim </w:t>
      </w:r>
      <w:r>
        <w:rPr>
          <w:sz w:val="28"/>
        </w:rPr>
        <w:t>2.ceturksnī</w:t>
      </w:r>
      <w:r w:rsidR="00FB0087">
        <w:rPr>
          <w:sz w:val="28"/>
        </w:rPr>
        <w:t xml:space="preserve"> pieauguma tempi palēninājās līdz</w:t>
      </w:r>
      <w:r w:rsidR="001A5EAD">
        <w:rPr>
          <w:sz w:val="28"/>
        </w:rPr>
        <w:t xml:space="preserve"> </w:t>
      </w:r>
      <w:r>
        <w:rPr>
          <w:sz w:val="28"/>
        </w:rPr>
        <w:t>3,6</w:t>
      </w:r>
      <w:r w:rsidR="006F30D9">
        <w:rPr>
          <w:sz w:val="28"/>
        </w:rPr>
        <w:t>%</w:t>
      </w:r>
      <w:r>
        <w:rPr>
          <w:sz w:val="28"/>
        </w:rPr>
        <w:t>.</w:t>
      </w:r>
      <w:r w:rsidR="00FB0087" w:rsidRPr="00FB0087">
        <w:rPr>
          <w:sz w:val="28"/>
        </w:rPr>
        <w:t xml:space="preserve"> </w:t>
      </w:r>
      <w:r w:rsidR="009E2498" w:rsidRPr="00CD03B6">
        <w:rPr>
          <w:sz w:val="28"/>
        </w:rPr>
        <w:t>Lielākā daļa strauji augoš</w:t>
      </w:r>
      <w:r w:rsidR="009E2498">
        <w:rPr>
          <w:sz w:val="28"/>
        </w:rPr>
        <w:t>o</w:t>
      </w:r>
      <w:r w:rsidR="009E2498" w:rsidRPr="00CD03B6">
        <w:rPr>
          <w:sz w:val="28"/>
        </w:rPr>
        <w:t xml:space="preserve"> ekonomiku</w:t>
      </w:r>
      <w:r w:rsidR="009E2498">
        <w:rPr>
          <w:sz w:val="28"/>
        </w:rPr>
        <w:t xml:space="preserve"> </w:t>
      </w:r>
      <w:r w:rsidR="009E2498" w:rsidRPr="00CD03B6">
        <w:rPr>
          <w:sz w:val="28"/>
        </w:rPr>
        <w:t xml:space="preserve">joprojām </w:t>
      </w:r>
      <w:r w:rsidR="009E2498">
        <w:rPr>
          <w:sz w:val="28"/>
        </w:rPr>
        <w:t>uz</w:t>
      </w:r>
      <w:r w:rsidR="009E2498" w:rsidRPr="00CD03B6">
        <w:rPr>
          <w:sz w:val="28"/>
        </w:rPr>
        <w:t>rād</w:t>
      </w:r>
      <w:r w:rsidR="009E2498">
        <w:rPr>
          <w:sz w:val="28"/>
        </w:rPr>
        <w:t>a</w:t>
      </w:r>
      <w:r w:rsidR="009E2498" w:rsidRPr="00CD03B6">
        <w:rPr>
          <w:sz w:val="28"/>
        </w:rPr>
        <w:t xml:space="preserve"> stabilu izaugsmi, lai gan dažās Āzijas valstīs </w:t>
      </w:r>
      <w:r w:rsidR="009E2498">
        <w:rPr>
          <w:sz w:val="28"/>
        </w:rPr>
        <w:t>tā</w:t>
      </w:r>
      <w:r w:rsidR="009E2498" w:rsidRPr="00CD03B6">
        <w:rPr>
          <w:sz w:val="28"/>
        </w:rPr>
        <w:t xml:space="preserve"> ir izlīdzinājusies </w:t>
      </w:r>
      <w:r w:rsidR="009E2498">
        <w:rPr>
          <w:sz w:val="28"/>
        </w:rPr>
        <w:t>saistībā</w:t>
      </w:r>
      <w:r w:rsidR="009E2498" w:rsidRPr="00CD03B6">
        <w:rPr>
          <w:sz w:val="28"/>
        </w:rPr>
        <w:t xml:space="preserve"> </w:t>
      </w:r>
      <w:r w:rsidR="009E2498">
        <w:rPr>
          <w:sz w:val="28"/>
        </w:rPr>
        <w:t xml:space="preserve">ar </w:t>
      </w:r>
      <w:r w:rsidR="009E2498" w:rsidRPr="00CD03B6">
        <w:rPr>
          <w:sz w:val="28"/>
        </w:rPr>
        <w:t>ārēj</w:t>
      </w:r>
      <w:r w:rsidR="009E2498">
        <w:rPr>
          <w:sz w:val="28"/>
        </w:rPr>
        <w:t>ā</w:t>
      </w:r>
      <w:r w:rsidR="009E2498" w:rsidRPr="00CD03B6">
        <w:rPr>
          <w:sz w:val="28"/>
        </w:rPr>
        <w:t xml:space="preserve"> pieprasījum</w:t>
      </w:r>
      <w:r w:rsidR="009E2498">
        <w:rPr>
          <w:sz w:val="28"/>
        </w:rPr>
        <w:t>a kritumu</w:t>
      </w:r>
      <w:r w:rsidR="009E2498" w:rsidRPr="00CD03B6">
        <w:rPr>
          <w:sz w:val="28"/>
        </w:rPr>
        <w:t>.</w:t>
      </w:r>
      <w:r w:rsidR="009E2498">
        <w:rPr>
          <w:sz w:val="28"/>
        </w:rPr>
        <w:t xml:space="preserve"> </w:t>
      </w:r>
      <w:r w:rsidR="002B7544" w:rsidRPr="00307D32">
        <w:rPr>
          <w:sz w:val="28"/>
        </w:rPr>
        <w:t xml:space="preserve">Pasaules ekonomikas izaugsmi joprojām pavada </w:t>
      </w:r>
      <w:r w:rsidR="002B7544">
        <w:rPr>
          <w:sz w:val="28"/>
        </w:rPr>
        <w:t xml:space="preserve">augsta </w:t>
      </w:r>
      <w:r w:rsidR="002B7544" w:rsidRPr="00307D32">
        <w:rPr>
          <w:sz w:val="28"/>
        </w:rPr>
        <w:t xml:space="preserve">inflācija, </w:t>
      </w:r>
      <w:r w:rsidR="002B7544">
        <w:rPr>
          <w:sz w:val="28"/>
        </w:rPr>
        <w:t xml:space="preserve">ko pamatā nosaka augstās </w:t>
      </w:r>
      <w:r w:rsidR="002B7544" w:rsidRPr="00307D32">
        <w:rPr>
          <w:sz w:val="28"/>
        </w:rPr>
        <w:t>preču cen</w:t>
      </w:r>
      <w:r w:rsidR="002B7544">
        <w:rPr>
          <w:sz w:val="28"/>
        </w:rPr>
        <w:t>as</w:t>
      </w:r>
      <w:r w:rsidR="002B7544" w:rsidRPr="00307D32">
        <w:rPr>
          <w:sz w:val="28"/>
        </w:rPr>
        <w:t>. Inflācijas spiedien</w:t>
      </w:r>
      <w:r w:rsidR="002B7544">
        <w:rPr>
          <w:sz w:val="28"/>
        </w:rPr>
        <w:t>u</w:t>
      </w:r>
      <w:r w:rsidR="002B7544" w:rsidRPr="00307D32">
        <w:rPr>
          <w:sz w:val="28"/>
        </w:rPr>
        <w:t xml:space="preserve"> lielāk</w:t>
      </w:r>
      <w:r w:rsidR="002B7544">
        <w:rPr>
          <w:sz w:val="28"/>
        </w:rPr>
        <w:t>ā mērā izjūt attīstības valstu ekonomikas.</w:t>
      </w:r>
    </w:p>
    <w:p w:rsidR="006F30D9" w:rsidRDefault="00FB0087" w:rsidP="002664EE">
      <w:pPr>
        <w:autoSpaceDE w:val="0"/>
        <w:autoSpaceDN w:val="0"/>
        <w:adjustRightInd w:val="0"/>
        <w:ind w:firstLine="426"/>
        <w:jc w:val="both"/>
        <w:rPr>
          <w:sz w:val="28"/>
        </w:rPr>
      </w:pPr>
      <w:r>
        <w:rPr>
          <w:sz w:val="28"/>
        </w:rPr>
        <w:t xml:space="preserve">Vienlaikus pēdējos mēnešos palielinās nenoteiktība par pasaules ekonomikas turpmākās attīstības perspektīvām. </w:t>
      </w:r>
      <w:r w:rsidR="006F30D9">
        <w:rPr>
          <w:sz w:val="28"/>
        </w:rPr>
        <w:t>Izaugsmes tempu samazinājumam ir vairāki iemesli, kas ir saistīti gan ar reālo, gan finanšu sektoru. Reālajā sektorā ir piebremzējušies divi sabalansēšan</w:t>
      </w:r>
      <w:r w:rsidR="009E2498">
        <w:rPr>
          <w:sz w:val="28"/>
        </w:rPr>
        <w:t>ā</w:t>
      </w:r>
      <w:r w:rsidR="006F30D9">
        <w:rPr>
          <w:sz w:val="28"/>
        </w:rPr>
        <w:t>s procesi. Pirmkārt, attīstītās tirgus ekonomikās</w:t>
      </w:r>
      <w:r w:rsidR="001C2361" w:rsidRPr="00CD03B6">
        <w:rPr>
          <w:sz w:val="28"/>
        </w:rPr>
        <w:t xml:space="preserve"> </w:t>
      </w:r>
      <w:r w:rsidR="000451F1">
        <w:rPr>
          <w:sz w:val="28"/>
        </w:rPr>
        <w:t>tiek atcelti</w:t>
      </w:r>
      <w:r w:rsidR="001C2361" w:rsidRPr="00CD03B6">
        <w:rPr>
          <w:sz w:val="28"/>
        </w:rPr>
        <w:t xml:space="preserve"> </w:t>
      </w:r>
      <w:r w:rsidR="002664EE">
        <w:rPr>
          <w:sz w:val="28"/>
        </w:rPr>
        <w:t xml:space="preserve">krīzes laikā ieviestie </w:t>
      </w:r>
      <w:r w:rsidR="001C2361" w:rsidRPr="00CD03B6">
        <w:rPr>
          <w:sz w:val="28"/>
        </w:rPr>
        <w:t>valsts</w:t>
      </w:r>
      <w:r w:rsidR="006F30D9">
        <w:rPr>
          <w:sz w:val="28"/>
        </w:rPr>
        <w:t xml:space="preserve"> atbalsta stimuli. T</w:t>
      </w:r>
      <w:r w:rsidR="002664EE">
        <w:rPr>
          <w:sz w:val="28"/>
        </w:rPr>
        <w:t xml:space="preserve">ajā pašā laikā </w:t>
      </w:r>
      <w:r w:rsidR="006F30D9">
        <w:rPr>
          <w:sz w:val="28"/>
        </w:rPr>
        <w:t>privātais patēriņš joprojām ir vājš</w:t>
      </w:r>
      <w:r w:rsidR="009E2498">
        <w:rPr>
          <w:sz w:val="28"/>
        </w:rPr>
        <w:t xml:space="preserve"> un tas nepieaug tik strauji kā tika prognozēts iepriekš. </w:t>
      </w:r>
      <w:r w:rsidR="002664EE">
        <w:rPr>
          <w:sz w:val="28"/>
        </w:rPr>
        <w:t>E</w:t>
      </w:r>
      <w:r w:rsidR="006F30D9">
        <w:rPr>
          <w:sz w:val="28"/>
        </w:rPr>
        <w:t xml:space="preserve">konomikas </w:t>
      </w:r>
      <w:r w:rsidR="001C2361" w:rsidRPr="00CD03B6">
        <w:rPr>
          <w:sz w:val="28"/>
        </w:rPr>
        <w:t>izaugsme</w:t>
      </w:r>
      <w:r w:rsidR="002664EE">
        <w:rPr>
          <w:sz w:val="28"/>
        </w:rPr>
        <w:t xml:space="preserve"> ir lēna</w:t>
      </w:r>
      <w:r w:rsidR="001C2361" w:rsidRPr="00CD03B6">
        <w:rPr>
          <w:sz w:val="28"/>
        </w:rPr>
        <w:t xml:space="preserve"> un </w:t>
      </w:r>
      <w:r w:rsidR="006F30D9">
        <w:rPr>
          <w:sz w:val="28"/>
        </w:rPr>
        <w:t>saglabājas augsts bezdarbs. Otrkārt, vairum</w:t>
      </w:r>
      <w:r w:rsidR="000A38A1">
        <w:rPr>
          <w:sz w:val="28"/>
        </w:rPr>
        <w:t>am</w:t>
      </w:r>
      <w:r w:rsidR="006F30D9">
        <w:rPr>
          <w:sz w:val="28"/>
        </w:rPr>
        <w:t xml:space="preserve"> attīstīto valstu ar lielu tekošā konta deficītu ir nepieciešams vājo iekšzemes pieprasījumu kompensēt ar eksporta pieaugumu</w:t>
      </w:r>
      <w:r w:rsidR="009E2498">
        <w:rPr>
          <w:sz w:val="28"/>
        </w:rPr>
        <w:t>. Savukārt ekonomikās ar lielu tekošā konta pārpalikumu (piemēram, Ķīna) ir jāveicina iekšējais pieprasījums. Tomēr šīs izmaiņas norit ļoti lēni.</w:t>
      </w:r>
    </w:p>
    <w:p w:rsidR="009E2498" w:rsidRDefault="009E2498" w:rsidP="002664EE">
      <w:pPr>
        <w:autoSpaceDE w:val="0"/>
        <w:autoSpaceDN w:val="0"/>
        <w:adjustRightInd w:val="0"/>
        <w:ind w:firstLine="426"/>
        <w:jc w:val="both"/>
        <w:rPr>
          <w:sz w:val="28"/>
        </w:rPr>
      </w:pPr>
      <w:r>
        <w:rPr>
          <w:sz w:val="28"/>
        </w:rPr>
        <w:t xml:space="preserve">Vienlaikus finanšu sektorā pieaug bažas par valstu finansēm saistībā ar lielajiem budžeta deficītiem un valdību augsto parāda līmeni. Starptautiskie finanšu tirgi skeptiski vērtē </w:t>
      </w:r>
      <w:r w:rsidR="002B7544">
        <w:rPr>
          <w:sz w:val="28"/>
        </w:rPr>
        <w:t>atsevišķu valstu (piemēra</w:t>
      </w:r>
      <w:r w:rsidR="002664EE">
        <w:rPr>
          <w:sz w:val="28"/>
        </w:rPr>
        <w:t>m, Grieķijas un Itālijas) spēju</w:t>
      </w:r>
      <w:r w:rsidR="002B7544">
        <w:rPr>
          <w:sz w:val="28"/>
        </w:rPr>
        <w:t xml:space="preserve"> stabilizēt savas finanses, pie tam, mazinoties globālās ekonomikas izaugsmes tempiem,</w:t>
      </w:r>
      <w:r w:rsidR="002664EE">
        <w:rPr>
          <w:sz w:val="28"/>
        </w:rPr>
        <w:t xml:space="preserve"> spriedze finanšu tirgos pieaug</w:t>
      </w:r>
      <w:r w:rsidR="002B7544">
        <w:rPr>
          <w:sz w:val="28"/>
        </w:rPr>
        <w:t xml:space="preserve">. </w:t>
      </w:r>
    </w:p>
    <w:p w:rsidR="001C2361" w:rsidRPr="00307D32" w:rsidRDefault="009E2498" w:rsidP="002664EE">
      <w:pPr>
        <w:autoSpaceDE w:val="0"/>
        <w:autoSpaceDN w:val="0"/>
        <w:adjustRightInd w:val="0"/>
        <w:ind w:firstLine="426"/>
        <w:jc w:val="both"/>
        <w:rPr>
          <w:sz w:val="6"/>
          <w:szCs w:val="8"/>
        </w:rPr>
      </w:pPr>
      <w:r>
        <w:rPr>
          <w:sz w:val="28"/>
        </w:rPr>
        <w:t xml:space="preserve"> </w:t>
      </w:r>
    </w:p>
    <w:p w:rsidR="001C2361" w:rsidRDefault="002B7544" w:rsidP="002664EE">
      <w:pPr>
        <w:autoSpaceDE w:val="0"/>
        <w:autoSpaceDN w:val="0"/>
        <w:adjustRightInd w:val="0"/>
        <w:ind w:firstLine="426"/>
        <w:jc w:val="both"/>
        <w:rPr>
          <w:sz w:val="28"/>
        </w:rPr>
      </w:pPr>
      <w:r>
        <w:rPr>
          <w:sz w:val="28"/>
        </w:rPr>
        <w:t xml:space="preserve">Kopumā </w:t>
      </w:r>
      <w:r w:rsidR="001C2361" w:rsidRPr="00307D32">
        <w:rPr>
          <w:b/>
          <w:sz w:val="28"/>
        </w:rPr>
        <w:t>Eiropas Savienībā</w:t>
      </w:r>
      <w:r w:rsidR="001C2361" w:rsidRPr="00307D32">
        <w:rPr>
          <w:sz w:val="28"/>
        </w:rPr>
        <w:t xml:space="preserve"> (ES-27)</w:t>
      </w:r>
      <w:r w:rsidR="001C2361">
        <w:rPr>
          <w:sz w:val="28"/>
        </w:rPr>
        <w:t xml:space="preserve"> </w:t>
      </w:r>
      <w:r w:rsidR="00853F52" w:rsidRPr="00307D32">
        <w:rPr>
          <w:sz w:val="28"/>
        </w:rPr>
        <w:t xml:space="preserve">2011.gada </w:t>
      </w:r>
      <w:r w:rsidR="00853F52">
        <w:rPr>
          <w:sz w:val="28"/>
        </w:rPr>
        <w:t xml:space="preserve">1.pusgadā </w:t>
      </w:r>
      <w:r w:rsidR="001C2361">
        <w:rPr>
          <w:sz w:val="28"/>
        </w:rPr>
        <w:t>ekonomikas izaugsme</w:t>
      </w:r>
      <w:r>
        <w:rPr>
          <w:sz w:val="28"/>
        </w:rPr>
        <w:t xml:space="preserve"> turpinā</w:t>
      </w:r>
      <w:r w:rsidR="00853F52">
        <w:rPr>
          <w:sz w:val="28"/>
        </w:rPr>
        <w:t>jā</w:t>
      </w:r>
      <w:r>
        <w:rPr>
          <w:sz w:val="28"/>
        </w:rPr>
        <w:t>s</w:t>
      </w:r>
      <w:r w:rsidR="00853F52">
        <w:rPr>
          <w:sz w:val="28"/>
        </w:rPr>
        <w:t>, tomēr 2.ceturksnī izaugsme kļuva ievērojami lēnāka</w:t>
      </w:r>
      <w:r w:rsidR="002664EE">
        <w:rPr>
          <w:sz w:val="28"/>
        </w:rPr>
        <w:t xml:space="preserve">. </w:t>
      </w:r>
      <w:r w:rsidR="001C2361">
        <w:rPr>
          <w:sz w:val="28"/>
        </w:rPr>
        <w:t xml:space="preserve">2011.gada 1.ceturksnī </w:t>
      </w:r>
      <w:r w:rsidR="001C2361" w:rsidRPr="00307D32">
        <w:rPr>
          <w:sz w:val="28"/>
        </w:rPr>
        <w:t xml:space="preserve">IKP pieauga par </w:t>
      </w:r>
      <w:r>
        <w:rPr>
          <w:sz w:val="28"/>
        </w:rPr>
        <w:t>0,7</w:t>
      </w:r>
      <w:r w:rsidR="001C2361" w:rsidRPr="00307D32">
        <w:rPr>
          <w:sz w:val="28"/>
        </w:rPr>
        <w:t>%</w:t>
      </w:r>
      <w:r w:rsidR="001C2361">
        <w:rPr>
          <w:sz w:val="28"/>
        </w:rPr>
        <w:t xml:space="preserve"> </w:t>
      </w:r>
      <w:r w:rsidR="001C2361" w:rsidRPr="00307D32">
        <w:rPr>
          <w:sz w:val="28"/>
        </w:rPr>
        <w:t>(</w:t>
      </w:r>
      <w:r w:rsidR="001C2361">
        <w:rPr>
          <w:sz w:val="28"/>
        </w:rPr>
        <w:t xml:space="preserve">salīdzinot ar </w:t>
      </w:r>
      <w:r>
        <w:rPr>
          <w:sz w:val="28"/>
        </w:rPr>
        <w:t>iepriekšējo ceturksni, pēc sezonāli izlīdzinātiem datiem</w:t>
      </w:r>
      <w:r w:rsidR="001C2361">
        <w:rPr>
          <w:sz w:val="28"/>
        </w:rPr>
        <w:t xml:space="preserve">), </w:t>
      </w:r>
      <w:r w:rsidR="002664EE">
        <w:rPr>
          <w:sz w:val="28"/>
        </w:rPr>
        <w:t>bet</w:t>
      </w:r>
      <w:r w:rsidR="001C2361">
        <w:rPr>
          <w:sz w:val="28"/>
        </w:rPr>
        <w:t xml:space="preserve"> 2.ceturksnī pieaugums bija tikai </w:t>
      </w:r>
      <w:r>
        <w:rPr>
          <w:sz w:val="28"/>
        </w:rPr>
        <w:t>0,2</w:t>
      </w:r>
      <w:r w:rsidR="001C2361">
        <w:rPr>
          <w:sz w:val="28"/>
        </w:rPr>
        <w:t>%</w:t>
      </w:r>
      <w:r w:rsidR="002664EE">
        <w:rPr>
          <w:sz w:val="28"/>
        </w:rPr>
        <w:t>. K</w:t>
      </w:r>
      <w:r w:rsidR="001C2361" w:rsidRPr="00FE1AF2">
        <w:rPr>
          <w:sz w:val="28"/>
        </w:rPr>
        <w:t xml:space="preserve">onfidences rādītāji </w:t>
      </w:r>
      <w:r w:rsidR="002664EE">
        <w:rPr>
          <w:sz w:val="28"/>
        </w:rPr>
        <w:t>liecina</w:t>
      </w:r>
      <w:r w:rsidR="000A38A1">
        <w:rPr>
          <w:sz w:val="28"/>
        </w:rPr>
        <w:t>, ka</w:t>
      </w:r>
      <w:r w:rsidR="00853F52">
        <w:rPr>
          <w:sz w:val="28"/>
        </w:rPr>
        <w:t xml:space="preserve"> 2011.gada 3.ceturksnī izaugsmes tempi nepalielināsies</w:t>
      </w:r>
      <w:r w:rsidR="001C2361">
        <w:rPr>
          <w:sz w:val="28"/>
        </w:rPr>
        <w:t>. Ekonomikas izaugsm</w:t>
      </w:r>
      <w:r w:rsidR="00853F52">
        <w:rPr>
          <w:sz w:val="28"/>
        </w:rPr>
        <w:t xml:space="preserve">i ir ietekmējuši </w:t>
      </w:r>
      <w:r w:rsidR="001C2361">
        <w:rPr>
          <w:sz w:val="28"/>
        </w:rPr>
        <w:t>tādi</w:t>
      </w:r>
      <w:r w:rsidR="001C2361" w:rsidRPr="00FE1AF2">
        <w:rPr>
          <w:sz w:val="28"/>
        </w:rPr>
        <w:t xml:space="preserve"> faktor</w:t>
      </w:r>
      <w:r w:rsidR="001C2361">
        <w:rPr>
          <w:sz w:val="28"/>
        </w:rPr>
        <w:t>i</w:t>
      </w:r>
      <w:r w:rsidR="001C2361" w:rsidRPr="00FE1AF2">
        <w:rPr>
          <w:sz w:val="28"/>
        </w:rPr>
        <w:t xml:space="preserve">, </w:t>
      </w:r>
      <w:r w:rsidR="001C2361">
        <w:rPr>
          <w:sz w:val="28"/>
        </w:rPr>
        <w:t xml:space="preserve">kā </w:t>
      </w:r>
      <w:r w:rsidR="001C2361" w:rsidRPr="00FE1AF2">
        <w:rPr>
          <w:sz w:val="28"/>
        </w:rPr>
        <w:t xml:space="preserve">augstās naftas cenas </w:t>
      </w:r>
      <w:r w:rsidR="000A38A1">
        <w:rPr>
          <w:sz w:val="28"/>
        </w:rPr>
        <w:t xml:space="preserve">gada </w:t>
      </w:r>
      <w:r w:rsidR="001C2361" w:rsidRPr="00FE1AF2">
        <w:rPr>
          <w:sz w:val="28"/>
        </w:rPr>
        <w:t>pirmajā pus</w:t>
      </w:r>
      <w:r w:rsidR="000A38A1">
        <w:rPr>
          <w:sz w:val="28"/>
        </w:rPr>
        <w:t>ē</w:t>
      </w:r>
      <w:r w:rsidR="001C2361" w:rsidRPr="00FE1AF2">
        <w:rPr>
          <w:sz w:val="28"/>
        </w:rPr>
        <w:t>, mazāk labvēlīg</w:t>
      </w:r>
      <w:r w:rsidR="001C2361">
        <w:rPr>
          <w:sz w:val="28"/>
        </w:rPr>
        <w:t>a</w:t>
      </w:r>
      <w:r w:rsidR="001C2361" w:rsidRPr="00FE1AF2">
        <w:rPr>
          <w:sz w:val="28"/>
        </w:rPr>
        <w:t xml:space="preserve"> ārēj</w:t>
      </w:r>
      <w:r w:rsidR="001C2361">
        <w:rPr>
          <w:sz w:val="28"/>
        </w:rPr>
        <w:t>ā</w:t>
      </w:r>
      <w:r w:rsidR="001C2361" w:rsidRPr="00FE1AF2">
        <w:rPr>
          <w:sz w:val="28"/>
        </w:rPr>
        <w:t xml:space="preserve"> vid</w:t>
      </w:r>
      <w:r w:rsidR="001C2361">
        <w:rPr>
          <w:sz w:val="28"/>
        </w:rPr>
        <w:t>e</w:t>
      </w:r>
      <w:r w:rsidR="001C2361" w:rsidRPr="00FE1AF2">
        <w:rPr>
          <w:sz w:val="28"/>
        </w:rPr>
        <w:t xml:space="preserve"> (tostarp lielāks nekā gaidīts </w:t>
      </w:r>
      <w:r w:rsidR="00853F52">
        <w:rPr>
          <w:sz w:val="28"/>
        </w:rPr>
        <w:t>izaugsmes tempu samazinājums ASV), bilanču posteņu</w:t>
      </w:r>
      <w:r w:rsidR="001C2361" w:rsidRPr="00FE1AF2">
        <w:rPr>
          <w:sz w:val="28"/>
        </w:rPr>
        <w:t xml:space="preserve"> korekcij</w:t>
      </w:r>
      <w:r w:rsidR="001C2361">
        <w:rPr>
          <w:sz w:val="28"/>
        </w:rPr>
        <w:t>u</w:t>
      </w:r>
      <w:r w:rsidR="001C2361" w:rsidRPr="00FE1AF2">
        <w:rPr>
          <w:sz w:val="28"/>
        </w:rPr>
        <w:t xml:space="preserve"> turpināšan</w:t>
      </w:r>
      <w:r w:rsidR="00853F52">
        <w:rPr>
          <w:sz w:val="28"/>
        </w:rPr>
        <w:t>ās</w:t>
      </w:r>
      <w:r w:rsidR="001C2361">
        <w:rPr>
          <w:sz w:val="28"/>
        </w:rPr>
        <w:t>,</w:t>
      </w:r>
      <w:r w:rsidR="001C2361" w:rsidRPr="00FE1AF2">
        <w:rPr>
          <w:sz w:val="28"/>
        </w:rPr>
        <w:t xml:space="preserve"> </w:t>
      </w:r>
      <w:r w:rsidR="00853F52">
        <w:rPr>
          <w:sz w:val="28"/>
        </w:rPr>
        <w:t xml:space="preserve">kā arī spriedzes </w:t>
      </w:r>
      <w:r w:rsidR="00853F52" w:rsidRPr="00FE1AF2">
        <w:rPr>
          <w:sz w:val="28"/>
        </w:rPr>
        <w:t>atjauno</w:t>
      </w:r>
      <w:r w:rsidR="00853F52">
        <w:rPr>
          <w:sz w:val="28"/>
        </w:rPr>
        <w:t>šanās</w:t>
      </w:r>
      <w:r w:rsidR="00853F52" w:rsidRPr="00FE1AF2">
        <w:rPr>
          <w:sz w:val="28"/>
        </w:rPr>
        <w:t xml:space="preserve"> </w:t>
      </w:r>
      <w:r w:rsidR="001C2361" w:rsidRPr="00FE1AF2">
        <w:rPr>
          <w:sz w:val="28"/>
        </w:rPr>
        <w:t xml:space="preserve">finanšu </w:t>
      </w:r>
      <w:r w:rsidR="00853F52">
        <w:rPr>
          <w:sz w:val="28"/>
        </w:rPr>
        <w:t>sektorā</w:t>
      </w:r>
      <w:r w:rsidR="001C2361" w:rsidRPr="00FE1AF2">
        <w:rPr>
          <w:sz w:val="28"/>
        </w:rPr>
        <w:t>, kas izriet no bažām par fiskāl</w:t>
      </w:r>
      <w:r w:rsidR="001C2361">
        <w:rPr>
          <w:sz w:val="28"/>
        </w:rPr>
        <w:t>o un finansiālo problēmu</w:t>
      </w:r>
      <w:r w:rsidR="001C2361" w:rsidRPr="00FE1AF2">
        <w:rPr>
          <w:sz w:val="28"/>
        </w:rPr>
        <w:t xml:space="preserve"> dziļumu ASV un </w:t>
      </w:r>
      <w:r w:rsidR="001C2361">
        <w:rPr>
          <w:sz w:val="28"/>
        </w:rPr>
        <w:t>ei</w:t>
      </w:r>
      <w:r w:rsidR="00853F52">
        <w:rPr>
          <w:sz w:val="28"/>
        </w:rPr>
        <w:t>ro</w:t>
      </w:r>
      <w:r w:rsidR="002664EE">
        <w:rPr>
          <w:sz w:val="28"/>
        </w:rPr>
        <w:t xml:space="preserve"> </w:t>
      </w:r>
      <w:r w:rsidR="00853F52">
        <w:rPr>
          <w:sz w:val="28"/>
        </w:rPr>
        <w:t>zonā.</w:t>
      </w:r>
    </w:p>
    <w:p w:rsidR="001C2361" w:rsidRPr="001A6C75" w:rsidRDefault="001C2361" w:rsidP="002664EE">
      <w:pPr>
        <w:autoSpaceDE w:val="0"/>
        <w:autoSpaceDN w:val="0"/>
        <w:adjustRightInd w:val="0"/>
        <w:ind w:firstLine="426"/>
        <w:jc w:val="both"/>
        <w:rPr>
          <w:sz w:val="28"/>
        </w:rPr>
      </w:pPr>
      <w:r>
        <w:rPr>
          <w:sz w:val="28"/>
        </w:rPr>
        <w:t>A</w:t>
      </w:r>
      <w:r w:rsidRPr="00307D32">
        <w:rPr>
          <w:sz w:val="28"/>
        </w:rPr>
        <w:t>ttīstības tendences ES-27</w:t>
      </w:r>
      <w:r>
        <w:rPr>
          <w:sz w:val="28"/>
        </w:rPr>
        <w:t xml:space="preserve"> valstīs</w:t>
      </w:r>
      <w:r w:rsidRPr="00307D32">
        <w:rPr>
          <w:sz w:val="28"/>
        </w:rPr>
        <w:t xml:space="preserve"> </w:t>
      </w:r>
      <w:r w:rsidR="00853F52">
        <w:rPr>
          <w:sz w:val="28"/>
        </w:rPr>
        <w:t>palēninās, bet izaugsmes perspektīvas dalībvalstīs ir ļoti atšķirīgas</w:t>
      </w:r>
      <w:r w:rsidRPr="00307D32">
        <w:rPr>
          <w:sz w:val="28"/>
        </w:rPr>
        <w:t xml:space="preserve">. </w:t>
      </w:r>
      <w:r>
        <w:rPr>
          <w:sz w:val="28"/>
        </w:rPr>
        <w:t xml:space="preserve">Vācijā un Francijā, kur </w:t>
      </w:r>
      <w:r w:rsidRPr="001A6C75">
        <w:rPr>
          <w:sz w:val="28"/>
        </w:rPr>
        <w:t xml:space="preserve">stabila ekonomikas izaugsme bija vērojama gan 2010.gadā, gan 2011.gada 1.ceturksnī, </w:t>
      </w:r>
      <w:r w:rsidR="000A38A1">
        <w:rPr>
          <w:sz w:val="28"/>
        </w:rPr>
        <w:t xml:space="preserve">– </w:t>
      </w:r>
      <w:r w:rsidRPr="001A6C75">
        <w:rPr>
          <w:sz w:val="28"/>
        </w:rPr>
        <w:t xml:space="preserve">IKP 2.ceturksnī </w:t>
      </w:r>
      <w:r w:rsidR="00853F52">
        <w:rPr>
          <w:sz w:val="28"/>
        </w:rPr>
        <w:t>praktiski saglabājās i</w:t>
      </w:r>
      <w:r w:rsidRPr="001A6C75">
        <w:rPr>
          <w:sz w:val="28"/>
        </w:rPr>
        <w:t>epriekšēj</w:t>
      </w:r>
      <w:r w:rsidR="00853F52">
        <w:rPr>
          <w:sz w:val="28"/>
        </w:rPr>
        <w:t xml:space="preserve">ā </w:t>
      </w:r>
      <w:r w:rsidRPr="001A6C75">
        <w:rPr>
          <w:sz w:val="28"/>
        </w:rPr>
        <w:t>ceturk</w:t>
      </w:r>
      <w:r w:rsidR="00853F52">
        <w:rPr>
          <w:sz w:val="28"/>
        </w:rPr>
        <w:t>šņa līmenī</w:t>
      </w:r>
      <w:r w:rsidRPr="001A6C75">
        <w:rPr>
          <w:sz w:val="28"/>
        </w:rPr>
        <w:t xml:space="preserve">. Arī Lielbritānijā </w:t>
      </w:r>
      <w:r>
        <w:rPr>
          <w:sz w:val="28"/>
        </w:rPr>
        <w:t xml:space="preserve">2011.gada 2.ceturksnī </w:t>
      </w:r>
      <w:r w:rsidRPr="001A6C75">
        <w:rPr>
          <w:sz w:val="28"/>
        </w:rPr>
        <w:t xml:space="preserve">bija vērojams </w:t>
      </w:r>
      <w:r w:rsidR="002664EE">
        <w:rPr>
          <w:sz w:val="28"/>
        </w:rPr>
        <w:t xml:space="preserve">salīdzinoši </w:t>
      </w:r>
      <w:r w:rsidRPr="001A6C75">
        <w:rPr>
          <w:sz w:val="28"/>
        </w:rPr>
        <w:t>neliels IKP pieaugums par 0,2%</w:t>
      </w:r>
      <w:r w:rsidR="00853F52">
        <w:rPr>
          <w:sz w:val="28"/>
        </w:rPr>
        <w:t>,</w:t>
      </w:r>
      <w:r w:rsidRPr="001A6C75">
        <w:rPr>
          <w:sz w:val="28"/>
        </w:rPr>
        <w:t xml:space="preserve"> salī</w:t>
      </w:r>
      <w:r w:rsidR="00853F52">
        <w:rPr>
          <w:sz w:val="28"/>
        </w:rPr>
        <w:t>dzinot ar iepriekšējo ceturksni</w:t>
      </w:r>
      <w:r w:rsidRPr="001A6C75">
        <w:rPr>
          <w:sz w:val="28"/>
        </w:rPr>
        <w:t>. Stabili pieauguma tem</w:t>
      </w:r>
      <w:r w:rsidR="00853F52">
        <w:rPr>
          <w:sz w:val="28"/>
        </w:rPr>
        <w:t xml:space="preserve">pi saglabājās Austrijā, Polijā, </w:t>
      </w:r>
      <w:r w:rsidRPr="001A6C75">
        <w:rPr>
          <w:sz w:val="28"/>
        </w:rPr>
        <w:t xml:space="preserve">Baltijas valstīs, kā arī Somijā un Zviedrijā. </w:t>
      </w:r>
    </w:p>
    <w:p w:rsidR="001C2361" w:rsidRPr="00307D32" w:rsidRDefault="00713086" w:rsidP="002664EE">
      <w:pPr>
        <w:autoSpaceDE w:val="0"/>
        <w:autoSpaceDN w:val="0"/>
        <w:adjustRightInd w:val="0"/>
        <w:ind w:firstLine="426"/>
        <w:jc w:val="both"/>
        <w:rPr>
          <w:sz w:val="28"/>
        </w:rPr>
      </w:pPr>
      <w:r>
        <w:rPr>
          <w:sz w:val="28"/>
        </w:rPr>
        <w:lastRenderedPageBreak/>
        <w:t>S</w:t>
      </w:r>
      <w:r w:rsidR="001C2361" w:rsidRPr="001A6C75">
        <w:rPr>
          <w:sz w:val="28"/>
        </w:rPr>
        <w:t xml:space="preserve">aspringta ekonomiskā situācija </w:t>
      </w:r>
      <w:r w:rsidR="008B06DE">
        <w:rPr>
          <w:sz w:val="28"/>
        </w:rPr>
        <w:t xml:space="preserve">saglabājas </w:t>
      </w:r>
      <w:r w:rsidR="001C2361" w:rsidRPr="001A6C75">
        <w:rPr>
          <w:sz w:val="28"/>
        </w:rPr>
        <w:t>Grieķijā un Portugālē, kur š</w:t>
      </w:r>
      <w:r w:rsidR="008B06DE">
        <w:rPr>
          <w:sz w:val="28"/>
        </w:rPr>
        <w:t>ī gada</w:t>
      </w:r>
      <w:r w:rsidR="001C2361" w:rsidRPr="001A6C75">
        <w:rPr>
          <w:sz w:val="28"/>
        </w:rPr>
        <w:t xml:space="preserve"> 2.ceturksnī IKP bija mazāks nekā </w:t>
      </w:r>
      <w:r w:rsidR="001C2361">
        <w:rPr>
          <w:sz w:val="28"/>
        </w:rPr>
        <w:t>iepriekšējā gada atbilstošajā periodā</w:t>
      </w:r>
      <w:r w:rsidR="001C2361" w:rsidRPr="001A6C75">
        <w:rPr>
          <w:sz w:val="28"/>
        </w:rPr>
        <w:t xml:space="preserve">. Šo valstu turpmāko attīstību ietekmēs nepieciešamība konsolidēt valstu budžetus un </w:t>
      </w:r>
      <w:r w:rsidR="00853F52">
        <w:rPr>
          <w:sz w:val="28"/>
        </w:rPr>
        <w:t xml:space="preserve">spēja </w:t>
      </w:r>
      <w:r w:rsidR="001C2361" w:rsidRPr="001A6C75">
        <w:rPr>
          <w:sz w:val="28"/>
        </w:rPr>
        <w:t>nodrošināt finanšu sektoru stabilitāti.</w:t>
      </w:r>
    </w:p>
    <w:p w:rsidR="001C2361" w:rsidRDefault="001C2361" w:rsidP="002664EE">
      <w:pPr>
        <w:autoSpaceDE w:val="0"/>
        <w:autoSpaceDN w:val="0"/>
        <w:adjustRightInd w:val="0"/>
        <w:ind w:firstLine="426"/>
        <w:jc w:val="both"/>
        <w:rPr>
          <w:sz w:val="28"/>
        </w:rPr>
      </w:pPr>
      <w:r w:rsidRPr="00307D32">
        <w:rPr>
          <w:b/>
          <w:sz w:val="28"/>
        </w:rPr>
        <w:t>Baltijas valst</w:t>
      </w:r>
      <w:r>
        <w:rPr>
          <w:b/>
          <w:sz w:val="28"/>
        </w:rPr>
        <w:t xml:space="preserve">īs </w:t>
      </w:r>
      <w:r w:rsidRPr="00DB6BA7">
        <w:rPr>
          <w:sz w:val="28"/>
        </w:rPr>
        <w:t>pēc dziļas ekonomikas lejupslīdes</w:t>
      </w:r>
      <w:r w:rsidR="008B06DE">
        <w:rPr>
          <w:sz w:val="28"/>
        </w:rPr>
        <w:t xml:space="preserve"> kopš 2009.gada 4.ceturkšņa </w:t>
      </w:r>
      <w:r>
        <w:rPr>
          <w:sz w:val="28"/>
        </w:rPr>
        <w:t xml:space="preserve">ir atsākusies izaugsme. 2011.gada 2.ceturksnī pieauguma tempi Latvijā un Igaunijā ir visstraujākie ES. Latvijā 2011.gada </w:t>
      </w:r>
      <w:r w:rsidR="00713086">
        <w:rPr>
          <w:sz w:val="28"/>
        </w:rPr>
        <w:t>2</w:t>
      </w:r>
      <w:r>
        <w:rPr>
          <w:sz w:val="28"/>
        </w:rPr>
        <w:t>.ceturksnī IKP pieauga par 2%, bet Igaunijā par 1,7%, salīdzinot ar 2011.gada 1.ceturksni</w:t>
      </w:r>
      <w:r w:rsidRPr="00307D32">
        <w:rPr>
          <w:sz w:val="28"/>
        </w:rPr>
        <w:t>.</w:t>
      </w:r>
      <w:r>
        <w:rPr>
          <w:sz w:val="28"/>
        </w:rPr>
        <w:t xml:space="preserve"> Lietuvā 2011.gada 2.ceturksnī</w:t>
      </w:r>
      <w:r w:rsidRPr="00307D32">
        <w:rPr>
          <w:sz w:val="28"/>
        </w:rPr>
        <w:t>, salīdzinot ar iepriekšējo ceturksni</w:t>
      </w:r>
      <w:r>
        <w:rPr>
          <w:sz w:val="28"/>
        </w:rPr>
        <w:t>,</w:t>
      </w:r>
      <w:r w:rsidRPr="00307D32">
        <w:rPr>
          <w:sz w:val="28"/>
        </w:rPr>
        <w:t xml:space="preserve"> IKP </w:t>
      </w:r>
      <w:r>
        <w:rPr>
          <w:sz w:val="28"/>
        </w:rPr>
        <w:t>pieauga par</w:t>
      </w:r>
      <w:r w:rsidRPr="00307D32">
        <w:rPr>
          <w:sz w:val="28"/>
        </w:rPr>
        <w:t xml:space="preserve"> 0,</w:t>
      </w:r>
      <w:r w:rsidR="00713086">
        <w:rPr>
          <w:sz w:val="28"/>
        </w:rPr>
        <w:t>4%</w:t>
      </w:r>
      <w:r>
        <w:rPr>
          <w:sz w:val="28"/>
        </w:rPr>
        <w:t xml:space="preserve">. </w:t>
      </w:r>
      <w:r w:rsidRPr="00EB2025">
        <w:rPr>
          <w:sz w:val="28"/>
        </w:rPr>
        <w:t>Baltijas valstu</w:t>
      </w:r>
      <w:r w:rsidRPr="00307D32">
        <w:rPr>
          <w:b/>
          <w:sz w:val="28"/>
        </w:rPr>
        <w:t xml:space="preserve"> </w:t>
      </w:r>
      <w:r w:rsidRPr="00307D32">
        <w:rPr>
          <w:sz w:val="28"/>
        </w:rPr>
        <w:t>ekonomikas izaugsmes pamatā ir ievērojam</w:t>
      </w:r>
      <w:r>
        <w:rPr>
          <w:sz w:val="28"/>
        </w:rPr>
        <w:t>ai</w:t>
      </w:r>
      <w:r w:rsidRPr="00307D32">
        <w:rPr>
          <w:sz w:val="28"/>
        </w:rPr>
        <w:t>s eksporta pieaugums</w:t>
      </w:r>
      <w:r>
        <w:rPr>
          <w:sz w:val="28"/>
        </w:rPr>
        <w:t xml:space="preserve">, ko sekmē </w:t>
      </w:r>
      <w:r w:rsidRPr="00307D32">
        <w:rPr>
          <w:sz w:val="28"/>
        </w:rPr>
        <w:t>ārēj</w:t>
      </w:r>
      <w:r w:rsidR="008B06DE">
        <w:rPr>
          <w:sz w:val="28"/>
        </w:rPr>
        <w:t xml:space="preserve">ais </w:t>
      </w:r>
      <w:r w:rsidRPr="00307D32">
        <w:rPr>
          <w:sz w:val="28"/>
        </w:rPr>
        <w:t>pieprasījum</w:t>
      </w:r>
      <w:r w:rsidR="008B06DE">
        <w:rPr>
          <w:sz w:val="28"/>
        </w:rPr>
        <w:t>s, kā arī r</w:t>
      </w:r>
      <w:r>
        <w:rPr>
          <w:sz w:val="28"/>
        </w:rPr>
        <w:t>ažotāju konkurētspējas uzlabošanās krīzes laikā.</w:t>
      </w:r>
      <w:r w:rsidRPr="00307D32">
        <w:rPr>
          <w:sz w:val="28"/>
        </w:rPr>
        <w:t xml:space="preserve"> </w:t>
      </w:r>
    </w:p>
    <w:p w:rsidR="001C2361" w:rsidRDefault="001C2361" w:rsidP="002664EE">
      <w:pPr>
        <w:autoSpaceDE w:val="0"/>
        <w:autoSpaceDN w:val="0"/>
        <w:adjustRightInd w:val="0"/>
        <w:ind w:firstLine="426"/>
        <w:jc w:val="both"/>
        <w:rPr>
          <w:sz w:val="28"/>
        </w:rPr>
      </w:pPr>
      <w:r w:rsidRPr="00950A00">
        <w:rPr>
          <w:b/>
          <w:sz w:val="28"/>
        </w:rPr>
        <w:t>ASV</w:t>
      </w:r>
      <w:r w:rsidRPr="00950A00">
        <w:rPr>
          <w:sz w:val="28"/>
        </w:rPr>
        <w:t xml:space="preserve"> </w:t>
      </w:r>
      <w:r>
        <w:rPr>
          <w:sz w:val="28"/>
        </w:rPr>
        <w:t>e</w:t>
      </w:r>
      <w:r w:rsidRPr="00307D32">
        <w:rPr>
          <w:sz w:val="28"/>
        </w:rPr>
        <w:t>konomikas atveseļošan</w:t>
      </w:r>
      <w:r w:rsidR="00017561">
        <w:rPr>
          <w:sz w:val="28"/>
        </w:rPr>
        <w:t>o</w:t>
      </w:r>
      <w:r w:rsidRPr="00307D32">
        <w:rPr>
          <w:sz w:val="28"/>
        </w:rPr>
        <w:t>s</w:t>
      </w:r>
      <w:r w:rsidR="00017561">
        <w:rPr>
          <w:sz w:val="28"/>
        </w:rPr>
        <w:t xml:space="preserve"> pēc krīzes periodā no</w:t>
      </w:r>
      <w:r w:rsidR="004938F7">
        <w:rPr>
          <w:sz w:val="28"/>
        </w:rPr>
        <w:t>saka</w:t>
      </w:r>
      <w:r w:rsidR="00017561">
        <w:rPr>
          <w:sz w:val="28"/>
        </w:rPr>
        <w:t xml:space="preserve"> </w:t>
      </w:r>
      <w:r w:rsidRPr="00307D32">
        <w:rPr>
          <w:sz w:val="28"/>
        </w:rPr>
        <w:t>spēcīgi makroekonomiskās politikas stimuli un finanšu stabilizācijas pasākumi</w:t>
      </w:r>
      <w:r>
        <w:rPr>
          <w:sz w:val="28"/>
        </w:rPr>
        <w:t xml:space="preserve">. </w:t>
      </w:r>
      <w:r w:rsidR="004002FC">
        <w:rPr>
          <w:sz w:val="28"/>
        </w:rPr>
        <w:t>2011.gad</w:t>
      </w:r>
      <w:r w:rsidR="004938F7">
        <w:rPr>
          <w:sz w:val="28"/>
        </w:rPr>
        <w:t xml:space="preserve">ā izaugsme turpinās, tomēr </w:t>
      </w:r>
      <w:r w:rsidR="004002FC">
        <w:rPr>
          <w:sz w:val="28"/>
        </w:rPr>
        <w:t xml:space="preserve">izaugsmes tempi </w:t>
      </w:r>
      <w:r w:rsidR="004938F7">
        <w:rPr>
          <w:sz w:val="28"/>
        </w:rPr>
        <w:t xml:space="preserve">ir ievērojami </w:t>
      </w:r>
      <w:r w:rsidR="004002FC">
        <w:rPr>
          <w:sz w:val="28"/>
        </w:rPr>
        <w:t>palēnināj</w:t>
      </w:r>
      <w:r w:rsidR="004938F7">
        <w:rPr>
          <w:sz w:val="28"/>
        </w:rPr>
        <w:t>ušies</w:t>
      </w:r>
      <w:r w:rsidR="004002FC">
        <w:rPr>
          <w:sz w:val="28"/>
        </w:rPr>
        <w:t xml:space="preserve">. IKP </w:t>
      </w:r>
      <w:r w:rsidRPr="00307D32">
        <w:rPr>
          <w:sz w:val="28"/>
        </w:rPr>
        <w:t xml:space="preserve">2011.gada </w:t>
      </w:r>
      <w:r>
        <w:rPr>
          <w:sz w:val="28"/>
        </w:rPr>
        <w:t>1.</w:t>
      </w:r>
      <w:r w:rsidR="004002FC">
        <w:rPr>
          <w:sz w:val="28"/>
        </w:rPr>
        <w:t xml:space="preserve">ceturknī pieauga par 0,1% un </w:t>
      </w:r>
      <w:r>
        <w:rPr>
          <w:sz w:val="28"/>
        </w:rPr>
        <w:t>2</w:t>
      </w:r>
      <w:r w:rsidRPr="00307D32">
        <w:rPr>
          <w:sz w:val="28"/>
        </w:rPr>
        <w:t>.ceturksnī</w:t>
      </w:r>
      <w:r w:rsidR="004002FC">
        <w:rPr>
          <w:sz w:val="28"/>
        </w:rPr>
        <w:t xml:space="preserve"> – par 0</w:t>
      </w:r>
      <w:r>
        <w:rPr>
          <w:sz w:val="28"/>
        </w:rPr>
        <w:t>,</w:t>
      </w:r>
      <w:r w:rsidR="004002FC">
        <w:rPr>
          <w:sz w:val="28"/>
        </w:rPr>
        <w:t>2</w:t>
      </w:r>
      <w:r w:rsidRPr="00307D32">
        <w:rPr>
          <w:sz w:val="28"/>
        </w:rPr>
        <w:t>%</w:t>
      </w:r>
      <w:r w:rsidR="004002FC">
        <w:rPr>
          <w:sz w:val="28"/>
        </w:rPr>
        <w:t>,</w:t>
      </w:r>
      <w:r>
        <w:rPr>
          <w:sz w:val="28"/>
        </w:rPr>
        <w:t xml:space="preserve"> salīdzinot ar iepriekšēj</w:t>
      </w:r>
      <w:r w:rsidR="004002FC">
        <w:rPr>
          <w:sz w:val="28"/>
        </w:rPr>
        <w:t>o ceturksni</w:t>
      </w:r>
      <w:r>
        <w:rPr>
          <w:sz w:val="28"/>
        </w:rPr>
        <w:t>.</w:t>
      </w:r>
      <w:r w:rsidR="004002FC">
        <w:rPr>
          <w:sz w:val="28"/>
        </w:rPr>
        <w:t xml:space="preserve"> Šī gada 1. un 2.ceturksnī IKP attiecīgi par 2,2% un 1,5% pārsniedza iepriekšējā gada atbilstošo ceturkšņu līmeni.</w:t>
      </w:r>
      <w:r w:rsidRPr="00307D32">
        <w:rPr>
          <w:sz w:val="28"/>
        </w:rPr>
        <w:t xml:space="preserve"> </w:t>
      </w:r>
      <w:r w:rsidR="004938F7">
        <w:rPr>
          <w:sz w:val="28"/>
        </w:rPr>
        <w:t xml:space="preserve">Izaugsmes tempu samazinājumu galvenokārt noteica privātā patēriņa sašaurināšanās, </w:t>
      </w:r>
      <w:r w:rsidRPr="00307D32">
        <w:rPr>
          <w:sz w:val="28"/>
        </w:rPr>
        <w:t xml:space="preserve">joprojām zemā aktivitāte mājokļu </w:t>
      </w:r>
      <w:r>
        <w:rPr>
          <w:sz w:val="28"/>
        </w:rPr>
        <w:t>tirgū</w:t>
      </w:r>
      <w:r w:rsidRPr="00307D32">
        <w:rPr>
          <w:sz w:val="28"/>
        </w:rPr>
        <w:t>, Japānas zemestrīces ietekme uz ASV apstrādes rūpniecīb</w:t>
      </w:r>
      <w:r w:rsidR="004002FC">
        <w:rPr>
          <w:sz w:val="28"/>
        </w:rPr>
        <w:t>u u.c. faktori</w:t>
      </w:r>
      <w:r w:rsidRPr="00950A00">
        <w:rPr>
          <w:sz w:val="28"/>
        </w:rPr>
        <w:t>.</w:t>
      </w:r>
    </w:p>
    <w:p w:rsidR="001C2361" w:rsidRDefault="001C2361" w:rsidP="002664EE">
      <w:pPr>
        <w:autoSpaceDE w:val="0"/>
        <w:autoSpaceDN w:val="0"/>
        <w:adjustRightInd w:val="0"/>
        <w:ind w:firstLine="426"/>
        <w:jc w:val="both"/>
        <w:rPr>
          <w:sz w:val="28"/>
        </w:rPr>
      </w:pPr>
      <w:r w:rsidRPr="00307D32">
        <w:rPr>
          <w:b/>
          <w:sz w:val="28"/>
        </w:rPr>
        <w:t>Āzijas valstis</w:t>
      </w:r>
      <w:r w:rsidRPr="00307D32">
        <w:rPr>
          <w:sz w:val="28"/>
        </w:rPr>
        <w:t xml:space="preserve"> globālo krīzi ir pārvarējušas veiksmīgāk nekā citu reģionu valstis. Lielākajā daļā </w:t>
      </w:r>
      <w:r w:rsidR="008B06DE">
        <w:rPr>
          <w:sz w:val="28"/>
        </w:rPr>
        <w:t xml:space="preserve">Āzijas </w:t>
      </w:r>
      <w:r w:rsidRPr="00307D32">
        <w:rPr>
          <w:sz w:val="28"/>
        </w:rPr>
        <w:t xml:space="preserve">valstu ir noturīgs iekšējais pieprasījums, kas, pateicoties aktīviem politikas stimuliem, ir kompensējis ieņēmumu sarukumu no eksporta samazinājuma. </w:t>
      </w:r>
    </w:p>
    <w:p w:rsidR="001C2361" w:rsidRDefault="001C2361" w:rsidP="002664EE">
      <w:pPr>
        <w:autoSpaceDE w:val="0"/>
        <w:autoSpaceDN w:val="0"/>
        <w:adjustRightInd w:val="0"/>
        <w:ind w:firstLine="426"/>
        <w:jc w:val="both"/>
        <w:rPr>
          <w:sz w:val="28"/>
        </w:rPr>
      </w:pPr>
      <w:r w:rsidRPr="00307D32">
        <w:rPr>
          <w:sz w:val="28"/>
        </w:rPr>
        <w:t>Japānā 2010.gada laikā bija vērojama salīdzinoši strauja ekonomikas izaugsme. Tomēr 2010.gada 4.ceturksnī ekonomiskās aktivitātes nedaudz saruka. To ietekmēja privātā patēriņa samazinājums, kas bija saistīts ar vairāku stimulu atcelšanu, kā arī neliels eksporta apjomu kritums. 2011.gada</w:t>
      </w:r>
      <w:r>
        <w:rPr>
          <w:sz w:val="28"/>
        </w:rPr>
        <w:t xml:space="preserve"> 1. un 2.ceturksnī IKP Japānā saruka attiecīgi par 0,7% un 1,1% (salīdzinot ar iepriekšējā gada atbilstošo periodu), ko </w:t>
      </w:r>
      <w:r w:rsidRPr="00307D32">
        <w:rPr>
          <w:sz w:val="28"/>
        </w:rPr>
        <w:t xml:space="preserve">negatīvi ietekmēja </w:t>
      </w:r>
      <w:r>
        <w:rPr>
          <w:sz w:val="28"/>
        </w:rPr>
        <w:t xml:space="preserve">vājāks nekā cerēts investīciju pieaugums </w:t>
      </w:r>
      <w:r w:rsidRPr="00307D32">
        <w:rPr>
          <w:sz w:val="28"/>
        </w:rPr>
        <w:t>cunami un zemestrīces izraisīt</w:t>
      </w:r>
      <w:r>
        <w:rPr>
          <w:sz w:val="28"/>
        </w:rPr>
        <w:t>o</w:t>
      </w:r>
      <w:r w:rsidRPr="00307D32">
        <w:rPr>
          <w:sz w:val="28"/>
        </w:rPr>
        <w:t xml:space="preserve"> sek</w:t>
      </w:r>
      <w:r>
        <w:rPr>
          <w:sz w:val="28"/>
        </w:rPr>
        <w:t>u dēļ</w:t>
      </w:r>
      <w:r w:rsidRPr="00307D32">
        <w:rPr>
          <w:sz w:val="28"/>
        </w:rPr>
        <w:t>.</w:t>
      </w:r>
    </w:p>
    <w:p w:rsidR="001C2361" w:rsidRDefault="001C2361" w:rsidP="002664EE">
      <w:pPr>
        <w:autoSpaceDE w:val="0"/>
        <w:autoSpaceDN w:val="0"/>
        <w:adjustRightInd w:val="0"/>
        <w:ind w:firstLine="426"/>
        <w:jc w:val="both"/>
        <w:rPr>
          <w:sz w:val="28"/>
        </w:rPr>
      </w:pPr>
      <w:r w:rsidRPr="00307D32">
        <w:rPr>
          <w:sz w:val="28"/>
        </w:rPr>
        <w:t xml:space="preserve"> Ķīnā IKP 2010.gadā pieauga par 10,3</w:t>
      </w:r>
      <w:r>
        <w:rPr>
          <w:sz w:val="28"/>
        </w:rPr>
        <w:t>%</w:t>
      </w:r>
      <w:r w:rsidRPr="00307D32">
        <w:rPr>
          <w:sz w:val="28"/>
        </w:rPr>
        <w:t xml:space="preserve">, bet 2011.gada </w:t>
      </w:r>
      <w:r>
        <w:rPr>
          <w:sz w:val="28"/>
        </w:rPr>
        <w:t>1. un 2</w:t>
      </w:r>
      <w:r w:rsidRPr="00307D32">
        <w:rPr>
          <w:sz w:val="28"/>
        </w:rPr>
        <w:t>.</w:t>
      </w:r>
      <w:r>
        <w:rPr>
          <w:sz w:val="28"/>
        </w:rPr>
        <w:t>ceturksnī</w:t>
      </w:r>
      <w:r w:rsidRPr="00307D32">
        <w:rPr>
          <w:sz w:val="28"/>
        </w:rPr>
        <w:t xml:space="preserve"> </w:t>
      </w:r>
      <w:r>
        <w:rPr>
          <w:sz w:val="28"/>
        </w:rPr>
        <w:t xml:space="preserve">– attiecīgi </w:t>
      </w:r>
      <w:r w:rsidRPr="00307D32">
        <w:rPr>
          <w:sz w:val="28"/>
        </w:rPr>
        <w:t xml:space="preserve">par </w:t>
      </w:r>
      <w:r>
        <w:rPr>
          <w:sz w:val="28"/>
        </w:rPr>
        <w:t>9,7% un 9,5</w:t>
      </w:r>
      <w:r w:rsidRPr="00307D32">
        <w:rPr>
          <w:sz w:val="28"/>
        </w:rPr>
        <w:t>%</w:t>
      </w:r>
      <w:r>
        <w:rPr>
          <w:sz w:val="28"/>
        </w:rPr>
        <w:t xml:space="preserve"> (salīdzinot ar iepriekšējā gada atbilstošo periodu)</w:t>
      </w:r>
      <w:r w:rsidRPr="00307D32">
        <w:rPr>
          <w:sz w:val="28"/>
        </w:rPr>
        <w:t>. Izaugsmi galvenokārt no</w:t>
      </w:r>
      <w:r>
        <w:rPr>
          <w:sz w:val="28"/>
        </w:rPr>
        <w:t>saka privātais patēriņš</w:t>
      </w:r>
      <w:r w:rsidRPr="00307D32">
        <w:rPr>
          <w:sz w:val="28"/>
        </w:rPr>
        <w:t xml:space="preserve">, </w:t>
      </w:r>
      <w:r>
        <w:rPr>
          <w:sz w:val="28"/>
        </w:rPr>
        <w:t>arī</w:t>
      </w:r>
      <w:r w:rsidRPr="00307D32">
        <w:rPr>
          <w:sz w:val="28"/>
        </w:rPr>
        <w:t xml:space="preserve"> eksporta ieguldījums IKP izaugsmē </w:t>
      </w:r>
      <w:r>
        <w:rPr>
          <w:sz w:val="28"/>
        </w:rPr>
        <w:t xml:space="preserve">2.ceturksnī </w:t>
      </w:r>
      <w:r w:rsidRPr="00307D32">
        <w:rPr>
          <w:sz w:val="28"/>
        </w:rPr>
        <w:t xml:space="preserve">bija </w:t>
      </w:r>
      <w:r>
        <w:rPr>
          <w:sz w:val="28"/>
        </w:rPr>
        <w:t>pozi</w:t>
      </w:r>
      <w:r w:rsidRPr="00307D32">
        <w:rPr>
          <w:sz w:val="28"/>
        </w:rPr>
        <w:t xml:space="preserve">tīvs. </w:t>
      </w:r>
    </w:p>
    <w:p w:rsidR="001C2361" w:rsidRPr="00307D32" w:rsidRDefault="001C2361" w:rsidP="002664EE">
      <w:pPr>
        <w:autoSpaceDE w:val="0"/>
        <w:autoSpaceDN w:val="0"/>
        <w:adjustRightInd w:val="0"/>
        <w:ind w:firstLine="426"/>
        <w:jc w:val="both"/>
        <w:rPr>
          <w:sz w:val="28"/>
        </w:rPr>
      </w:pPr>
      <w:r w:rsidRPr="00307D32">
        <w:rPr>
          <w:sz w:val="28"/>
        </w:rPr>
        <w:t xml:space="preserve">Indijā 2011.gada </w:t>
      </w:r>
      <w:r>
        <w:rPr>
          <w:sz w:val="28"/>
        </w:rPr>
        <w:t>2</w:t>
      </w:r>
      <w:r w:rsidRPr="00307D32">
        <w:rPr>
          <w:sz w:val="28"/>
        </w:rPr>
        <w:t>.</w:t>
      </w:r>
      <w:r>
        <w:rPr>
          <w:sz w:val="28"/>
        </w:rPr>
        <w:t>ceturksnī</w:t>
      </w:r>
      <w:r w:rsidRPr="00307D32">
        <w:rPr>
          <w:sz w:val="28"/>
        </w:rPr>
        <w:t xml:space="preserve"> IKP pieauga par </w:t>
      </w:r>
      <w:r w:rsidRPr="0031351E">
        <w:rPr>
          <w:sz w:val="28"/>
        </w:rPr>
        <w:t>7,7</w:t>
      </w:r>
      <w:r w:rsidRPr="00307D32">
        <w:rPr>
          <w:sz w:val="28"/>
        </w:rPr>
        <w:t>%</w:t>
      </w:r>
      <w:r>
        <w:rPr>
          <w:sz w:val="28"/>
        </w:rPr>
        <w:t xml:space="preserve"> (salīdzinot ar iepriekšējā gada atbilstošo periodu), </w:t>
      </w:r>
      <w:r w:rsidRPr="00D7097A">
        <w:rPr>
          <w:sz w:val="28"/>
        </w:rPr>
        <w:t xml:space="preserve">kas bija lēnākais pieauguma temps pēdējos sešos ceturkšņos, bet joprojām augstāks nekā </w:t>
      </w:r>
      <w:r w:rsidR="008B06DE">
        <w:rPr>
          <w:sz w:val="28"/>
        </w:rPr>
        <w:t>iepriekš prognozēja starptautiskās institūcijas</w:t>
      </w:r>
      <w:r>
        <w:rPr>
          <w:sz w:val="28"/>
        </w:rPr>
        <w:t xml:space="preserve">. Turpmākais izaugsmes temps tiek prognozēts lēnāks, </w:t>
      </w:r>
      <w:r w:rsidRPr="00D7097A">
        <w:rPr>
          <w:sz w:val="28"/>
        </w:rPr>
        <w:t>jo Indijas centrālā banka turpina paaugstināt procentu likmes, lai kontrolētu inflāciju</w:t>
      </w:r>
      <w:r>
        <w:rPr>
          <w:sz w:val="28"/>
        </w:rPr>
        <w:t>, kura 2011.gada jūlijā sasniedza 8,4</w:t>
      </w:r>
      <w:r w:rsidR="008B06DE">
        <w:rPr>
          <w:sz w:val="28"/>
        </w:rPr>
        <w:t> procentus</w:t>
      </w:r>
      <w:r w:rsidRPr="00307D32">
        <w:rPr>
          <w:sz w:val="28"/>
        </w:rPr>
        <w:t>.</w:t>
      </w:r>
    </w:p>
    <w:p w:rsidR="001C2361" w:rsidRPr="00307D32" w:rsidRDefault="001C2361" w:rsidP="002664EE">
      <w:pPr>
        <w:ind w:firstLine="426"/>
        <w:rPr>
          <w:sz w:val="4"/>
          <w:szCs w:val="8"/>
        </w:rPr>
      </w:pPr>
    </w:p>
    <w:p w:rsidR="001C2361" w:rsidRDefault="001C2361" w:rsidP="002664EE">
      <w:pPr>
        <w:autoSpaceDE w:val="0"/>
        <w:autoSpaceDN w:val="0"/>
        <w:adjustRightInd w:val="0"/>
        <w:ind w:firstLine="426"/>
        <w:jc w:val="both"/>
        <w:rPr>
          <w:sz w:val="28"/>
        </w:rPr>
      </w:pPr>
      <w:r w:rsidRPr="00307D32">
        <w:rPr>
          <w:b/>
          <w:sz w:val="28"/>
        </w:rPr>
        <w:t>NVS</w:t>
      </w:r>
      <w:r w:rsidRPr="00307D32">
        <w:rPr>
          <w:sz w:val="28"/>
        </w:rPr>
        <w:t xml:space="preserve"> reģiona atgūšanās pēckrīzes periodā balstās uz augstajām resursu cenām un kapitāla plūsmu atjaunošanos. Tāpat kā citos reģionos arī NVS valstu izaugsme nav vienmērīga – reģiona attīstību galvenokārt veicina Krievijas ekonomikas </w:t>
      </w:r>
      <w:r>
        <w:rPr>
          <w:sz w:val="28"/>
        </w:rPr>
        <w:t>atveseļošanās</w:t>
      </w:r>
      <w:r w:rsidRPr="00307D32">
        <w:rPr>
          <w:sz w:val="28"/>
        </w:rPr>
        <w:t>. IKP Krievijā 2010.gadā pieauga par 4%</w:t>
      </w:r>
      <w:r>
        <w:rPr>
          <w:sz w:val="28"/>
        </w:rPr>
        <w:t xml:space="preserve">, 2011.gada 1. un 2.cetruksnī – </w:t>
      </w:r>
      <w:r>
        <w:rPr>
          <w:sz w:val="28"/>
        </w:rPr>
        <w:lastRenderedPageBreak/>
        <w:t>attiecīgi par 4,1% un 3,4% (salīdzinot ar iepriekšējā gada atbilstošo periodu)</w:t>
      </w:r>
      <w:r w:rsidRPr="00307D32">
        <w:rPr>
          <w:sz w:val="28"/>
        </w:rPr>
        <w:t xml:space="preserve">. </w:t>
      </w:r>
      <w:r>
        <w:rPr>
          <w:sz w:val="28"/>
        </w:rPr>
        <w:t>Tajā pašā</w:t>
      </w:r>
      <w:r w:rsidR="008B06DE">
        <w:rPr>
          <w:sz w:val="28"/>
        </w:rPr>
        <w:t xml:space="preserve"> laikā Krievijā strauji aug cenas </w:t>
      </w:r>
      <w:r>
        <w:rPr>
          <w:sz w:val="28"/>
        </w:rPr>
        <w:t>– inflācija 2011.gada jūlijā bija 9,4%</w:t>
      </w:r>
      <w:r w:rsidRPr="00307D32">
        <w:rPr>
          <w:sz w:val="28"/>
        </w:rPr>
        <w:t xml:space="preserve">. Ņemot vērā, ka Krievija ir viena no lielākajām naftas un gāzes eksportētājām, </w:t>
      </w:r>
      <w:r>
        <w:rPr>
          <w:sz w:val="28"/>
        </w:rPr>
        <w:t xml:space="preserve">tās turpmāka </w:t>
      </w:r>
      <w:r w:rsidRPr="00307D32">
        <w:rPr>
          <w:sz w:val="28"/>
        </w:rPr>
        <w:t xml:space="preserve">izaugsme lielā mērā būs atkarīga no </w:t>
      </w:r>
      <w:r>
        <w:rPr>
          <w:sz w:val="28"/>
        </w:rPr>
        <w:t xml:space="preserve">šo </w:t>
      </w:r>
      <w:r w:rsidRPr="00307D32">
        <w:rPr>
          <w:sz w:val="28"/>
        </w:rPr>
        <w:t xml:space="preserve">preču cenu </w:t>
      </w:r>
      <w:r>
        <w:rPr>
          <w:sz w:val="28"/>
        </w:rPr>
        <w:t>svārstībām pasaulē.</w:t>
      </w:r>
    </w:p>
    <w:p w:rsidR="001C2361" w:rsidRDefault="001C2361" w:rsidP="002664EE">
      <w:pPr>
        <w:autoSpaceDE w:val="0"/>
        <w:autoSpaceDN w:val="0"/>
        <w:adjustRightInd w:val="0"/>
        <w:ind w:firstLine="426"/>
        <w:jc w:val="both"/>
        <w:rPr>
          <w:sz w:val="28"/>
        </w:rPr>
      </w:pPr>
    </w:p>
    <w:p w:rsidR="00AD1713" w:rsidRPr="00FE45FC" w:rsidRDefault="008B06DE" w:rsidP="002664EE">
      <w:pPr>
        <w:ind w:firstLine="426"/>
        <w:jc w:val="both"/>
        <w:rPr>
          <w:sz w:val="28"/>
        </w:rPr>
      </w:pPr>
      <w:r>
        <w:rPr>
          <w:sz w:val="28"/>
        </w:rPr>
        <w:t xml:space="preserve">Ņemot vērā pieaugošo nenoteiktību, starptautiskās organizācijas ir samazinājušas globālās ekonomikas izaugsmes prognozes. </w:t>
      </w:r>
      <w:r w:rsidR="00AD1713" w:rsidRPr="00181FDB">
        <w:rPr>
          <w:sz w:val="28"/>
        </w:rPr>
        <w:t>P</w:t>
      </w:r>
      <w:r w:rsidR="00AD1713" w:rsidRPr="00181FDB">
        <w:rPr>
          <w:rFonts w:hint="eastAsia"/>
          <w:sz w:val="28"/>
        </w:rPr>
        <w:t>ē</w:t>
      </w:r>
      <w:r w:rsidR="00AD1713" w:rsidRPr="00181FDB">
        <w:rPr>
          <w:sz w:val="28"/>
        </w:rPr>
        <w:t>c Starptautisk</w:t>
      </w:r>
      <w:r w:rsidR="00AD1713" w:rsidRPr="00181FDB">
        <w:rPr>
          <w:rFonts w:hint="eastAsia"/>
          <w:sz w:val="28"/>
        </w:rPr>
        <w:t>ā</w:t>
      </w:r>
      <w:r w:rsidR="00AD1713" w:rsidRPr="00181FDB">
        <w:rPr>
          <w:sz w:val="28"/>
        </w:rPr>
        <w:t xml:space="preserve"> Val</w:t>
      </w:r>
      <w:r w:rsidR="00AD1713" w:rsidRPr="00181FDB">
        <w:rPr>
          <w:rFonts w:hint="eastAsia"/>
          <w:sz w:val="28"/>
        </w:rPr>
        <w:t>ū</w:t>
      </w:r>
      <w:r w:rsidR="00AD1713" w:rsidRPr="00181FDB">
        <w:rPr>
          <w:sz w:val="28"/>
        </w:rPr>
        <w:t>tas fonda prognoz</w:t>
      </w:r>
      <w:r w:rsidR="00AD1713" w:rsidRPr="00181FDB">
        <w:rPr>
          <w:rFonts w:hint="eastAsia"/>
          <w:sz w:val="28"/>
        </w:rPr>
        <w:t>ē</w:t>
      </w:r>
      <w:r w:rsidR="00AD1713" w:rsidRPr="00181FDB">
        <w:rPr>
          <w:sz w:val="28"/>
        </w:rPr>
        <w:t>m, pasaules ekonomika gan 2011.gadā, gan 2012.gad</w:t>
      </w:r>
      <w:r w:rsidR="00AD1713" w:rsidRPr="00181FDB">
        <w:rPr>
          <w:rFonts w:hint="eastAsia"/>
          <w:sz w:val="28"/>
        </w:rPr>
        <w:t>ā</w:t>
      </w:r>
      <w:r w:rsidR="00AD1713" w:rsidRPr="00181FDB">
        <w:rPr>
          <w:sz w:val="28"/>
        </w:rPr>
        <w:t xml:space="preserve"> pieaugs par 4%.</w:t>
      </w:r>
      <w:r w:rsidR="00AD1713" w:rsidRPr="00FE45FC">
        <w:rPr>
          <w:sz w:val="28"/>
        </w:rPr>
        <w:t xml:space="preserve"> L</w:t>
      </w:r>
      <w:r w:rsidR="00AD1713" w:rsidRPr="00FE45FC">
        <w:rPr>
          <w:rFonts w:hint="eastAsia"/>
          <w:sz w:val="28"/>
        </w:rPr>
        <w:t>ī</w:t>
      </w:r>
      <w:r w:rsidR="00AD1713" w:rsidRPr="00FE45FC">
        <w:rPr>
          <w:sz w:val="28"/>
        </w:rPr>
        <w:t>dz</w:t>
      </w:r>
      <w:r w:rsidR="00AD1713" w:rsidRPr="00FE45FC">
        <w:rPr>
          <w:rFonts w:hint="eastAsia"/>
          <w:sz w:val="28"/>
        </w:rPr>
        <w:t>ī</w:t>
      </w:r>
      <w:r w:rsidR="00AD1713" w:rsidRPr="00FE45FC">
        <w:rPr>
          <w:sz w:val="28"/>
        </w:rPr>
        <w:t>gi k</w:t>
      </w:r>
      <w:r w:rsidR="00AD1713" w:rsidRPr="00FE45FC">
        <w:rPr>
          <w:rFonts w:hint="eastAsia"/>
          <w:sz w:val="28"/>
        </w:rPr>
        <w:t>ā</w:t>
      </w:r>
      <w:r w:rsidR="00AD1713" w:rsidRPr="00FE45FC">
        <w:rPr>
          <w:sz w:val="28"/>
        </w:rPr>
        <w:t xml:space="preserve"> iepriekš</w:t>
      </w:r>
      <w:r w:rsidR="00AD1713" w:rsidRPr="00FE45FC">
        <w:rPr>
          <w:rFonts w:hint="eastAsia"/>
          <w:sz w:val="28"/>
        </w:rPr>
        <w:t>ē</w:t>
      </w:r>
      <w:r w:rsidR="00AD1713" w:rsidRPr="00FE45FC">
        <w:rPr>
          <w:sz w:val="28"/>
        </w:rPr>
        <w:t>jos gados att</w:t>
      </w:r>
      <w:r w:rsidR="00AD1713" w:rsidRPr="00FE45FC">
        <w:rPr>
          <w:rFonts w:hint="eastAsia"/>
          <w:sz w:val="28"/>
        </w:rPr>
        <w:t>ī</w:t>
      </w:r>
      <w:r w:rsidR="00AD1713" w:rsidRPr="00FE45FC">
        <w:rPr>
          <w:sz w:val="28"/>
        </w:rPr>
        <w:t>st</w:t>
      </w:r>
      <w:r w:rsidR="00AD1713" w:rsidRPr="00FE45FC">
        <w:rPr>
          <w:rFonts w:hint="eastAsia"/>
          <w:sz w:val="28"/>
        </w:rPr>
        <w:t>ī</w:t>
      </w:r>
      <w:r w:rsidR="00AD1713" w:rsidRPr="00FE45FC">
        <w:rPr>
          <w:sz w:val="28"/>
        </w:rPr>
        <w:t>t</w:t>
      </w:r>
      <w:r w:rsidR="00AD1713">
        <w:rPr>
          <w:sz w:val="28"/>
        </w:rPr>
        <w:t>o</w:t>
      </w:r>
      <w:r w:rsidR="00AD1713" w:rsidRPr="00FE45FC">
        <w:rPr>
          <w:sz w:val="28"/>
        </w:rPr>
        <w:t xml:space="preserve"> valstu ekonomisk</w:t>
      </w:r>
      <w:r w:rsidR="00AD1713" w:rsidRPr="00FE45FC">
        <w:rPr>
          <w:rFonts w:hint="eastAsia"/>
          <w:sz w:val="28"/>
        </w:rPr>
        <w:t>ā</w:t>
      </w:r>
      <w:r w:rsidR="00AD1713" w:rsidRPr="00FE45FC">
        <w:rPr>
          <w:sz w:val="28"/>
        </w:rPr>
        <w:t xml:space="preserve"> izaugsme b</w:t>
      </w:r>
      <w:r w:rsidR="00AD1713" w:rsidRPr="00FE45FC">
        <w:rPr>
          <w:rFonts w:hint="eastAsia"/>
          <w:sz w:val="28"/>
        </w:rPr>
        <w:t>ū</w:t>
      </w:r>
      <w:r w:rsidR="00AD1713" w:rsidRPr="00FE45FC">
        <w:rPr>
          <w:sz w:val="28"/>
        </w:rPr>
        <w:t xml:space="preserve">s </w:t>
      </w:r>
      <w:r w:rsidR="00AD1713">
        <w:rPr>
          <w:sz w:val="28"/>
        </w:rPr>
        <w:t xml:space="preserve">lēnāka </w:t>
      </w:r>
      <w:r w:rsidR="00AD1713" w:rsidRPr="00FE45FC">
        <w:rPr>
          <w:sz w:val="28"/>
        </w:rPr>
        <w:t>nek</w:t>
      </w:r>
      <w:r w:rsidR="00AD1713" w:rsidRPr="00FE45FC">
        <w:rPr>
          <w:rFonts w:hint="eastAsia"/>
          <w:sz w:val="28"/>
        </w:rPr>
        <w:t>ā</w:t>
      </w:r>
      <w:r w:rsidR="00AD1713" w:rsidRPr="00FE45FC">
        <w:rPr>
          <w:sz w:val="28"/>
        </w:rPr>
        <w:t xml:space="preserve"> att</w:t>
      </w:r>
      <w:r w:rsidR="00AD1713" w:rsidRPr="00FE45FC">
        <w:rPr>
          <w:rFonts w:hint="eastAsia"/>
          <w:sz w:val="28"/>
        </w:rPr>
        <w:t>ī</w:t>
      </w:r>
      <w:r w:rsidR="00AD1713" w:rsidRPr="00FE45FC">
        <w:rPr>
          <w:sz w:val="28"/>
        </w:rPr>
        <w:t>st</w:t>
      </w:r>
      <w:r w:rsidR="00AD1713" w:rsidRPr="00FE45FC">
        <w:rPr>
          <w:rFonts w:hint="eastAsia"/>
          <w:sz w:val="28"/>
        </w:rPr>
        <w:t>ī</w:t>
      </w:r>
      <w:r w:rsidR="00AD1713" w:rsidRPr="00FE45FC">
        <w:rPr>
          <w:sz w:val="28"/>
        </w:rPr>
        <w:t>bas un jaunatt</w:t>
      </w:r>
      <w:r w:rsidR="00AD1713" w:rsidRPr="00FE45FC">
        <w:rPr>
          <w:rFonts w:hint="eastAsia"/>
          <w:sz w:val="28"/>
        </w:rPr>
        <w:t>ī</w:t>
      </w:r>
      <w:r w:rsidR="00AD1713" w:rsidRPr="00FE45FC">
        <w:rPr>
          <w:sz w:val="28"/>
        </w:rPr>
        <w:t>st</w:t>
      </w:r>
      <w:r w:rsidR="00AD1713" w:rsidRPr="00FE45FC">
        <w:rPr>
          <w:rFonts w:hint="eastAsia"/>
          <w:sz w:val="28"/>
        </w:rPr>
        <w:t>ī</w:t>
      </w:r>
      <w:r w:rsidR="00AD1713" w:rsidRPr="00FE45FC">
        <w:rPr>
          <w:sz w:val="28"/>
        </w:rPr>
        <w:t>bas valst</w:t>
      </w:r>
      <w:r w:rsidR="00AD1713" w:rsidRPr="00FE45FC">
        <w:rPr>
          <w:rFonts w:hint="eastAsia"/>
          <w:sz w:val="28"/>
        </w:rPr>
        <w:t>ī</w:t>
      </w:r>
      <w:r>
        <w:rPr>
          <w:sz w:val="28"/>
        </w:rPr>
        <w:t>s – ASV 2012.gadā tiek prognozēta izaugsme par 1,8%, savukārt eiro zonas valstīs – par 1,1 procentu.</w:t>
      </w:r>
    </w:p>
    <w:p w:rsidR="00A7198B" w:rsidRDefault="001C2361" w:rsidP="002664EE">
      <w:pPr>
        <w:autoSpaceDE w:val="0"/>
        <w:autoSpaceDN w:val="0"/>
        <w:adjustRightInd w:val="0"/>
        <w:ind w:firstLine="426"/>
        <w:jc w:val="both"/>
        <w:rPr>
          <w:sz w:val="28"/>
        </w:rPr>
      </w:pPr>
      <w:r w:rsidRPr="008C5D9C">
        <w:rPr>
          <w:sz w:val="28"/>
        </w:rPr>
        <w:t>Galvenie izaugsmes riski ir saistīti</w:t>
      </w:r>
      <w:r w:rsidR="00AD0F35">
        <w:rPr>
          <w:sz w:val="28"/>
        </w:rPr>
        <w:t xml:space="preserve"> </w:t>
      </w:r>
      <w:r w:rsidRPr="008C5D9C">
        <w:rPr>
          <w:sz w:val="28"/>
        </w:rPr>
        <w:t>ar</w:t>
      </w:r>
      <w:r>
        <w:rPr>
          <w:sz w:val="28"/>
        </w:rPr>
        <w:t xml:space="preserve"> </w:t>
      </w:r>
      <w:r w:rsidR="002F6A06">
        <w:rPr>
          <w:sz w:val="28"/>
        </w:rPr>
        <w:t xml:space="preserve">ASV izaugsmes tempu palēnināšanos, kā arī bažām par finanšu sektora nestabilitāti eiro zonas perifērijas valstīs saistībā ar lielajiem budžeta </w:t>
      </w:r>
      <w:r w:rsidR="000A38A1">
        <w:rPr>
          <w:sz w:val="28"/>
        </w:rPr>
        <w:t>deficītiem. Līdz ar to izšķiroša</w:t>
      </w:r>
      <w:r w:rsidR="002F6A06">
        <w:rPr>
          <w:sz w:val="28"/>
        </w:rPr>
        <w:t xml:space="preserve"> nozīme būs </w:t>
      </w:r>
      <w:r w:rsidR="004C7E68">
        <w:rPr>
          <w:sz w:val="28"/>
        </w:rPr>
        <w:t>nepieciešamo</w:t>
      </w:r>
      <w:r w:rsidR="00AD0F35">
        <w:rPr>
          <w:sz w:val="28"/>
        </w:rPr>
        <w:t xml:space="preserve"> politikas pasākumu efektivit</w:t>
      </w:r>
      <w:r w:rsidR="004C7E68">
        <w:rPr>
          <w:sz w:val="28"/>
        </w:rPr>
        <w:t>ā</w:t>
      </w:r>
      <w:r w:rsidR="00AD0F35">
        <w:rPr>
          <w:sz w:val="28"/>
        </w:rPr>
        <w:t>t</w:t>
      </w:r>
      <w:r w:rsidR="002F6A06">
        <w:rPr>
          <w:sz w:val="28"/>
        </w:rPr>
        <w:t>e</w:t>
      </w:r>
      <w:r w:rsidR="00AD0F35">
        <w:rPr>
          <w:sz w:val="28"/>
        </w:rPr>
        <w:t>i</w:t>
      </w:r>
      <w:r w:rsidR="002F6A06">
        <w:rPr>
          <w:sz w:val="28"/>
        </w:rPr>
        <w:t xml:space="preserve"> gan Eiro zonā, gan ASV</w:t>
      </w:r>
      <w:r w:rsidR="004C7E68">
        <w:rPr>
          <w:sz w:val="28"/>
        </w:rPr>
        <w:t>. E</w:t>
      </w:r>
      <w:r w:rsidR="00AD0F35">
        <w:rPr>
          <w:sz w:val="28"/>
        </w:rPr>
        <w:t xml:space="preserve">iro zonā </w:t>
      </w:r>
      <w:r w:rsidR="004C7E68">
        <w:rPr>
          <w:sz w:val="28"/>
        </w:rPr>
        <w:t xml:space="preserve">svarīgi ir nepieļaut spriedzes palielināšanos finanšu sektorā, pakāpeniski īstenot valdību budžeta deficītu un parāda līmeņu samazināšanu, </w:t>
      </w:r>
      <w:r w:rsidR="000124BC">
        <w:rPr>
          <w:sz w:val="28"/>
        </w:rPr>
        <w:t>kā arī mazināt makroekonomisko nesabalansētību un palielināt ražotāju konkurētspēju.</w:t>
      </w:r>
      <w:r w:rsidR="002F6A06">
        <w:rPr>
          <w:sz w:val="28"/>
        </w:rPr>
        <w:t xml:space="preserve"> Savukārt iespējamā izaugsmes tempu turpmāka samazināšanās ASV ir saistīta </w:t>
      </w:r>
      <w:r w:rsidR="002F6A06" w:rsidRPr="002F6A06">
        <w:rPr>
          <w:sz w:val="28"/>
        </w:rPr>
        <w:t>ar nepieciešamo fiskālo konsolidāciju,</w:t>
      </w:r>
      <w:r w:rsidR="002F6A06">
        <w:rPr>
          <w:sz w:val="28"/>
        </w:rPr>
        <w:t xml:space="preserve"> kas nedrīkst būt pārāk strauja,</w:t>
      </w:r>
      <w:r w:rsidR="002F6A06" w:rsidRPr="002F6A06">
        <w:rPr>
          <w:sz w:val="28"/>
        </w:rPr>
        <w:t xml:space="preserve"> </w:t>
      </w:r>
      <w:r w:rsidR="00A7198B">
        <w:rPr>
          <w:sz w:val="28"/>
        </w:rPr>
        <w:t>turpmākajām tendencēm akciju tirgos, kā arī</w:t>
      </w:r>
      <w:r w:rsidR="002F6A06" w:rsidRPr="002F6A06">
        <w:rPr>
          <w:sz w:val="28"/>
        </w:rPr>
        <w:t xml:space="preserve"> strauju mājsaimniecību uzkrājumu pieaugumu</w:t>
      </w:r>
      <w:r w:rsidR="000A38A1">
        <w:rPr>
          <w:sz w:val="28"/>
        </w:rPr>
        <w:t>,</w:t>
      </w:r>
      <w:r w:rsidR="00A7198B">
        <w:rPr>
          <w:sz w:val="28"/>
        </w:rPr>
        <w:t xml:space="preserve"> kā rezultātā mazinātos privātais patēriņš.</w:t>
      </w:r>
    </w:p>
    <w:p w:rsidR="00207B62" w:rsidRDefault="00207B62" w:rsidP="002664EE">
      <w:pPr>
        <w:autoSpaceDE w:val="0"/>
        <w:autoSpaceDN w:val="0"/>
        <w:adjustRightInd w:val="0"/>
        <w:ind w:firstLine="426"/>
        <w:jc w:val="both"/>
        <w:rPr>
          <w:sz w:val="28"/>
        </w:rPr>
      </w:pPr>
    </w:p>
    <w:p w:rsidR="00A7198B" w:rsidRDefault="00A7198B" w:rsidP="002664EE">
      <w:pPr>
        <w:ind w:firstLine="426"/>
        <w:jc w:val="both"/>
        <w:rPr>
          <w:sz w:val="28"/>
        </w:rPr>
      </w:pPr>
      <w:r w:rsidRPr="00A7198B">
        <w:rPr>
          <w:sz w:val="28"/>
        </w:rPr>
        <w:t xml:space="preserve">Nodaļas turpinājumā tabulā sniegta informāciju par </w:t>
      </w:r>
      <w:r>
        <w:rPr>
          <w:sz w:val="28"/>
        </w:rPr>
        <w:t>Eiropas ekonomiskās zonas valstu, kā arī ASV un Japānas ekonomiku attīstības tendencēm pēdējo astoņu ceturkšņu laikā.</w:t>
      </w:r>
    </w:p>
    <w:p w:rsidR="00A7198B" w:rsidRDefault="00A7198B">
      <w:pPr>
        <w:rPr>
          <w:rFonts w:eastAsiaTheme="majorEastAsia" w:cstheme="majorBidi"/>
          <w:bCs/>
          <w:sz w:val="28"/>
          <w:szCs w:val="26"/>
        </w:rPr>
      </w:pPr>
      <w:r>
        <w:rPr>
          <w:b/>
        </w:rPr>
        <w:br w:type="page"/>
      </w:r>
    </w:p>
    <w:p w:rsidR="005D5DF1" w:rsidRPr="00EC307E" w:rsidRDefault="005D5DF1" w:rsidP="005D5DF1">
      <w:pPr>
        <w:pStyle w:val="Heading2"/>
        <w:rPr>
          <w:b w:val="0"/>
        </w:rPr>
      </w:pPr>
      <w:bookmarkStart w:id="52" w:name="_Toc305421410"/>
      <w:r w:rsidRPr="00C6300E">
        <w:rPr>
          <w:b w:val="0"/>
        </w:rPr>
        <w:lastRenderedPageBreak/>
        <w:t>1.</w:t>
      </w:r>
      <w:r>
        <w:rPr>
          <w:b w:val="0"/>
        </w:rPr>
        <w:t>1</w:t>
      </w:r>
      <w:r w:rsidRPr="00C6300E">
        <w:rPr>
          <w:b w:val="0"/>
        </w:rPr>
        <w:t>.tabula.</w:t>
      </w:r>
      <w:r w:rsidRPr="00C6300E">
        <w:t xml:space="preserve"> IKP dinamika valstīs</w:t>
      </w:r>
      <w:bookmarkEnd w:id="43"/>
      <w:bookmarkEnd w:id="52"/>
    </w:p>
    <w:p w:rsidR="005D5DF1" w:rsidRPr="001F318C" w:rsidRDefault="005D5DF1" w:rsidP="005D5DF1">
      <w:pPr>
        <w:rPr>
          <w:sz w:val="8"/>
        </w:rPr>
      </w:pPr>
    </w:p>
    <w:tbl>
      <w:tblPr>
        <w:tblStyle w:val="LightShading1"/>
        <w:tblW w:w="5187" w:type="pct"/>
        <w:jc w:val="right"/>
        <w:tblLayout w:type="fixed"/>
        <w:tblLook w:val="04A0"/>
      </w:tblPr>
      <w:tblGrid>
        <w:gridCol w:w="1334"/>
        <w:gridCol w:w="546"/>
        <w:gridCol w:w="546"/>
        <w:gridCol w:w="546"/>
        <w:gridCol w:w="546"/>
        <w:gridCol w:w="546"/>
        <w:gridCol w:w="546"/>
        <w:gridCol w:w="546"/>
        <w:gridCol w:w="708"/>
        <w:gridCol w:w="544"/>
        <w:gridCol w:w="546"/>
        <w:gridCol w:w="546"/>
        <w:gridCol w:w="546"/>
        <w:gridCol w:w="546"/>
        <w:gridCol w:w="546"/>
        <w:gridCol w:w="546"/>
        <w:gridCol w:w="540"/>
      </w:tblGrid>
      <w:tr w:rsidR="000265BC" w:rsidRPr="000265BC" w:rsidTr="003F3A1D">
        <w:trPr>
          <w:cnfStyle w:val="100000000000"/>
          <w:jc w:val="right"/>
        </w:trPr>
        <w:tc>
          <w:tcPr>
            <w:cnfStyle w:val="001000000000"/>
            <w:tcW w:w="652" w:type="pct"/>
            <w:tcBorders>
              <w:top w:val="single" w:sz="4" w:space="0" w:color="FF0000"/>
              <w:bottom w:val="single" w:sz="4" w:space="0" w:color="FF0000"/>
            </w:tcBorders>
          </w:tcPr>
          <w:p w:rsidR="000265BC" w:rsidRPr="000265BC" w:rsidRDefault="000265BC" w:rsidP="00F005D6">
            <w:pPr>
              <w:spacing w:before="40" w:after="40"/>
              <w:rPr>
                <w:b w:val="0"/>
                <w:color w:val="auto"/>
                <w:sz w:val="20"/>
                <w:szCs w:val="20"/>
              </w:rPr>
            </w:pPr>
          </w:p>
        </w:tc>
        <w:tc>
          <w:tcPr>
            <w:tcW w:w="2215" w:type="pct"/>
            <w:gridSpan w:val="8"/>
            <w:tcBorders>
              <w:top w:val="single" w:sz="4" w:space="0" w:color="FF0000"/>
              <w:bottom w:val="single" w:sz="4" w:space="0" w:color="FF0000"/>
              <w:right w:val="single" w:sz="4" w:space="0" w:color="7F7F7F" w:themeColor="text1" w:themeTint="80"/>
            </w:tcBorders>
          </w:tcPr>
          <w:p w:rsidR="000265BC" w:rsidRPr="000265BC" w:rsidRDefault="000265BC" w:rsidP="00F005D6">
            <w:pPr>
              <w:spacing w:before="40" w:after="40"/>
              <w:jc w:val="center"/>
              <w:cnfStyle w:val="100000000000"/>
              <w:rPr>
                <w:bCs w:val="0"/>
                <w:sz w:val="20"/>
                <w:szCs w:val="20"/>
              </w:rPr>
            </w:pPr>
            <w:r w:rsidRPr="000265BC">
              <w:rPr>
                <w:b w:val="0"/>
                <w:color w:val="auto"/>
                <w:sz w:val="20"/>
                <w:szCs w:val="20"/>
              </w:rPr>
              <w:t>% pret iepriekšējā gada atbilstošo ceturksni (t/t-4), sezonāli neizlīdzināti dati</w:t>
            </w:r>
          </w:p>
        </w:tc>
        <w:tc>
          <w:tcPr>
            <w:tcW w:w="2132" w:type="pct"/>
            <w:gridSpan w:val="8"/>
            <w:tcBorders>
              <w:top w:val="single" w:sz="4" w:space="0" w:color="FF0000"/>
              <w:left w:val="single" w:sz="4" w:space="0" w:color="7F7F7F" w:themeColor="text1" w:themeTint="80"/>
              <w:bottom w:val="single" w:sz="4" w:space="0" w:color="FF0000"/>
            </w:tcBorders>
          </w:tcPr>
          <w:p w:rsidR="000265BC" w:rsidRPr="000265BC" w:rsidRDefault="000265BC" w:rsidP="00F005D6">
            <w:pPr>
              <w:spacing w:before="40" w:after="40"/>
              <w:jc w:val="center"/>
              <w:cnfStyle w:val="100000000000"/>
              <w:rPr>
                <w:b w:val="0"/>
                <w:sz w:val="20"/>
                <w:szCs w:val="20"/>
              </w:rPr>
            </w:pPr>
            <w:r w:rsidRPr="000265BC">
              <w:rPr>
                <w:b w:val="0"/>
                <w:color w:val="auto"/>
                <w:sz w:val="20"/>
                <w:szCs w:val="20"/>
              </w:rPr>
              <w:t xml:space="preserve">% pret iepriekšējo ceturksni (t/t-1), </w:t>
            </w:r>
          </w:p>
          <w:p w:rsidR="000265BC" w:rsidRPr="000265BC" w:rsidRDefault="000265BC" w:rsidP="00F005D6">
            <w:pPr>
              <w:spacing w:before="40" w:after="40"/>
              <w:jc w:val="center"/>
              <w:cnfStyle w:val="100000000000"/>
              <w:rPr>
                <w:color w:val="E36C0A" w:themeColor="accent6" w:themeShade="BF"/>
                <w:sz w:val="20"/>
                <w:szCs w:val="20"/>
              </w:rPr>
            </w:pPr>
            <w:r w:rsidRPr="000265BC">
              <w:rPr>
                <w:b w:val="0"/>
                <w:color w:val="auto"/>
                <w:sz w:val="20"/>
                <w:szCs w:val="20"/>
              </w:rPr>
              <w:t>sezonāli izlīdzināti dati</w:t>
            </w:r>
          </w:p>
        </w:tc>
      </w:tr>
      <w:tr w:rsidR="000265BC" w:rsidRPr="000265BC" w:rsidTr="003F3A1D">
        <w:trPr>
          <w:cnfStyle w:val="000000100000"/>
          <w:jc w:val="right"/>
        </w:trPr>
        <w:tc>
          <w:tcPr>
            <w:cnfStyle w:val="001000000000"/>
            <w:tcW w:w="652" w:type="pct"/>
            <w:tcBorders>
              <w:top w:val="single" w:sz="4" w:space="0" w:color="FF0000"/>
              <w:bottom w:val="nil"/>
            </w:tcBorders>
            <w:vAlign w:val="center"/>
          </w:tcPr>
          <w:p w:rsidR="000265BC" w:rsidRPr="000265BC" w:rsidRDefault="000265BC" w:rsidP="00F005D6">
            <w:pPr>
              <w:spacing w:before="40" w:after="40"/>
              <w:rPr>
                <w:color w:val="auto"/>
                <w:sz w:val="20"/>
                <w:szCs w:val="20"/>
              </w:rPr>
            </w:pPr>
          </w:p>
        </w:tc>
        <w:tc>
          <w:tcPr>
            <w:tcW w:w="267" w:type="pct"/>
            <w:tcBorders>
              <w:top w:val="single" w:sz="4" w:space="0" w:color="FF0000"/>
              <w:bottom w:val="nil"/>
            </w:tcBorders>
          </w:tcPr>
          <w:p w:rsidR="000265BC" w:rsidRPr="000265BC" w:rsidRDefault="000265BC" w:rsidP="00F005D6">
            <w:pPr>
              <w:spacing w:before="40" w:after="40"/>
              <w:ind w:right="-103"/>
              <w:jc w:val="center"/>
              <w:cnfStyle w:val="000000100000"/>
              <w:rPr>
                <w:b/>
                <w:sz w:val="20"/>
                <w:szCs w:val="20"/>
              </w:rPr>
            </w:pPr>
            <w:r w:rsidRPr="000265BC">
              <w:rPr>
                <w:b/>
                <w:color w:val="auto"/>
                <w:sz w:val="20"/>
                <w:szCs w:val="20"/>
              </w:rPr>
              <w:t>2009</w:t>
            </w:r>
          </w:p>
        </w:tc>
        <w:tc>
          <w:tcPr>
            <w:tcW w:w="267" w:type="pct"/>
            <w:tcBorders>
              <w:top w:val="single" w:sz="4" w:space="0" w:color="FF0000"/>
              <w:bottom w:val="nil"/>
            </w:tcBorders>
          </w:tcPr>
          <w:p w:rsidR="000265BC" w:rsidRPr="000265BC" w:rsidRDefault="000265BC" w:rsidP="00F005D6">
            <w:pPr>
              <w:spacing w:before="40" w:after="40"/>
              <w:ind w:right="-103"/>
              <w:jc w:val="center"/>
              <w:cnfStyle w:val="000000100000"/>
              <w:rPr>
                <w:b/>
                <w:sz w:val="20"/>
                <w:szCs w:val="20"/>
              </w:rPr>
            </w:pPr>
          </w:p>
        </w:tc>
        <w:tc>
          <w:tcPr>
            <w:tcW w:w="267" w:type="pct"/>
            <w:tcBorders>
              <w:top w:val="single" w:sz="4" w:space="0" w:color="FF0000"/>
              <w:bottom w:val="nil"/>
            </w:tcBorders>
          </w:tcPr>
          <w:p w:rsidR="000265BC" w:rsidRPr="000265BC" w:rsidRDefault="00354BC8" w:rsidP="00F005D6">
            <w:pPr>
              <w:spacing w:before="40" w:after="40"/>
              <w:ind w:right="-103"/>
              <w:jc w:val="center"/>
              <w:cnfStyle w:val="000000100000"/>
              <w:rPr>
                <w:b/>
                <w:sz w:val="20"/>
                <w:szCs w:val="20"/>
              </w:rPr>
            </w:pPr>
            <w:r w:rsidRPr="000265BC">
              <w:rPr>
                <w:b/>
                <w:color w:val="auto"/>
                <w:sz w:val="20"/>
                <w:szCs w:val="20"/>
              </w:rPr>
              <w:t>2010</w:t>
            </w:r>
          </w:p>
        </w:tc>
        <w:tc>
          <w:tcPr>
            <w:tcW w:w="267" w:type="pct"/>
            <w:tcBorders>
              <w:top w:val="single" w:sz="4" w:space="0" w:color="FF0000"/>
              <w:bottom w:val="nil"/>
            </w:tcBorders>
          </w:tcPr>
          <w:p w:rsidR="000265BC" w:rsidRPr="000265BC" w:rsidRDefault="000265BC" w:rsidP="00F005D6">
            <w:pPr>
              <w:spacing w:before="40" w:after="40"/>
              <w:ind w:right="-103"/>
              <w:jc w:val="center"/>
              <w:cnfStyle w:val="000000100000"/>
              <w:rPr>
                <w:b/>
                <w:sz w:val="20"/>
                <w:szCs w:val="20"/>
              </w:rPr>
            </w:pP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354BC8" w:rsidP="00F005D6">
            <w:pPr>
              <w:spacing w:before="40" w:after="40"/>
              <w:ind w:left="-107" w:right="-103"/>
              <w:jc w:val="center"/>
              <w:cnfStyle w:val="000000100000"/>
              <w:rPr>
                <w:b/>
                <w:sz w:val="20"/>
                <w:szCs w:val="20"/>
              </w:rPr>
            </w:pPr>
            <w:r>
              <w:rPr>
                <w:b/>
                <w:sz w:val="20"/>
                <w:szCs w:val="20"/>
              </w:rPr>
              <w:t>2011</w:t>
            </w:r>
          </w:p>
        </w:tc>
        <w:tc>
          <w:tcPr>
            <w:tcW w:w="346" w:type="pct"/>
            <w:tcBorders>
              <w:top w:val="single" w:sz="4" w:space="0" w:color="FF0000"/>
              <w:bottom w:val="nil"/>
              <w:right w:val="single" w:sz="4" w:space="0" w:color="7F7F7F" w:themeColor="text1" w:themeTint="80"/>
            </w:tcBorders>
          </w:tcPr>
          <w:p w:rsidR="000265BC" w:rsidRPr="000265BC" w:rsidRDefault="000265BC" w:rsidP="00F005D6">
            <w:pPr>
              <w:spacing w:before="40" w:after="40"/>
              <w:cnfStyle w:val="000000100000"/>
              <w:rPr>
                <w:b/>
                <w:sz w:val="20"/>
                <w:szCs w:val="20"/>
              </w:rPr>
            </w:pPr>
          </w:p>
        </w:tc>
        <w:tc>
          <w:tcPr>
            <w:tcW w:w="266" w:type="pct"/>
            <w:tcBorders>
              <w:top w:val="single" w:sz="4" w:space="0" w:color="FF0000"/>
              <w:left w:val="single" w:sz="4" w:space="0" w:color="7F7F7F" w:themeColor="text1" w:themeTint="80"/>
              <w:bottom w:val="nil"/>
            </w:tcBorders>
          </w:tcPr>
          <w:p w:rsidR="000265BC" w:rsidRPr="000265BC" w:rsidRDefault="00354BC8" w:rsidP="00F005D6">
            <w:pPr>
              <w:spacing w:before="40" w:after="40"/>
              <w:ind w:left="-107" w:right="-103"/>
              <w:jc w:val="center"/>
              <w:cnfStyle w:val="000000100000"/>
              <w:rPr>
                <w:b/>
                <w:color w:val="auto"/>
                <w:sz w:val="20"/>
                <w:szCs w:val="20"/>
              </w:rPr>
            </w:pPr>
            <w:r w:rsidRPr="000265BC">
              <w:rPr>
                <w:b/>
                <w:color w:val="auto"/>
                <w:sz w:val="20"/>
                <w:szCs w:val="20"/>
              </w:rPr>
              <w:t>2009</w:t>
            </w: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354BC8" w:rsidP="00F005D6">
            <w:pPr>
              <w:spacing w:before="40" w:after="40"/>
              <w:ind w:left="-107" w:right="-103"/>
              <w:jc w:val="center"/>
              <w:cnfStyle w:val="000000100000"/>
              <w:rPr>
                <w:b/>
                <w:sz w:val="20"/>
                <w:szCs w:val="20"/>
              </w:rPr>
            </w:pPr>
            <w:r w:rsidRPr="000265BC">
              <w:rPr>
                <w:b/>
                <w:color w:val="auto"/>
                <w:sz w:val="20"/>
                <w:szCs w:val="20"/>
              </w:rPr>
              <w:t>2010</w:t>
            </w: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c>
          <w:tcPr>
            <w:tcW w:w="267" w:type="pct"/>
            <w:tcBorders>
              <w:top w:val="single" w:sz="4" w:space="0" w:color="FF0000"/>
              <w:bottom w:val="nil"/>
            </w:tcBorders>
          </w:tcPr>
          <w:p w:rsidR="000265BC" w:rsidRPr="000265BC" w:rsidRDefault="00354BC8" w:rsidP="00F005D6">
            <w:pPr>
              <w:spacing w:before="40" w:after="40"/>
              <w:ind w:left="-107" w:right="-103"/>
              <w:jc w:val="center"/>
              <w:cnfStyle w:val="000000100000"/>
              <w:rPr>
                <w:b/>
                <w:sz w:val="20"/>
                <w:szCs w:val="20"/>
              </w:rPr>
            </w:pPr>
            <w:r>
              <w:rPr>
                <w:b/>
                <w:sz w:val="20"/>
                <w:szCs w:val="20"/>
              </w:rPr>
              <w:t>2011</w:t>
            </w:r>
          </w:p>
        </w:tc>
        <w:tc>
          <w:tcPr>
            <w:tcW w:w="264" w:type="pct"/>
            <w:tcBorders>
              <w:top w:val="single" w:sz="4" w:space="0" w:color="FF0000"/>
              <w:bottom w:val="nil"/>
            </w:tcBorders>
          </w:tcPr>
          <w:p w:rsidR="000265BC" w:rsidRPr="000265BC" w:rsidRDefault="000265BC" w:rsidP="00F005D6">
            <w:pPr>
              <w:spacing w:before="40" w:after="40"/>
              <w:ind w:left="-107" w:right="-103"/>
              <w:jc w:val="center"/>
              <w:cnfStyle w:val="000000100000"/>
              <w:rPr>
                <w:b/>
                <w:sz w:val="20"/>
                <w:szCs w:val="20"/>
              </w:rPr>
            </w:pPr>
          </w:p>
        </w:tc>
      </w:tr>
      <w:tr w:rsidR="00354BC8" w:rsidRPr="00F005D6" w:rsidTr="003F3A1D">
        <w:trPr>
          <w:jc w:val="right"/>
        </w:trPr>
        <w:tc>
          <w:tcPr>
            <w:cnfStyle w:val="001000000000"/>
            <w:tcW w:w="652" w:type="pct"/>
            <w:tcBorders>
              <w:top w:val="nil"/>
              <w:bottom w:val="single" w:sz="4" w:space="0" w:color="FF0000"/>
            </w:tcBorders>
            <w:vAlign w:val="center"/>
          </w:tcPr>
          <w:p w:rsidR="00354BC8" w:rsidRPr="00F005D6" w:rsidRDefault="00354BC8" w:rsidP="00F005D6">
            <w:pPr>
              <w:spacing w:before="40" w:after="40"/>
              <w:rPr>
                <w:color w:val="auto"/>
                <w:sz w:val="20"/>
                <w:szCs w:val="20"/>
              </w:rPr>
            </w:pP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IV</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IV</w:t>
            </w:r>
          </w:p>
        </w:tc>
        <w:tc>
          <w:tcPr>
            <w:tcW w:w="267" w:type="pct"/>
            <w:tcBorders>
              <w:top w:val="nil"/>
              <w:bottom w:val="single" w:sz="4" w:space="0" w:color="FF0000"/>
            </w:tcBorders>
            <w:vAlign w:val="bottom"/>
          </w:tcPr>
          <w:p w:rsidR="00354BC8" w:rsidRPr="00F005D6" w:rsidRDefault="00354BC8" w:rsidP="00F005D6">
            <w:pPr>
              <w:spacing w:before="40" w:after="40"/>
              <w:ind w:left="-107" w:right="-103"/>
              <w:jc w:val="center"/>
              <w:cnfStyle w:val="000000000000"/>
              <w:rPr>
                <w:b/>
                <w:color w:val="auto"/>
                <w:sz w:val="20"/>
                <w:szCs w:val="20"/>
              </w:rPr>
            </w:pPr>
            <w:r w:rsidRPr="00F005D6">
              <w:rPr>
                <w:b/>
                <w:color w:val="auto"/>
                <w:sz w:val="20"/>
                <w:szCs w:val="20"/>
              </w:rPr>
              <w:t>I</w:t>
            </w:r>
          </w:p>
        </w:tc>
        <w:tc>
          <w:tcPr>
            <w:tcW w:w="346" w:type="pct"/>
            <w:tcBorders>
              <w:top w:val="nil"/>
              <w:bottom w:val="single" w:sz="4" w:space="0" w:color="FF0000"/>
              <w:right w:val="single" w:sz="4" w:space="0" w:color="7F7F7F" w:themeColor="text1" w:themeTint="80"/>
            </w:tcBorders>
            <w:vAlign w:val="bottom"/>
          </w:tcPr>
          <w:p w:rsidR="00354BC8" w:rsidRPr="00F005D6" w:rsidRDefault="00354BC8" w:rsidP="00354BC8">
            <w:pPr>
              <w:spacing w:before="40" w:after="40"/>
              <w:ind w:right="113"/>
              <w:jc w:val="center"/>
              <w:cnfStyle w:val="000000000000"/>
              <w:rPr>
                <w:b/>
                <w:color w:val="auto"/>
                <w:sz w:val="20"/>
                <w:szCs w:val="20"/>
              </w:rPr>
            </w:pPr>
            <w:r>
              <w:rPr>
                <w:b/>
                <w:color w:val="auto"/>
                <w:sz w:val="20"/>
                <w:szCs w:val="20"/>
              </w:rPr>
              <w:t>II</w:t>
            </w:r>
          </w:p>
        </w:tc>
        <w:tc>
          <w:tcPr>
            <w:tcW w:w="266" w:type="pct"/>
            <w:tcBorders>
              <w:top w:val="nil"/>
              <w:left w:val="single" w:sz="4" w:space="0" w:color="7F7F7F" w:themeColor="text1" w:themeTint="80"/>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IV</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color w:val="auto"/>
                <w:sz w:val="20"/>
                <w:szCs w:val="20"/>
              </w:rPr>
            </w:pPr>
            <w:r w:rsidRPr="00F005D6">
              <w:rPr>
                <w:b/>
                <w:color w:val="auto"/>
                <w:sz w:val="20"/>
                <w:szCs w:val="20"/>
              </w:rPr>
              <w:t>III</w:t>
            </w:r>
          </w:p>
        </w:tc>
        <w:tc>
          <w:tcPr>
            <w:tcW w:w="267" w:type="pct"/>
            <w:tcBorders>
              <w:top w:val="nil"/>
              <w:bottom w:val="single" w:sz="4" w:space="0" w:color="FF0000"/>
            </w:tcBorders>
            <w:vAlign w:val="bottom"/>
          </w:tcPr>
          <w:p w:rsidR="00354BC8" w:rsidRPr="00F005D6" w:rsidRDefault="00354BC8" w:rsidP="00E45D81">
            <w:pPr>
              <w:spacing w:before="40" w:after="40"/>
              <w:ind w:left="-107" w:right="-103"/>
              <w:jc w:val="center"/>
              <w:cnfStyle w:val="000000000000"/>
              <w:rPr>
                <w:b/>
                <w:sz w:val="20"/>
                <w:szCs w:val="20"/>
              </w:rPr>
            </w:pPr>
            <w:r w:rsidRPr="00F005D6">
              <w:rPr>
                <w:b/>
                <w:sz w:val="20"/>
                <w:szCs w:val="20"/>
              </w:rPr>
              <w:t>IV</w:t>
            </w:r>
          </w:p>
        </w:tc>
        <w:tc>
          <w:tcPr>
            <w:tcW w:w="267" w:type="pct"/>
            <w:tcBorders>
              <w:top w:val="nil"/>
              <w:bottom w:val="single" w:sz="4" w:space="0" w:color="FF0000"/>
              <w:right w:val="nil"/>
            </w:tcBorders>
            <w:vAlign w:val="bottom"/>
          </w:tcPr>
          <w:p w:rsidR="00354BC8" w:rsidRPr="00F005D6" w:rsidRDefault="00354BC8" w:rsidP="00E45D81">
            <w:pPr>
              <w:spacing w:before="40" w:after="40"/>
              <w:ind w:left="-107" w:right="-103"/>
              <w:jc w:val="center"/>
              <w:cnfStyle w:val="000000000000"/>
              <w:rPr>
                <w:b/>
                <w:sz w:val="20"/>
                <w:szCs w:val="20"/>
              </w:rPr>
            </w:pPr>
            <w:r>
              <w:rPr>
                <w:b/>
                <w:sz w:val="20"/>
                <w:szCs w:val="20"/>
              </w:rPr>
              <w:t>I</w:t>
            </w:r>
          </w:p>
        </w:tc>
        <w:tc>
          <w:tcPr>
            <w:tcW w:w="264" w:type="pct"/>
            <w:tcBorders>
              <w:top w:val="nil"/>
              <w:left w:val="nil"/>
              <w:bottom w:val="single" w:sz="4" w:space="0" w:color="FF0000"/>
            </w:tcBorders>
            <w:vAlign w:val="bottom"/>
          </w:tcPr>
          <w:p w:rsidR="00354BC8" w:rsidRPr="00F005D6" w:rsidRDefault="00354BC8" w:rsidP="00F005D6">
            <w:pPr>
              <w:spacing w:before="40" w:after="40"/>
              <w:ind w:left="-107" w:right="-103"/>
              <w:jc w:val="center"/>
              <w:cnfStyle w:val="000000000000"/>
              <w:rPr>
                <w:b/>
                <w:sz w:val="20"/>
                <w:szCs w:val="20"/>
              </w:rPr>
            </w:pPr>
            <w:r>
              <w:rPr>
                <w:b/>
                <w:sz w:val="20"/>
                <w:szCs w:val="20"/>
              </w:rPr>
              <w:t>II</w:t>
            </w:r>
          </w:p>
        </w:tc>
      </w:tr>
      <w:tr w:rsidR="00C657CC" w:rsidRPr="000265BC" w:rsidTr="003F3A1D">
        <w:trPr>
          <w:cnfStyle w:val="000000100000"/>
          <w:jc w:val="right"/>
        </w:trPr>
        <w:tc>
          <w:tcPr>
            <w:cnfStyle w:val="001000000000"/>
            <w:tcW w:w="652" w:type="pct"/>
            <w:tcBorders>
              <w:top w:val="single" w:sz="4" w:space="0" w:color="FF0000"/>
              <w:bottom w:val="nil"/>
            </w:tcBorders>
            <w:vAlign w:val="center"/>
          </w:tcPr>
          <w:p w:rsidR="00C657CC" w:rsidRPr="000265BC" w:rsidRDefault="00C657CC" w:rsidP="00C06641">
            <w:pPr>
              <w:spacing w:before="40" w:after="60"/>
              <w:rPr>
                <w:b w:val="0"/>
                <w:color w:val="auto"/>
                <w:sz w:val="20"/>
                <w:szCs w:val="20"/>
              </w:rPr>
            </w:pPr>
            <w:r w:rsidRPr="000265BC">
              <w:rPr>
                <w:b w:val="0"/>
                <w:color w:val="auto"/>
                <w:sz w:val="20"/>
                <w:szCs w:val="20"/>
              </w:rPr>
              <w:t>ES-27</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-4,2</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-2,0</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0,9</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2,3</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2,1</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2,0</w:t>
            </w:r>
          </w:p>
        </w:tc>
        <w:tc>
          <w:tcPr>
            <w:tcW w:w="267" w:type="pct"/>
            <w:tcBorders>
              <w:top w:val="single" w:sz="4" w:space="0" w:color="FF0000"/>
              <w:bottom w:val="nil"/>
            </w:tcBorders>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2,4</w:t>
            </w:r>
          </w:p>
        </w:tc>
        <w:tc>
          <w:tcPr>
            <w:tcW w:w="346" w:type="pct"/>
            <w:tcBorders>
              <w:top w:val="single" w:sz="4" w:space="0" w:color="FF0000"/>
              <w:bottom w:val="nil"/>
              <w:right w:val="single" w:sz="4" w:space="0" w:color="7F7F7F" w:themeColor="text1" w:themeTint="80"/>
            </w:tcBorders>
            <w:vAlign w:val="bottom"/>
          </w:tcPr>
          <w:p w:rsidR="00C657CC" w:rsidRPr="00C657CC" w:rsidRDefault="00C657CC" w:rsidP="00C06641">
            <w:pPr>
              <w:spacing w:before="40" w:after="60"/>
              <w:ind w:right="113"/>
              <w:jc w:val="right"/>
              <w:cnfStyle w:val="000000100000"/>
              <w:rPr>
                <w:color w:val="000000"/>
                <w:sz w:val="20"/>
                <w:szCs w:val="20"/>
              </w:rPr>
            </w:pPr>
            <w:r w:rsidRPr="00C657CC">
              <w:rPr>
                <w:color w:val="000000"/>
                <w:sz w:val="20"/>
                <w:szCs w:val="20"/>
              </w:rPr>
              <w:t>1,7</w:t>
            </w:r>
          </w:p>
        </w:tc>
        <w:tc>
          <w:tcPr>
            <w:tcW w:w="266" w:type="pct"/>
            <w:tcBorders>
              <w:top w:val="single" w:sz="4" w:space="0" w:color="FF0000"/>
              <w:left w:val="single" w:sz="4" w:space="0" w:color="7F7F7F" w:themeColor="text1" w:themeTint="8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0,3</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0,4</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0,4</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1,0</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0,5</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0,2</w:t>
            </w:r>
          </w:p>
        </w:tc>
        <w:tc>
          <w:tcPr>
            <w:tcW w:w="267"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0,7</w:t>
            </w:r>
          </w:p>
        </w:tc>
        <w:tc>
          <w:tcPr>
            <w:tcW w:w="264" w:type="pct"/>
            <w:tcBorders>
              <w:top w:val="single" w:sz="4" w:space="0" w:color="FF0000"/>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0,2</w:t>
            </w:r>
          </w:p>
        </w:tc>
      </w:tr>
      <w:tr w:rsidR="00C657CC" w:rsidRPr="000265BC" w:rsidTr="003F3A1D">
        <w:trPr>
          <w:jc w:val="right"/>
        </w:trPr>
        <w:tc>
          <w:tcPr>
            <w:cnfStyle w:val="001000000000"/>
            <w:tcW w:w="652" w:type="pct"/>
            <w:tcBorders>
              <w:top w:val="nil"/>
            </w:tcBorders>
            <w:vAlign w:val="center"/>
          </w:tcPr>
          <w:p w:rsidR="00C657CC" w:rsidRPr="000265BC" w:rsidRDefault="00C657CC" w:rsidP="00C06641">
            <w:pPr>
              <w:spacing w:before="40" w:after="60"/>
              <w:rPr>
                <w:b w:val="0"/>
                <w:color w:val="auto"/>
                <w:sz w:val="20"/>
                <w:szCs w:val="20"/>
              </w:rPr>
            </w:pPr>
            <w:r w:rsidRPr="000265BC">
              <w:rPr>
                <w:b w:val="0"/>
                <w:color w:val="auto"/>
                <w:sz w:val="20"/>
                <w:szCs w:val="20"/>
              </w:rPr>
              <w:t>ES-15</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-4,2</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-2,0</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0,9</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2,3</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2,1</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2,0</w:t>
            </w:r>
          </w:p>
        </w:tc>
        <w:tc>
          <w:tcPr>
            <w:tcW w:w="267" w:type="pct"/>
            <w:tcBorders>
              <w:top w:val="nil"/>
            </w:tcBorders>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2,3</w:t>
            </w:r>
          </w:p>
        </w:tc>
        <w:tc>
          <w:tcPr>
            <w:tcW w:w="346" w:type="pct"/>
            <w:tcBorders>
              <w:top w:val="nil"/>
              <w:right w:val="single" w:sz="4" w:space="0" w:color="7F7F7F" w:themeColor="text1" w:themeTint="80"/>
            </w:tcBorders>
            <w:vAlign w:val="bottom"/>
          </w:tcPr>
          <w:p w:rsidR="00C657CC" w:rsidRPr="00C657CC" w:rsidRDefault="00C657CC" w:rsidP="00C06641">
            <w:pPr>
              <w:spacing w:before="40" w:after="60"/>
              <w:ind w:right="113"/>
              <w:jc w:val="right"/>
              <w:cnfStyle w:val="000000000000"/>
              <w:rPr>
                <w:color w:val="000000"/>
                <w:sz w:val="20"/>
                <w:szCs w:val="20"/>
              </w:rPr>
            </w:pPr>
            <w:r w:rsidRPr="00C657CC">
              <w:rPr>
                <w:color w:val="000000"/>
                <w:sz w:val="20"/>
                <w:szCs w:val="20"/>
              </w:rPr>
              <w:t>1,5</w:t>
            </w:r>
          </w:p>
        </w:tc>
        <w:tc>
          <w:tcPr>
            <w:tcW w:w="266" w:type="pct"/>
            <w:tcBorders>
              <w:top w:val="nil"/>
              <w:left w:val="single" w:sz="4" w:space="0" w:color="7F7F7F" w:themeColor="text1" w:themeTint="80"/>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0,3</w:t>
            </w:r>
          </w:p>
        </w:tc>
        <w:tc>
          <w:tcPr>
            <w:tcW w:w="267" w:type="pct"/>
            <w:tcBorders>
              <w:top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0,4</w:t>
            </w:r>
          </w:p>
        </w:tc>
        <w:tc>
          <w:tcPr>
            <w:tcW w:w="267" w:type="pct"/>
            <w:tcBorders>
              <w:top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0,4</w:t>
            </w:r>
          </w:p>
        </w:tc>
        <w:tc>
          <w:tcPr>
            <w:tcW w:w="267" w:type="pct"/>
            <w:tcBorders>
              <w:top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1,0</w:t>
            </w:r>
          </w:p>
        </w:tc>
        <w:tc>
          <w:tcPr>
            <w:tcW w:w="267" w:type="pct"/>
            <w:tcBorders>
              <w:top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0,5</w:t>
            </w:r>
          </w:p>
        </w:tc>
        <w:tc>
          <w:tcPr>
            <w:tcW w:w="267" w:type="pct"/>
            <w:tcBorders>
              <w:top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0,2</w:t>
            </w:r>
          </w:p>
        </w:tc>
        <w:tc>
          <w:tcPr>
            <w:tcW w:w="267" w:type="pct"/>
            <w:tcBorders>
              <w:top w:val="nil"/>
              <w:bottom w:val="nil"/>
              <w:right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0,7</w:t>
            </w:r>
          </w:p>
        </w:tc>
        <w:tc>
          <w:tcPr>
            <w:tcW w:w="264" w:type="pct"/>
            <w:tcBorders>
              <w:top w:val="nil"/>
              <w:left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0,2</w:t>
            </w:r>
          </w:p>
        </w:tc>
      </w:tr>
      <w:tr w:rsidR="00C657CC" w:rsidRPr="00C06641" w:rsidTr="003F3A1D">
        <w:trPr>
          <w:cnfStyle w:val="000000100000"/>
          <w:jc w:val="right"/>
        </w:trPr>
        <w:tc>
          <w:tcPr>
            <w:cnfStyle w:val="001000000000"/>
            <w:tcW w:w="652" w:type="pct"/>
            <w:vAlign w:val="center"/>
          </w:tcPr>
          <w:p w:rsidR="00C657CC" w:rsidRPr="00C06641" w:rsidRDefault="00C657CC" w:rsidP="00C06641">
            <w:pPr>
              <w:spacing w:before="40" w:after="60"/>
              <w:rPr>
                <w:b w:val="0"/>
                <w:color w:val="auto"/>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346" w:type="pct"/>
            <w:tcBorders>
              <w:right w:val="single" w:sz="4" w:space="0" w:color="7F7F7F" w:themeColor="text1" w:themeTint="80"/>
            </w:tcBorders>
            <w:vAlign w:val="bottom"/>
          </w:tcPr>
          <w:p w:rsidR="00C657CC" w:rsidRPr="00C06641" w:rsidRDefault="00C657CC" w:rsidP="00C06641">
            <w:pPr>
              <w:spacing w:before="40" w:after="60"/>
              <w:ind w:right="113"/>
              <w:jc w:val="right"/>
              <w:cnfStyle w:val="000000100000"/>
              <w:rPr>
                <w:color w:val="000000"/>
                <w:sz w:val="12"/>
                <w:szCs w:val="12"/>
              </w:rPr>
            </w:pPr>
          </w:p>
        </w:tc>
        <w:tc>
          <w:tcPr>
            <w:tcW w:w="266" w:type="pct"/>
            <w:tcBorders>
              <w:left w:val="single" w:sz="4" w:space="0" w:color="7F7F7F" w:themeColor="text1" w:themeTint="80"/>
            </w:tcBorders>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713086">
            <w:pPr>
              <w:spacing w:before="40" w:after="60"/>
              <w:ind w:left="-57" w:right="-57"/>
              <w:jc w:val="right"/>
              <w:cnfStyle w:val="000000100000"/>
              <w:rPr>
                <w:color w:val="000000"/>
                <w:sz w:val="12"/>
                <w:szCs w:val="12"/>
              </w:rPr>
            </w:pPr>
          </w:p>
        </w:tc>
        <w:tc>
          <w:tcPr>
            <w:tcW w:w="267" w:type="pct"/>
            <w:tcBorders>
              <w:top w:val="nil"/>
              <w:bottom w:val="nil"/>
            </w:tcBorders>
            <w:vAlign w:val="bottom"/>
          </w:tcPr>
          <w:p w:rsidR="00C657CC" w:rsidRPr="00C06641" w:rsidRDefault="00C657CC" w:rsidP="00713086">
            <w:pPr>
              <w:spacing w:before="40" w:after="60"/>
              <w:ind w:left="-57" w:right="-57"/>
              <w:jc w:val="right"/>
              <w:cnfStyle w:val="000000100000"/>
              <w:rPr>
                <w:color w:val="000000"/>
                <w:sz w:val="12"/>
                <w:szCs w:val="12"/>
              </w:rPr>
            </w:pPr>
          </w:p>
        </w:tc>
        <w:tc>
          <w:tcPr>
            <w:tcW w:w="264" w:type="pct"/>
            <w:vAlign w:val="bottom"/>
          </w:tcPr>
          <w:p w:rsidR="00C657CC" w:rsidRPr="00C06641" w:rsidRDefault="00C657CC" w:rsidP="00713086">
            <w:pPr>
              <w:spacing w:before="40" w:after="60"/>
              <w:ind w:left="-57" w:right="-57"/>
              <w:jc w:val="right"/>
              <w:cnfStyle w:val="000000100000"/>
              <w:rPr>
                <w:color w:val="000000"/>
                <w:sz w:val="12"/>
                <w:szCs w:val="12"/>
              </w:rPr>
            </w:pPr>
          </w:p>
        </w:tc>
      </w:tr>
      <w:tr w:rsidR="00C657CC" w:rsidRPr="000265BC" w:rsidTr="003F3A1D">
        <w:trPr>
          <w:jc w:val="right"/>
        </w:trPr>
        <w:tc>
          <w:tcPr>
            <w:cnfStyle w:val="001000000000"/>
            <w:tcW w:w="652" w:type="pct"/>
            <w:vAlign w:val="center"/>
          </w:tcPr>
          <w:p w:rsidR="00C657CC" w:rsidRPr="000265BC" w:rsidRDefault="00C657CC" w:rsidP="00C06641">
            <w:pPr>
              <w:spacing w:before="40" w:after="60"/>
              <w:rPr>
                <w:color w:val="auto"/>
                <w:sz w:val="20"/>
                <w:szCs w:val="20"/>
              </w:rPr>
            </w:pPr>
            <w:r w:rsidRPr="000265BC">
              <w:rPr>
                <w:color w:val="auto"/>
                <w:sz w:val="20"/>
                <w:szCs w:val="20"/>
              </w:rPr>
              <w:t>Latvija</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-18,0</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-16,0</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-5,5</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-3,5</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3,5</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3,6</w:t>
            </w:r>
          </w:p>
        </w:tc>
        <w:tc>
          <w:tcPr>
            <w:tcW w:w="267" w:type="pct"/>
            <w:vAlign w:val="bottom"/>
          </w:tcPr>
          <w:p w:rsidR="00C657CC" w:rsidRPr="00C657CC" w:rsidRDefault="00C657CC" w:rsidP="00C06641">
            <w:pPr>
              <w:spacing w:before="40" w:after="60"/>
              <w:ind w:left="-57" w:right="-57"/>
              <w:jc w:val="right"/>
              <w:cnfStyle w:val="000000000000"/>
              <w:rPr>
                <w:color w:val="000000"/>
                <w:sz w:val="20"/>
                <w:szCs w:val="20"/>
              </w:rPr>
            </w:pPr>
            <w:r w:rsidRPr="00C657CC">
              <w:rPr>
                <w:color w:val="000000"/>
                <w:sz w:val="20"/>
                <w:szCs w:val="20"/>
              </w:rPr>
              <w:t>3,5</w:t>
            </w:r>
          </w:p>
        </w:tc>
        <w:tc>
          <w:tcPr>
            <w:tcW w:w="346" w:type="pct"/>
            <w:tcBorders>
              <w:right w:val="single" w:sz="4" w:space="0" w:color="7F7F7F" w:themeColor="text1" w:themeTint="80"/>
            </w:tcBorders>
            <w:vAlign w:val="bottom"/>
          </w:tcPr>
          <w:p w:rsidR="00C657CC" w:rsidRPr="00C657CC" w:rsidRDefault="00C657CC" w:rsidP="00C06641">
            <w:pPr>
              <w:spacing w:before="40" w:after="60"/>
              <w:ind w:right="113"/>
              <w:jc w:val="right"/>
              <w:cnfStyle w:val="000000000000"/>
              <w:rPr>
                <w:color w:val="000000"/>
                <w:sz w:val="20"/>
                <w:szCs w:val="20"/>
              </w:rPr>
            </w:pPr>
            <w:r w:rsidRPr="00C657CC">
              <w:rPr>
                <w:color w:val="000000"/>
                <w:sz w:val="20"/>
                <w:szCs w:val="20"/>
              </w:rPr>
              <w:t>5,6</w:t>
            </w:r>
          </w:p>
        </w:tc>
        <w:tc>
          <w:tcPr>
            <w:tcW w:w="266" w:type="pct"/>
            <w:tcBorders>
              <w:left w:val="single" w:sz="4" w:space="0" w:color="7F7F7F" w:themeColor="text1" w:themeTint="80"/>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-6,9</w:t>
            </w:r>
          </w:p>
        </w:tc>
        <w:tc>
          <w:tcPr>
            <w:tcW w:w="267" w:type="pct"/>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1,2</w:t>
            </w:r>
          </w:p>
        </w:tc>
        <w:tc>
          <w:tcPr>
            <w:tcW w:w="267" w:type="pct"/>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1,1</w:t>
            </w:r>
          </w:p>
        </w:tc>
        <w:tc>
          <w:tcPr>
            <w:tcW w:w="267" w:type="pct"/>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0,0</w:t>
            </w:r>
          </w:p>
        </w:tc>
        <w:tc>
          <w:tcPr>
            <w:tcW w:w="267" w:type="pct"/>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1,1</w:t>
            </w:r>
          </w:p>
        </w:tc>
        <w:tc>
          <w:tcPr>
            <w:tcW w:w="267" w:type="pct"/>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0,8</w:t>
            </w:r>
          </w:p>
        </w:tc>
        <w:tc>
          <w:tcPr>
            <w:tcW w:w="267" w:type="pct"/>
            <w:tcBorders>
              <w:top w:val="nil"/>
              <w:bottom w:val="nil"/>
              <w:right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1,1</w:t>
            </w:r>
          </w:p>
        </w:tc>
        <w:tc>
          <w:tcPr>
            <w:tcW w:w="264" w:type="pct"/>
            <w:tcBorders>
              <w:left w:val="nil"/>
            </w:tcBorders>
            <w:vAlign w:val="bottom"/>
          </w:tcPr>
          <w:p w:rsidR="00C657CC" w:rsidRPr="00C657CC" w:rsidRDefault="00C657CC" w:rsidP="00713086">
            <w:pPr>
              <w:spacing w:before="40" w:after="60"/>
              <w:ind w:left="-57" w:right="-57"/>
              <w:jc w:val="right"/>
              <w:cnfStyle w:val="000000000000"/>
              <w:rPr>
                <w:color w:val="000000"/>
                <w:sz w:val="20"/>
                <w:szCs w:val="20"/>
              </w:rPr>
            </w:pPr>
            <w:r w:rsidRPr="00C657CC">
              <w:rPr>
                <w:color w:val="000000"/>
                <w:sz w:val="20"/>
                <w:szCs w:val="20"/>
              </w:rPr>
              <w:t>2,0</w:t>
            </w:r>
          </w:p>
        </w:tc>
      </w:tr>
      <w:tr w:rsidR="00C657CC" w:rsidRPr="000265BC" w:rsidTr="003F3A1D">
        <w:trPr>
          <w:cnfStyle w:val="000000100000"/>
          <w:jc w:val="right"/>
        </w:trPr>
        <w:tc>
          <w:tcPr>
            <w:cnfStyle w:val="001000000000"/>
            <w:tcW w:w="652" w:type="pct"/>
            <w:vAlign w:val="center"/>
          </w:tcPr>
          <w:p w:rsidR="00C657CC" w:rsidRPr="000265BC" w:rsidRDefault="00C657CC" w:rsidP="00C06641">
            <w:pPr>
              <w:spacing w:before="40" w:after="60"/>
              <w:rPr>
                <w:b w:val="0"/>
                <w:color w:val="auto"/>
                <w:sz w:val="20"/>
                <w:szCs w:val="20"/>
              </w:rPr>
            </w:pPr>
            <w:r w:rsidRPr="000265BC">
              <w:rPr>
                <w:b w:val="0"/>
                <w:color w:val="auto"/>
                <w:sz w:val="20"/>
                <w:szCs w:val="20"/>
              </w:rPr>
              <w:t>Lietuva</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-14,5</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-14,5</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-2,0</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1,0</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1,2</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4,8</w:t>
            </w:r>
          </w:p>
        </w:tc>
        <w:tc>
          <w:tcPr>
            <w:tcW w:w="267" w:type="pct"/>
            <w:vAlign w:val="bottom"/>
          </w:tcPr>
          <w:p w:rsidR="00C657CC" w:rsidRPr="00C657CC" w:rsidRDefault="00C657CC" w:rsidP="00C06641">
            <w:pPr>
              <w:spacing w:before="40" w:after="60"/>
              <w:ind w:left="-57" w:right="-57"/>
              <w:jc w:val="right"/>
              <w:cnfStyle w:val="000000100000"/>
              <w:rPr>
                <w:color w:val="000000"/>
                <w:sz w:val="20"/>
                <w:szCs w:val="20"/>
              </w:rPr>
            </w:pPr>
            <w:r w:rsidRPr="00C657CC">
              <w:rPr>
                <w:color w:val="000000"/>
                <w:sz w:val="20"/>
                <w:szCs w:val="20"/>
              </w:rPr>
              <w:t>6,9</w:t>
            </w:r>
          </w:p>
        </w:tc>
        <w:tc>
          <w:tcPr>
            <w:tcW w:w="346" w:type="pct"/>
            <w:tcBorders>
              <w:right w:val="single" w:sz="4" w:space="0" w:color="7F7F7F" w:themeColor="text1" w:themeTint="80"/>
            </w:tcBorders>
            <w:vAlign w:val="bottom"/>
          </w:tcPr>
          <w:p w:rsidR="00C657CC" w:rsidRPr="00C657CC" w:rsidRDefault="00C657CC" w:rsidP="00C06641">
            <w:pPr>
              <w:spacing w:before="40" w:after="60"/>
              <w:ind w:right="113"/>
              <w:jc w:val="right"/>
              <w:cnfStyle w:val="000000100000"/>
              <w:rPr>
                <w:color w:val="000000"/>
                <w:sz w:val="20"/>
                <w:szCs w:val="20"/>
              </w:rPr>
            </w:pPr>
            <w:r w:rsidRPr="00C657CC">
              <w:rPr>
                <w:color w:val="000000"/>
                <w:sz w:val="20"/>
                <w:szCs w:val="20"/>
              </w:rPr>
              <w:t>6,3</w:t>
            </w:r>
          </w:p>
        </w:tc>
        <w:tc>
          <w:tcPr>
            <w:tcW w:w="266" w:type="pct"/>
            <w:tcBorders>
              <w:left w:val="single" w:sz="4" w:space="0" w:color="7F7F7F" w:themeColor="text1" w:themeTint="80"/>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-0,1</w:t>
            </w:r>
          </w:p>
        </w:tc>
        <w:tc>
          <w:tcPr>
            <w:tcW w:w="267"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-1,1</w:t>
            </w:r>
          </w:p>
        </w:tc>
        <w:tc>
          <w:tcPr>
            <w:tcW w:w="267"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1,3</w:t>
            </w:r>
          </w:p>
        </w:tc>
        <w:tc>
          <w:tcPr>
            <w:tcW w:w="267"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1,0</w:t>
            </w:r>
          </w:p>
        </w:tc>
        <w:tc>
          <w:tcPr>
            <w:tcW w:w="267"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0,3</w:t>
            </w:r>
          </w:p>
        </w:tc>
        <w:tc>
          <w:tcPr>
            <w:tcW w:w="267"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1,8</w:t>
            </w:r>
          </w:p>
        </w:tc>
        <w:tc>
          <w:tcPr>
            <w:tcW w:w="267" w:type="pct"/>
            <w:tcBorders>
              <w:top w:val="nil"/>
              <w:bottom w:val="nil"/>
            </w:tcBorders>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3,5</w:t>
            </w:r>
          </w:p>
        </w:tc>
        <w:tc>
          <w:tcPr>
            <w:tcW w:w="264" w:type="pct"/>
            <w:vAlign w:val="bottom"/>
          </w:tcPr>
          <w:p w:rsidR="00C657CC" w:rsidRPr="00C657CC" w:rsidRDefault="00C657CC" w:rsidP="00713086">
            <w:pPr>
              <w:spacing w:before="40" w:after="60"/>
              <w:ind w:left="-57" w:right="-57"/>
              <w:jc w:val="right"/>
              <w:cnfStyle w:val="000000100000"/>
              <w:rPr>
                <w:color w:val="000000"/>
                <w:sz w:val="20"/>
                <w:szCs w:val="20"/>
              </w:rPr>
            </w:pPr>
            <w:r w:rsidRPr="00C657CC">
              <w:rPr>
                <w:color w:val="000000"/>
                <w:sz w:val="20"/>
                <w:szCs w:val="20"/>
              </w:rPr>
              <w:t>0,4</w:t>
            </w:r>
          </w:p>
        </w:tc>
      </w:tr>
      <w:tr w:rsidR="00713086" w:rsidRPr="000265BC" w:rsidTr="003F3A1D">
        <w:trPr>
          <w:jc w:val="right"/>
        </w:trPr>
        <w:tc>
          <w:tcPr>
            <w:cnfStyle w:val="001000000000"/>
            <w:tcW w:w="652" w:type="pct"/>
            <w:vAlign w:val="center"/>
          </w:tcPr>
          <w:p w:rsidR="00713086" w:rsidRPr="000265BC" w:rsidRDefault="00713086" w:rsidP="00C06641">
            <w:pPr>
              <w:spacing w:before="40" w:after="60"/>
              <w:rPr>
                <w:b w:val="0"/>
                <w:color w:val="auto"/>
                <w:sz w:val="20"/>
                <w:szCs w:val="20"/>
              </w:rPr>
            </w:pPr>
            <w:r w:rsidRPr="000265BC">
              <w:rPr>
                <w:b w:val="0"/>
                <w:color w:val="auto"/>
                <w:sz w:val="20"/>
                <w:szCs w:val="20"/>
              </w:rPr>
              <w:t>Igaunija</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-17,6</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-8,7</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-4,2</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2,5</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4,5</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6,0</w:t>
            </w:r>
          </w:p>
        </w:tc>
        <w:tc>
          <w:tcPr>
            <w:tcW w:w="267" w:type="pct"/>
            <w:vAlign w:val="bottom"/>
          </w:tcPr>
          <w:p w:rsidR="00713086" w:rsidRPr="00C657CC" w:rsidRDefault="00713086" w:rsidP="00C06641">
            <w:pPr>
              <w:spacing w:before="40" w:after="60"/>
              <w:ind w:left="-57" w:right="-57"/>
              <w:jc w:val="right"/>
              <w:cnfStyle w:val="000000000000"/>
              <w:rPr>
                <w:color w:val="000000"/>
                <w:sz w:val="20"/>
                <w:szCs w:val="20"/>
              </w:rPr>
            </w:pPr>
            <w:r w:rsidRPr="00C657CC">
              <w:rPr>
                <w:color w:val="000000"/>
                <w:sz w:val="20"/>
                <w:szCs w:val="20"/>
              </w:rPr>
              <w:t>9,5</w:t>
            </w:r>
          </w:p>
        </w:tc>
        <w:tc>
          <w:tcPr>
            <w:tcW w:w="346" w:type="pct"/>
            <w:tcBorders>
              <w:right w:val="single" w:sz="4" w:space="0" w:color="7F7F7F" w:themeColor="text1" w:themeTint="80"/>
            </w:tcBorders>
            <w:vAlign w:val="bottom"/>
          </w:tcPr>
          <w:p w:rsidR="00713086" w:rsidRPr="00C657CC" w:rsidRDefault="00713086" w:rsidP="00C06641">
            <w:pPr>
              <w:spacing w:before="40" w:after="60"/>
              <w:ind w:right="113"/>
              <w:jc w:val="right"/>
              <w:cnfStyle w:val="000000000000"/>
              <w:rPr>
                <w:color w:val="000000"/>
                <w:sz w:val="20"/>
                <w:szCs w:val="20"/>
              </w:rPr>
            </w:pPr>
            <w:r w:rsidRPr="00C657CC">
              <w:rPr>
                <w:color w:val="000000"/>
                <w:sz w:val="20"/>
                <w:szCs w:val="20"/>
              </w:rPr>
              <w:t>8,4</w:t>
            </w:r>
          </w:p>
        </w:tc>
        <w:tc>
          <w:tcPr>
            <w:tcW w:w="266" w:type="pct"/>
            <w:tcBorders>
              <w:left w:val="single" w:sz="4" w:space="0" w:color="7F7F7F" w:themeColor="text1" w:themeTint="80"/>
            </w:tcBorders>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-1,4</w:t>
            </w:r>
          </w:p>
        </w:tc>
        <w:tc>
          <w:tcPr>
            <w:tcW w:w="267" w:type="pct"/>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1,0</w:t>
            </w:r>
          </w:p>
        </w:tc>
        <w:tc>
          <w:tcPr>
            <w:tcW w:w="267" w:type="pct"/>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0,0</w:t>
            </w:r>
          </w:p>
        </w:tc>
        <w:tc>
          <w:tcPr>
            <w:tcW w:w="267" w:type="pct"/>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2,7</w:t>
            </w:r>
          </w:p>
        </w:tc>
        <w:tc>
          <w:tcPr>
            <w:tcW w:w="267" w:type="pct"/>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1,4</w:t>
            </w:r>
          </w:p>
        </w:tc>
        <w:tc>
          <w:tcPr>
            <w:tcW w:w="267" w:type="pct"/>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2,0</w:t>
            </w:r>
          </w:p>
        </w:tc>
        <w:tc>
          <w:tcPr>
            <w:tcW w:w="267" w:type="pct"/>
            <w:tcBorders>
              <w:top w:val="nil"/>
              <w:bottom w:val="nil"/>
              <w:right w:val="nil"/>
            </w:tcBorders>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3,1</w:t>
            </w:r>
          </w:p>
        </w:tc>
        <w:tc>
          <w:tcPr>
            <w:tcW w:w="264" w:type="pct"/>
            <w:tcBorders>
              <w:left w:val="nil"/>
            </w:tcBorders>
            <w:vAlign w:val="bottom"/>
          </w:tcPr>
          <w:p w:rsidR="00713086" w:rsidRPr="00713086" w:rsidRDefault="00713086" w:rsidP="00713086">
            <w:pPr>
              <w:spacing w:before="40" w:after="60"/>
              <w:ind w:left="-57" w:right="-57"/>
              <w:jc w:val="right"/>
              <w:cnfStyle w:val="000000000000"/>
              <w:rPr>
                <w:color w:val="000000"/>
                <w:sz w:val="20"/>
                <w:szCs w:val="20"/>
              </w:rPr>
            </w:pPr>
            <w:r w:rsidRPr="00713086">
              <w:rPr>
                <w:color w:val="000000"/>
                <w:sz w:val="20"/>
                <w:szCs w:val="20"/>
              </w:rPr>
              <w:t>1,7</w:t>
            </w:r>
          </w:p>
        </w:tc>
      </w:tr>
      <w:tr w:rsidR="00C657CC" w:rsidRPr="00C06641" w:rsidTr="003F3A1D">
        <w:trPr>
          <w:cnfStyle w:val="000000100000"/>
          <w:jc w:val="right"/>
        </w:trPr>
        <w:tc>
          <w:tcPr>
            <w:cnfStyle w:val="001000000000"/>
            <w:tcW w:w="652" w:type="pct"/>
            <w:vAlign w:val="center"/>
          </w:tcPr>
          <w:p w:rsidR="00C657CC" w:rsidRPr="00C06641" w:rsidRDefault="00C657CC" w:rsidP="00C06641">
            <w:pPr>
              <w:spacing w:before="40" w:after="60"/>
              <w:rPr>
                <w:b w:val="0"/>
                <w:color w:val="auto"/>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346" w:type="pct"/>
            <w:tcBorders>
              <w:right w:val="single" w:sz="4" w:space="0" w:color="7F7F7F" w:themeColor="text1" w:themeTint="80"/>
            </w:tcBorders>
            <w:vAlign w:val="bottom"/>
          </w:tcPr>
          <w:p w:rsidR="00C657CC" w:rsidRPr="00C06641" w:rsidRDefault="00C657CC" w:rsidP="00C06641">
            <w:pPr>
              <w:spacing w:before="40" w:after="60"/>
              <w:ind w:right="113"/>
              <w:jc w:val="right"/>
              <w:cnfStyle w:val="000000100000"/>
              <w:rPr>
                <w:color w:val="000000"/>
                <w:sz w:val="12"/>
                <w:szCs w:val="12"/>
              </w:rPr>
            </w:pPr>
          </w:p>
        </w:tc>
        <w:tc>
          <w:tcPr>
            <w:tcW w:w="266" w:type="pct"/>
            <w:tcBorders>
              <w:left w:val="single" w:sz="4" w:space="0" w:color="7F7F7F" w:themeColor="text1" w:themeTint="80"/>
            </w:tcBorders>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vAlign w:val="bottom"/>
          </w:tcPr>
          <w:p w:rsidR="00C657CC" w:rsidRPr="00C06641" w:rsidRDefault="00C657CC" w:rsidP="00C06641">
            <w:pPr>
              <w:spacing w:before="40" w:after="60"/>
              <w:ind w:left="-57" w:right="-57"/>
              <w:jc w:val="right"/>
              <w:cnfStyle w:val="000000100000"/>
              <w:rPr>
                <w:color w:val="000000"/>
                <w:sz w:val="12"/>
                <w:szCs w:val="12"/>
              </w:rPr>
            </w:pPr>
          </w:p>
        </w:tc>
        <w:tc>
          <w:tcPr>
            <w:tcW w:w="267" w:type="pct"/>
            <w:tcBorders>
              <w:top w:val="nil"/>
              <w:bottom w:val="nil"/>
            </w:tcBorders>
            <w:vAlign w:val="bottom"/>
          </w:tcPr>
          <w:p w:rsidR="00C657CC" w:rsidRPr="00C06641" w:rsidRDefault="00C657CC" w:rsidP="00C06641">
            <w:pPr>
              <w:spacing w:before="40" w:after="60"/>
              <w:ind w:left="-57" w:right="-57"/>
              <w:jc w:val="right"/>
              <w:cnfStyle w:val="000000100000"/>
              <w:rPr>
                <w:color w:val="000000"/>
                <w:sz w:val="12"/>
                <w:szCs w:val="12"/>
              </w:rPr>
            </w:pPr>
          </w:p>
        </w:tc>
        <w:tc>
          <w:tcPr>
            <w:tcW w:w="264" w:type="pct"/>
            <w:vAlign w:val="bottom"/>
          </w:tcPr>
          <w:p w:rsidR="00C657CC" w:rsidRPr="00C06641" w:rsidRDefault="00C657CC" w:rsidP="00C06641">
            <w:pPr>
              <w:spacing w:before="40" w:after="60"/>
              <w:jc w:val="right"/>
              <w:cnfStyle w:val="000000100000"/>
              <w:rPr>
                <w:color w:val="000000"/>
                <w:sz w:val="12"/>
                <w:szCs w:val="12"/>
              </w:rPr>
            </w:pP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Austrija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4,2</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3,4</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0,6</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Beļģija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-2,5</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3,2</w:t>
            </w:r>
          </w:p>
        </w:tc>
        <w:tc>
          <w:tcPr>
            <w:tcW w:w="346" w:type="pct"/>
            <w:tcBorders>
              <w:right w:val="single" w:sz="4" w:space="0" w:color="7F7F7F" w:themeColor="text1" w:themeTint="80"/>
            </w:tcBorders>
            <w:vAlign w:val="bottom"/>
          </w:tcPr>
          <w:p w:rsidR="008C5BEC" w:rsidRPr="008C5BEC" w:rsidRDefault="008C5BEC" w:rsidP="00A7198B">
            <w:pPr>
              <w:spacing w:before="40" w:after="60"/>
              <w:ind w:left="-57" w:right="-57"/>
              <w:cnfStyle w:val="000000100000"/>
              <w:rPr>
                <w:color w:val="000000"/>
                <w:sz w:val="20"/>
                <w:szCs w:val="20"/>
              </w:rPr>
            </w:pPr>
            <w:r w:rsidRPr="008C5BEC">
              <w:rPr>
                <w:color w:val="000000"/>
                <w:sz w:val="20"/>
                <w:szCs w:val="20"/>
              </w:rPr>
              <w:t>:</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1,0</w:t>
            </w:r>
          </w:p>
        </w:tc>
        <w:tc>
          <w:tcPr>
            <w:tcW w:w="264" w:type="pct"/>
            <w:vAlign w:val="bottom"/>
          </w:tcPr>
          <w:p w:rsidR="008C5BEC" w:rsidRPr="008C5BEC" w:rsidRDefault="008C5BEC" w:rsidP="008C5BEC">
            <w:pPr>
              <w:spacing w:before="40" w:after="60"/>
              <w:ind w:left="-57" w:right="-57"/>
              <w:cnfStyle w:val="000000100000"/>
              <w:rPr>
                <w:color w:val="000000"/>
                <w:sz w:val="20"/>
                <w:szCs w:val="20"/>
              </w:rPr>
            </w:pPr>
            <w:r w:rsidRPr="008C5BEC">
              <w:rPr>
                <w:color w:val="000000"/>
                <w:sz w:val="20"/>
                <w:szCs w:val="20"/>
              </w:rPr>
              <w:t>:</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Bulgārija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-7,6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1,5</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2,2</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-3,1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Čehija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-5,0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1,2</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3,1</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2,2</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Dānija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-5,9</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1,7</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2,0</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1,0</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Francija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2,4</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1,8</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0,0</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Grieķija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-8,8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-8,1</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-7,3</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-2,8</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4" w:type="pct"/>
            <w:tcBorders>
              <w:left w:val="nil"/>
            </w:tcBorders>
            <w:vAlign w:val="bottom"/>
          </w:tcPr>
          <w:p w:rsidR="008C5BEC" w:rsidRPr="008C5BEC" w:rsidRDefault="008C5BEC" w:rsidP="008C5BEC">
            <w:pPr>
              <w:spacing w:before="40" w:after="60"/>
              <w:ind w:left="-57" w:right="-57"/>
              <w:cnfStyle w:val="000000000000"/>
              <w:rPr>
                <w:color w:val="000000"/>
                <w:sz w:val="20"/>
                <w:szCs w:val="20"/>
              </w:rPr>
            </w:pPr>
            <w:r w:rsidRPr="008C5BEC">
              <w:rPr>
                <w:color w:val="000000"/>
                <w:sz w:val="20"/>
                <w:szCs w:val="20"/>
              </w:rPr>
              <w:t>:</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Itālija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1,2</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0,8</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0,0</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Īrija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-7,1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-5,5</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0,3</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2,3</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1,5</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-1,4</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1,9</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1,6</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Kipra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2,4</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1,7</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1,4</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0,0</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Lielbritānija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1,5</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0,4</w:t>
            </w:r>
          </w:p>
        </w:tc>
        <w:tc>
          <w:tcPr>
            <w:tcW w:w="346" w:type="pct"/>
            <w:tcBorders>
              <w:right w:val="single" w:sz="4" w:space="0" w:color="7F7F7F" w:themeColor="text1" w:themeTint="80"/>
            </w:tcBorders>
            <w:vAlign w:val="bottom"/>
          </w:tcPr>
          <w:p w:rsidR="008C5BEC" w:rsidRPr="008C5BEC" w:rsidRDefault="008C5BEC" w:rsidP="00A7198B">
            <w:pPr>
              <w:spacing w:before="40" w:after="60"/>
              <w:ind w:left="-57" w:right="-57"/>
              <w:cnfStyle w:val="000000000000"/>
              <w:rPr>
                <w:color w:val="000000"/>
                <w:sz w:val="20"/>
                <w:szCs w:val="20"/>
              </w:rPr>
            </w:pPr>
            <w:r w:rsidRPr="008C5BEC">
              <w:rPr>
                <w:color w:val="000000"/>
                <w:sz w:val="20"/>
                <w:szCs w:val="20"/>
              </w:rPr>
              <w:t>:</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ind w:right="-35"/>
              <w:rPr>
                <w:b w:val="0"/>
                <w:color w:val="auto"/>
                <w:sz w:val="20"/>
                <w:szCs w:val="20"/>
              </w:rPr>
            </w:pPr>
            <w:r w:rsidRPr="000265BC">
              <w:rPr>
                <w:b w:val="0"/>
                <w:color w:val="auto"/>
                <w:sz w:val="20"/>
                <w:szCs w:val="20"/>
              </w:rPr>
              <w:t>Luksemburga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2,4</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5,7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4,8</w:t>
            </w:r>
          </w:p>
        </w:tc>
        <w:tc>
          <w:tcPr>
            <w:tcW w:w="346" w:type="pct"/>
            <w:tcBorders>
              <w:right w:val="single" w:sz="4" w:space="0" w:color="7F7F7F" w:themeColor="text1" w:themeTint="80"/>
            </w:tcBorders>
            <w:vAlign w:val="bottom"/>
          </w:tcPr>
          <w:p w:rsidR="008C5BEC" w:rsidRPr="008C5BEC" w:rsidRDefault="008C5BEC" w:rsidP="00A7198B">
            <w:pPr>
              <w:spacing w:before="40" w:after="60"/>
              <w:ind w:left="-57" w:right="-57"/>
              <w:cnfStyle w:val="000000100000"/>
              <w:rPr>
                <w:color w:val="000000"/>
                <w:sz w:val="20"/>
                <w:szCs w:val="20"/>
              </w:rPr>
            </w:pPr>
            <w:r w:rsidRPr="008C5BEC">
              <w:rPr>
                <w:color w:val="000000"/>
                <w:sz w:val="20"/>
                <w:szCs w:val="20"/>
              </w:rPr>
              <w:t>:</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3,2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2,8</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4" w:type="pct"/>
            <w:vAlign w:val="bottom"/>
          </w:tcPr>
          <w:p w:rsidR="008C5BEC" w:rsidRPr="008C5BEC" w:rsidRDefault="008C5BEC" w:rsidP="008C5BEC">
            <w:pPr>
              <w:spacing w:before="40" w:after="60"/>
              <w:ind w:left="-57" w:right="-57"/>
              <w:cnfStyle w:val="000000100000"/>
              <w:rPr>
                <w:color w:val="000000"/>
                <w:sz w:val="20"/>
                <w:szCs w:val="20"/>
              </w:rPr>
            </w:pPr>
            <w:r w:rsidRPr="008C5BEC">
              <w:rPr>
                <w:color w:val="000000"/>
                <w:sz w:val="20"/>
                <w:szCs w:val="20"/>
              </w:rPr>
              <w:t>:</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Malta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2,4</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2,3</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2,8</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1,8</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0,0</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Nīderlande</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2,1</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2,8</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1,6</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Polija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3,5</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3,5</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4,1</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4,4</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1,5</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0,9</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Portugāle</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-0,5</w:t>
            </w:r>
          </w:p>
        </w:tc>
        <w:tc>
          <w:tcPr>
            <w:tcW w:w="346" w:type="pct"/>
            <w:tcBorders>
              <w:right w:val="single" w:sz="4" w:space="0" w:color="7F7F7F" w:themeColor="text1" w:themeTint="80"/>
            </w:tcBorders>
            <w:vAlign w:val="bottom"/>
          </w:tcPr>
          <w:p w:rsidR="008C5BEC" w:rsidRPr="008C5BEC" w:rsidRDefault="008C5BEC" w:rsidP="00A7198B">
            <w:pPr>
              <w:spacing w:before="40" w:after="60"/>
              <w:ind w:left="-57" w:right="-57"/>
              <w:cnfStyle w:val="000000100000"/>
              <w:rPr>
                <w:color w:val="000000"/>
                <w:sz w:val="20"/>
                <w:szCs w:val="20"/>
              </w:rPr>
            </w:pPr>
            <w:r w:rsidRPr="008C5BEC">
              <w:rPr>
                <w:color w:val="000000"/>
                <w:sz w:val="20"/>
                <w:szCs w:val="20"/>
              </w:rPr>
              <w:t>:</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-0,5</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-0,6</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0,0</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Rumānija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-7,1</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-6,5</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1,7</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1,4</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0,0</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Slovākija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-5,0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4,2</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3,8</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3,5</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3,5</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3,3</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Slovēnija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-8,9</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1,7</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2,3</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2,3</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0,9</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Somija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-8,4</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-6,0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3,4</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5,6</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4,8</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2,9</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2,7</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1,6</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0,6</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Spānija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-1,4</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1,1</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0,6</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0,3</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0,0</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0,4</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0,2</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Ungārija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-7,5</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0,1</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2,5</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1,5</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0,4</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0,3</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0,0</w:t>
            </w:r>
          </w:p>
        </w:tc>
      </w:tr>
      <w:tr w:rsidR="008C5BEC" w:rsidRPr="000265BC" w:rsidTr="003F3A1D">
        <w:trPr>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Vācija</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-1,6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2,6</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4,4</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4,0</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3,8</w:t>
            </w:r>
          </w:p>
        </w:tc>
        <w:tc>
          <w:tcPr>
            <w:tcW w:w="267" w:type="pct"/>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5,0</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000000"/>
              <w:rPr>
                <w:color w:val="000000"/>
                <w:sz w:val="20"/>
                <w:szCs w:val="20"/>
              </w:rPr>
            </w:pPr>
            <w:r w:rsidRPr="008C5BEC">
              <w:rPr>
                <w:color w:val="000000"/>
                <w:sz w:val="20"/>
                <w:szCs w:val="20"/>
              </w:rPr>
              <w:t>2,8</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0,7</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1,9</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0,5</w:t>
            </w:r>
          </w:p>
        </w:tc>
        <w:tc>
          <w:tcPr>
            <w:tcW w:w="267" w:type="pct"/>
            <w:tcBorders>
              <w:top w:val="nil"/>
              <w:bottom w:val="nil"/>
              <w:righ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1,3</w:t>
            </w:r>
          </w:p>
        </w:tc>
        <w:tc>
          <w:tcPr>
            <w:tcW w:w="264" w:type="pct"/>
            <w:tcBorders>
              <w:left w:val="nil"/>
            </w:tcBorders>
            <w:vAlign w:val="bottom"/>
          </w:tcPr>
          <w:p w:rsidR="008C5BEC" w:rsidRPr="008C5BEC" w:rsidRDefault="008C5BEC" w:rsidP="008C5BEC">
            <w:pPr>
              <w:spacing w:before="40" w:after="60"/>
              <w:ind w:left="-57" w:right="-57"/>
              <w:jc w:val="right"/>
              <w:cnfStyle w:val="000000000000"/>
              <w:rPr>
                <w:color w:val="000000"/>
                <w:sz w:val="20"/>
                <w:szCs w:val="20"/>
              </w:rPr>
            </w:pPr>
            <w:r w:rsidRPr="008C5BEC">
              <w:rPr>
                <w:color w:val="000000"/>
                <w:sz w:val="20"/>
                <w:szCs w:val="20"/>
              </w:rPr>
              <w:t>0,1</w:t>
            </w:r>
          </w:p>
        </w:tc>
      </w:tr>
      <w:tr w:rsidR="008C5BEC" w:rsidRPr="000265BC" w:rsidTr="003F3A1D">
        <w:trPr>
          <w:cnfStyle w:val="000000100000"/>
          <w:jc w:val="right"/>
        </w:trPr>
        <w:tc>
          <w:tcPr>
            <w:cnfStyle w:val="001000000000"/>
            <w:tcW w:w="652" w:type="pct"/>
            <w:vAlign w:val="center"/>
          </w:tcPr>
          <w:p w:rsidR="008C5BEC" w:rsidRPr="000265BC" w:rsidRDefault="008C5BEC" w:rsidP="00C06641">
            <w:pPr>
              <w:spacing w:before="40" w:after="60"/>
              <w:rPr>
                <w:b w:val="0"/>
                <w:color w:val="auto"/>
                <w:sz w:val="20"/>
                <w:szCs w:val="20"/>
              </w:rPr>
            </w:pPr>
            <w:r w:rsidRPr="000265BC">
              <w:rPr>
                <w:b w:val="0"/>
                <w:color w:val="auto"/>
                <w:sz w:val="20"/>
                <w:szCs w:val="20"/>
              </w:rPr>
              <w:t>Zviedrija</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-6,3</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-1,0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2,9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5,0</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6,9</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7,7</w:t>
            </w:r>
          </w:p>
        </w:tc>
        <w:tc>
          <w:tcPr>
            <w:tcW w:w="267" w:type="pct"/>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6,6</w:t>
            </w:r>
          </w:p>
        </w:tc>
        <w:tc>
          <w:tcPr>
            <w:tcW w:w="346" w:type="pct"/>
            <w:tcBorders>
              <w:right w:val="single" w:sz="4" w:space="0" w:color="7F7F7F" w:themeColor="text1" w:themeTint="80"/>
            </w:tcBorders>
            <w:vAlign w:val="bottom"/>
          </w:tcPr>
          <w:p w:rsidR="008C5BEC" w:rsidRPr="008C5BEC" w:rsidRDefault="008C5BEC" w:rsidP="008C5BEC">
            <w:pPr>
              <w:spacing w:before="40" w:after="60"/>
              <w:ind w:left="-57" w:right="-57"/>
              <w:jc w:val="center"/>
              <w:cnfStyle w:val="000000100000"/>
              <w:rPr>
                <w:color w:val="000000"/>
                <w:sz w:val="20"/>
                <w:szCs w:val="20"/>
              </w:rPr>
            </w:pPr>
            <w:r w:rsidRPr="008C5BEC">
              <w:rPr>
                <w:color w:val="000000"/>
                <w:sz w:val="20"/>
                <w:szCs w:val="20"/>
              </w:rPr>
              <w:t>4,4</w:t>
            </w:r>
          </w:p>
        </w:tc>
        <w:tc>
          <w:tcPr>
            <w:tcW w:w="266" w:type="pct"/>
            <w:tcBorders>
              <w:left w:val="single" w:sz="4" w:space="0" w:color="7F7F7F" w:themeColor="text1" w:themeTint="80"/>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-0,2</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1,8</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2,0</w:t>
            </w:r>
          </w:p>
        </w:tc>
        <w:tc>
          <w:tcPr>
            <w:tcW w:w="267"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1,2</w:t>
            </w:r>
          </w:p>
        </w:tc>
        <w:tc>
          <w:tcPr>
            <w:tcW w:w="267" w:type="pct"/>
            <w:tcBorders>
              <w:top w:val="nil"/>
              <w:bottom w:val="nil"/>
            </w:tcBorders>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0,8</w:t>
            </w:r>
          </w:p>
        </w:tc>
        <w:tc>
          <w:tcPr>
            <w:tcW w:w="264" w:type="pct"/>
            <w:vAlign w:val="bottom"/>
          </w:tcPr>
          <w:p w:rsidR="008C5BEC" w:rsidRPr="008C5BEC" w:rsidRDefault="008C5BEC" w:rsidP="008C5BEC">
            <w:pPr>
              <w:spacing w:before="40" w:after="60"/>
              <w:ind w:left="-57" w:right="-57"/>
              <w:jc w:val="right"/>
              <w:cnfStyle w:val="000000100000"/>
              <w:rPr>
                <w:color w:val="000000"/>
                <w:sz w:val="20"/>
                <w:szCs w:val="20"/>
              </w:rPr>
            </w:pPr>
            <w:r w:rsidRPr="008C5BEC">
              <w:rPr>
                <w:color w:val="000000"/>
                <w:sz w:val="20"/>
                <w:szCs w:val="20"/>
              </w:rPr>
              <w:t>0,9</w:t>
            </w:r>
          </w:p>
        </w:tc>
      </w:tr>
      <w:tr w:rsidR="00C06641" w:rsidRPr="00C06641" w:rsidTr="003F3A1D">
        <w:trPr>
          <w:jc w:val="right"/>
        </w:trPr>
        <w:tc>
          <w:tcPr>
            <w:cnfStyle w:val="001000000000"/>
            <w:tcW w:w="652" w:type="pct"/>
            <w:vAlign w:val="center"/>
          </w:tcPr>
          <w:p w:rsidR="00C06641" w:rsidRPr="00C06641" w:rsidRDefault="00C06641" w:rsidP="00C06641">
            <w:pPr>
              <w:spacing w:before="40" w:after="60"/>
              <w:rPr>
                <w:b w:val="0"/>
                <w:color w:val="auto"/>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346" w:type="pct"/>
            <w:tcBorders>
              <w:right w:val="single" w:sz="4" w:space="0" w:color="7F7F7F" w:themeColor="text1" w:themeTint="80"/>
            </w:tcBorders>
            <w:vAlign w:val="bottom"/>
          </w:tcPr>
          <w:p w:rsidR="00C06641" w:rsidRPr="00C06641" w:rsidRDefault="00C06641" w:rsidP="00C06641">
            <w:pPr>
              <w:spacing w:before="40" w:after="60"/>
              <w:ind w:right="113"/>
              <w:jc w:val="right"/>
              <w:cnfStyle w:val="000000000000"/>
              <w:rPr>
                <w:color w:val="000000"/>
                <w:sz w:val="8"/>
                <w:szCs w:val="8"/>
              </w:rPr>
            </w:pPr>
          </w:p>
        </w:tc>
        <w:tc>
          <w:tcPr>
            <w:tcW w:w="266" w:type="pct"/>
            <w:tcBorders>
              <w:left w:val="single" w:sz="4" w:space="0" w:color="7F7F7F" w:themeColor="text1" w:themeTint="80"/>
            </w:tcBorders>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vAlign w:val="bottom"/>
          </w:tcPr>
          <w:p w:rsidR="00C06641" w:rsidRPr="00C06641" w:rsidRDefault="00C06641" w:rsidP="00C06641">
            <w:pPr>
              <w:spacing w:before="40" w:after="60"/>
              <w:ind w:left="-57" w:right="-57"/>
              <w:jc w:val="right"/>
              <w:cnfStyle w:val="000000000000"/>
              <w:rPr>
                <w:color w:val="000000"/>
                <w:sz w:val="8"/>
                <w:szCs w:val="8"/>
              </w:rPr>
            </w:pPr>
          </w:p>
        </w:tc>
        <w:tc>
          <w:tcPr>
            <w:tcW w:w="267" w:type="pct"/>
            <w:tcBorders>
              <w:top w:val="nil"/>
              <w:bottom w:val="nil"/>
              <w:right w:val="nil"/>
            </w:tcBorders>
            <w:vAlign w:val="bottom"/>
          </w:tcPr>
          <w:p w:rsidR="00C06641" w:rsidRPr="00C06641" w:rsidRDefault="00C06641" w:rsidP="00C06641">
            <w:pPr>
              <w:spacing w:before="40" w:after="60"/>
              <w:ind w:left="-57" w:right="-57"/>
              <w:jc w:val="right"/>
              <w:cnfStyle w:val="000000000000"/>
              <w:rPr>
                <w:color w:val="000000"/>
                <w:sz w:val="8"/>
                <w:szCs w:val="8"/>
              </w:rPr>
            </w:pPr>
          </w:p>
        </w:tc>
        <w:tc>
          <w:tcPr>
            <w:tcW w:w="264" w:type="pct"/>
            <w:tcBorders>
              <w:left w:val="nil"/>
            </w:tcBorders>
            <w:vAlign w:val="bottom"/>
          </w:tcPr>
          <w:p w:rsidR="00C06641" w:rsidRPr="00C06641" w:rsidRDefault="00C06641" w:rsidP="00C06641">
            <w:pPr>
              <w:spacing w:before="40" w:after="60"/>
              <w:ind w:left="-57" w:right="-57"/>
              <w:jc w:val="right"/>
              <w:cnfStyle w:val="000000000000"/>
              <w:rPr>
                <w:color w:val="000000"/>
                <w:sz w:val="8"/>
                <w:szCs w:val="8"/>
              </w:rPr>
            </w:pPr>
          </w:p>
        </w:tc>
      </w:tr>
      <w:tr w:rsidR="00C06641" w:rsidRPr="000265BC" w:rsidTr="003F3A1D">
        <w:trPr>
          <w:cnfStyle w:val="000000100000"/>
          <w:jc w:val="right"/>
        </w:trPr>
        <w:tc>
          <w:tcPr>
            <w:cnfStyle w:val="001000000000"/>
            <w:tcW w:w="652" w:type="pct"/>
            <w:vAlign w:val="center"/>
          </w:tcPr>
          <w:p w:rsidR="00C06641" w:rsidRPr="000265BC" w:rsidRDefault="00C06641" w:rsidP="00C06641">
            <w:pPr>
              <w:spacing w:before="40" w:after="60"/>
              <w:rPr>
                <w:b w:val="0"/>
                <w:color w:val="auto"/>
                <w:sz w:val="20"/>
                <w:szCs w:val="20"/>
              </w:rPr>
            </w:pPr>
            <w:r w:rsidRPr="000265BC">
              <w:rPr>
                <w:b w:val="0"/>
                <w:color w:val="auto"/>
                <w:sz w:val="20"/>
                <w:szCs w:val="20"/>
              </w:rPr>
              <w:t>Islande</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-6,3</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-8,4</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-6,6</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-6,3</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-2,9</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-0,2</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3,6</w:t>
            </w:r>
          </w:p>
        </w:tc>
        <w:tc>
          <w:tcPr>
            <w:tcW w:w="346" w:type="pct"/>
            <w:tcBorders>
              <w:right w:val="single" w:sz="4" w:space="0" w:color="7F7F7F" w:themeColor="text1" w:themeTint="80"/>
            </w:tcBorders>
            <w:vAlign w:val="bottom"/>
          </w:tcPr>
          <w:p w:rsidR="00C06641" w:rsidRPr="00C06641" w:rsidRDefault="00C06641" w:rsidP="00C06641">
            <w:pPr>
              <w:spacing w:before="40" w:after="60"/>
              <w:ind w:right="113"/>
              <w:jc w:val="right"/>
              <w:cnfStyle w:val="000000100000"/>
              <w:rPr>
                <w:color w:val="000000"/>
                <w:sz w:val="20"/>
                <w:szCs w:val="20"/>
              </w:rPr>
            </w:pPr>
            <w:r w:rsidRPr="00C06641">
              <w:rPr>
                <w:color w:val="000000"/>
                <w:sz w:val="20"/>
                <w:szCs w:val="20"/>
              </w:rPr>
              <w:t>1,4</w:t>
            </w:r>
          </w:p>
        </w:tc>
        <w:tc>
          <w:tcPr>
            <w:tcW w:w="266" w:type="pct"/>
            <w:tcBorders>
              <w:left w:val="single" w:sz="4" w:space="0" w:color="7F7F7F" w:themeColor="text1" w:themeTint="8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-1,3</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-1,8</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-1,5</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-1,9</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1,7</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1,3</w:t>
            </w:r>
          </w:p>
        </w:tc>
        <w:tc>
          <w:tcPr>
            <w:tcW w:w="267" w:type="pct"/>
            <w:tcBorders>
              <w:top w:val="nil"/>
              <w:bottom w:val="nil"/>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1,9</w:t>
            </w:r>
          </w:p>
        </w:tc>
        <w:tc>
          <w:tcPr>
            <w:tcW w:w="264"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-2,8</w:t>
            </w:r>
          </w:p>
        </w:tc>
      </w:tr>
      <w:tr w:rsidR="00C06641" w:rsidRPr="000265BC" w:rsidTr="003F3A1D">
        <w:trPr>
          <w:jc w:val="right"/>
        </w:trPr>
        <w:tc>
          <w:tcPr>
            <w:cnfStyle w:val="001000000000"/>
            <w:tcW w:w="652" w:type="pct"/>
            <w:vAlign w:val="center"/>
          </w:tcPr>
          <w:p w:rsidR="00C06641" w:rsidRPr="000265BC" w:rsidRDefault="00C06641" w:rsidP="00C06641">
            <w:pPr>
              <w:spacing w:before="40" w:after="60"/>
              <w:rPr>
                <w:b w:val="0"/>
                <w:color w:val="auto"/>
                <w:sz w:val="20"/>
                <w:szCs w:val="20"/>
              </w:rPr>
            </w:pPr>
            <w:r w:rsidRPr="000265BC">
              <w:rPr>
                <w:b w:val="0"/>
                <w:color w:val="auto"/>
                <w:sz w:val="20"/>
                <w:szCs w:val="20"/>
              </w:rPr>
              <w:t>Norvēģija</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-1,3</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-1,2</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-0,7</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1,8</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-1,1</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1,3</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0,9</w:t>
            </w:r>
          </w:p>
        </w:tc>
        <w:tc>
          <w:tcPr>
            <w:tcW w:w="346" w:type="pct"/>
            <w:tcBorders>
              <w:right w:val="single" w:sz="4" w:space="0" w:color="7F7F7F" w:themeColor="text1" w:themeTint="80"/>
            </w:tcBorders>
            <w:vAlign w:val="bottom"/>
          </w:tcPr>
          <w:p w:rsidR="00C06641" w:rsidRPr="00C06641" w:rsidRDefault="00C06641" w:rsidP="00C06641">
            <w:pPr>
              <w:spacing w:before="40" w:after="60"/>
              <w:ind w:right="113"/>
              <w:jc w:val="right"/>
              <w:cnfStyle w:val="000000000000"/>
              <w:rPr>
                <w:color w:val="000000"/>
                <w:sz w:val="20"/>
                <w:szCs w:val="20"/>
              </w:rPr>
            </w:pPr>
            <w:r w:rsidRPr="00C06641">
              <w:rPr>
                <w:color w:val="000000"/>
                <w:sz w:val="20"/>
                <w:szCs w:val="20"/>
              </w:rPr>
              <w:t>-0,4</w:t>
            </w:r>
          </w:p>
        </w:tc>
        <w:tc>
          <w:tcPr>
            <w:tcW w:w="266" w:type="pct"/>
            <w:tcBorders>
              <w:left w:val="single" w:sz="4" w:space="0" w:color="7F7F7F" w:themeColor="text1" w:themeTint="80"/>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0,5</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-0,1</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0,7</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0,0</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-1,7</w:t>
            </w:r>
          </w:p>
        </w:tc>
        <w:tc>
          <w:tcPr>
            <w:tcW w:w="267" w:type="pct"/>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2,3</w:t>
            </w:r>
          </w:p>
        </w:tc>
        <w:tc>
          <w:tcPr>
            <w:tcW w:w="267" w:type="pct"/>
            <w:tcBorders>
              <w:top w:val="nil"/>
              <w:bottom w:val="nil"/>
              <w:right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-0,6</w:t>
            </w:r>
          </w:p>
        </w:tc>
        <w:tc>
          <w:tcPr>
            <w:tcW w:w="264" w:type="pct"/>
            <w:tcBorders>
              <w:left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0,4</w:t>
            </w:r>
          </w:p>
        </w:tc>
      </w:tr>
      <w:tr w:rsidR="00C06641" w:rsidRPr="000265BC" w:rsidTr="003F3A1D">
        <w:trPr>
          <w:cnfStyle w:val="000000100000"/>
          <w:jc w:val="right"/>
        </w:trPr>
        <w:tc>
          <w:tcPr>
            <w:cnfStyle w:val="001000000000"/>
            <w:tcW w:w="652" w:type="pct"/>
            <w:vAlign w:val="center"/>
          </w:tcPr>
          <w:p w:rsidR="00C06641" w:rsidRPr="000265BC" w:rsidRDefault="00C06641" w:rsidP="00C06641">
            <w:pPr>
              <w:spacing w:before="40" w:after="60"/>
              <w:rPr>
                <w:b w:val="0"/>
                <w:color w:val="auto"/>
                <w:sz w:val="20"/>
                <w:szCs w:val="20"/>
              </w:rPr>
            </w:pPr>
            <w:r w:rsidRPr="000265BC">
              <w:rPr>
                <w:b w:val="0"/>
                <w:color w:val="auto"/>
                <w:sz w:val="20"/>
                <w:szCs w:val="20"/>
              </w:rPr>
              <w:t>Šveice</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-1,6</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0,1</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2,4</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2,6</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2,7</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3,1</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2,5</w:t>
            </w:r>
          </w:p>
        </w:tc>
        <w:tc>
          <w:tcPr>
            <w:tcW w:w="346" w:type="pct"/>
            <w:tcBorders>
              <w:right w:val="single" w:sz="4" w:space="0" w:color="7F7F7F" w:themeColor="text1" w:themeTint="80"/>
            </w:tcBorders>
            <w:vAlign w:val="bottom"/>
          </w:tcPr>
          <w:p w:rsidR="00C06641" w:rsidRPr="00C06641" w:rsidRDefault="00C06641" w:rsidP="00C06641">
            <w:pPr>
              <w:spacing w:before="40" w:after="60"/>
              <w:ind w:right="113"/>
              <w:jc w:val="right"/>
              <w:cnfStyle w:val="000000100000"/>
              <w:rPr>
                <w:color w:val="000000"/>
                <w:sz w:val="20"/>
                <w:szCs w:val="20"/>
              </w:rPr>
            </w:pPr>
            <w:r w:rsidRPr="00C06641">
              <w:rPr>
                <w:color w:val="000000"/>
                <w:sz w:val="20"/>
                <w:szCs w:val="20"/>
              </w:rPr>
              <w:t>2,3</w:t>
            </w:r>
          </w:p>
        </w:tc>
        <w:tc>
          <w:tcPr>
            <w:tcW w:w="266" w:type="pct"/>
            <w:tcBorders>
              <w:left w:val="single" w:sz="4" w:space="0" w:color="7F7F7F" w:themeColor="text1" w:themeTint="8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0,8</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0,5</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1,0</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0,6</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0,7</w:t>
            </w:r>
          </w:p>
        </w:tc>
        <w:tc>
          <w:tcPr>
            <w:tcW w:w="267"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0,6</w:t>
            </w:r>
          </w:p>
        </w:tc>
        <w:tc>
          <w:tcPr>
            <w:tcW w:w="267" w:type="pct"/>
            <w:tcBorders>
              <w:top w:val="nil"/>
              <w:bottom w:val="nil"/>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0,6</w:t>
            </w:r>
          </w:p>
        </w:tc>
        <w:tc>
          <w:tcPr>
            <w:tcW w:w="264" w:type="pct"/>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0,4</w:t>
            </w:r>
          </w:p>
        </w:tc>
      </w:tr>
      <w:tr w:rsidR="00C06641" w:rsidRPr="000265BC" w:rsidTr="003F3A1D">
        <w:trPr>
          <w:jc w:val="right"/>
        </w:trPr>
        <w:tc>
          <w:tcPr>
            <w:cnfStyle w:val="001000000000"/>
            <w:tcW w:w="652" w:type="pct"/>
            <w:tcBorders>
              <w:bottom w:val="nil"/>
            </w:tcBorders>
            <w:vAlign w:val="center"/>
          </w:tcPr>
          <w:p w:rsidR="00C06641" w:rsidRPr="000265BC" w:rsidRDefault="00C06641" w:rsidP="00C06641">
            <w:pPr>
              <w:spacing w:before="40" w:after="60"/>
              <w:rPr>
                <w:b w:val="0"/>
                <w:color w:val="auto"/>
                <w:sz w:val="20"/>
                <w:szCs w:val="20"/>
              </w:rPr>
            </w:pPr>
            <w:r w:rsidRPr="000265BC">
              <w:rPr>
                <w:b w:val="0"/>
                <w:color w:val="auto"/>
                <w:sz w:val="20"/>
                <w:szCs w:val="20"/>
              </w:rPr>
              <w:t>ASV</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-3,7</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-0,5</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2,2</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3,3</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3,5</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3,1</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2,2</w:t>
            </w:r>
          </w:p>
        </w:tc>
        <w:tc>
          <w:tcPr>
            <w:tcW w:w="346" w:type="pct"/>
            <w:tcBorders>
              <w:bottom w:val="nil"/>
              <w:right w:val="single" w:sz="4" w:space="0" w:color="7F7F7F" w:themeColor="text1" w:themeTint="80"/>
            </w:tcBorders>
            <w:vAlign w:val="bottom"/>
          </w:tcPr>
          <w:p w:rsidR="00C06641" w:rsidRPr="00C06641" w:rsidRDefault="00C06641" w:rsidP="00C06641">
            <w:pPr>
              <w:spacing w:before="40" w:after="60"/>
              <w:ind w:right="113"/>
              <w:jc w:val="right"/>
              <w:cnfStyle w:val="000000000000"/>
              <w:rPr>
                <w:color w:val="000000"/>
                <w:sz w:val="20"/>
                <w:szCs w:val="20"/>
              </w:rPr>
            </w:pPr>
            <w:r w:rsidRPr="00C06641">
              <w:rPr>
                <w:color w:val="000000"/>
                <w:sz w:val="20"/>
                <w:szCs w:val="20"/>
              </w:rPr>
              <w:t>1,5</w:t>
            </w:r>
          </w:p>
        </w:tc>
        <w:tc>
          <w:tcPr>
            <w:tcW w:w="266" w:type="pct"/>
            <w:tcBorders>
              <w:left w:val="single" w:sz="4" w:space="0" w:color="7F7F7F" w:themeColor="text1" w:themeTint="80"/>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0,4</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0,9</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1,0</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0,9</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0,6</w:t>
            </w:r>
          </w:p>
        </w:tc>
        <w:tc>
          <w:tcPr>
            <w:tcW w:w="267" w:type="pct"/>
            <w:tcBorders>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0,6</w:t>
            </w:r>
          </w:p>
        </w:tc>
        <w:tc>
          <w:tcPr>
            <w:tcW w:w="267" w:type="pct"/>
            <w:tcBorders>
              <w:top w:val="nil"/>
              <w:bottom w:val="nil"/>
              <w:right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0,1</w:t>
            </w:r>
          </w:p>
        </w:tc>
        <w:tc>
          <w:tcPr>
            <w:tcW w:w="264" w:type="pct"/>
            <w:tcBorders>
              <w:left w:val="nil"/>
              <w:bottom w:val="nil"/>
            </w:tcBorders>
            <w:vAlign w:val="bottom"/>
          </w:tcPr>
          <w:p w:rsidR="00C06641" w:rsidRPr="00C06641" w:rsidRDefault="00C06641" w:rsidP="00C06641">
            <w:pPr>
              <w:spacing w:before="40" w:after="60"/>
              <w:ind w:left="-57" w:right="-57"/>
              <w:jc w:val="right"/>
              <w:cnfStyle w:val="000000000000"/>
              <w:rPr>
                <w:color w:val="000000"/>
                <w:sz w:val="20"/>
                <w:szCs w:val="20"/>
              </w:rPr>
            </w:pPr>
            <w:r w:rsidRPr="00C06641">
              <w:rPr>
                <w:color w:val="000000"/>
                <w:sz w:val="20"/>
                <w:szCs w:val="20"/>
              </w:rPr>
              <w:t>0,2</w:t>
            </w:r>
          </w:p>
        </w:tc>
      </w:tr>
      <w:tr w:rsidR="00C06641" w:rsidRPr="000265BC" w:rsidTr="003F3A1D">
        <w:trPr>
          <w:cnfStyle w:val="000000100000"/>
          <w:jc w:val="right"/>
        </w:trPr>
        <w:tc>
          <w:tcPr>
            <w:cnfStyle w:val="001000000000"/>
            <w:tcW w:w="652" w:type="pct"/>
            <w:tcBorders>
              <w:top w:val="nil"/>
              <w:bottom w:val="single" w:sz="4" w:space="0" w:color="FF0000"/>
            </w:tcBorders>
            <w:vAlign w:val="center"/>
          </w:tcPr>
          <w:p w:rsidR="00C06641" w:rsidRPr="000265BC" w:rsidRDefault="00C06641" w:rsidP="00C06641">
            <w:pPr>
              <w:spacing w:before="40" w:after="60"/>
              <w:rPr>
                <w:b w:val="0"/>
                <w:color w:val="auto"/>
                <w:sz w:val="20"/>
                <w:szCs w:val="20"/>
              </w:rPr>
            </w:pPr>
            <w:r w:rsidRPr="000265BC">
              <w:rPr>
                <w:b w:val="0"/>
                <w:color w:val="auto"/>
                <w:sz w:val="20"/>
                <w:szCs w:val="20"/>
              </w:rPr>
              <w:t>Japāna</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-6,3</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-1,5</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5,7</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3,1</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5,0</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2,2</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-1,0</w:t>
            </w:r>
          </w:p>
        </w:tc>
        <w:tc>
          <w:tcPr>
            <w:tcW w:w="346" w:type="pct"/>
            <w:tcBorders>
              <w:top w:val="nil"/>
              <w:bottom w:val="single" w:sz="4" w:space="0" w:color="FF0000"/>
              <w:right w:val="single" w:sz="4" w:space="0" w:color="7F7F7F" w:themeColor="text1" w:themeTint="80"/>
            </w:tcBorders>
            <w:vAlign w:val="bottom"/>
          </w:tcPr>
          <w:p w:rsidR="00C06641" w:rsidRPr="00C06641" w:rsidRDefault="00C06641" w:rsidP="00C06641">
            <w:pPr>
              <w:spacing w:before="40" w:after="60"/>
              <w:ind w:right="113"/>
              <w:jc w:val="right"/>
              <w:cnfStyle w:val="000000100000"/>
              <w:rPr>
                <w:color w:val="000000"/>
                <w:sz w:val="20"/>
                <w:szCs w:val="20"/>
              </w:rPr>
            </w:pPr>
            <w:r w:rsidRPr="00C06641">
              <w:rPr>
                <w:color w:val="000000"/>
                <w:sz w:val="20"/>
                <w:szCs w:val="20"/>
              </w:rPr>
              <w:t>-1,1</w:t>
            </w:r>
          </w:p>
        </w:tc>
        <w:tc>
          <w:tcPr>
            <w:tcW w:w="266" w:type="pct"/>
            <w:tcBorders>
              <w:top w:val="nil"/>
              <w:left w:val="single" w:sz="4" w:space="0" w:color="7F7F7F" w:themeColor="text1" w:themeTint="80"/>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-0,4</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1,6</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2,3</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-0,2</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1,0</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-0,6</w:t>
            </w:r>
          </w:p>
        </w:tc>
        <w:tc>
          <w:tcPr>
            <w:tcW w:w="267"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-0,9</w:t>
            </w:r>
          </w:p>
        </w:tc>
        <w:tc>
          <w:tcPr>
            <w:tcW w:w="264" w:type="pct"/>
            <w:tcBorders>
              <w:top w:val="nil"/>
              <w:bottom w:val="single" w:sz="4" w:space="0" w:color="FF0000"/>
            </w:tcBorders>
            <w:vAlign w:val="bottom"/>
          </w:tcPr>
          <w:p w:rsidR="00C06641" w:rsidRPr="00C06641" w:rsidRDefault="00C06641" w:rsidP="00C06641">
            <w:pPr>
              <w:spacing w:before="40" w:after="60"/>
              <w:ind w:left="-57" w:right="-57"/>
              <w:jc w:val="right"/>
              <w:cnfStyle w:val="000000100000"/>
              <w:rPr>
                <w:color w:val="000000"/>
                <w:sz w:val="20"/>
                <w:szCs w:val="20"/>
              </w:rPr>
            </w:pPr>
            <w:r w:rsidRPr="00C06641">
              <w:rPr>
                <w:color w:val="000000"/>
                <w:sz w:val="20"/>
                <w:szCs w:val="20"/>
              </w:rPr>
              <w:t>-0,5</w:t>
            </w:r>
          </w:p>
        </w:tc>
      </w:tr>
    </w:tbl>
    <w:p w:rsidR="00C06641" w:rsidRDefault="00C06641" w:rsidP="005D5DF1">
      <w:pPr>
        <w:rPr>
          <w:sz w:val="8"/>
          <w:szCs w:val="8"/>
        </w:rPr>
      </w:pPr>
    </w:p>
    <w:p w:rsidR="00C06641" w:rsidRDefault="00C06641" w:rsidP="005D5DF1">
      <w:pPr>
        <w:rPr>
          <w:sz w:val="8"/>
          <w:szCs w:val="8"/>
        </w:rPr>
      </w:pPr>
    </w:p>
    <w:p w:rsidR="005D5DF1" w:rsidRPr="00C06641" w:rsidRDefault="00C06641" w:rsidP="005D5DF1">
      <w:pPr>
        <w:rPr>
          <w:rFonts w:eastAsiaTheme="majorEastAsia" w:cstheme="majorBidi"/>
          <w:b/>
          <w:bCs/>
          <w:sz w:val="18"/>
          <w:szCs w:val="18"/>
        </w:rPr>
      </w:pPr>
      <w:r w:rsidRPr="00C06641">
        <w:rPr>
          <w:sz w:val="18"/>
          <w:szCs w:val="18"/>
        </w:rPr>
        <w:t>: - nav datu</w:t>
      </w:r>
      <w:r w:rsidR="005D5DF1" w:rsidRPr="00C06641">
        <w:rPr>
          <w:sz w:val="18"/>
          <w:szCs w:val="18"/>
        </w:rPr>
        <w:br w:type="page"/>
      </w:r>
    </w:p>
    <w:p w:rsidR="005D5DF1" w:rsidRPr="009F6E8E" w:rsidRDefault="005D5DF1" w:rsidP="005D5DF1">
      <w:pPr>
        <w:pStyle w:val="Heading1"/>
      </w:pPr>
      <w:bookmarkStart w:id="53" w:name="_Toc305069151"/>
      <w:bookmarkStart w:id="54" w:name="_Toc305421411"/>
      <w:r>
        <w:lastRenderedPageBreak/>
        <w:t>2</w:t>
      </w:r>
      <w:r w:rsidRPr="009F6E8E">
        <w:t>. Produkcijas izlaide</w:t>
      </w:r>
      <w:bookmarkEnd w:id="53"/>
      <w:bookmarkEnd w:id="54"/>
    </w:p>
    <w:p w:rsidR="005D5DF1" w:rsidRPr="00BB57DD" w:rsidRDefault="005D5DF1" w:rsidP="005D5DF1">
      <w:pPr>
        <w:ind w:firstLine="426"/>
        <w:jc w:val="both"/>
        <w:rPr>
          <w:sz w:val="14"/>
        </w:rPr>
      </w:pPr>
    </w:p>
    <w:p w:rsidR="008B3385" w:rsidRPr="00B327D3" w:rsidRDefault="0049583C" w:rsidP="004148E4">
      <w:pPr>
        <w:spacing w:after="80"/>
        <w:ind w:firstLine="425"/>
        <w:jc w:val="both"/>
        <w:rPr>
          <w:sz w:val="28"/>
        </w:rPr>
      </w:pPr>
      <w:r w:rsidRPr="00B327D3">
        <w:rPr>
          <w:sz w:val="28"/>
        </w:rPr>
        <w:t xml:space="preserve">IKP </w:t>
      </w:r>
      <w:r w:rsidR="008B3385" w:rsidRPr="00B327D3">
        <w:rPr>
          <w:sz w:val="28"/>
        </w:rPr>
        <w:t>2011.</w:t>
      </w:r>
      <w:r w:rsidRPr="00B327D3">
        <w:rPr>
          <w:sz w:val="28"/>
        </w:rPr>
        <w:t xml:space="preserve">gada 2.ceturksnī, salīdzinot ar iepriekšējo ceturksni, ir </w:t>
      </w:r>
      <w:r w:rsidR="008B3385" w:rsidRPr="00B327D3">
        <w:rPr>
          <w:sz w:val="28"/>
        </w:rPr>
        <w:t>pieaudzis</w:t>
      </w:r>
      <w:r w:rsidRPr="00B327D3">
        <w:rPr>
          <w:sz w:val="28"/>
        </w:rPr>
        <w:t xml:space="preserve"> par 2% (pēc sezonāli izlīdzinātiem datiem). Septiņus ceturkšņus pēc kārtas IKP apjomi pakāpeniski palielinās. Kopš ekonomikas zemākā punkta 2009.gada nogalē IKP ir pieaudzis par 7,5%. </w:t>
      </w:r>
      <w:r w:rsidR="008B3385" w:rsidRPr="00B327D3">
        <w:rPr>
          <w:sz w:val="28"/>
        </w:rPr>
        <w:t xml:space="preserve">Šī gada 2.ceturksnī </w:t>
      </w:r>
      <w:r w:rsidRPr="00B327D3">
        <w:rPr>
          <w:sz w:val="28"/>
        </w:rPr>
        <w:t>IKP par 5,6</w:t>
      </w:r>
      <w:r w:rsidR="008B3385" w:rsidRPr="00B327D3">
        <w:rPr>
          <w:sz w:val="28"/>
        </w:rPr>
        <w:t>% pārsniedz</w:t>
      </w:r>
      <w:r w:rsidR="00454F25" w:rsidRPr="00B327D3">
        <w:rPr>
          <w:sz w:val="28"/>
        </w:rPr>
        <w:t>a</w:t>
      </w:r>
      <w:r w:rsidR="008B3385" w:rsidRPr="00B327D3">
        <w:rPr>
          <w:sz w:val="28"/>
        </w:rPr>
        <w:t xml:space="preserve"> 2010.gada 2.ceturkšņa līmeni.</w:t>
      </w:r>
    </w:p>
    <w:p w:rsidR="00C62ECE" w:rsidRPr="00231972" w:rsidRDefault="0049583C" w:rsidP="004148E4">
      <w:pPr>
        <w:spacing w:after="80"/>
        <w:ind w:firstLine="425"/>
        <w:jc w:val="both"/>
        <w:rPr>
          <w:sz w:val="28"/>
        </w:rPr>
      </w:pPr>
      <w:r w:rsidRPr="00B327D3">
        <w:rPr>
          <w:sz w:val="28"/>
        </w:rPr>
        <w:t>2011.gada 2.ceturksnī joprojām bija vērojams būtisks eksporta apjomu pieaugums</w:t>
      </w:r>
      <w:r w:rsidR="00C62ECE">
        <w:rPr>
          <w:sz w:val="28"/>
        </w:rPr>
        <w:t xml:space="preserve"> un e</w:t>
      </w:r>
      <w:r w:rsidRPr="00B327D3">
        <w:rPr>
          <w:sz w:val="28"/>
        </w:rPr>
        <w:t>ksporta iespēj</w:t>
      </w:r>
      <w:r w:rsidR="00C62ECE">
        <w:rPr>
          <w:sz w:val="28"/>
        </w:rPr>
        <w:t xml:space="preserve">as </w:t>
      </w:r>
      <w:r w:rsidRPr="00B327D3">
        <w:rPr>
          <w:sz w:val="28"/>
        </w:rPr>
        <w:t xml:space="preserve">ir pamats </w:t>
      </w:r>
      <w:r w:rsidR="00C62ECE" w:rsidRPr="00231972">
        <w:rPr>
          <w:sz w:val="28"/>
        </w:rPr>
        <w:t>tirgojam</w:t>
      </w:r>
      <w:r w:rsidR="00C62ECE">
        <w:rPr>
          <w:sz w:val="28"/>
        </w:rPr>
        <w:t>o</w:t>
      </w:r>
      <w:r w:rsidR="00C62ECE" w:rsidRPr="00231972">
        <w:rPr>
          <w:sz w:val="28"/>
        </w:rPr>
        <w:t xml:space="preserve"> nozar</w:t>
      </w:r>
      <w:r w:rsidR="00C62ECE">
        <w:rPr>
          <w:sz w:val="28"/>
        </w:rPr>
        <w:t>u (</w:t>
      </w:r>
      <w:r w:rsidR="00C62ECE" w:rsidRPr="00231972">
        <w:rPr>
          <w:sz w:val="28"/>
        </w:rPr>
        <w:t>jeb nozar</w:t>
      </w:r>
      <w:r w:rsidR="00C62ECE">
        <w:rPr>
          <w:sz w:val="28"/>
        </w:rPr>
        <w:t>u,</w:t>
      </w:r>
      <w:r w:rsidR="00C62ECE" w:rsidRPr="00231972">
        <w:rPr>
          <w:sz w:val="28"/>
        </w:rPr>
        <w:t xml:space="preserve"> kuru produkciju var brīvi eksportēt un importēt</w:t>
      </w:r>
      <w:r w:rsidR="00C62ECE">
        <w:rPr>
          <w:sz w:val="28"/>
        </w:rPr>
        <w:t>) salīdzinoši straujai izaugsmei. Apstrādes rūpniecība 2011.gada 2.ceturksnī par 14,6% pārsniedza iepriekšējā gada atbilstošā perioda līmeni. Lauksaimniecības, mežsaimniecības un zvejniecības nozare pieauga par 4,3%, savukārt pārējās rūpniecības nozares (ieguves rūpniecība, karjeru izstrāde, elektroenerģija, gāzes apgāde, siltumapgāde, gaisa kondicionēšana, ūdens apgāde, notekūdeņu, atkritumu apsaimniekošana) gada laikā pieauga par 3,8%.</w:t>
      </w:r>
      <w:r w:rsidR="00AD1713">
        <w:rPr>
          <w:sz w:val="28"/>
        </w:rPr>
        <w:t xml:space="preserve"> </w:t>
      </w:r>
      <w:r w:rsidR="00C31E5C">
        <w:rPr>
          <w:sz w:val="28"/>
        </w:rPr>
        <w:t>Pateicoties ievērojamam kravu pārvadājumu apjomu pieaugumam</w:t>
      </w:r>
      <w:r w:rsidR="00C62ECE">
        <w:rPr>
          <w:sz w:val="28"/>
        </w:rPr>
        <w:t xml:space="preserve"> </w:t>
      </w:r>
      <w:r w:rsidR="00C31E5C">
        <w:rPr>
          <w:sz w:val="28"/>
        </w:rPr>
        <w:t xml:space="preserve">dzelzceļā un ostās, 2011.gada 2.ceturksnī transporta un uzglabāšanas nozare par 8,1% pārsniedza 2010.gada 2.ceturkšņa līmeni. </w:t>
      </w:r>
      <w:r w:rsidR="00C62ECE">
        <w:rPr>
          <w:sz w:val="28"/>
        </w:rPr>
        <w:t>Tirgojamo</w:t>
      </w:r>
      <w:r w:rsidR="00C62ECE" w:rsidRPr="00231972">
        <w:rPr>
          <w:sz w:val="28"/>
        </w:rPr>
        <w:t xml:space="preserve"> nozaru izaugsme </w:t>
      </w:r>
      <w:r w:rsidR="000A1029">
        <w:rPr>
          <w:sz w:val="28"/>
        </w:rPr>
        <w:t xml:space="preserve">2.ceturksnī </w:t>
      </w:r>
      <w:r w:rsidR="00C62ECE" w:rsidRPr="00231972">
        <w:rPr>
          <w:sz w:val="28"/>
        </w:rPr>
        <w:t>kopumā dev</w:t>
      </w:r>
      <w:r w:rsidR="000A1029">
        <w:rPr>
          <w:sz w:val="28"/>
        </w:rPr>
        <w:t>a</w:t>
      </w:r>
      <w:r w:rsidR="00C62ECE" w:rsidRPr="00231972">
        <w:rPr>
          <w:sz w:val="28"/>
        </w:rPr>
        <w:t xml:space="preserve"> 3,</w:t>
      </w:r>
      <w:r w:rsidR="00C31E5C">
        <w:rPr>
          <w:sz w:val="28"/>
        </w:rPr>
        <w:t>3</w:t>
      </w:r>
      <w:r w:rsidR="000A38A1">
        <w:rPr>
          <w:sz w:val="28"/>
        </w:rPr>
        <w:t> </w:t>
      </w:r>
      <w:r w:rsidR="00C62ECE" w:rsidRPr="00231972">
        <w:rPr>
          <w:sz w:val="28"/>
        </w:rPr>
        <w:t>procentpu</w:t>
      </w:r>
      <w:r w:rsidR="000A1029">
        <w:rPr>
          <w:sz w:val="28"/>
        </w:rPr>
        <w:t>nktu ieguldījumu IKP pieaugumā.</w:t>
      </w:r>
    </w:p>
    <w:p w:rsidR="00CD58F3" w:rsidRDefault="00C31E5C" w:rsidP="004148E4">
      <w:pPr>
        <w:spacing w:after="80"/>
        <w:ind w:firstLine="426"/>
        <w:jc w:val="both"/>
        <w:rPr>
          <w:sz w:val="28"/>
        </w:rPr>
      </w:pPr>
      <w:r>
        <w:rPr>
          <w:sz w:val="28"/>
        </w:rPr>
        <w:t xml:space="preserve">Pakāpenisks ienākumu pieaugums no eksporta pozitīvi ietekmē arī </w:t>
      </w:r>
      <w:r w:rsidR="000A1029">
        <w:rPr>
          <w:sz w:val="28"/>
        </w:rPr>
        <w:t>situāciju iekšējā tirgū.</w:t>
      </w:r>
      <w:r w:rsidRPr="00C31E5C">
        <w:rPr>
          <w:sz w:val="28"/>
        </w:rPr>
        <w:t xml:space="preserve"> </w:t>
      </w:r>
      <w:r>
        <w:rPr>
          <w:sz w:val="28"/>
        </w:rPr>
        <w:t>T</w:t>
      </w:r>
      <w:r w:rsidRPr="00231972">
        <w:rPr>
          <w:sz w:val="28"/>
        </w:rPr>
        <w:t>irdzniecības</w:t>
      </w:r>
      <w:r>
        <w:rPr>
          <w:sz w:val="28"/>
        </w:rPr>
        <w:t>, ēdināšanas un izmitināšanas</w:t>
      </w:r>
      <w:r w:rsidRPr="00231972">
        <w:rPr>
          <w:sz w:val="28"/>
        </w:rPr>
        <w:t xml:space="preserve"> nozare pārsniedz</w:t>
      </w:r>
      <w:r w:rsidR="00CD58F3">
        <w:rPr>
          <w:sz w:val="28"/>
        </w:rPr>
        <w:t>a</w:t>
      </w:r>
      <w:r w:rsidRPr="00231972">
        <w:rPr>
          <w:sz w:val="28"/>
        </w:rPr>
        <w:t xml:space="preserve"> 2010.gada </w:t>
      </w:r>
      <w:r>
        <w:rPr>
          <w:sz w:val="28"/>
        </w:rPr>
        <w:t>2</w:t>
      </w:r>
      <w:r w:rsidRPr="00231972">
        <w:rPr>
          <w:sz w:val="28"/>
        </w:rPr>
        <w:t xml:space="preserve">.ceturkšņa līmeni par </w:t>
      </w:r>
      <w:r>
        <w:rPr>
          <w:sz w:val="28"/>
        </w:rPr>
        <w:t>8</w:t>
      </w:r>
      <w:r w:rsidRPr="00231972">
        <w:rPr>
          <w:sz w:val="28"/>
        </w:rPr>
        <w:t>,</w:t>
      </w:r>
      <w:r>
        <w:rPr>
          <w:sz w:val="28"/>
        </w:rPr>
        <w:t>4</w:t>
      </w:r>
      <w:r w:rsidRPr="00231972">
        <w:rPr>
          <w:sz w:val="28"/>
        </w:rPr>
        <w:t xml:space="preserve">%. </w:t>
      </w:r>
      <w:r>
        <w:rPr>
          <w:sz w:val="28"/>
        </w:rPr>
        <w:t xml:space="preserve">Straujais pieaugums galvenokārt saistīts ar </w:t>
      </w:r>
      <w:r w:rsidRPr="00231972">
        <w:rPr>
          <w:sz w:val="28"/>
        </w:rPr>
        <w:t>vairumtirdzniecības apjomu pieaugum</w:t>
      </w:r>
      <w:r>
        <w:rPr>
          <w:sz w:val="28"/>
        </w:rPr>
        <w:t>u.</w:t>
      </w:r>
      <w:r w:rsidR="00CD58F3">
        <w:rPr>
          <w:sz w:val="28"/>
        </w:rPr>
        <w:t xml:space="preserve"> </w:t>
      </w:r>
      <w:r w:rsidR="00CD58F3" w:rsidRPr="00231972">
        <w:rPr>
          <w:sz w:val="28"/>
        </w:rPr>
        <w:t xml:space="preserve">Neliels pieaugums 2011.gada </w:t>
      </w:r>
      <w:r w:rsidR="00CD58F3">
        <w:rPr>
          <w:sz w:val="28"/>
        </w:rPr>
        <w:t>2.</w:t>
      </w:r>
      <w:r w:rsidR="00CD58F3" w:rsidRPr="00231972">
        <w:rPr>
          <w:sz w:val="28"/>
        </w:rPr>
        <w:t xml:space="preserve">ceturksnī </w:t>
      </w:r>
      <w:r w:rsidR="00CD58F3">
        <w:rPr>
          <w:sz w:val="28"/>
        </w:rPr>
        <w:t>s</w:t>
      </w:r>
      <w:r>
        <w:rPr>
          <w:sz w:val="28"/>
        </w:rPr>
        <w:t xml:space="preserve">alīdzinājumā ar iepriekšējā gada atbilstošo periodu </w:t>
      </w:r>
      <w:r w:rsidR="00CD58F3">
        <w:rPr>
          <w:sz w:val="28"/>
        </w:rPr>
        <w:t>ir vērojams arī citās pakalpojumu nozarēs. Pozitīvās tendences pakalpojumu nozares</w:t>
      </w:r>
      <w:r w:rsidR="000A38A1">
        <w:rPr>
          <w:sz w:val="28"/>
        </w:rPr>
        <w:t xml:space="preserve"> 2011.gada 2.ceturksnī deva 2,3 </w:t>
      </w:r>
      <w:r w:rsidR="00CD58F3">
        <w:rPr>
          <w:sz w:val="28"/>
        </w:rPr>
        <w:t xml:space="preserve">procentpunktus no kopējā IKP pieauguma. Savukārt </w:t>
      </w:r>
      <w:r w:rsidR="0049583C" w:rsidRPr="00B327D3">
        <w:rPr>
          <w:sz w:val="28"/>
        </w:rPr>
        <w:t>būvniecīb</w:t>
      </w:r>
      <w:r>
        <w:rPr>
          <w:sz w:val="28"/>
        </w:rPr>
        <w:t xml:space="preserve">as nozarē </w:t>
      </w:r>
      <w:r w:rsidR="0049583C" w:rsidRPr="00B327D3">
        <w:rPr>
          <w:sz w:val="28"/>
        </w:rPr>
        <w:t>ražošanas apjomi</w:t>
      </w:r>
      <w:r w:rsidR="00CD58F3">
        <w:rPr>
          <w:sz w:val="28"/>
        </w:rPr>
        <w:t>, salīdzinot ar 2010.gada 2.ceturksni</w:t>
      </w:r>
      <w:r w:rsidR="000A38A1">
        <w:rPr>
          <w:sz w:val="28"/>
        </w:rPr>
        <w:t>,</w:t>
      </w:r>
      <w:r w:rsidR="00CD58F3">
        <w:rPr>
          <w:sz w:val="28"/>
        </w:rPr>
        <w:t xml:space="preserve"> saruk</w:t>
      </w:r>
      <w:r w:rsidR="000A1029">
        <w:rPr>
          <w:sz w:val="28"/>
        </w:rPr>
        <w:t xml:space="preserve">a </w:t>
      </w:r>
      <w:r w:rsidR="00CD58F3">
        <w:rPr>
          <w:sz w:val="28"/>
        </w:rPr>
        <w:t>par 1 procentu.</w:t>
      </w:r>
    </w:p>
    <w:p w:rsidR="00E469DC" w:rsidRDefault="00E469DC" w:rsidP="004148E4">
      <w:pPr>
        <w:spacing w:after="80"/>
        <w:ind w:firstLine="426"/>
        <w:jc w:val="both"/>
        <w:rPr>
          <w:sz w:val="28"/>
        </w:rPr>
      </w:pPr>
      <w:r>
        <w:rPr>
          <w:sz w:val="28"/>
        </w:rPr>
        <w:t xml:space="preserve">2011.gadā pakāpeniski </w:t>
      </w:r>
      <w:r w:rsidR="000A1029">
        <w:rPr>
          <w:sz w:val="28"/>
        </w:rPr>
        <w:t xml:space="preserve">turpina </w:t>
      </w:r>
      <w:r w:rsidR="008C5D9C" w:rsidRPr="008B751F">
        <w:rPr>
          <w:sz w:val="28"/>
        </w:rPr>
        <w:t>palielināties</w:t>
      </w:r>
      <w:r w:rsidR="008C5D9C" w:rsidRPr="008B751F">
        <w:rPr>
          <w:b/>
          <w:sz w:val="28"/>
        </w:rPr>
        <w:t xml:space="preserve"> </w:t>
      </w:r>
      <w:r w:rsidR="008C5D9C">
        <w:rPr>
          <w:b/>
          <w:sz w:val="28"/>
        </w:rPr>
        <w:t>m</w:t>
      </w:r>
      <w:r w:rsidR="008C5D9C" w:rsidRPr="008B751F">
        <w:rPr>
          <w:b/>
          <w:sz w:val="28"/>
        </w:rPr>
        <w:t>azumtirdzniecības</w:t>
      </w:r>
      <w:r w:rsidR="008C5D9C" w:rsidRPr="00FF645A">
        <w:rPr>
          <w:sz w:val="28"/>
        </w:rPr>
        <w:t xml:space="preserve"> </w:t>
      </w:r>
      <w:r w:rsidR="008C5D9C">
        <w:rPr>
          <w:sz w:val="28"/>
        </w:rPr>
        <w:t xml:space="preserve">uzņēmumu </w:t>
      </w:r>
      <w:r w:rsidR="008C5D9C" w:rsidRPr="00FF645A">
        <w:rPr>
          <w:sz w:val="28"/>
        </w:rPr>
        <w:t>apgrozījum</w:t>
      </w:r>
      <w:r w:rsidR="008C5D9C">
        <w:rPr>
          <w:sz w:val="28"/>
        </w:rPr>
        <w:t>s</w:t>
      </w:r>
      <w:r>
        <w:rPr>
          <w:sz w:val="28"/>
        </w:rPr>
        <w:t xml:space="preserve">, ko pozitīvi ietekmē privātā patēriņa </w:t>
      </w:r>
      <w:r w:rsidR="000A1029">
        <w:rPr>
          <w:sz w:val="28"/>
        </w:rPr>
        <w:t>pieaugums</w:t>
      </w:r>
      <w:r>
        <w:rPr>
          <w:sz w:val="28"/>
        </w:rPr>
        <w:t xml:space="preserve">. </w:t>
      </w:r>
      <w:r w:rsidR="008C5D9C" w:rsidRPr="00FF645A">
        <w:rPr>
          <w:sz w:val="28"/>
        </w:rPr>
        <w:t>Mazumtirdzniecības apgrozījum</w:t>
      </w:r>
      <w:r w:rsidR="008C5D9C">
        <w:rPr>
          <w:sz w:val="28"/>
        </w:rPr>
        <w:t>s</w:t>
      </w:r>
      <w:r w:rsidR="008C5D9C" w:rsidRPr="00007A5B">
        <w:rPr>
          <w:b/>
          <w:sz w:val="28"/>
        </w:rPr>
        <w:t xml:space="preserve"> </w:t>
      </w:r>
      <w:r w:rsidR="008C5D9C" w:rsidRPr="00007A5B">
        <w:rPr>
          <w:sz w:val="28"/>
        </w:rPr>
        <w:t>201</w:t>
      </w:r>
      <w:r w:rsidR="008C5D9C">
        <w:rPr>
          <w:sz w:val="28"/>
        </w:rPr>
        <w:t>1</w:t>
      </w:r>
      <w:r w:rsidR="008C5D9C" w:rsidRPr="00007A5B">
        <w:rPr>
          <w:sz w:val="28"/>
        </w:rPr>
        <w:t>.gada</w:t>
      </w:r>
      <w:r w:rsidR="008C5D9C">
        <w:rPr>
          <w:sz w:val="28"/>
        </w:rPr>
        <w:t xml:space="preserve"> </w:t>
      </w:r>
      <w:r w:rsidR="000A38A1">
        <w:rPr>
          <w:sz w:val="28"/>
        </w:rPr>
        <w:t>augustā</w:t>
      </w:r>
      <w:r w:rsidR="008C5D9C">
        <w:rPr>
          <w:sz w:val="28"/>
        </w:rPr>
        <w:t xml:space="preserve"> </w:t>
      </w:r>
      <w:r w:rsidR="00651E77">
        <w:rPr>
          <w:sz w:val="28"/>
        </w:rPr>
        <w:t xml:space="preserve">bija </w:t>
      </w:r>
      <w:r w:rsidR="000A38A1">
        <w:rPr>
          <w:sz w:val="28"/>
        </w:rPr>
        <w:t>par 8</w:t>
      </w:r>
      <w:r>
        <w:rPr>
          <w:sz w:val="28"/>
        </w:rPr>
        <w:t>,</w:t>
      </w:r>
      <w:r w:rsidR="000A38A1">
        <w:rPr>
          <w:sz w:val="28"/>
        </w:rPr>
        <w:t>2</w:t>
      </w:r>
      <w:r w:rsidR="008C5D9C">
        <w:rPr>
          <w:sz w:val="28"/>
        </w:rPr>
        <w:t xml:space="preserve">% lielāks nekā iepriekšējā gada </w:t>
      </w:r>
      <w:r w:rsidR="000A38A1">
        <w:rPr>
          <w:sz w:val="28"/>
        </w:rPr>
        <w:t>augustā</w:t>
      </w:r>
      <w:r w:rsidR="008C5D9C">
        <w:rPr>
          <w:sz w:val="28"/>
        </w:rPr>
        <w:t xml:space="preserve"> (</w:t>
      </w:r>
      <w:r w:rsidR="000A38A1">
        <w:rPr>
          <w:sz w:val="28"/>
        </w:rPr>
        <w:t>salīdzināmās cenās</w:t>
      </w:r>
      <w:r w:rsidR="008C5D9C">
        <w:rPr>
          <w:sz w:val="28"/>
        </w:rPr>
        <w:t>).</w:t>
      </w:r>
      <w:r>
        <w:rPr>
          <w:sz w:val="28"/>
        </w:rPr>
        <w:t xml:space="preserve"> Kopš 2010.gada decembra mazumtirdzniecība</w:t>
      </w:r>
      <w:r w:rsidR="000A38A1">
        <w:rPr>
          <w:sz w:val="28"/>
        </w:rPr>
        <w:t xml:space="preserve">s apgrozījums ir pieaudzis par </w:t>
      </w:r>
      <w:r>
        <w:rPr>
          <w:sz w:val="28"/>
        </w:rPr>
        <w:t>7</w:t>
      </w:r>
      <w:r w:rsidR="000A38A1">
        <w:rPr>
          <w:sz w:val="28"/>
        </w:rPr>
        <w:t>,6</w:t>
      </w:r>
      <w:r>
        <w:rPr>
          <w:sz w:val="28"/>
        </w:rPr>
        <w:t xml:space="preserve">%. Kopumā 2011.gada septiņos mēnešos mazumtirdzniecības apjomi par </w:t>
      </w:r>
      <w:r w:rsidR="000A38A1">
        <w:rPr>
          <w:sz w:val="28"/>
        </w:rPr>
        <w:t>3,1</w:t>
      </w:r>
      <w:r>
        <w:rPr>
          <w:sz w:val="28"/>
        </w:rPr>
        <w:t>% pārsniedz 2010.gada atbilstošā perioda līmeni.</w:t>
      </w:r>
    </w:p>
    <w:p w:rsidR="008C5D9C" w:rsidRDefault="008C5D9C" w:rsidP="004148E4">
      <w:pPr>
        <w:spacing w:after="80"/>
        <w:ind w:firstLine="426"/>
        <w:jc w:val="both"/>
        <w:rPr>
          <w:sz w:val="28"/>
        </w:rPr>
      </w:pPr>
      <w:r>
        <w:rPr>
          <w:sz w:val="28"/>
        </w:rPr>
        <w:t xml:space="preserve">Jāatzīmē, ka </w:t>
      </w:r>
      <w:r w:rsidR="004938F7">
        <w:rPr>
          <w:sz w:val="28"/>
        </w:rPr>
        <w:t xml:space="preserve">dažāda veida </w:t>
      </w:r>
      <w:r w:rsidR="00A06E00">
        <w:rPr>
          <w:sz w:val="28"/>
        </w:rPr>
        <w:t>mazumtirdzniecības uzņēmum</w:t>
      </w:r>
      <w:r w:rsidR="004938F7">
        <w:rPr>
          <w:sz w:val="28"/>
        </w:rPr>
        <w:t>o</w:t>
      </w:r>
      <w:r w:rsidR="00A06E00">
        <w:rPr>
          <w:sz w:val="28"/>
        </w:rPr>
        <w:t xml:space="preserve">s, tendences ir atšķirīgas. 2011.gada </w:t>
      </w:r>
      <w:r w:rsidR="000A38A1">
        <w:rPr>
          <w:sz w:val="28"/>
        </w:rPr>
        <w:t>astoņos</w:t>
      </w:r>
      <w:r w:rsidR="00A06E00">
        <w:rPr>
          <w:sz w:val="28"/>
        </w:rPr>
        <w:t xml:space="preserve"> mēnešos auto degvielas mazumtirdzniecības apjomi par </w:t>
      </w:r>
      <w:r w:rsidR="000A38A1">
        <w:rPr>
          <w:sz w:val="28"/>
        </w:rPr>
        <w:t>10,7</w:t>
      </w:r>
      <w:r w:rsidR="00A06E00">
        <w:rPr>
          <w:sz w:val="28"/>
        </w:rPr>
        <w:t xml:space="preserve">% atpaliek no 2010.gada atbilstošā perioda līmeņa, kopumā nosakot mazumtirdzniecības apjoma samazinājumu par 2 procentpunktiem. </w:t>
      </w:r>
      <w:r>
        <w:rPr>
          <w:sz w:val="28"/>
        </w:rPr>
        <w:t xml:space="preserve">Šajā pašā laikā </w:t>
      </w:r>
      <w:r w:rsidR="00651E77">
        <w:rPr>
          <w:sz w:val="28"/>
        </w:rPr>
        <w:t xml:space="preserve">pārtikas </w:t>
      </w:r>
      <w:r>
        <w:rPr>
          <w:sz w:val="28"/>
        </w:rPr>
        <w:t>m</w:t>
      </w:r>
      <w:r w:rsidRPr="0028419B">
        <w:rPr>
          <w:sz w:val="28"/>
        </w:rPr>
        <w:t>azumtirdzniecība</w:t>
      </w:r>
      <w:r>
        <w:rPr>
          <w:sz w:val="28"/>
        </w:rPr>
        <w:t>s apjomi</w:t>
      </w:r>
      <w:r w:rsidR="000A38A1">
        <w:rPr>
          <w:sz w:val="28"/>
        </w:rPr>
        <w:t xml:space="preserve"> ir saglabājušies iepriekšējā gada astoņu mēnešu līmenī</w:t>
      </w:r>
      <w:r w:rsidR="00A06E00">
        <w:rPr>
          <w:sz w:val="28"/>
        </w:rPr>
        <w:t xml:space="preserve">. Pārtikas preču apgrozījums veido aptuveni 1/3 no kopējā mazumtirdzniecības apgrozījuma. </w:t>
      </w:r>
      <w:r>
        <w:rPr>
          <w:sz w:val="28"/>
        </w:rPr>
        <w:t>Mazumtirdzniecības</w:t>
      </w:r>
      <w:r w:rsidR="00A06E00">
        <w:rPr>
          <w:sz w:val="28"/>
        </w:rPr>
        <w:t xml:space="preserve"> apjomu</w:t>
      </w:r>
      <w:r>
        <w:rPr>
          <w:sz w:val="28"/>
        </w:rPr>
        <w:t xml:space="preserve"> pieaugumu nodrošina n</w:t>
      </w:r>
      <w:r w:rsidRPr="0028419B">
        <w:rPr>
          <w:sz w:val="28"/>
        </w:rPr>
        <w:t>epārtikas preču tirdzniecība</w:t>
      </w:r>
      <w:r>
        <w:rPr>
          <w:sz w:val="28"/>
        </w:rPr>
        <w:t>s apjomu kāpums</w:t>
      </w:r>
      <w:r w:rsidR="00A06E00">
        <w:rPr>
          <w:sz w:val="28"/>
        </w:rPr>
        <w:t xml:space="preserve"> – 2011.gada janvārī</w:t>
      </w:r>
      <w:r w:rsidR="000A38A1">
        <w:rPr>
          <w:sz w:val="28"/>
        </w:rPr>
        <w:t>-augustā</w:t>
      </w:r>
      <w:r w:rsidR="00A06E00">
        <w:rPr>
          <w:sz w:val="28"/>
        </w:rPr>
        <w:t xml:space="preserve"> par </w:t>
      </w:r>
      <w:r w:rsidR="000A38A1">
        <w:rPr>
          <w:sz w:val="28"/>
        </w:rPr>
        <w:t>11</w:t>
      </w:r>
      <w:r w:rsidR="00A06E00">
        <w:rPr>
          <w:sz w:val="28"/>
        </w:rPr>
        <w:t xml:space="preserve">%, salīdzinot ar iepriekšējā gada atbilstošo periodu. Tas </w:t>
      </w:r>
      <w:r w:rsidR="004938F7">
        <w:rPr>
          <w:sz w:val="28"/>
        </w:rPr>
        <w:t xml:space="preserve">ir </w:t>
      </w:r>
      <w:r w:rsidR="00A06E00">
        <w:rPr>
          <w:sz w:val="28"/>
        </w:rPr>
        <w:t>dev</w:t>
      </w:r>
      <w:r w:rsidR="004938F7">
        <w:rPr>
          <w:sz w:val="28"/>
        </w:rPr>
        <w:t>is</w:t>
      </w:r>
      <w:r w:rsidR="00A06E00">
        <w:rPr>
          <w:sz w:val="28"/>
        </w:rPr>
        <w:t xml:space="preserve"> </w:t>
      </w:r>
      <w:r w:rsidR="000A38A1">
        <w:rPr>
          <w:sz w:val="28"/>
        </w:rPr>
        <w:t>5,1</w:t>
      </w:r>
      <w:r w:rsidR="00A06E00">
        <w:rPr>
          <w:sz w:val="28"/>
        </w:rPr>
        <w:t xml:space="preserve"> procentpunktu ieguldījumu kopējā mazumtirdzniecības apgrozījuma pieaugumā</w:t>
      </w:r>
      <w:r>
        <w:rPr>
          <w:sz w:val="28"/>
        </w:rPr>
        <w:t>.</w:t>
      </w:r>
    </w:p>
    <w:p w:rsidR="008C5D9C" w:rsidRDefault="008C5D9C" w:rsidP="004148E4">
      <w:pPr>
        <w:spacing w:after="80"/>
        <w:ind w:firstLine="426"/>
        <w:jc w:val="both"/>
        <w:rPr>
          <w:sz w:val="28"/>
        </w:rPr>
      </w:pPr>
      <w:r>
        <w:rPr>
          <w:sz w:val="28"/>
        </w:rPr>
        <w:lastRenderedPageBreak/>
        <w:t>Pretstatus mazumtirdzniecībai, jau kopš 20</w:t>
      </w:r>
      <w:r w:rsidR="00A06E00">
        <w:rPr>
          <w:sz w:val="28"/>
        </w:rPr>
        <w:t>10</w:t>
      </w:r>
      <w:r>
        <w:rPr>
          <w:sz w:val="28"/>
        </w:rPr>
        <w:t>.gada</w:t>
      </w:r>
      <w:r w:rsidR="00A06E00">
        <w:rPr>
          <w:sz w:val="28"/>
        </w:rPr>
        <w:t xml:space="preserve"> 1.ceturkšņa </w:t>
      </w:r>
      <w:r w:rsidR="004148E4">
        <w:rPr>
          <w:sz w:val="28"/>
        </w:rPr>
        <w:t xml:space="preserve">ir </w:t>
      </w:r>
      <w:proofErr w:type="spellStart"/>
      <w:r w:rsidR="004148E4">
        <w:rPr>
          <w:sz w:val="28"/>
        </w:rPr>
        <w:t>vairum</w:t>
      </w:r>
      <w:r w:rsidR="00D76C09">
        <w:rPr>
          <w:sz w:val="28"/>
        </w:rPr>
        <w:t>-</w:t>
      </w:r>
      <w:r w:rsidR="004148E4">
        <w:rPr>
          <w:sz w:val="28"/>
        </w:rPr>
        <w:t>tirdzniecības</w:t>
      </w:r>
      <w:proofErr w:type="spellEnd"/>
      <w:r w:rsidR="004148E4">
        <w:rPr>
          <w:sz w:val="28"/>
        </w:rPr>
        <w:t xml:space="preserve"> apjomu pieaugums gada griezumā, ko pamatā nosaka </w:t>
      </w:r>
      <w:r>
        <w:rPr>
          <w:sz w:val="28"/>
        </w:rPr>
        <w:t>Latvijas ārējās tirdzniecības apgrozījuma p</w:t>
      </w:r>
      <w:r w:rsidR="00D76C09">
        <w:rPr>
          <w:sz w:val="28"/>
        </w:rPr>
        <w:t>alielinājums</w:t>
      </w:r>
      <w:r>
        <w:rPr>
          <w:sz w:val="28"/>
        </w:rPr>
        <w:t xml:space="preserve">. 2011.gada </w:t>
      </w:r>
      <w:r w:rsidR="004148E4">
        <w:rPr>
          <w:sz w:val="28"/>
        </w:rPr>
        <w:t>2</w:t>
      </w:r>
      <w:r>
        <w:rPr>
          <w:sz w:val="28"/>
        </w:rPr>
        <w:t>.ceturksnī vairumtirdzniecības apjomi bija par 31,</w:t>
      </w:r>
      <w:r w:rsidR="004148E4">
        <w:rPr>
          <w:sz w:val="28"/>
        </w:rPr>
        <w:t>9</w:t>
      </w:r>
      <w:r>
        <w:rPr>
          <w:sz w:val="28"/>
        </w:rPr>
        <w:t xml:space="preserve">% lielāki nekā 2010.gada </w:t>
      </w:r>
      <w:r w:rsidR="004148E4">
        <w:rPr>
          <w:sz w:val="28"/>
        </w:rPr>
        <w:t>2</w:t>
      </w:r>
      <w:r>
        <w:rPr>
          <w:sz w:val="28"/>
        </w:rPr>
        <w:t>.ceturksnī.</w:t>
      </w:r>
    </w:p>
    <w:p w:rsidR="00B61DBE" w:rsidRDefault="008C5D9C" w:rsidP="002239BD">
      <w:pPr>
        <w:spacing w:after="80"/>
        <w:ind w:firstLine="426"/>
        <w:jc w:val="both"/>
        <w:rPr>
          <w:sz w:val="28"/>
        </w:rPr>
      </w:pPr>
      <w:r w:rsidRPr="00E0268E">
        <w:rPr>
          <w:b/>
          <w:sz w:val="28"/>
        </w:rPr>
        <w:t>Būvniecības produkcijas apjomi</w:t>
      </w:r>
      <w:r w:rsidRPr="00E0268E">
        <w:rPr>
          <w:sz w:val="28"/>
        </w:rPr>
        <w:t xml:space="preserve"> </w:t>
      </w:r>
      <w:r>
        <w:rPr>
          <w:sz w:val="28"/>
        </w:rPr>
        <w:t xml:space="preserve">2011.gada </w:t>
      </w:r>
      <w:r w:rsidR="004148E4">
        <w:rPr>
          <w:sz w:val="28"/>
        </w:rPr>
        <w:t>2</w:t>
      </w:r>
      <w:r>
        <w:rPr>
          <w:sz w:val="28"/>
        </w:rPr>
        <w:t>.ceturksnī</w:t>
      </w:r>
      <w:r w:rsidRPr="00E0268E">
        <w:rPr>
          <w:sz w:val="28"/>
        </w:rPr>
        <w:t xml:space="preserve"> bija par </w:t>
      </w:r>
      <w:r w:rsidR="004148E4">
        <w:rPr>
          <w:sz w:val="28"/>
        </w:rPr>
        <w:t>9</w:t>
      </w:r>
      <w:r w:rsidRPr="00E0268E">
        <w:rPr>
          <w:sz w:val="28"/>
        </w:rPr>
        <w:t>%</w:t>
      </w:r>
      <w:r w:rsidR="004148E4">
        <w:rPr>
          <w:sz w:val="28"/>
        </w:rPr>
        <w:t xml:space="preserve"> lielāki nekā iepriekšējā ceturksnī (pēc sezonāli izlīdzinātiem datiem), tomēr nepārsniedza 2010.gada 2.ceturkšņa līmeni</w:t>
      </w:r>
      <w:r w:rsidR="000A1029">
        <w:rPr>
          <w:sz w:val="28"/>
        </w:rPr>
        <w:t>.</w:t>
      </w:r>
      <w:r w:rsidR="002239BD">
        <w:rPr>
          <w:sz w:val="28"/>
        </w:rPr>
        <w:t xml:space="preserve"> Ceturkšņa laikā </w:t>
      </w:r>
      <w:r w:rsidR="000A1029" w:rsidRPr="000A1029">
        <w:rPr>
          <w:sz w:val="28"/>
        </w:rPr>
        <w:t>ēku būvniecības apjom</w:t>
      </w:r>
      <w:r w:rsidR="000A1029">
        <w:rPr>
          <w:sz w:val="28"/>
        </w:rPr>
        <w:t xml:space="preserve">i palielinājās </w:t>
      </w:r>
      <w:r w:rsidR="000A1029" w:rsidRPr="000A1029">
        <w:rPr>
          <w:sz w:val="28"/>
        </w:rPr>
        <w:t>par 12</w:t>
      </w:r>
      <w:r w:rsidR="002239BD">
        <w:rPr>
          <w:sz w:val="28"/>
        </w:rPr>
        <w:t>,</w:t>
      </w:r>
      <w:r w:rsidR="000A1029" w:rsidRPr="000A1029">
        <w:rPr>
          <w:sz w:val="28"/>
        </w:rPr>
        <w:t>9%,</w:t>
      </w:r>
      <w:r w:rsidR="000A1029">
        <w:rPr>
          <w:sz w:val="28"/>
        </w:rPr>
        <w:t xml:space="preserve"> bet</w:t>
      </w:r>
      <w:r w:rsidR="000A1029" w:rsidRPr="000A1029">
        <w:rPr>
          <w:sz w:val="28"/>
        </w:rPr>
        <w:t xml:space="preserve"> inženierbūvju </w:t>
      </w:r>
      <w:r w:rsidR="000A1029">
        <w:rPr>
          <w:sz w:val="28"/>
        </w:rPr>
        <w:t xml:space="preserve">– par </w:t>
      </w:r>
      <w:r w:rsidR="000A1029" w:rsidRPr="000A1029">
        <w:rPr>
          <w:sz w:val="28"/>
        </w:rPr>
        <w:t>3</w:t>
      </w:r>
      <w:r w:rsidR="000A1029">
        <w:rPr>
          <w:sz w:val="28"/>
        </w:rPr>
        <w:t>,</w:t>
      </w:r>
      <w:r w:rsidR="000A1029" w:rsidRPr="000A1029">
        <w:rPr>
          <w:sz w:val="28"/>
        </w:rPr>
        <w:t>7%.</w:t>
      </w:r>
      <w:r w:rsidR="00B61DBE">
        <w:rPr>
          <w:sz w:val="28"/>
        </w:rPr>
        <w:t xml:space="preserve"> Īpaši jāatzīmē rūpniecības, ražošanas ēku un noliktavu būvniecības apjomu pieaugums 2.cetu</w:t>
      </w:r>
      <w:r w:rsidR="004938F7">
        <w:rPr>
          <w:sz w:val="28"/>
        </w:rPr>
        <w:t>r</w:t>
      </w:r>
      <w:r w:rsidR="00B61DBE">
        <w:rPr>
          <w:sz w:val="28"/>
        </w:rPr>
        <w:t>ks</w:t>
      </w:r>
      <w:r w:rsidR="000A38A1">
        <w:rPr>
          <w:sz w:val="28"/>
        </w:rPr>
        <w:t>n</w:t>
      </w:r>
      <w:r w:rsidR="00B61DBE">
        <w:rPr>
          <w:sz w:val="28"/>
        </w:rPr>
        <w:t>ī par 38</w:t>
      </w:r>
      <w:r w:rsidR="00467617">
        <w:rPr>
          <w:sz w:val="28"/>
        </w:rPr>
        <w:t xml:space="preserve"> procentiem</w:t>
      </w:r>
      <w:r w:rsidR="00B61DBE">
        <w:rPr>
          <w:sz w:val="28"/>
        </w:rPr>
        <w:t>.</w:t>
      </w:r>
    </w:p>
    <w:p w:rsidR="008C5D9C" w:rsidRDefault="00B61DBE" w:rsidP="002239BD">
      <w:pPr>
        <w:ind w:firstLine="426"/>
        <w:jc w:val="both"/>
        <w:rPr>
          <w:sz w:val="28"/>
        </w:rPr>
      </w:pPr>
      <w:r>
        <w:rPr>
          <w:sz w:val="28"/>
        </w:rPr>
        <w:t>2011.</w:t>
      </w:r>
      <w:r w:rsidRPr="00E0268E">
        <w:rPr>
          <w:sz w:val="28"/>
        </w:rPr>
        <w:t>gadā</w:t>
      </w:r>
      <w:r>
        <w:rPr>
          <w:sz w:val="28"/>
        </w:rPr>
        <w:t xml:space="preserve"> </w:t>
      </w:r>
      <w:r w:rsidR="000A38A1">
        <w:rPr>
          <w:sz w:val="28"/>
        </w:rPr>
        <w:t xml:space="preserve">pakāpeniski </w:t>
      </w:r>
      <w:r>
        <w:rPr>
          <w:sz w:val="28"/>
        </w:rPr>
        <w:t xml:space="preserve">turpina </w:t>
      </w:r>
      <w:r w:rsidRPr="00E0268E">
        <w:rPr>
          <w:sz w:val="28"/>
        </w:rPr>
        <w:t>p</w:t>
      </w:r>
      <w:r>
        <w:rPr>
          <w:sz w:val="28"/>
        </w:rPr>
        <w:t xml:space="preserve">alielināties </w:t>
      </w:r>
      <w:r w:rsidR="00AE58EE">
        <w:rPr>
          <w:sz w:val="28"/>
        </w:rPr>
        <w:t xml:space="preserve">izsniegto būvatļauju skaits. </w:t>
      </w:r>
      <w:r w:rsidR="002239BD" w:rsidRPr="002239BD">
        <w:rPr>
          <w:sz w:val="28"/>
        </w:rPr>
        <w:t>2011.gada 2.ceturksnī būvvaldes izsniegušas 548 būvatļaujas viena dzīvokļa māju būvniecības uzsākšanai, kapitālajam remontam, rekonstrukcijai un restaurācijai</w:t>
      </w:r>
      <w:r w:rsidR="00AE58EE">
        <w:rPr>
          <w:sz w:val="28"/>
        </w:rPr>
        <w:t xml:space="preserve">, kā arī </w:t>
      </w:r>
      <w:r w:rsidR="004F1FAD">
        <w:rPr>
          <w:sz w:val="28"/>
        </w:rPr>
        <w:t>91 </w:t>
      </w:r>
      <w:r w:rsidR="00AE58EE">
        <w:rPr>
          <w:sz w:val="28"/>
        </w:rPr>
        <w:t>būvatļauju</w:t>
      </w:r>
      <w:r w:rsidR="00AE58EE" w:rsidRPr="002239BD">
        <w:rPr>
          <w:sz w:val="28"/>
        </w:rPr>
        <w:t xml:space="preserve"> </w:t>
      </w:r>
      <w:r w:rsidR="00AE58EE">
        <w:rPr>
          <w:sz w:val="28"/>
        </w:rPr>
        <w:t>r</w:t>
      </w:r>
      <w:r w:rsidR="002239BD" w:rsidRPr="002239BD">
        <w:rPr>
          <w:sz w:val="28"/>
        </w:rPr>
        <w:t>ūpnieciskās ražošanas ēku un noliktavu būvniecībai.</w:t>
      </w:r>
      <w:r w:rsidR="00AE58EE">
        <w:rPr>
          <w:sz w:val="28"/>
        </w:rPr>
        <w:t xml:space="preserve"> Jāatzīmē, ka 2011.gada </w:t>
      </w:r>
      <w:r w:rsidR="000A38A1">
        <w:rPr>
          <w:sz w:val="28"/>
        </w:rPr>
        <w:t xml:space="preserve">otrajā pusē </w:t>
      </w:r>
      <w:r w:rsidR="008C5D9C" w:rsidRPr="00E0268E">
        <w:rPr>
          <w:sz w:val="28"/>
        </w:rPr>
        <w:t xml:space="preserve">tiek </w:t>
      </w:r>
      <w:r w:rsidR="000A38A1" w:rsidRPr="00E0268E">
        <w:rPr>
          <w:sz w:val="28"/>
        </w:rPr>
        <w:t>turpināti</w:t>
      </w:r>
      <w:r w:rsidR="000A38A1">
        <w:rPr>
          <w:sz w:val="28"/>
        </w:rPr>
        <w:t xml:space="preserve"> vai tiks </w:t>
      </w:r>
      <w:r w:rsidR="008C5D9C" w:rsidRPr="00E0268E">
        <w:rPr>
          <w:sz w:val="28"/>
        </w:rPr>
        <w:t xml:space="preserve">uzsākti apjomīgi valsts un pašvaldību investīciju projekti, kas liecina, ka </w:t>
      </w:r>
      <w:r w:rsidR="00AE58EE">
        <w:rPr>
          <w:sz w:val="28"/>
        </w:rPr>
        <w:t>situācija</w:t>
      </w:r>
      <w:r w:rsidR="00AE58EE" w:rsidRPr="00E0268E">
        <w:rPr>
          <w:sz w:val="28"/>
        </w:rPr>
        <w:t xml:space="preserve"> </w:t>
      </w:r>
      <w:r w:rsidR="008C5D9C" w:rsidRPr="00E0268E">
        <w:rPr>
          <w:sz w:val="28"/>
        </w:rPr>
        <w:t>būvniecības nozar</w:t>
      </w:r>
      <w:r w:rsidR="008C5D9C">
        <w:rPr>
          <w:sz w:val="28"/>
        </w:rPr>
        <w:t>ē</w:t>
      </w:r>
      <w:r w:rsidR="008C5D9C" w:rsidRPr="00E0268E">
        <w:rPr>
          <w:sz w:val="28"/>
        </w:rPr>
        <w:t xml:space="preserve"> pakāpeniski</w:t>
      </w:r>
      <w:r w:rsidR="008C5D9C">
        <w:rPr>
          <w:sz w:val="28"/>
        </w:rPr>
        <w:t xml:space="preserve"> uzlabo</w:t>
      </w:r>
      <w:r w:rsidR="00AE58EE">
        <w:rPr>
          <w:sz w:val="28"/>
        </w:rPr>
        <w:t>jas</w:t>
      </w:r>
      <w:r w:rsidR="008C5D9C">
        <w:rPr>
          <w:sz w:val="28"/>
        </w:rPr>
        <w:t>.</w:t>
      </w:r>
    </w:p>
    <w:p w:rsidR="001E16BE" w:rsidRPr="001E16BE" w:rsidRDefault="001E16BE" w:rsidP="002239BD">
      <w:pPr>
        <w:ind w:firstLine="426"/>
        <w:jc w:val="both"/>
        <w:rPr>
          <w:sz w:val="12"/>
          <w:szCs w:val="12"/>
        </w:rPr>
      </w:pPr>
    </w:p>
    <w:p w:rsidR="008C5D9C" w:rsidRDefault="008C5D9C" w:rsidP="004148E4">
      <w:pPr>
        <w:spacing w:after="80"/>
        <w:ind w:firstLine="426"/>
        <w:jc w:val="both"/>
        <w:rPr>
          <w:sz w:val="28"/>
        </w:rPr>
      </w:pPr>
      <w:r w:rsidRPr="00552822">
        <w:rPr>
          <w:sz w:val="28"/>
        </w:rPr>
        <w:t xml:space="preserve">2011.gadā </w:t>
      </w:r>
      <w:r w:rsidRPr="00552822">
        <w:rPr>
          <w:b/>
          <w:sz w:val="28"/>
        </w:rPr>
        <w:t>apstrādes rūpniecībā</w:t>
      </w:r>
      <w:r w:rsidRPr="00552822">
        <w:rPr>
          <w:sz w:val="28"/>
        </w:rPr>
        <w:t xml:space="preserve"> turpinās izaugsme – gada </w:t>
      </w:r>
      <w:r w:rsidR="00AE58EE">
        <w:rPr>
          <w:sz w:val="28"/>
        </w:rPr>
        <w:t>septiņos</w:t>
      </w:r>
      <w:r w:rsidRPr="00552822">
        <w:rPr>
          <w:sz w:val="28"/>
        </w:rPr>
        <w:t xml:space="preserve"> mēnešos sa</w:t>
      </w:r>
      <w:r w:rsidR="00467617">
        <w:rPr>
          <w:sz w:val="28"/>
        </w:rPr>
        <w:t>ražotās produkcijas apjomi par 13</w:t>
      </w:r>
      <w:r>
        <w:rPr>
          <w:sz w:val="28"/>
        </w:rPr>
        <w:t>,</w:t>
      </w:r>
      <w:r w:rsidR="00467617">
        <w:rPr>
          <w:sz w:val="28"/>
        </w:rPr>
        <w:t>6</w:t>
      </w:r>
      <w:r w:rsidRPr="00552822">
        <w:rPr>
          <w:sz w:val="28"/>
        </w:rPr>
        <w:t>% pārsniedz iepriekšējā gada attiecīgā perioda līmeni.</w:t>
      </w:r>
      <w:r>
        <w:rPr>
          <w:sz w:val="28"/>
        </w:rPr>
        <w:t xml:space="preserve"> </w:t>
      </w:r>
      <w:r w:rsidR="00440B96">
        <w:rPr>
          <w:sz w:val="28"/>
        </w:rPr>
        <w:t>Kopš</w:t>
      </w:r>
      <w:r>
        <w:rPr>
          <w:sz w:val="28"/>
        </w:rPr>
        <w:t xml:space="preserve"> 2010.gada decembr</w:t>
      </w:r>
      <w:r w:rsidR="00440B96">
        <w:rPr>
          <w:sz w:val="28"/>
        </w:rPr>
        <w:t xml:space="preserve">a </w:t>
      </w:r>
      <w:r>
        <w:rPr>
          <w:sz w:val="28"/>
        </w:rPr>
        <w:t>apstrādes rūpniecības iz</w:t>
      </w:r>
      <w:r w:rsidR="00467617">
        <w:rPr>
          <w:sz w:val="28"/>
        </w:rPr>
        <w:t>laide ir pieaugusi par 8,6</w:t>
      </w:r>
      <w:r>
        <w:rPr>
          <w:sz w:val="28"/>
        </w:rPr>
        <w:t xml:space="preserve">% (pēc sezonāli izlīdzinātiem datiem). </w:t>
      </w:r>
    </w:p>
    <w:p w:rsidR="002E3FC6" w:rsidRDefault="002E3FC6" w:rsidP="004148E4">
      <w:pPr>
        <w:spacing w:after="80"/>
        <w:ind w:firstLine="426"/>
        <w:jc w:val="both"/>
        <w:rPr>
          <w:sz w:val="28"/>
        </w:rPr>
      </w:pPr>
      <w:r>
        <w:rPr>
          <w:sz w:val="28"/>
        </w:rPr>
        <w:t xml:space="preserve">2011.gada laikā </w:t>
      </w:r>
      <w:r w:rsidRPr="00552822">
        <w:rPr>
          <w:sz w:val="28"/>
        </w:rPr>
        <w:t xml:space="preserve">lielākais devums </w:t>
      </w:r>
      <w:r>
        <w:rPr>
          <w:sz w:val="28"/>
        </w:rPr>
        <w:t>apstrādes rūpniecības izaugsmē</w:t>
      </w:r>
      <w:r w:rsidRPr="00552822">
        <w:rPr>
          <w:sz w:val="28"/>
        </w:rPr>
        <w:t xml:space="preserve"> </w:t>
      </w:r>
      <w:r>
        <w:rPr>
          <w:sz w:val="28"/>
        </w:rPr>
        <w:t>ir metālapstrādes nozarei, kurā ražošanas apjomi jūlijā par 23% pārsniedza iepriekšējā gada decembra līmeni</w:t>
      </w:r>
      <w:r w:rsidR="000A38A1">
        <w:rPr>
          <w:sz w:val="28"/>
        </w:rPr>
        <w:t>,</w:t>
      </w:r>
      <w:r>
        <w:rPr>
          <w:sz w:val="28"/>
        </w:rPr>
        <w:t xml:space="preserve"> un šī gada septiņos mēnešos ražošanas apjomi </w:t>
      </w:r>
      <w:r w:rsidR="008C5D9C">
        <w:rPr>
          <w:sz w:val="28"/>
        </w:rPr>
        <w:t>par 3</w:t>
      </w:r>
      <w:r>
        <w:rPr>
          <w:sz w:val="28"/>
        </w:rPr>
        <w:t>9</w:t>
      </w:r>
      <w:r w:rsidR="008C5D9C">
        <w:rPr>
          <w:sz w:val="28"/>
        </w:rPr>
        <w:t xml:space="preserve">% </w:t>
      </w:r>
      <w:r>
        <w:rPr>
          <w:sz w:val="28"/>
        </w:rPr>
        <w:t>pārsniedza</w:t>
      </w:r>
      <w:r w:rsidR="008C5D9C">
        <w:rPr>
          <w:sz w:val="28"/>
        </w:rPr>
        <w:t xml:space="preserve"> 2010.gada janvāra</w:t>
      </w:r>
      <w:r w:rsidR="00F24E3E">
        <w:rPr>
          <w:sz w:val="28"/>
        </w:rPr>
        <w:t>-</w:t>
      </w:r>
      <w:r>
        <w:rPr>
          <w:sz w:val="28"/>
        </w:rPr>
        <w:t>jūlija</w:t>
      </w:r>
      <w:r w:rsidR="008C5D9C">
        <w:rPr>
          <w:sz w:val="28"/>
        </w:rPr>
        <w:t xml:space="preserve"> līmeni. </w:t>
      </w:r>
      <w:r>
        <w:rPr>
          <w:sz w:val="28"/>
        </w:rPr>
        <w:t>2011.gada laikā</w:t>
      </w:r>
      <w:r w:rsidR="008C5D9C">
        <w:rPr>
          <w:sz w:val="28"/>
        </w:rPr>
        <w:t xml:space="preserve"> ievērojami pieauguma tempi ir vērojami vieglajā rūpniecībā, </w:t>
      </w:r>
      <w:r w:rsidR="00EB318F">
        <w:rPr>
          <w:sz w:val="28"/>
        </w:rPr>
        <w:t xml:space="preserve">ķīmiskajā rūpniecībā, </w:t>
      </w:r>
      <w:r w:rsidR="008C5D9C" w:rsidRPr="00CB6FDB">
        <w:rPr>
          <w:sz w:val="28"/>
        </w:rPr>
        <w:t>elektrisko un optisko iekārtu, kā arī transportlīdzekļu ražošanas un mašīnbūves nozarēs</w:t>
      </w:r>
      <w:r w:rsidR="008C5D9C">
        <w:rPr>
          <w:sz w:val="28"/>
        </w:rPr>
        <w:t xml:space="preserve">. </w:t>
      </w:r>
    </w:p>
    <w:p w:rsidR="008C5D9C" w:rsidRDefault="007A2DDE" w:rsidP="004148E4">
      <w:pPr>
        <w:spacing w:after="80"/>
        <w:ind w:firstLine="426"/>
        <w:jc w:val="both"/>
        <w:rPr>
          <w:sz w:val="28"/>
        </w:rPr>
      </w:pPr>
      <w:r>
        <w:rPr>
          <w:sz w:val="28"/>
        </w:rPr>
        <w:t>Joprojām nozīmīga loma Latvijas apstrādes rūpniecībā ir kokapstrādei, kurā ražošanas apjomi šī gada septiņos mēnešos par 12% pārsniedza 2010.gada janvāra</w:t>
      </w:r>
      <w:r w:rsidR="000A38A1">
        <w:rPr>
          <w:sz w:val="28"/>
        </w:rPr>
        <w:t>-</w:t>
      </w:r>
      <w:r>
        <w:rPr>
          <w:sz w:val="28"/>
        </w:rPr>
        <w:t>jūlija līmeni. Tomēr jāatzīmē, ka nozarē ražošanas apjomu pieau</w:t>
      </w:r>
      <w:r w:rsidR="004938F7">
        <w:rPr>
          <w:sz w:val="28"/>
        </w:rPr>
        <w:t>guma tempi pakāpeniski mazinās</w:t>
      </w:r>
      <w:r>
        <w:rPr>
          <w:sz w:val="28"/>
        </w:rPr>
        <w:t xml:space="preserve">. Šī gada septiņos mēnešos salīdzinājumā </w:t>
      </w:r>
      <w:r w:rsidR="008C5D9C">
        <w:rPr>
          <w:sz w:val="28"/>
        </w:rPr>
        <w:t xml:space="preserve">ar </w:t>
      </w:r>
      <w:r>
        <w:rPr>
          <w:sz w:val="28"/>
        </w:rPr>
        <w:t xml:space="preserve">citām rūpniecības </w:t>
      </w:r>
      <w:r w:rsidR="008C5D9C">
        <w:rPr>
          <w:sz w:val="28"/>
        </w:rPr>
        <w:t>nozarēm, lēnāk</w:t>
      </w:r>
      <w:r w:rsidR="00951BDD">
        <w:rPr>
          <w:sz w:val="28"/>
        </w:rPr>
        <w:t>os tempos</w:t>
      </w:r>
      <w:r w:rsidR="008C5D9C">
        <w:rPr>
          <w:sz w:val="28"/>
        </w:rPr>
        <w:t xml:space="preserve"> ražošanas apjomi palielinās papīra ra</w:t>
      </w:r>
      <w:r w:rsidR="00EB318F">
        <w:rPr>
          <w:sz w:val="28"/>
        </w:rPr>
        <w:t>žošanā un poligrāfijā, kā arī nemetālisko minerālu ražošanā</w:t>
      </w:r>
      <w:r w:rsidR="008C5D9C">
        <w:rPr>
          <w:sz w:val="28"/>
        </w:rPr>
        <w:t xml:space="preserve">. </w:t>
      </w:r>
      <w:r w:rsidR="00EB318F">
        <w:rPr>
          <w:sz w:val="28"/>
        </w:rPr>
        <w:t>P</w:t>
      </w:r>
      <w:r w:rsidR="008C5D9C">
        <w:rPr>
          <w:sz w:val="28"/>
        </w:rPr>
        <w:t xml:space="preserve">ārtikas rūpniecībā </w:t>
      </w:r>
      <w:r w:rsidR="00F127A1">
        <w:rPr>
          <w:sz w:val="28"/>
        </w:rPr>
        <w:t xml:space="preserve">ražošanas apjomi kopš 2010.gada decembra ir pieauguši, tomēr </w:t>
      </w:r>
      <w:r w:rsidR="008C5D9C" w:rsidRPr="00E17BE5">
        <w:rPr>
          <w:sz w:val="28"/>
        </w:rPr>
        <w:t xml:space="preserve">gada </w:t>
      </w:r>
      <w:r w:rsidR="00F127A1">
        <w:rPr>
          <w:sz w:val="28"/>
        </w:rPr>
        <w:t>septiņos</w:t>
      </w:r>
      <w:r w:rsidR="008C5D9C" w:rsidRPr="00E17BE5">
        <w:rPr>
          <w:sz w:val="28"/>
        </w:rPr>
        <w:t xml:space="preserve"> mēnešos </w:t>
      </w:r>
      <w:r w:rsidR="00F127A1">
        <w:rPr>
          <w:sz w:val="28"/>
        </w:rPr>
        <w:t>tie vēl nedaudz atpaliek no</w:t>
      </w:r>
      <w:r w:rsidR="00AD1713">
        <w:rPr>
          <w:sz w:val="28"/>
        </w:rPr>
        <w:t xml:space="preserve"> </w:t>
      </w:r>
      <w:r w:rsidR="008C5D9C" w:rsidRPr="00E17BE5">
        <w:rPr>
          <w:sz w:val="28"/>
        </w:rPr>
        <w:t>iepriekšēj</w:t>
      </w:r>
      <w:r w:rsidR="00F127A1">
        <w:rPr>
          <w:sz w:val="28"/>
        </w:rPr>
        <w:t>ā gada atbilstošā perioda līmeņa</w:t>
      </w:r>
      <w:r w:rsidR="008C5D9C" w:rsidRPr="00E17BE5">
        <w:rPr>
          <w:sz w:val="28"/>
        </w:rPr>
        <w:t>.</w:t>
      </w:r>
    </w:p>
    <w:p w:rsidR="008C5D9C" w:rsidRPr="00552822" w:rsidRDefault="007A2DDE" w:rsidP="004148E4">
      <w:pPr>
        <w:pStyle w:val="Taksts11"/>
        <w:spacing w:after="80"/>
        <w:ind w:firstLine="426"/>
        <w:rPr>
          <w:rFonts w:eastAsia="Calibri"/>
          <w:sz w:val="28"/>
          <w:szCs w:val="28"/>
          <w:lang w:val="lv-LV"/>
        </w:rPr>
      </w:pPr>
      <w:r>
        <w:rPr>
          <w:rFonts w:eastAsia="Calibri"/>
          <w:sz w:val="28"/>
          <w:szCs w:val="28"/>
          <w:lang w:val="lv-LV"/>
        </w:rPr>
        <w:t>Pēdējos mēnešos ir nostabilizējies ek</w:t>
      </w:r>
      <w:r w:rsidR="008C5D9C" w:rsidRPr="00552822">
        <w:rPr>
          <w:rFonts w:eastAsia="Calibri"/>
          <w:sz w:val="28"/>
          <w:szCs w:val="28"/>
          <w:lang w:val="lv-LV"/>
        </w:rPr>
        <w:t xml:space="preserve">sporta īpatsvars </w:t>
      </w:r>
      <w:r>
        <w:rPr>
          <w:rFonts w:eastAsia="Calibri"/>
          <w:sz w:val="28"/>
          <w:szCs w:val="28"/>
          <w:lang w:val="lv-LV"/>
        </w:rPr>
        <w:t xml:space="preserve">apstrādes rūpniecības </w:t>
      </w:r>
      <w:r w:rsidR="008C5D9C" w:rsidRPr="00552822">
        <w:rPr>
          <w:rFonts w:eastAsia="Calibri"/>
          <w:sz w:val="28"/>
          <w:szCs w:val="28"/>
          <w:lang w:val="lv-LV"/>
        </w:rPr>
        <w:t>nozares realizācijā</w:t>
      </w:r>
      <w:r>
        <w:rPr>
          <w:rFonts w:eastAsia="Calibri"/>
          <w:sz w:val="28"/>
          <w:szCs w:val="28"/>
          <w:lang w:val="lv-LV"/>
        </w:rPr>
        <w:t xml:space="preserve"> – </w:t>
      </w:r>
      <w:r w:rsidR="008C5D9C" w:rsidRPr="00552822">
        <w:rPr>
          <w:rFonts w:eastAsia="Calibri"/>
          <w:sz w:val="28"/>
          <w:szCs w:val="28"/>
          <w:lang w:val="lv-LV"/>
        </w:rPr>
        <w:t xml:space="preserve">2011.gada </w:t>
      </w:r>
      <w:r>
        <w:rPr>
          <w:rFonts w:eastAsia="Calibri"/>
          <w:sz w:val="28"/>
          <w:szCs w:val="28"/>
          <w:lang w:val="lv-LV"/>
        </w:rPr>
        <w:t>janvārī-jūlijā</w:t>
      </w:r>
      <w:r w:rsidR="000340E8">
        <w:rPr>
          <w:rFonts w:eastAsia="Calibri"/>
          <w:sz w:val="28"/>
          <w:szCs w:val="28"/>
          <w:lang w:val="lv-LV"/>
        </w:rPr>
        <w:t xml:space="preserve"> </w:t>
      </w:r>
      <w:r>
        <w:rPr>
          <w:rFonts w:eastAsia="Calibri"/>
          <w:sz w:val="28"/>
          <w:szCs w:val="28"/>
          <w:lang w:val="lv-LV"/>
        </w:rPr>
        <w:t>62</w:t>
      </w:r>
      <w:r w:rsidR="008C5D9C" w:rsidRPr="00552822">
        <w:rPr>
          <w:rFonts w:eastAsia="Calibri"/>
          <w:sz w:val="28"/>
          <w:szCs w:val="28"/>
          <w:lang w:val="lv-LV"/>
        </w:rPr>
        <w:t>% no kopējās nozarē saražotās produkcijas tik</w:t>
      </w:r>
      <w:r>
        <w:rPr>
          <w:rFonts w:eastAsia="Calibri"/>
          <w:sz w:val="28"/>
          <w:szCs w:val="28"/>
          <w:lang w:val="lv-LV"/>
        </w:rPr>
        <w:t>a</w:t>
      </w:r>
      <w:r w:rsidR="008C5D9C" w:rsidRPr="00552822">
        <w:rPr>
          <w:rFonts w:eastAsia="Calibri"/>
          <w:sz w:val="28"/>
          <w:szCs w:val="28"/>
          <w:lang w:val="lv-LV"/>
        </w:rPr>
        <w:t xml:space="preserve"> eksportēta. Aptuveni 70% no kopējā eksporta tiek realizēti ES valstu tirgos, savukārt uz NVS valstīm tiek izvesti 15% no visas eksportētās produkcijas.</w:t>
      </w:r>
    </w:p>
    <w:p w:rsidR="008C5D9C" w:rsidRDefault="008C5D9C" w:rsidP="004148E4">
      <w:pPr>
        <w:spacing w:after="80"/>
        <w:ind w:firstLine="426"/>
        <w:jc w:val="both"/>
        <w:rPr>
          <w:sz w:val="28"/>
        </w:rPr>
      </w:pPr>
      <w:r w:rsidRPr="00552822">
        <w:rPr>
          <w:sz w:val="28"/>
        </w:rPr>
        <w:t>2011.gad</w:t>
      </w:r>
      <w:r w:rsidR="001E16BE">
        <w:rPr>
          <w:sz w:val="28"/>
        </w:rPr>
        <w:t xml:space="preserve">ā turpina </w:t>
      </w:r>
      <w:r w:rsidRPr="00552822">
        <w:rPr>
          <w:sz w:val="28"/>
        </w:rPr>
        <w:t>palielinā</w:t>
      </w:r>
      <w:r>
        <w:rPr>
          <w:sz w:val="28"/>
        </w:rPr>
        <w:t xml:space="preserve">ties </w:t>
      </w:r>
      <w:r w:rsidRPr="00552822">
        <w:rPr>
          <w:sz w:val="28"/>
        </w:rPr>
        <w:t>arī rūpn</w:t>
      </w:r>
      <w:r>
        <w:rPr>
          <w:sz w:val="28"/>
        </w:rPr>
        <w:t xml:space="preserve">iecības produkcijas apgrozījums, kas 2011.gada </w:t>
      </w:r>
      <w:r w:rsidR="001E16BE">
        <w:rPr>
          <w:sz w:val="28"/>
        </w:rPr>
        <w:t>septiņos</w:t>
      </w:r>
      <w:r>
        <w:rPr>
          <w:sz w:val="28"/>
        </w:rPr>
        <w:t xml:space="preserve"> mēnešos par </w:t>
      </w:r>
      <w:r w:rsidRPr="00552822">
        <w:rPr>
          <w:sz w:val="28"/>
        </w:rPr>
        <w:t>2</w:t>
      </w:r>
      <w:r w:rsidR="001E16BE">
        <w:rPr>
          <w:sz w:val="28"/>
        </w:rPr>
        <w:t>2</w:t>
      </w:r>
      <w:r w:rsidRPr="00552822">
        <w:rPr>
          <w:sz w:val="28"/>
        </w:rPr>
        <w:t>%</w:t>
      </w:r>
      <w:r>
        <w:rPr>
          <w:sz w:val="28"/>
        </w:rPr>
        <w:t xml:space="preserve"> pārsniedz</w:t>
      </w:r>
      <w:r w:rsidR="001E16BE">
        <w:rPr>
          <w:sz w:val="28"/>
        </w:rPr>
        <w:t>a</w:t>
      </w:r>
      <w:r>
        <w:rPr>
          <w:sz w:val="28"/>
        </w:rPr>
        <w:t xml:space="preserve"> 2010.gada janvāra-</w:t>
      </w:r>
      <w:r w:rsidR="001E16BE">
        <w:rPr>
          <w:sz w:val="28"/>
        </w:rPr>
        <w:t>jūlija</w:t>
      </w:r>
      <w:r>
        <w:rPr>
          <w:sz w:val="28"/>
        </w:rPr>
        <w:t xml:space="preserve"> līmeni.</w:t>
      </w:r>
      <w:r w:rsidRPr="00552822">
        <w:rPr>
          <w:sz w:val="28"/>
        </w:rPr>
        <w:t xml:space="preserve"> </w:t>
      </w:r>
      <w:r>
        <w:rPr>
          <w:sz w:val="28"/>
        </w:rPr>
        <w:t>Ja vēl 2010.gadā v</w:t>
      </w:r>
      <w:r w:rsidRPr="00007A5B">
        <w:rPr>
          <w:sz w:val="28"/>
        </w:rPr>
        <w:t>ājā iekšzemes pieprasījuma rezultātā produkcijas realizācija vietējā tirgū p</w:t>
      </w:r>
      <w:r>
        <w:rPr>
          <w:sz w:val="28"/>
        </w:rPr>
        <w:t xml:space="preserve">ieauga ļoti mēreni, tad 2011.gada </w:t>
      </w:r>
      <w:r w:rsidR="001E16BE">
        <w:rPr>
          <w:sz w:val="28"/>
        </w:rPr>
        <w:t>septiņos</w:t>
      </w:r>
      <w:r>
        <w:rPr>
          <w:sz w:val="28"/>
        </w:rPr>
        <w:t xml:space="preserve"> mēnešos vietējā tirgū realizētās produkcijas apjomi jau par 15</w:t>
      </w:r>
      <w:r w:rsidR="001E16BE">
        <w:rPr>
          <w:sz w:val="28"/>
        </w:rPr>
        <w:t>,6</w:t>
      </w:r>
      <w:r>
        <w:rPr>
          <w:sz w:val="28"/>
        </w:rPr>
        <w:t>% pārsniedz</w:t>
      </w:r>
      <w:r w:rsidR="001E16BE">
        <w:rPr>
          <w:sz w:val="28"/>
        </w:rPr>
        <w:t>a</w:t>
      </w:r>
      <w:r>
        <w:rPr>
          <w:sz w:val="28"/>
        </w:rPr>
        <w:t xml:space="preserve"> 2010.gada janvāra-</w:t>
      </w:r>
      <w:r w:rsidR="001E16BE">
        <w:rPr>
          <w:sz w:val="28"/>
        </w:rPr>
        <w:t>jūlija</w:t>
      </w:r>
      <w:r>
        <w:rPr>
          <w:sz w:val="28"/>
        </w:rPr>
        <w:t xml:space="preserve"> līmeni. Šajā </w:t>
      </w:r>
      <w:r>
        <w:rPr>
          <w:sz w:val="28"/>
        </w:rPr>
        <w:lastRenderedPageBreak/>
        <w:t xml:space="preserve">pašā laikā </w:t>
      </w:r>
      <w:r w:rsidRPr="00007A5B">
        <w:rPr>
          <w:sz w:val="28"/>
        </w:rPr>
        <w:t>eksportētās produkcijas realizācija</w:t>
      </w:r>
      <w:r>
        <w:rPr>
          <w:sz w:val="28"/>
        </w:rPr>
        <w:t xml:space="preserve"> palielinājās par </w:t>
      </w:r>
      <w:r w:rsidR="001E16BE">
        <w:rPr>
          <w:sz w:val="28"/>
        </w:rPr>
        <w:t>26</w:t>
      </w:r>
      <w:r>
        <w:rPr>
          <w:sz w:val="28"/>
        </w:rPr>
        <w:t xml:space="preserve">%. Apgrozījuma palielinājumu nozarē nosaka ne tikai </w:t>
      </w:r>
      <w:r w:rsidRPr="00552822">
        <w:rPr>
          <w:sz w:val="28"/>
        </w:rPr>
        <w:t xml:space="preserve">ražošanas apjomu pieaugums, bet arī ražotāju cenu </w:t>
      </w:r>
      <w:r w:rsidR="001E16BE">
        <w:rPr>
          <w:sz w:val="28"/>
        </w:rPr>
        <w:t>kāpums</w:t>
      </w:r>
      <w:r w:rsidRPr="00552822">
        <w:rPr>
          <w:sz w:val="28"/>
        </w:rPr>
        <w:t>.</w:t>
      </w:r>
    </w:p>
    <w:p w:rsidR="008C5D9C" w:rsidRPr="00A273BF" w:rsidRDefault="008C5D9C" w:rsidP="004148E4">
      <w:pPr>
        <w:pStyle w:val="Taksts11"/>
        <w:spacing w:after="80"/>
        <w:ind w:firstLine="426"/>
        <w:rPr>
          <w:rFonts w:eastAsia="Calibri"/>
          <w:sz w:val="28"/>
          <w:szCs w:val="28"/>
          <w:lang w:val="lv-LV"/>
        </w:rPr>
      </w:pPr>
      <w:r w:rsidRPr="00A273BF">
        <w:rPr>
          <w:sz w:val="28"/>
          <w:lang w:val="lv-LV"/>
        </w:rPr>
        <w:t xml:space="preserve">2011.gada </w:t>
      </w:r>
      <w:r w:rsidR="001E16BE">
        <w:rPr>
          <w:sz w:val="28"/>
          <w:lang w:val="lv-LV"/>
        </w:rPr>
        <w:t>jūlijā</w:t>
      </w:r>
      <w:r w:rsidRPr="00A273BF">
        <w:rPr>
          <w:sz w:val="28"/>
          <w:lang w:val="lv-LV"/>
        </w:rPr>
        <w:t xml:space="preserve"> apstrādes rūpniecībā ražotāju cenas bija par </w:t>
      </w:r>
      <w:r>
        <w:rPr>
          <w:sz w:val="28"/>
          <w:lang w:val="lv-LV"/>
        </w:rPr>
        <w:t>7</w:t>
      </w:r>
      <w:r w:rsidR="001E16BE">
        <w:rPr>
          <w:sz w:val="28"/>
          <w:lang w:val="lv-LV"/>
        </w:rPr>
        <w:t>,8</w:t>
      </w:r>
      <w:r w:rsidRPr="00A273BF">
        <w:rPr>
          <w:sz w:val="28"/>
          <w:lang w:val="lv-LV"/>
        </w:rPr>
        <w:t xml:space="preserve">% augstākas nekā gadu iepriekš. </w:t>
      </w:r>
      <w:r w:rsidR="001E16BE">
        <w:rPr>
          <w:sz w:val="28"/>
          <w:lang w:val="lv-LV"/>
        </w:rPr>
        <w:t xml:space="preserve">Pakāpeniski augošais iekšzemes pieprasījums ir veicinājis cenu kāpumu </w:t>
      </w:r>
      <w:r w:rsidRPr="00A273BF">
        <w:rPr>
          <w:sz w:val="28"/>
          <w:lang w:val="lv-LV"/>
        </w:rPr>
        <w:t>vietējā tirgū realizētajai produkcijai</w:t>
      </w:r>
      <w:r w:rsidR="001E16BE">
        <w:rPr>
          <w:sz w:val="28"/>
          <w:lang w:val="lv-LV"/>
        </w:rPr>
        <w:t xml:space="preserve"> – </w:t>
      </w:r>
      <w:r w:rsidRPr="00A273BF">
        <w:rPr>
          <w:sz w:val="28"/>
          <w:lang w:val="lv-LV"/>
        </w:rPr>
        <w:t xml:space="preserve">ražotāju cenas 12 mēnešu laikā </w:t>
      </w:r>
      <w:r>
        <w:rPr>
          <w:sz w:val="28"/>
          <w:lang w:val="lv-LV"/>
        </w:rPr>
        <w:t xml:space="preserve">bija </w:t>
      </w:r>
      <w:r w:rsidRPr="00A273BF">
        <w:rPr>
          <w:sz w:val="28"/>
          <w:lang w:val="lv-LV"/>
        </w:rPr>
        <w:t xml:space="preserve">palielinājušās par </w:t>
      </w:r>
      <w:r>
        <w:rPr>
          <w:sz w:val="28"/>
          <w:lang w:val="lv-LV"/>
        </w:rPr>
        <w:t>8,</w:t>
      </w:r>
      <w:r w:rsidR="001E16BE">
        <w:rPr>
          <w:sz w:val="28"/>
          <w:lang w:val="lv-LV"/>
        </w:rPr>
        <w:t>8</w:t>
      </w:r>
      <w:r w:rsidRPr="00A273BF">
        <w:rPr>
          <w:sz w:val="28"/>
          <w:lang w:val="lv-LV"/>
        </w:rPr>
        <w:t xml:space="preserve">%. </w:t>
      </w:r>
      <w:r>
        <w:rPr>
          <w:sz w:val="28"/>
          <w:lang w:val="lv-LV"/>
        </w:rPr>
        <w:t>Savukārt e</w:t>
      </w:r>
      <w:r w:rsidRPr="00A273BF">
        <w:rPr>
          <w:sz w:val="28"/>
          <w:lang w:val="lv-LV"/>
        </w:rPr>
        <w:t>ksportētajai produkcijai</w:t>
      </w:r>
      <w:r>
        <w:rPr>
          <w:sz w:val="28"/>
          <w:lang w:val="lv-LV"/>
        </w:rPr>
        <w:t xml:space="preserve"> </w:t>
      </w:r>
      <w:r w:rsidRPr="00A273BF">
        <w:rPr>
          <w:sz w:val="28"/>
          <w:lang w:val="lv-LV"/>
        </w:rPr>
        <w:t>ražotāju cenas</w:t>
      </w:r>
      <w:r>
        <w:rPr>
          <w:sz w:val="28"/>
          <w:lang w:val="lv-LV"/>
        </w:rPr>
        <w:t xml:space="preserve"> </w:t>
      </w:r>
      <w:r w:rsidR="001E16BE">
        <w:rPr>
          <w:sz w:val="28"/>
          <w:lang w:val="lv-LV"/>
        </w:rPr>
        <w:t xml:space="preserve">būtiski </w:t>
      </w:r>
      <w:r>
        <w:rPr>
          <w:sz w:val="28"/>
          <w:lang w:val="lv-LV"/>
        </w:rPr>
        <w:t>pieaug</w:t>
      </w:r>
      <w:r w:rsidR="001E16BE">
        <w:rPr>
          <w:sz w:val="28"/>
          <w:lang w:val="lv-LV"/>
        </w:rPr>
        <w:t xml:space="preserve"> kopš </w:t>
      </w:r>
      <w:r>
        <w:rPr>
          <w:sz w:val="28"/>
          <w:lang w:val="lv-LV"/>
        </w:rPr>
        <w:t>2010.gad</w:t>
      </w:r>
      <w:r w:rsidR="001E16BE">
        <w:rPr>
          <w:sz w:val="28"/>
          <w:lang w:val="lv-LV"/>
        </w:rPr>
        <w:t>a sākuma. Lai arī atsevišķos 2011.gada mēnešos ražotāju cenu kāpums piebremzējās, tomēr</w:t>
      </w:r>
      <w:r w:rsidR="00813026">
        <w:rPr>
          <w:sz w:val="28"/>
          <w:lang w:val="lv-LV"/>
        </w:rPr>
        <w:t xml:space="preserve"> to līmenis ir augsts un šī gada</w:t>
      </w:r>
      <w:r>
        <w:rPr>
          <w:sz w:val="28"/>
          <w:lang w:val="lv-LV"/>
        </w:rPr>
        <w:t xml:space="preserve"> </w:t>
      </w:r>
      <w:r w:rsidR="001E16BE">
        <w:rPr>
          <w:sz w:val="28"/>
          <w:lang w:val="lv-LV"/>
        </w:rPr>
        <w:t>jūlijā</w:t>
      </w:r>
      <w:r>
        <w:rPr>
          <w:sz w:val="28"/>
          <w:lang w:val="lv-LV"/>
        </w:rPr>
        <w:t xml:space="preserve"> </w:t>
      </w:r>
      <w:r w:rsidR="00813026">
        <w:rPr>
          <w:sz w:val="28"/>
          <w:lang w:val="lv-LV"/>
        </w:rPr>
        <w:t xml:space="preserve">eksportētajai produkcijai ražotāju cenas </w:t>
      </w:r>
      <w:r>
        <w:rPr>
          <w:sz w:val="28"/>
          <w:lang w:val="lv-LV"/>
        </w:rPr>
        <w:t xml:space="preserve">bija </w:t>
      </w:r>
      <w:r w:rsidRPr="00A273BF">
        <w:rPr>
          <w:sz w:val="28"/>
          <w:lang w:val="lv-LV"/>
        </w:rPr>
        <w:t xml:space="preserve">par 7% augstākas nekā </w:t>
      </w:r>
      <w:r w:rsidR="001E16BE">
        <w:rPr>
          <w:sz w:val="28"/>
          <w:lang w:val="lv-LV"/>
        </w:rPr>
        <w:t>2010.gada jūlijā</w:t>
      </w:r>
      <w:r w:rsidRPr="00A273BF">
        <w:rPr>
          <w:sz w:val="28"/>
          <w:lang w:val="lv-LV"/>
        </w:rPr>
        <w:t>.</w:t>
      </w:r>
    </w:p>
    <w:p w:rsidR="008C5D9C" w:rsidRDefault="008C5D9C" w:rsidP="004148E4">
      <w:pPr>
        <w:pStyle w:val="Taksts11"/>
        <w:spacing w:after="80"/>
        <w:ind w:firstLine="426"/>
        <w:rPr>
          <w:rFonts w:eastAsia="Calibri"/>
          <w:sz w:val="28"/>
          <w:szCs w:val="28"/>
          <w:lang w:val="lv-LV"/>
        </w:rPr>
      </w:pPr>
      <w:r w:rsidRPr="00813026">
        <w:rPr>
          <w:rFonts w:eastAsia="Calibri"/>
          <w:sz w:val="28"/>
          <w:szCs w:val="28"/>
          <w:lang w:val="lv-LV"/>
        </w:rPr>
        <w:t>2011.gad</w:t>
      </w:r>
      <w:r w:rsidR="00813026" w:rsidRPr="00813026">
        <w:rPr>
          <w:rFonts w:eastAsia="Calibri"/>
          <w:sz w:val="28"/>
          <w:szCs w:val="28"/>
          <w:lang w:val="lv-LV"/>
        </w:rPr>
        <w:t>a 2.ceturksnī stabili turpināja pieaugt</w:t>
      </w:r>
      <w:r w:rsidR="00AD1713">
        <w:rPr>
          <w:rFonts w:eastAsia="Calibri"/>
          <w:sz w:val="28"/>
          <w:szCs w:val="28"/>
          <w:lang w:val="lv-LV"/>
        </w:rPr>
        <w:t xml:space="preserve"> </w:t>
      </w:r>
      <w:r w:rsidRPr="00813026">
        <w:rPr>
          <w:rFonts w:eastAsia="Calibri"/>
          <w:sz w:val="28"/>
          <w:szCs w:val="28"/>
          <w:lang w:val="lv-LV"/>
        </w:rPr>
        <w:t>jaun</w:t>
      </w:r>
      <w:r w:rsidR="00813026" w:rsidRPr="00813026">
        <w:rPr>
          <w:rFonts w:eastAsia="Calibri"/>
          <w:sz w:val="28"/>
          <w:szCs w:val="28"/>
          <w:lang w:val="lv-LV"/>
        </w:rPr>
        <w:t xml:space="preserve">ie pasūtījumi </w:t>
      </w:r>
      <w:r w:rsidR="00813026">
        <w:rPr>
          <w:rFonts w:eastAsia="Calibri"/>
          <w:sz w:val="28"/>
          <w:szCs w:val="28"/>
          <w:lang w:val="lv-LV"/>
        </w:rPr>
        <w:t xml:space="preserve">tādās nozarēs kā </w:t>
      </w:r>
      <w:r w:rsidR="00813026" w:rsidRPr="00813026">
        <w:rPr>
          <w:sz w:val="28"/>
          <w:lang w:val="lv-LV"/>
        </w:rPr>
        <w:t>vieglā rūpniecīb</w:t>
      </w:r>
      <w:r w:rsidR="00813026">
        <w:rPr>
          <w:sz w:val="28"/>
          <w:lang w:val="lv-LV"/>
        </w:rPr>
        <w:t>a</w:t>
      </w:r>
      <w:r w:rsidR="00813026" w:rsidRPr="00813026">
        <w:rPr>
          <w:sz w:val="28"/>
          <w:lang w:val="lv-LV"/>
        </w:rPr>
        <w:t>, elektrisk</w:t>
      </w:r>
      <w:r w:rsidR="00144456">
        <w:rPr>
          <w:sz w:val="28"/>
          <w:lang w:val="lv-LV"/>
        </w:rPr>
        <w:t>ās</w:t>
      </w:r>
      <w:r w:rsidR="00813026" w:rsidRPr="00813026">
        <w:rPr>
          <w:sz w:val="28"/>
          <w:lang w:val="lv-LV"/>
        </w:rPr>
        <w:t xml:space="preserve"> un optisk</w:t>
      </w:r>
      <w:r w:rsidR="00144456">
        <w:rPr>
          <w:sz w:val="28"/>
          <w:lang w:val="lv-LV"/>
        </w:rPr>
        <w:t>ās</w:t>
      </w:r>
      <w:r w:rsidR="00813026" w:rsidRPr="00813026">
        <w:rPr>
          <w:sz w:val="28"/>
          <w:lang w:val="lv-LV"/>
        </w:rPr>
        <w:t xml:space="preserve"> iekārt</w:t>
      </w:r>
      <w:r w:rsidR="00144456">
        <w:rPr>
          <w:sz w:val="28"/>
          <w:lang w:val="lv-LV"/>
        </w:rPr>
        <w:t>as</w:t>
      </w:r>
      <w:r w:rsidR="00813026" w:rsidRPr="00813026">
        <w:rPr>
          <w:sz w:val="28"/>
          <w:lang w:val="lv-LV"/>
        </w:rPr>
        <w:t>, transportlīdzekļu ražošana un mašīnbūve</w:t>
      </w:r>
      <w:r w:rsidR="00813026" w:rsidRPr="00813026">
        <w:rPr>
          <w:rFonts w:eastAsia="Calibri"/>
          <w:sz w:val="28"/>
          <w:szCs w:val="28"/>
          <w:lang w:val="lv-LV"/>
        </w:rPr>
        <w:t>.</w:t>
      </w:r>
      <w:r w:rsidRPr="00813026">
        <w:rPr>
          <w:rFonts w:eastAsia="Calibri"/>
          <w:sz w:val="28"/>
          <w:szCs w:val="28"/>
          <w:lang w:val="lv-LV"/>
        </w:rPr>
        <w:t xml:space="preserve"> </w:t>
      </w:r>
      <w:r w:rsidR="00813026">
        <w:rPr>
          <w:rFonts w:eastAsia="Calibri"/>
          <w:sz w:val="28"/>
          <w:szCs w:val="28"/>
          <w:lang w:val="lv-LV"/>
        </w:rPr>
        <w:t xml:space="preserve">Jāatzīmē, ka jauno pasūtījumu apjomi aug ne tikai </w:t>
      </w:r>
      <w:r w:rsidRPr="00813026">
        <w:rPr>
          <w:rFonts w:eastAsia="Calibri"/>
          <w:sz w:val="28"/>
          <w:szCs w:val="28"/>
          <w:lang w:val="lv-LV"/>
        </w:rPr>
        <w:t xml:space="preserve">eksporta tirgos, bet arī </w:t>
      </w:r>
      <w:r w:rsidR="00813026">
        <w:rPr>
          <w:rFonts w:eastAsia="Calibri"/>
          <w:sz w:val="28"/>
          <w:szCs w:val="28"/>
          <w:lang w:val="lv-LV"/>
        </w:rPr>
        <w:t>vietējā tirgū</w:t>
      </w:r>
      <w:r w:rsidRPr="00813026">
        <w:rPr>
          <w:rFonts w:eastAsia="Calibri"/>
          <w:sz w:val="28"/>
          <w:szCs w:val="28"/>
          <w:lang w:val="lv-LV"/>
        </w:rPr>
        <w:t>.</w:t>
      </w:r>
    </w:p>
    <w:p w:rsidR="00687732" w:rsidRDefault="008C5D9C" w:rsidP="004148E4">
      <w:pPr>
        <w:pStyle w:val="Taksts11"/>
        <w:spacing w:after="80"/>
        <w:ind w:firstLine="426"/>
        <w:rPr>
          <w:rFonts w:eastAsia="Calibri"/>
          <w:sz w:val="28"/>
          <w:szCs w:val="28"/>
          <w:lang w:val="lv-LV"/>
        </w:rPr>
      </w:pPr>
      <w:r w:rsidRPr="00552822">
        <w:rPr>
          <w:rFonts w:eastAsia="Calibri"/>
          <w:sz w:val="28"/>
          <w:szCs w:val="28"/>
          <w:lang w:val="lv-LV"/>
        </w:rPr>
        <w:t xml:space="preserve">Atbilstoši </w:t>
      </w:r>
      <w:r w:rsidR="00687732">
        <w:rPr>
          <w:rFonts w:eastAsia="Calibri"/>
          <w:sz w:val="28"/>
          <w:szCs w:val="28"/>
          <w:lang w:val="lv-LV"/>
        </w:rPr>
        <w:t>ražošanas apjomu kāpumam, turpina</w:t>
      </w:r>
      <w:r w:rsidRPr="00552822">
        <w:rPr>
          <w:rFonts w:eastAsia="Calibri"/>
          <w:sz w:val="28"/>
          <w:szCs w:val="28"/>
          <w:lang w:val="lv-LV"/>
        </w:rPr>
        <w:t xml:space="preserve"> palielinā</w:t>
      </w:r>
      <w:r w:rsidR="00687732">
        <w:rPr>
          <w:rFonts w:eastAsia="Calibri"/>
          <w:sz w:val="28"/>
          <w:szCs w:val="28"/>
          <w:lang w:val="lv-LV"/>
        </w:rPr>
        <w:t>ties</w:t>
      </w:r>
      <w:r w:rsidRPr="00552822">
        <w:rPr>
          <w:rFonts w:eastAsia="Calibri"/>
          <w:sz w:val="28"/>
          <w:szCs w:val="28"/>
          <w:lang w:val="lv-LV"/>
        </w:rPr>
        <w:t xml:space="preserve"> ražošanas jaudu noslodze. 2011.</w:t>
      </w:r>
      <w:r w:rsidR="002A5ACE">
        <w:rPr>
          <w:rFonts w:eastAsia="Calibri"/>
          <w:sz w:val="28"/>
          <w:szCs w:val="28"/>
          <w:lang w:val="lv-LV"/>
        </w:rPr>
        <w:t xml:space="preserve">gada </w:t>
      </w:r>
      <w:r w:rsidR="008A35A1">
        <w:rPr>
          <w:rFonts w:eastAsia="Calibri"/>
          <w:sz w:val="28"/>
          <w:szCs w:val="28"/>
          <w:lang w:val="lv-LV"/>
        </w:rPr>
        <w:t>3</w:t>
      </w:r>
      <w:r w:rsidR="002A5ACE">
        <w:rPr>
          <w:rFonts w:eastAsia="Calibri"/>
          <w:sz w:val="28"/>
          <w:szCs w:val="28"/>
          <w:lang w:val="lv-LV"/>
        </w:rPr>
        <w:t>.</w:t>
      </w:r>
      <w:r w:rsidRPr="00552822">
        <w:rPr>
          <w:rFonts w:eastAsia="Calibri"/>
          <w:sz w:val="28"/>
          <w:szCs w:val="28"/>
          <w:lang w:val="lv-LV"/>
        </w:rPr>
        <w:t xml:space="preserve">ceturksnī </w:t>
      </w:r>
      <w:r w:rsidR="00687732">
        <w:rPr>
          <w:rFonts w:eastAsia="Calibri"/>
          <w:sz w:val="28"/>
          <w:szCs w:val="28"/>
          <w:lang w:val="lv-LV"/>
        </w:rPr>
        <w:t>jaudu noslodzes līmenis apstrādes rūpniecībā bija</w:t>
      </w:r>
      <w:r w:rsidR="00AD1713">
        <w:rPr>
          <w:rFonts w:eastAsia="Calibri"/>
          <w:sz w:val="28"/>
          <w:szCs w:val="28"/>
          <w:lang w:val="lv-LV"/>
        </w:rPr>
        <w:t xml:space="preserve"> </w:t>
      </w:r>
      <w:r w:rsidRPr="00552822">
        <w:rPr>
          <w:rFonts w:eastAsia="Calibri"/>
          <w:sz w:val="28"/>
          <w:szCs w:val="28"/>
          <w:lang w:val="lv-LV"/>
        </w:rPr>
        <w:t>6</w:t>
      </w:r>
      <w:r w:rsidR="00687732">
        <w:rPr>
          <w:rFonts w:eastAsia="Calibri"/>
          <w:sz w:val="28"/>
          <w:szCs w:val="28"/>
          <w:lang w:val="lv-LV"/>
        </w:rPr>
        <w:t>9</w:t>
      </w:r>
      <w:r w:rsidR="008A35A1">
        <w:rPr>
          <w:rFonts w:eastAsia="Calibri"/>
          <w:sz w:val="28"/>
          <w:szCs w:val="28"/>
          <w:lang w:val="lv-LV"/>
        </w:rPr>
        <w:t>,</w:t>
      </w:r>
      <w:r w:rsidR="00687732">
        <w:rPr>
          <w:rFonts w:eastAsia="Calibri"/>
          <w:sz w:val="28"/>
          <w:szCs w:val="28"/>
          <w:lang w:val="lv-LV"/>
        </w:rPr>
        <w:t>4</w:t>
      </w:r>
      <w:r w:rsidR="008A35A1">
        <w:rPr>
          <w:rFonts w:eastAsia="Calibri"/>
          <w:sz w:val="28"/>
          <w:szCs w:val="28"/>
          <w:lang w:val="lv-LV"/>
        </w:rPr>
        <w:t>%</w:t>
      </w:r>
      <w:r w:rsidRPr="00552822">
        <w:rPr>
          <w:rFonts w:eastAsia="Calibri"/>
          <w:sz w:val="28"/>
          <w:szCs w:val="28"/>
          <w:lang w:val="lv-LV"/>
        </w:rPr>
        <w:t xml:space="preserve">, par </w:t>
      </w:r>
      <w:r w:rsidR="00687732">
        <w:rPr>
          <w:rFonts w:eastAsia="Calibri"/>
          <w:sz w:val="28"/>
          <w:szCs w:val="28"/>
          <w:lang w:val="lv-LV"/>
        </w:rPr>
        <w:t>2,7</w:t>
      </w:r>
      <w:r w:rsidRPr="00552822">
        <w:rPr>
          <w:rFonts w:eastAsia="Calibri"/>
          <w:sz w:val="28"/>
          <w:szCs w:val="28"/>
          <w:lang w:val="lv-LV"/>
        </w:rPr>
        <w:t> proc</w:t>
      </w:r>
      <w:r w:rsidR="002A5ACE">
        <w:rPr>
          <w:rFonts w:eastAsia="Calibri"/>
          <w:sz w:val="28"/>
          <w:szCs w:val="28"/>
          <w:lang w:val="lv-LV"/>
        </w:rPr>
        <w:t xml:space="preserve">entpunktiem </w:t>
      </w:r>
      <w:r w:rsidR="00687732">
        <w:rPr>
          <w:rFonts w:eastAsia="Calibri"/>
          <w:sz w:val="28"/>
          <w:szCs w:val="28"/>
          <w:lang w:val="lv-LV"/>
        </w:rPr>
        <w:t>pārsniedzot</w:t>
      </w:r>
      <w:r w:rsidR="002A5ACE">
        <w:rPr>
          <w:rFonts w:eastAsia="Calibri"/>
          <w:sz w:val="28"/>
          <w:szCs w:val="28"/>
          <w:lang w:val="lv-LV"/>
        </w:rPr>
        <w:t xml:space="preserve"> 20</w:t>
      </w:r>
      <w:r w:rsidR="00687732">
        <w:rPr>
          <w:rFonts w:eastAsia="Calibri"/>
          <w:sz w:val="28"/>
          <w:szCs w:val="28"/>
          <w:lang w:val="lv-LV"/>
        </w:rPr>
        <w:t>10</w:t>
      </w:r>
      <w:r w:rsidR="002A5ACE">
        <w:rPr>
          <w:rFonts w:eastAsia="Calibri"/>
          <w:sz w:val="28"/>
          <w:szCs w:val="28"/>
          <w:lang w:val="lv-LV"/>
        </w:rPr>
        <w:t>.</w:t>
      </w:r>
      <w:r w:rsidRPr="00552822">
        <w:rPr>
          <w:rFonts w:eastAsia="Calibri"/>
          <w:sz w:val="28"/>
          <w:szCs w:val="28"/>
          <w:lang w:val="lv-LV"/>
        </w:rPr>
        <w:t>gada</w:t>
      </w:r>
      <w:r w:rsidR="00687732">
        <w:rPr>
          <w:rFonts w:eastAsia="Calibri"/>
          <w:sz w:val="28"/>
          <w:szCs w:val="28"/>
          <w:lang w:val="lv-LV"/>
        </w:rPr>
        <w:t xml:space="preserve"> 4.ceturkšņa līmeni. Jāatzīmē, ka 2011.gada 3.ceturksnī kokapstrādē, metālapstrādē, vieglajā rūpniecībā, papīra un papīra izstrādājumu, kā arī </w:t>
      </w:r>
      <w:r w:rsidR="00687732" w:rsidRPr="00813026">
        <w:rPr>
          <w:sz w:val="28"/>
          <w:lang w:val="lv-LV"/>
        </w:rPr>
        <w:t>elektrisk</w:t>
      </w:r>
      <w:r w:rsidR="00687732">
        <w:rPr>
          <w:sz w:val="28"/>
          <w:lang w:val="lv-LV"/>
        </w:rPr>
        <w:t>o</w:t>
      </w:r>
      <w:r w:rsidR="00687732" w:rsidRPr="00813026">
        <w:rPr>
          <w:sz w:val="28"/>
          <w:lang w:val="lv-LV"/>
        </w:rPr>
        <w:t xml:space="preserve"> un optisk</w:t>
      </w:r>
      <w:r w:rsidR="00687732">
        <w:rPr>
          <w:sz w:val="28"/>
          <w:lang w:val="lv-LV"/>
        </w:rPr>
        <w:t>o</w:t>
      </w:r>
      <w:r w:rsidR="00687732" w:rsidRPr="00813026">
        <w:rPr>
          <w:sz w:val="28"/>
          <w:lang w:val="lv-LV"/>
        </w:rPr>
        <w:t xml:space="preserve"> iekārt</w:t>
      </w:r>
      <w:r w:rsidR="00687732">
        <w:rPr>
          <w:sz w:val="28"/>
          <w:lang w:val="lv-LV"/>
        </w:rPr>
        <w:t>u ražošanā ražošanas jaudu noslodzes līmenis pārsniedz 70 procentus.</w:t>
      </w:r>
    </w:p>
    <w:p w:rsidR="00F11E58" w:rsidRPr="00F11E58" w:rsidRDefault="00F11E58" w:rsidP="00F11E58">
      <w:pPr>
        <w:spacing w:after="80"/>
        <w:ind w:firstLine="426"/>
        <w:jc w:val="both"/>
        <w:rPr>
          <w:sz w:val="28"/>
        </w:rPr>
      </w:pPr>
      <w:r w:rsidRPr="00F11E58">
        <w:rPr>
          <w:b/>
          <w:bCs/>
          <w:sz w:val="28"/>
        </w:rPr>
        <w:t xml:space="preserve">Konjunktūras apsekojumu rezultāti </w:t>
      </w:r>
      <w:r w:rsidRPr="00F11E58">
        <w:rPr>
          <w:sz w:val="28"/>
        </w:rPr>
        <w:t>liecina, ka uzņēmēju un patērētāju novērtējums par turpmākās izaugsmes iespējām kopš 2010.gada</w:t>
      </w:r>
      <w:r w:rsidR="00B36FF4">
        <w:rPr>
          <w:sz w:val="28"/>
        </w:rPr>
        <w:t xml:space="preserve"> beigām būtiski nemainās.</w:t>
      </w:r>
      <w:r w:rsidRPr="00F11E58">
        <w:rPr>
          <w:sz w:val="28"/>
        </w:rPr>
        <w:t xml:space="preserve"> Latvijas ekonomikas sentimenta indekss 2011.gada augustā bija </w:t>
      </w:r>
      <w:r w:rsidR="000768A3">
        <w:rPr>
          <w:sz w:val="28"/>
        </w:rPr>
        <w:t>102,8 </w:t>
      </w:r>
      <w:r w:rsidR="00B36FF4">
        <w:rPr>
          <w:sz w:val="28"/>
        </w:rPr>
        <w:t>punkti, kas ir tikai par 1</w:t>
      </w:r>
      <w:r w:rsidRPr="00F11E58">
        <w:rPr>
          <w:sz w:val="28"/>
        </w:rPr>
        <w:t> punkt</w:t>
      </w:r>
      <w:r w:rsidR="00B36FF4">
        <w:rPr>
          <w:sz w:val="28"/>
        </w:rPr>
        <w:t>u vairāk</w:t>
      </w:r>
      <w:r w:rsidR="005711F4">
        <w:rPr>
          <w:sz w:val="28"/>
        </w:rPr>
        <w:t xml:space="preserve"> nekā </w:t>
      </w:r>
      <w:r w:rsidR="00692171">
        <w:rPr>
          <w:sz w:val="28"/>
        </w:rPr>
        <w:t>2010.</w:t>
      </w:r>
      <w:r w:rsidRPr="00F11E58">
        <w:rPr>
          <w:sz w:val="28"/>
        </w:rPr>
        <w:t xml:space="preserve">gada </w:t>
      </w:r>
      <w:r w:rsidR="00B36FF4">
        <w:rPr>
          <w:sz w:val="28"/>
        </w:rPr>
        <w:t>decembr</w:t>
      </w:r>
      <w:r w:rsidR="005711F4">
        <w:rPr>
          <w:sz w:val="28"/>
        </w:rPr>
        <w:t>ī</w:t>
      </w:r>
      <w:r w:rsidRPr="00F11E58">
        <w:rPr>
          <w:sz w:val="28"/>
        </w:rPr>
        <w:t>.</w:t>
      </w:r>
    </w:p>
    <w:p w:rsidR="002B6B13" w:rsidRDefault="00F11E58" w:rsidP="00F11E58">
      <w:pPr>
        <w:pStyle w:val="Taksts11"/>
        <w:spacing w:after="80"/>
        <w:ind w:firstLine="426"/>
        <w:rPr>
          <w:sz w:val="28"/>
          <w:szCs w:val="28"/>
          <w:lang w:val="lv-LV"/>
        </w:rPr>
      </w:pPr>
      <w:r w:rsidRPr="00F11E58">
        <w:rPr>
          <w:sz w:val="28"/>
          <w:szCs w:val="28"/>
          <w:lang w:val="lv-LV"/>
        </w:rPr>
        <w:t xml:space="preserve">Arī apstrādes rūpniecības uzņēmumu konjunktūras apsekojumi rāda, ka uzņēmēju </w:t>
      </w:r>
      <w:r w:rsidR="005711F4">
        <w:rPr>
          <w:sz w:val="28"/>
          <w:szCs w:val="28"/>
          <w:lang w:val="lv-LV"/>
        </w:rPr>
        <w:t xml:space="preserve">kopējais </w:t>
      </w:r>
      <w:r w:rsidRPr="00F11E58">
        <w:rPr>
          <w:sz w:val="28"/>
          <w:szCs w:val="28"/>
          <w:lang w:val="lv-LV"/>
        </w:rPr>
        <w:t>novērtējums par turpmākās izaugsmes iespējām neuzlabojas</w:t>
      </w:r>
      <w:r w:rsidR="005711F4">
        <w:rPr>
          <w:sz w:val="28"/>
          <w:szCs w:val="28"/>
          <w:lang w:val="lv-LV"/>
        </w:rPr>
        <w:t>,</w:t>
      </w:r>
      <w:r w:rsidR="005711F4" w:rsidRPr="005711F4">
        <w:rPr>
          <w:sz w:val="28"/>
          <w:szCs w:val="28"/>
          <w:lang w:val="lv-LV"/>
        </w:rPr>
        <w:t xml:space="preserve"> </w:t>
      </w:r>
      <w:r w:rsidR="005711F4">
        <w:rPr>
          <w:sz w:val="28"/>
          <w:szCs w:val="28"/>
          <w:lang w:val="lv-LV"/>
        </w:rPr>
        <w:t>vienlaikus</w:t>
      </w:r>
      <w:r w:rsidR="005711F4" w:rsidRPr="00F11E58">
        <w:rPr>
          <w:sz w:val="28"/>
          <w:szCs w:val="28"/>
          <w:lang w:val="lv-LV"/>
        </w:rPr>
        <w:t xml:space="preserve"> optimistiskāk uzņēmēji vērtē eksporta attīstības iespējas.</w:t>
      </w:r>
      <w:r w:rsidRPr="00F11E58">
        <w:rPr>
          <w:sz w:val="28"/>
          <w:szCs w:val="28"/>
          <w:lang w:val="lv-LV"/>
        </w:rPr>
        <w:t xml:space="preserve"> Kopējais rūpniecības konfidences rādītājs 2011.gada augustā bija 6,8 punkti,</w:t>
      </w:r>
      <w:r w:rsidR="00692171">
        <w:rPr>
          <w:sz w:val="28"/>
          <w:szCs w:val="28"/>
          <w:lang w:val="lv-LV"/>
        </w:rPr>
        <w:t xml:space="preserve"> un, salīdzinot ar 2010.</w:t>
      </w:r>
      <w:r w:rsidRPr="00F11E58">
        <w:rPr>
          <w:sz w:val="28"/>
          <w:szCs w:val="28"/>
          <w:lang w:val="lv-LV"/>
        </w:rPr>
        <w:t xml:space="preserve">gada augustu, tas ir </w:t>
      </w:r>
      <w:r w:rsidR="005711F4">
        <w:rPr>
          <w:sz w:val="28"/>
          <w:szCs w:val="28"/>
          <w:lang w:val="lv-LV"/>
        </w:rPr>
        <w:t>pasliktinājies par 1,7 punktiem.</w:t>
      </w:r>
      <w:r w:rsidRPr="00F11E58">
        <w:rPr>
          <w:sz w:val="28"/>
          <w:szCs w:val="28"/>
          <w:lang w:val="lv-LV"/>
        </w:rPr>
        <w:t xml:space="preserve"> </w:t>
      </w:r>
      <w:r w:rsidR="005711F4">
        <w:rPr>
          <w:sz w:val="28"/>
          <w:szCs w:val="28"/>
          <w:lang w:val="lv-LV"/>
        </w:rPr>
        <w:t>T</w:t>
      </w:r>
      <w:r w:rsidRPr="00F11E58">
        <w:rPr>
          <w:sz w:val="28"/>
          <w:szCs w:val="28"/>
          <w:lang w:val="lv-LV"/>
        </w:rPr>
        <w:t>omēr</w:t>
      </w:r>
      <w:r w:rsidR="005711F4">
        <w:rPr>
          <w:sz w:val="28"/>
          <w:szCs w:val="28"/>
          <w:lang w:val="lv-LV"/>
        </w:rPr>
        <w:t xml:space="preserve"> jāatzīmē, ka </w:t>
      </w:r>
      <w:r w:rsidR="00692171">
        <w:rPr>
          <w:sz w:val="28"/>
          <w:szCs w:val="28"/>
          <w:lang w:val="lv-LV"/>
        </w:rPr>
        <w:t>2011.</w:t>
      </w:r>
      <w:r w:rsidR="005711F4">
        <w:rPr>
          <w:sz w:val="28"/>
          <w:szCs w:val="28"/>
          <w:lang w:val="lv-LV"/>
        </w:rPr>
        <w:t>gada augustā uzņēmēju</w:t>
      </w:r>
      <w:r w:rsidRPr="00F11E58">
        <w:rPr>
          <w:sz w:val="28"/>
          <w:szCs w:val="28"/>
          <w:lang w:val="lv-LV"/>
        </w:rPr>
        <w:t xml:space="preserve"> </w:t>
      </w:r>
      <w:r w:rsidR="005711F4">
        <w:rPr>
          <w:sz w:val="28"/>
          <w:szCs w:val="28"/>
          <w:lang w:val="lv-LV"/>
        </w:rPr>
        <w:t xml:space="preserve">konfidence par </w:t>
      </w:r>
      <w:r w:rsidRPr="00F11E58">
        <w:rPr>
          <w:sz w:val="28"/>
          <w:szCs w:val="28"/>
          <w:lang w:val="lv-LV"/>
        </w:rPr>
        <w:t>29,5 punktiem</w:t>
      </w:r>
      <w:r w:rsidR="005711F4">
        <w:rPr>
          <w:sz w:val="28"/>
          <w:szCs w:val="28"/>
          <w:lang w:val="lv-LV"/>
        </w:rPr>
        <w:t xml:space="preserve"> pārsniedza</w:t>
      </w:r>
      <w:r w:rsidRPr="00F11E58">
        <w:rPr>
          <w:sz w:val="28"/>
          <w:szCs w:val="28"/>
          <w:lang w:val="lv-LV"/>
        </w:rPr>
        <w:t xml:space="preserve"> </w:t>
      </w:r>
      <w:r w:rsidR="005711F4">
        <w:rPr>
          <w:sz w:val="28"/>
          <w:szCs w:val="28"/>
          <w:lang w:val="lv-LV"/>
        </w:rPr>
        <w:t>2009.gada februāra līmeni</w:t>
      </w:r>
      <w:r w:rsidRPr="00F11E58">
        <w:rPr>
          <w:sz w:val="28"/>
          <w:szCs w:val="28"/>
          <w:lang w:val="lv-LV"/>
        </w:rPr>
        <w:t xml:space="preserve">, kad rādītājs bija sasniedzis zemāko </w:t>
      </w:r>
      <w:r w:rsidR="005711F4">
        <w:rPr>
          <w:sz w:val="28"/>
          <w:szCs w:val="28"/>
          <w:lang w:val="lv-LV"/>
        </w:rPr>
        <w:t>punktu</w:t>
      </w:r>
      <w:r w:rsidRPr="00F11E58">
        <w:rPr>
          <w:sz w:val="28"/>
          <w:szCs w:val="28"/>
          <w:lang w:val="lv-LV"/>
        </w:rPr>
        <w:t xml:space="preserve">. </w:t>
      </w:r>
    </w:p>
    <w:p w:rsidR="00F11E58" w:rsidRPr="00F11E58" w:rsidRDefault="00F11E58" w:rsidP="00F11E58">
      <w:pPr>
        <w:pStyle w:val="Taksts11"/>
        <w:spacing w:after="80"/>
        <w:ind w:firstLine="426"/>
        <w:rPr>
          <w:sz w:val="28"/>
          <w:szCs w:val="28"/>
          <w:lang w:val="lv-LV"/>
        </w:rPr>
      </w:pPr>
      <w:r w:rsidRPr="00F11E58">
        <w:rPr>
          <w:sz w:val="28"/>
          <w:szCs w:val="28"/>
          <w:lang w:val="lv-LV"/>
        </w:rPr>
        <w:t>Kopumā rūpniecības konfidences rādītāju dinamiku nosaka neskaidrība par galveno tirdzniecības partnervalstu attīstības perspektīvām, kā arī piesardzīgāka attieksme pret nākotnes perspektīvām saistībā ar valdības īstenotajiem budžeta konsolidācijas pasākumiem un neskaidrīb</w:t>
      </w:r>
      <w:r w:rsidR="00692171">
        <w:rPr>
          <w:sz w:val="28"/>
          <w:szCs w:val="28"/>
          <w:lang w:val="lv-LV"/>
        </w:rPr>
        <w:t>u</w:t>
      </w:r>
      <w:r w:rsidRPr="00F11E58">
        <w:rPr>
          <w:sz w:val="28"/>
          <w:szCs w:val="28"/>
          <w:lang w:val="lv-LV"/>
        </w:rPr>
        <w:t xml:space="preserve"> nodokļu politikā.</w:t>
      </w:r>
    </w:p>
    <w:p w:rsidR="00F11E58" w:rsidRPr="00F11E58" w:rsidRDefault="00F11E58" w:rsidP="00F11E58">
      <w:pPr>
        <w:ind w:firstLine="426"/>
        <w:jc w:val="both"/>
      </w:pPr>
      <w:r w:rsidRPr="00F11E58">
        <w:rPr>
          <w:sz w:val="28"/>
        </w:rPr>
        <w:t>Arī tirdzniecības</w:t>
      </w:r>
      <w:r w:rsidR="002B6B13">
        <w:rPr>
          <w:sz w:val="28"/>
        </w:rPr>
        <w:t xml:space="preserve"> un </w:t>
      </w:r>
      <w:r w:rsidRPr="00F11E58">
        <w:rPr>
          <w:sz w:val="28"/>
        </w:rPr>
        <w:t>pakalpojumu konfidences rādītāji praktiski neuzlabojas. Savukārt būvniecības nozares</w:t>
      </w:r>
      <w:r w:rsidR="002B6B13">
        <w:rPr>
          <w:sz w:val="28"/>
        </w:rPr>
        <w:t xml:space="preserve"> un patērētāju</w:t>
      </w:r>
      <w:r w:rsidRPr="00F11E58">
        <w:rPr>
          <w:sz w:val="28"/>
        </w:rPr>
        <w:t xml:space="preserve"> konfidences rādītājs, lai arī pieaug, tom</w:t>
      </w:r>
      <w:r w:rsidR="002B6B13">
        <w:rPr>
          <w:sz w:val="28"/>
        </w:rPr>
        <w:t>ēr joprojām ir ļoti zemā līmenī</w:t>
      </w:r>
      <w:r w:rsidRPr="00F11E58">
        <w:rPr>
          <w:sz w:val="28"/>
        </w:rPr>
        <w:t>.</w:t>
      </w:r>
    </w:p>
    <w:p w:rsidR="008C5D9C" w:rsidRPr="002B6B13" w:rsidRDefault="008C5D9C" w:rsidP="004148E4">
      <w:pPr>
        <w:spacing w:after="80"/>
        <w:ind w:firstLine="426"/>
        <w:jc w:val="both"/>
        <w:rPr>
          <w:sz w:val="14"/>
        </w:rPr>
      </w:pPr>
    </w:p>
    <w:p w:rsidR="008C5D9C" w:rsidRPr="00850001" w:rsidRDefault="008C5D9C" w:rsidP="004148E4">
      <w:pPr>
        <w:spacing w:after="80"/>
        <w:ind w:firstLine="426"/>
        <w:jc w:val="both"/>
        <w:rPr>
          <w:sz w:val="28"/>
        </w:rPr>
      </w:pPr>
      <w:r>
        <w:rPr>
          <w:sz w:val="28"/>
        </w:rPr>
        <w:t>Nodaļas turpinājumā sniegta d</w:t>
      </w:r>
      <w:r w:rsidRPr="00007A5B">
        <w:rPr>
          <w:sz w:val="28"/>
        </w:rPr>
        <w:t>etalizētāka statistiskā informācija par iekšzemes kopprodukta dinamiku un produkcijas izlaidi.</w:t>
      </w:r>
    </w:p>
    <w:p w:rsidR="002B6B13" w:rsidRDefault="002B6B13">
      <w:pPr>
        <w:rPr>
          <w:rStyle w:val="Heading2Char"/>
          <w:b w:val="0"/>
        </w:rPr>
      </w:pPr>
      <w:r>
        <w:rPr>
          <w:rStyle w:val="Heading2Char"/>
          <w:b w:val="0"/>
        </w:rPr>
        <w:br w:type="page"/>
      </w:r>
    </w:p>
    <w:p w:rsidR="00BE41C7" w:rsidRDefault="00EC307E" w:rsidP="00BE41C7">
      <w:pPr>
        <w:pStyle w:val="ListParagraph"/>
        <w:ind w:left="0"/>
      </w:pPr>
      <w:bookmarkStart w:id="55" w:name="_Toc305421412"/>
      <w:r w:rsidRPr="00EC307E">
        <w:rPr>
          <w:rStyle w:val="Heading2Char"/>
          <w:b w:val="0"/>
        </w:rPr>
        <w:lastRenderedPageBreak/>
        <w:t>2</w:t>
      </w:r>
      <w:r w:rsidR="00BE41C7" w:rsidRPr="00EC307E">
        <w:rPr>
          <w:rStyle w:val="Heading2Char"/>
          <w:b w:val="0"/>
        </w:rPr>
        <w:t xml:space="preserve">.1.tabula. </w:t>
      </w:r>
      <w:r w:rsidR="00BE41C7" w:rsidRPr="009F6E8E">
        <w:rPr>
          <w:rStyle w:val="Heading2Char"/>
        </w:rPr>
        <w:t>IKP dinamika</w:t>
      </w:r>
      <w:bookmarkEnd w:id="44"/>
      <w:bookmarkEnd w:id="45"/>
      <w:bookmarkEnd w:id="46"/>
      <w:bookmarkEnd w:id="47"/>
      <w:bookmarkEnd w:id="48"/>
      <w:bookmarkEnd w:id="49"/>
      <w:bookmarkEnd w:id="55"/>
      <w:r w:rsidR="00BE41C7" w:rsidRPr="009F6E8E">
        <w:t xml:space="preserve">, % pret iepriekšējā gada atbilstošo </w:t>
      </w:r>
      <w:bookmarkEnd w:id="50"/>
      <w:bookmarkEnd w:id="51"/>
      <w:r w:rsidR="00BE41C7">
        <w:t>periodu</w:t>
      </w:r>
    </w:p>
    <w:p w:rsidR="00BE41C7" w:rsidRPr="009E43F2" w:rsidRDefault="00BE41C7"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1C2361">
        <w:trPr>
          <w:cnfStyle w:val="100000000000"/>
        </w:trPr>
        <w:tc>
          <w:tcPr>
            <w:cnfStyle w:val="001000000000"/>
            <w:tcW w:w="335" w:type="pct"/>
            <w:tcBorders>
              <w:top w:val="single" w:sz="4" w:space="0" w:color="FF0000"/>
              <w:bottom w:val="single" w:sz="4" w:space="0" w:color="FF0000"/>
            </w:tcBorders>
          </w:tcPr>
          <w:p w:rsidR="00352185" w:rsidRPr="0047327C" w:rsidRDefault="00352185" w:rsidP="0047327C">
            <w:pPr>
              <w:pStyle w:val="ListParagraph"/>
              <w:spacing w:before="20" w:after="20"/>
              <w:ind w:left="0"/>
              <w:contextualSpacing w:val="0"/>
              <w:jc w:val="center"/>
              <w:rPr>
                <w:color w:val="000000"/>
                <w:sz w:val="18"/>
                <w:szCs w:val="18"/>
              </w:rPr>
            </w:pPr>
          </w:p>
        </w:tc>
        <w:tc>
          <w:tcPr>
            <w:tcW w:w="4665" w:type="pct"/>
            <w:gridSpan w:val="13"/>
            <w:tcBorders>
              <w:top w:val="single" w:sz="4" w:space="0" w:color="FF0000"/>
              <w:bottom w:val="single" w:sz="4" w:space="0" w:color="FF0000"/>
            </w:tcBorders>
          </w:tcPr>
          <w:p w:rsidR="00352185" w:rsidRPr="0047327C" w:rsidRDefault="00352185" w:rsidP="0047327C">
            <w:pPr>
              <w:pStyle w:val="ListParagraph"/>
              <w:spacing w:before="20" w:after="20"/>
              <w:ind w:left="0"/>
              <w:contextualSpacing w:val="0"/>
              <w:jc w:val="center"/>
              <w:cnfStyle w:val="100000000000"/>
              <w:rPr>
                <w:color w:val="000000"/>
                <w:sz w:val="18"/>
                <w:szCs w:val="18"/>
              </w:rPr>
            </w:pPr>
            <w:r w:rsidRPr="0047327C">
              <w:rPr>
                <w:color w:val="000000"/>
                <w:sz w:val="18"/>
                <w:szCs w:val="18"/>
              </w:rPr>
              <w:t>Pieauguma tempi</w:t>
            </w:r>
            <w:r>
              <w:rPr>
                <w:color w:val="000000"/>
                <w:sz w:val="18"/>
                <w:szCs w:val="18"/>
              </w:rPr>
              <w:t xml:space="preserve">, </w:t>
            </w:r>
            <w:r w:rsidRPr="00E75F96">
              <w:rPr>
                <w:b w:val="0"/>
                <w:color w:val="auto"/>
                <w:sz w:val="18"/>
                <w:szCs w:val="18"/>
              </w:rPr>
              <w:t>% pret iepriekšējā gada atbilstošo periodu</w:t>
            </w:r>
            <w:r>
              <w:rPr>
                <w:b w:val="0"/>
                <w:color w:val="auto"/>
                <w:sz w:val="18"/>
                <w:szCs w:val="18"/>
              </w:rPr>
              <w:t>, sezonāli neizlīdzināti dati</w:t>
            </w:r>
          </w:p>
        </w:tc>
      </w:tr>
      <w:tr w:rsidR="00352185" w:rsidRPr="00352185" w:rsidTr="00352185">
        <w:trPr>
          <w:gridAfter w:val="1"/>
          <w:cnfStyle w:val="000000100000"/>
          <w:wAfter w:w="5" w:type="pct"/>
        </w:trPr>
        <w:tc>
          <w:tcPr>
            <w:cnfStyle w:val="001000000000"/>
            <w:tcW w:w="1511" w:type="pct"/>
            <w:gridSpan w:val="2"/>
          </w:tcPr>
          <w:p w:rsidR="00352185" w:rsidRPr="00352185" w:rsidRDefault="00352185" w:rsidP="00352185">
            <w:pPr>
              <w:spacing w:before="20" w:after="20"/>
              <w:jc w:val="center"/>
              <w:rPr>
                <w:color w:val="000000"/>
                <w:sz w:val="18"/>
                <w:szCs w:val="18"/>
              </w:rPr>
            </w:pPr>
          </w:p>
        </w:tc>
        <w:tc>
          <w:tcPr>
            <w:tcW w:w="335"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6" w:type="pct"/>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2010</w:t>
            </w:r>
          </w:p>
        </w:tc>
        <w:tc>
          <w:tcPr>
            <w:tcW w:w="125" w:type="pct"/>
          </w:tcPr>
          <w:p w:rsidR="00352185" w:rsidRPr="00352185" w:rsidRDefault="00352185" w:rsidP="00352185">
            <w:pPr>
              <w:spacing w:before="20" w:after="20"/>
              <w:jc w:val="center"/>
              <w:cnfStyle w:val="000000100000"/>
              <w:rPr>
                <w:b/>
                <w:sz w:val="2"/>
                <w:szCs w:val="2"/>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r w:rsidRPr="00352185">
              <w:rPr>
                <w:b/>
                <w:sz w:val="18"/>
                <w:szCs w:val="18"/>
              </w:rPr>
              <w:t>2009</w:t>
            </w: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4BC8" w:rsidP="00352185">
            <w:pPr>
              <w:tabs>
                <w:tab w:val="decimal" w:pos="304"/>
              </w:tabs>
              <w:spacing w:before="20" w:after="20"/>
              <w:jc w:val="center"/>
              <w:cnfStyle w:val="000000100000"/>
              <w:rPr>
                <w:b/>
                <w:sz w:val="18"/>
                <w:szCs w:val="18"/>
              </w:rPr>
            </w:pPr>
            <w:r w:rsidRPr="00352185">
              <w:rPr>
                <w:b/>
                <w:sz w:val="18"/>
                <w:szCs w:val="18"/>
              </w:rPr>
              <w:t>2010</w:t>
            </w: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c>
          <w:tcPr>
            <w:tcW w:w="337" w:type="pct"/>
            <w:vAlign w:val="bottom"/>
          </w:tcPr>
          <w:p w:rsidR="00352185" w:rsidRPr="00352185" w:rsidRDefault="00354BC8" w:rsidP="00352185">
            <w:pPr>
              <w:tabs>
                <w:tab w:val="decimal" w:pos="304"/>
              </w:tabs>
              <w:spacing w:before="20" w:after="20"/>
              <w:jc w:val="center"/>
              <w:cnfStyle w:val="000000100000"/>
              <w:rPr>
                <w:b/>
                <w:sz w:val="18"/>
                <w:szCs w:val="18"/>
              </w:rPr>
            </w:pPr>
            <w:r>
              <w:rPr>
                <w:b/>
                <w:sz w:val="18"/>
                <w:szCs w:val="18"/>
              </w:rPr>
              <w:t>2011</w:t>
            </w:r>
          </w:p>
        </w:tc>
        <w:tc>
          <w:tcPr>
            <w:tcW w:w="335" w:type="pct"/>
            <w:vAlign w:val="bottom"/>
          </w:tcPr>
          <w:p w:rsidR="00352185" w:rsidRPr="00352185" w:rsidRDefault="00352185" w:rsidP="00352185">
            <w:pPr>
              <w:tabs>
                <w:tab w:val="decimal" w:pos="304"/>
              </w:tabs>
              <w:spacing w:before="20" w:after="20"/>
              <w:jc w:val="center"/>
              <w:cnfStyle w:val="000000100000"/>
              <w:rPr>
                <w:b/>
                <w:sz w:val="18"/>
                <w:szCs w:val="18"/>
              </w:rPr>
            </w:pPr>
          </w:p>
        </w:tc>
      </w:tr>
      <w:tr w:rsidR="00354BC8" w:rsidRPr="0047327C" w:rsidTr="00352185">
        <w:trPr>
          <w:gridAfter w:val="1"/>
          <w:wAfter w:w="5" w:type="pct"/>
        </w:trPr>
        <w:tc>
          <w:tcPr>
            <w:cnfStyle w:val="001000000000"/>
            <w:tcW w:w="1511" w:type="pct"/>
            <w:gridSpan w:val="2"/>
          </w:tcPr>
          <w:p w:rsidR="00354BC8" w:rsidRPr="0047327C" w:rsidRDefault="00354BC8" w:rsidP="0047327C">
            <w:pPr>
              <w:spacing w:before="20" w:after="20"/>
              <w:rPr>
                <w:color w:val="000000"/>
                <w:sz w:val="18"/>
                <w:szCs w:val="18"/>
              </w:rPr>
            </w:pPr>
          </w:p>
        </w:tc>
        <w:tc>
          <w:tcPr>
            <w:tcW w:w="335" w:type="pct"/>
          </w:tcPr>
          <w:p w:rsidR="00354BC8" w:rsidRPr="004E5210" w:rsidRDefault="00354BC8" w:rsidP="00352185">
            <w:pPr>
              <w:tabs>
                <w:tab w:val="decimal" w:pos="304"/>
              </w:tabs>
              <w:spacing w:before="20" w:after="20"/>
              <w:jc w:val="center"/>
              <w:cnfStyle w:val="000000000000"/>
              <w:rPr>
                <w:sz w:val="18"/>
                <w:szCs w:val="18"/>
              </w:rPr>
            </w:pPr>
          </w:p>
        </w:tc>
        <w:tc>
          <w:tcPr>
            <w:tcW w:w="336" w:type="pct"/>
          </w:tcPr>
          <w:p w:rsidR="00354BC8" w:rsidRPr="004E5210" w:rsidRDefault="00354BC8" w:rsidP="00352185">
            <w:pPr>
              <w:tabs>
                <w:tab w:val="decimal" w:pos="304"/>
              </w:tabs>
              <w:spacing w:before="20" w:after="20"/>
              <w:jc w:val="center"/>
              <w:cnfStyle w:val="000000000000"/>
              <w:rPr>
                <w:sz w:val="18"/>
                <w:szCs w:val="18"/>
              </w:rPr>
            </w:pPr>
          </w:p>
        </w:tc>
        <w:tc>
          <w:tcPr>
            <w:tcW w:w="125" w:type="pct"/>
          </w:tcPr>
          <w:p w:rsidR="00354BC8" w:rsidRPr="00352185" w:rsidRDefault="00354BC8" w:rsidP="00352185">
            <w:pPr>
              <w:spacing w:before="20" w:after="20"/>
              <w:jc w:val="center"/>
              <w:cnfStyle w:val="000000000000"/>
              <w:rPr>
                <w:b/>
                <w:sz w:val="2"/>
                <w:szCs w:val="2"/>
              </w:rPr>
            </w:pPr>
          </w:p>
        </w:tc>
        <w:tc>
          <w:tcPr>
            <w:tcW w:w="335"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III</w:t>
            </w:r>
          </w:p>
        </w:tc>
        <w:tc>
          <w:tcPr>
            <w:tcW w:w="337"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IV</w:t>
            </w:r>
          </w:p>
        </w:tc>
        <w:tc>
          <w:tcPr>
            <w:tcW w:w="337" w:type="pct"/>
          </w:tcPr>
          <w:p w:rsidR="00354BC8" w:rsidRPr="00792E95" w:rsidRDefault="00354BC8" w:rsidP="00E45D81">
            <w:pPr>
              <w:spacing w:before="20" w:after="20"/>
              <w:jc w:val="center"/>
              <w:cnfStyle w:val="000000000000"/>
              <w:rPr>
                <w:b/>
                <w:sz w:val="18"/>
                <w:szCs w:val="18"/>
              </w:rPr>
            </w:pPr>
            <w:r w:rsidRPr="00792E95">
              <w:rPr>
                <w:b/>
                <w:color w:val="auto"/>
                <w:sz w:val="18"/>
                <w:szCs w:val="18"/>
              </w:rPr>
              <w:t>I</w:t>
            </w:r>
          </w:p>
        </w:tc>
        <w:tc>
          <w:tcPr>
            <w:tcW w:w="335"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354BC8" w:rsidRPr="00792E95" w:rsidRDefault="00354BC8" w:rsidP="00E45D81">
            <w:pPr>
              <w:spacing w:before="20" w:after="20"/>
              <w:jc w:val="center"/>
              <w:cnfStyle w:val="000000000000"/>
              <w:rPr>
                <w:b/>
                <w:sz w:val="18"/>
                <w:szCs w:val="18"/>
              </w:rPr>
            </w:pPr>
            <w:r>
              <w:rPr>
                <w:b/>
                <w:sz w:val="18"/>
                <w:szCs w:val="18"/>
              </w:rPr>
              <w:t>III</w:t>
            </w:r>
          </w:p>
        </w:tc>
        <w:tc>
          <w:tcPr>
            <w:tcW w:w="335" w:type="pct"/>
          </w:tcPr>
          <w:p w:rsidR="00354BC8" w:rsidRPr="00792E95" w:rsidRDefault="00354BC8" w:rsidP="00E45D81">
            <w:pPr>
              <w:spacing w:before="20" w:after="20"/>
              <w:jc w:val="center"/>
              <w:cnfStyle w:val="000000000000"/>
              <w:rPr>
                <w:b/>
                <w:sz w:val="18"/>
                <w:szCs w:val="18"/>
              </w:rPr>
            </w:pPr>
            <w:r>
              <w:rPr>
                <w:b/>
                <w:sz w:val="18"/>
                <w:szCs w:val="18"/>
              </w:rPr>
              <w:t>IV</w:t>
            </w:r>
          </w:p>
        </w:tc>
        <w:tc>
          <w:tcPr>
            <w:tcW w:w="337" w:type="pct"/>
          </w:tcPr>
          <w:p w:rsidR="00354BC8" w:rsidRPr="00792E95" w:rsidRDefault="00354BC8" w:rsidP="00E45D81">
            <w:pPr>
              <w:spacing w:before="20" w:after="20"/>
              <w:jc w:val="center"/>
              <w:cnfStyle w:val="000000000000"/>
              <w:rPr>
                <w:b/>
                <w:sz w:val="18"/>
                <w:szCs w:val="18"/>
              </w:rPr>
            </w:pPr>
            <w:r>
              <w:rPr>
                <w:b/>
                <w:sz w:val="18"/>
                <w:szCs w:val="18"/>
              </w:rPr>
              <w:t>I</w:t>
            </w:r>
          </w:p>
        </w:tc>
        <w:tc>
          <w:tcPr>
            <w:tcW w:w="335" w:type="pct"/>
          </w:tcPr>
          <w:p w:rsidR="00354BC8" w:rsidRPr="00792E95" w:rsidRDefault="00354BC8" w:rsidP="00352185">
            <w:pPr>
              <w:spacing w:before="20" w:after="20"/>
              <w:jc w:val="center"/>
              <w:cnfStyle w:val="000000000000"/>
              <w:rPr>
                <w:b/>
                <w:sz w:val="18"/>
                <w:szCs w:val="18"/>
              </w:rPr>
            </w:pPr>
            <w:r w:rsidRPr="00792E95">
              <w:rPr>
                <w:b/>
                <w:color w:val="auto"/>
                <w:sz w:val="18"/>
                <w:szCs w:val="18"/>
              </w:rPr>
              <w:t>I</w:t>
            </w:r>
            <w:r>
              <w:rPr>
                <w:b/>
                <w:color w:val="auto"/>
                <w:sz w:val="18"/>
                <w:szCs w:val="18"/>
              </w:rPr>
              <w:t>I</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227BDB">
            <w:pPr>
              <w:spacing w:before="20" w:after="20"/>
              <w:rPr>
                <w:b w:val="0"/>
                <w:color w:val="auto"/>
                <w:sz w:val="18"/>
                <w:szCs w:val="18"/>
              </w:rPr>
            </w:pPr>
            <w:r>
              <w:rPr>
                <w:b w:val="0"/>
                <w:color w:val="auto"/>
                <w:sz w:val="18"/>
                <w:szCs w:val="18"/>
              </w:rPr>
              <w:t>Lauksaimniecība, mežsaimniecība</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9,1</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2,0</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6,2</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18,9</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3,8</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1,1</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0,5</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4,1</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7,4</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4,3</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227BDB">
            <w:pPr>
              <w:spacing w:before="20" w:after="20"/>
              <w:rPr>
                <w:b w:val="0"/>
                <w:color w:val="000000"/>
                <w:sz w:val="18"/>
                <w:szCs w:val="18"/>
              </w:rPr>
            </w:pPr>
            <w:r w:rsidRPr="0047327C">
              <w:rPr>
                <w:b w:val="0"/>
                <w:color w:val="000000"/>
                <w:sz w:val="18"/>
                <w:szCs w:val="18"/>
              </w:rPr>
              <w:t>Apstrādes rūpniecība</w:t>
            </w:r>
          </w:p>
        </w:tc>
        <w:tc>
          <w:tcPr>
            <w:tcW w:w="335" w:type="pct"/>
            <w:vAlign w:val="center"/>
          </w:tcPr>
          <w:p w:rsidR="00165752" w:rsidRPr="004E5210" w:rsidRDefault="00165752" w:rsidP="00077B11">
            <w:pPr>
              <w:tabs>
                <w:tab w:val="decimal" w:pos="304"/>
              </w:tabs>
              <w:spacing w:before="20" w:after="20"/>
              <w:jc w:val="center"/>
              <w:cnfStyle w:val="000000000000"/>
              <w:rPr>
                <w:color w:val="auto"/>
                <w:sz w:val="18"/>
                <w:szCs w:val="18"/>
              </w:rPr>
            </w:pPr>
            <w:r w:rsidRPr="004E5210">
              <w:rPr>
                <w:color w:val="auto"/>
                <w:sz w:val="18"/>
                <w:szCs w:val="18"/>
              </w:rPr>
              <w:t>-1</w:t>
            </w:r>
            <w:r>
              <w:rPr>
                <w:color w:val="auto"/>
                <w:sz w:val="18"/>
                <w:szCs w:val="18"/>
              </w:rPr>
              <w:t>7,8</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16,5</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-16,0</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-9,5</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4,0</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15,4</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23,4</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21,7</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14,7</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14,6</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227BDB">
            <w:pPr>
              <w:spacing w:before="20" w:after="20"/>
              <w:rPr>
                <w:b w:val="0"/>
                <w:color w:val="000000"/>
                <w:sz w:val="18"/>
                <w:szCs w:val="18"/>
              </w:rPr>
            </w:pPr>
            <w:r>
              <w:rPr>
                <w:b w:val="0"/>
                <w:color w:val="000000"/>
                <w:sz w:val="18"/>
                <w:szCs w:val="18"/>
              </w:rPr>
              <w:t>Pārējā rūpniecība</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sidRPr="004E5210">
              <w:rPr>
                <w:color w:val="auto"/>
                <w:sz w:val="18"/>
                <w:szCs w:val="18"/>
              </w:rPr>
              <w:t>-</w:t>
            </w:r>
            <w:r>
              <w:rPr>
                <w:color w:val="auto"/>
                <w:sz w:val="18"/>
                <w:szCs w:val="18"/>
              </w:rPr>
              <w:t>3,9</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6,2</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-1,2</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-7,8</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8,5</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5,8</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3,6</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6,0</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-1,1</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3,8</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227BDB">
            <w:pPr>
              <w:spacing w:before="20" w:after="20"/>
              <w:rPr>
                <w:b w:val="0"/>
                <w:color w:val="000000"/>
                <w:sz w:val="18"/>
                <w:szCs w:val="18"/>
              </w:rPr>
            </w:pPr>
            <w:r w:rsidRPr="0047327C">
              <w:rPr>
                <w:b w:val="0"/>
                <w:color w:val="000000"/>
                <w:sz w:val="18"/>
                <w:szCs w:val="18"/>
              </w:rPr>
              <w:t>Būvniecība</w:t>
            </w:r>
          </w:p>
        </w:tc>
        <w:tc>
          <w:tcPr>
            <w:tcW w:w="335" w:type="pct"/>
            <w:vAlign w:val="center"/>
          </w:tcPr>
          <w:p w:rsidR="00165752" w:rsidRPr="004E5210" w:rsidRDefault="00165752" w:rsidP="00227BDB">
            <w:pPr>
              <w:tabs>
                <w:tab w:val="decimal" w:pos="304"/>
              </w:tabs>
              <w:spacing w:before="20" w:after="20"/>
              <w:jc w:val="center"/>
              <w:cnfStyle w:val="000000000000"/>
              <w:rPr>
                <w:color w:val="auto"/>
                <w:sz w:val="18"/>
                <w:szCs w:val="18"/>
              </w:rPr>
            </w:pPr>
            <w:r w:rsidRPr="004E5210">
              <w:rPr>
                <w:color w:val="auto"/>
                <w:sz w:val="18"/>
                <w:szCs w:val="18"/>
              </w:rPr>
              <w:t>-3</w:t>
            </w:r>
            <w:r>
              <w:rPr>
                <w:color w:val="auto"/>
                <w:sz w:val="18"/>
                <w:szCs w:val="18"/>
              </w:rPr>
              <w:t>2,0</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-23,9</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-34,1</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-35,8</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-43,4</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-35,3</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-13,1</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-9,6</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-11,8</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-0,9</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227BDB">
            <w:pPr>
              <w:spacing w:before="20" w:after="20"/>
              <w:rPr>
                <w:b w:val="0"/>
                <w:color w:val="000000"/>
                <w:sz w:val="18"/>
                <w:szCs w:val="18"/>
              </w:rPr>
            </w:pPr>
            <w:r w:rsidRPr="0047327C">
              <w:rPr>
                <w:b w:val="0"/>
                <w:color w:val="000000"/>
                <w:sz w:val="18"/>
                <w:szCs w:val="18"/>
              </w:rPr>
              <w:t>Tirdzniecība, viesnīcas, restorāni</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sidRPr="004E5210">
              <w:rPr>
                <w:color w:val="auto"/>
                <w:sz w:val="18"/>
                <w:szCs w:val="18"/>
              </w:rPr>
              <w:t>-2</w:t>
            </w:r>
            <w:r>
              <w:rPr>
                <w:color w:val="auto"/>
                <w:sz w:val="18"/>
                <w:szCs w:val="18"/>
              </w:rPr>
              <w:t>5,2</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3,1</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-24,7</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-18,7</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-8,9</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10,6</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9,8</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10,4</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8,4</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 xml:space="preserve">Transports un </w:t>
            </w:r>
            <w:r>
              <w:rPr>
                <w:b w:val="0"/>
                <w:color w:val="000000"/>
                <w:sz w:val="18"/>
                <w:szCs w:val="18"/>
              </w:rPr>
              <w:t>uzglabāšana</w:t>
            </w:r>
          </w:p>
        </w:tc>
        <w:tc>
          <w:tcPr>
            <w:tcW w:w="335"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1,1</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5,6</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0,4</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1,9</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5,3</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5,5</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6,7</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5,1</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7,6</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8,1</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227BDB">
            <w:pPr>
              <w:spacing w:before="20" w:after="20"/>
              <w:rPr>
                <w:b w:val="0"/>
                <w:color w:val="000000"/>
                <w:sz w:val="18"/>
                <w:szCs w:val="18"/>
              </w:rPr>
            </w:pPr>
            <w:r w:rsidRPr="0047327C">
              <w:rPr>
                <w:b w:val="0"/>
                <w:color w:val="000000"/>
                <w:sz w:val="18"/>
                <w:szCs w:val="18"/>
              </w:rPr>
              <w:t>Sabiedriskie pakalpojumi</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-9</w:t>
            </w:r>
            <w:r w:rsidRPr="004E5210">
              <w:rPr>
                <w:color w:val="auto"/>
                <w:sz w:val="18"/>
                <w:szCs w:val="18"/>
              </w:rPr>
              <w:t>,3</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-6,4</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-13,8</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-11,9</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-5,5</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-7,1</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-4,0</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-2,1</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-1,5</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2,4</w:t>
            </w:r>
          </w:p>
        </w:tc>
      </w:tr>
      <w:tr w:rsidR="00165752" w:rsidRPr="0047327C" w:rsidTr="001C2361">
        <w:trPr>
          <w:gridAfter w:val="1"/>
          <w:wAfter w:w="5" w:type="pct"/>
        </w:trPr>
        <w:tc>
          <w:tcPr>
            <w:cnfStyle w:val="001000000000"/>
            <w:tcW w:w="1511" w:type="pct"/>
            <w:gridSpan w:val="2"/>
            <w:tcBorders>
              <w:bottom w:val="nil"/>
            </w:tcBorders>
            <w:vAlign w:val="center"/>
          </w:tcPr>
          <w:p w:rsidR="00165752" w:rsidRPr="0047327C" w:rsidRDefault="00165752" w:rsidP="00227BDB">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vAlign w:val="center"/>
          </w:tcPr>
          <w:p w:rsidR="00165752" w:rsidRPr="004E5210" w:rsidRDefault="00165752" w:rsidP="00077B11">
            <w:pPr>
              <w:tabs>
                <w:tab w:val="decimal" w:pos="304"/>
              </w:tabs>
              <w:spacing w:before="20" w:after="20"/>
              <w:jc w:val="center"/>
              <w:cnfStyle w:val="000000000000"/>
              <w:rPr>
                <w:color w:val="auto"/>
                <w:sz w:val="18"/>
                <w:szCs w:val="18"/>
              </w:rPr>
            </w:pPr>
            <w:r w:rsidRPr="004E5210">
              <w:rPr>
                <w:color w:val="auto"/>
                <w:sz w:val="18"/>
                <w:szCs w:val="18"/>
              </w:rPr>
              <w:t>-</w:t>
            </w:r>
            <w:r>
              <w:rPr>
                <w:color w:val="auto"/>
                <w:sz w:val="18"/>
                <w:szCs w:val="18"/>
              </w:rPr>
              <w:t>14,7</w:t>
            </w:r>
          </w:p>
        </w:tc>
        <w:tc>
          <w:tcPr>
            <w:tcW w:w="336" w:type="pct"/>
            <w:tcBorders>
              <w:bottom w:val="nil"/>
            </w:tcBorders>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-4,7</w:t>
            </w:r>
          </w:p>
        </w:tc>
        <w:tc>
          <w:tcPr>
            <w:tcW w:w="125" w:type="pct"/>
            <w:tcBorders>
              <w:bottom w:val="nil"/>
            </w:tcBorders>
          </w:tcPr>
          <w:p w:rsidR="00165752" w:rsidRPr="00352185" w:rsidRDefault="00165752" w:rsidP="00352185">
            <w:pPr>
              <w:spacing w:before="20" w:after="20"/>
              <w:jc w:val="center"/>
              <w:cnfStyle w:val="000000000000"/>
              <w:rPr>
                <w:sz w:val="2"/>
                <w:szCs w:val="2"/>
              </w:rPr>
            </w:pP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-6,7</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-16,4</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-10,9</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-11,4</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-2,6</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-1,3</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0,6</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1,0</w:t>
            </w:r>
          </w:p>
        </w:tc>
      </w:tr>
      <w:tr w:rsidR="00077B11" w:rsidRPr="004E5210" w:rsidTr="001C2361">
        <w:trPr>
          <w:gridAfter w:val="1"/>
          <w:cnfStyle w:val="000000100000"/>
          <w:wAfter w:w="5" w:type="pct"/>
        </w:trPr>
        <w:tc>
          <w:tcPr>
            <w:cnfStyle w:val="001000000000"/>
            <w:tcW w:w="1511" w:type="pct"/>
            <w:gridSpan w:val="2"/>
            <w:tcBorders>
              <w:top w:val="nil"/>
              <w:bottom w:val="single" w:sz="4" w:space="0" w:color="FF0000"/>
            </w:tcBorders>
            <w:vAlign w:val="center"/>
          </w:tcPr>
          <w:p w:rsidR="00077B11" w:rsidRPr="004E5210" w:rsidRDefault="00077B11" w:rsidP="00227BDB">
            <w:pPr>
              <w:spacing w:before="20" w:after="20"/>
              <w:rPr>
                <w:color w:val="000000"/>
                <w:sz w:val="20"/>
                <w:szCs w:val="18"/>
              </w:rPr>
            </w:pPr>
            <w:r w:rsidRPr="004E5210">
              <w:rPr>
                <w:color w:val="000000"/>
                <w:sz w:val="20"/>
                <w:szCs w:val="18"/>
              </w:rPr>
              <w:t>IKP</w:t>
            </w:r>
          </w:p>
        </w:tc>
        <w:tc>
          <w:tcPr>
            <w:tcW w:w="335" w:type="pct"/>
            <w:tcBorders>
              <w:top w:val="nil"/>
              <w:bottom w:val="single" w:sz="4" w:space="0" w:color="FF0000"/>
            </w:tcBorders>
            <w:vAlign w:val="center"/>
          </w:tcPr>
          <w:p w:rsidR="00077B11" w:rsidRPr="005420C2" w:rsidRDefault="00077B11" w:rsidP="00077B11">
            <w:pPr>
              <w:tabs>
                <w:tab w:val="decimal" w:pos="304"/>
              </w:tabs>
              <w:spacing w:before="20" w:after="20"/>
              <w:jc w:val="center"/>
              <w:cnfStyle w:val="000000100000"/>
              <w:rPr>
                <w:b/>
                <w:color w:val="auto"/>
                <w:sz w:val="20"/>
                <w:szCs w:val="20"/>
              </w:rPr>
            </w:pPr>
            <w:r w:rsidRPr="005420C2">
              <w:rPr>
                <w:b/>
                <w:color w:val="auto"/>
                <w:sz w:val="20"/>
                <w:szCs w:val="20"/>
              </w:rPr>
              <w:t>-1</w:t>
            </w:r>
            <w:r>
              <w:rPr>
                <w:b/>
                <w:color w:val="auto"/>
                <w:sz w:val="20"/>
                <w:szCs w:val="20"/>
              </w:rPr>
              <w:t>7</w:t>
            </w:r>
            <w:r w:rsidRPr="005420C2">
              <w:rPr>
                <w:b/>
                <w:color w:val="auto"/>
                <w:sz w:val="20"/>
                <w:szCs w:val="20"/>
              </w:rPr>
              <w:t>,</w:t>
            </w:r>
            <w:r>
              <w:rPr>
                <w:b/>
                <w:color w:val="auto"/>
                <w:sz w:val="20"/>
                <w:szCs w:val="20"/>
              </w:rPr>
              <w:t>7</w:t>
            </w:r>
          </w:p>
        </w:tc>
        <w:tc>
          <w:tcPr>
            <w:tcW w:w="336" w:type="pct"/>
            <w:tcBorders>
              <w:top w:val="nil"/>
              <w:bottom w:val="single" w:sz="4" w:space="0" w:color="FF0000"/>
            </w:tcBorders>
            <w:vAlign w:val="center"/>
          </w:tcPr>
          <w:p w:rsidR="00077B11" w:rsidRPr="005420C2" w:rsidRDefault="00077B11" w:rsidP="00227BDB">
            <w:pPr>
              <w:tabs>
                <w:tab w:val="decimal" w:pos="304"/>
              </w:tabs>
              <w:spacing w:before="20" w:after="20"/>
              <w:jc w:val="center"/>
              <w:cnfStyle w:val="000000100000"/>
              <w:rPr>
                <w:b/>
                <w:color w:val="auto"/>
                <w:sz w:val="20"/>
                <w:szCs w:val="20"/>
              </w:rPr>
            </w:pPr>
            <w:r>
              <w:rPr>
                <w:b/>
                <w:color w:val="auto"/>
                <w:sz w:val="20"/>
                <w:szCs w:val="20"/>
              </w:rPr>
              <w:t>-0,3</w:t>
            </w:r>
          </w:p>
        </w:tc>
        <w:tc>
          <w:tcPr>
            <w:tcW w:w="125" w:type="pct"/>
            <w:tcBorders>
              <w:top w:val="nil"/>
              <w:bottom w:val="single" w:sz="4" w:space="0" w:color="FF0000"/>
            </w:tcBorders>
          </w:tcPr>
          <w:p w:rsidR="00077B11" w:rsidRPr="00352185" w:rsidRDefault="00077B11" w:rsidP="00352185">
            <w:pPr>
              <w:spacing w:before="20" w:after="20"/>
              <w:jc w:val="center"/>
              <w:cnfStyle w:val="000000100000"/>
              <w:rPr>
                <w:b/>
                <w:sz w:val="2"/>
                <w:szCs w:val="2"/>
              </w:rPr>
            </w:pPr>
          </w:p>
        </w:tc>
        <w:tc>
          <w:tcPr>
            <w:tcW w:w="335"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-18,0</w:t>
            </w:r>
          </w:p>
        </w:tc>
        <w:tc>
          <w:tcPr>
            <w:tcW w:w="337"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-16,0</w:t>
            </w:r>
          </w:p>
        </w:tc>
        <w:tc>
          <w:tcPr>
            <w:tcW w:w="337"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-5,5</w:t>
            </w:r>
          </w:p>
        </w:tc>
        <w:tc>
          <w:tcPr>
            <w:tcW w:w="335"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7"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3,6</w:t>
            </w:r>
          </w:p>
        </w:tc>
        <w:tc>
          <w:tcPr>
            <w:tcW w:w="337"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FF0000"/>
            </w:tcBorders>
            <w:vAlign w:val="bottom"/>
          </w:tcPr>
          <w:p w:rsidR="00077B11" w:rsidRPr="00077B11" w:rsidRDefault="00077B11" w:rsidP="00077B11">
            <w:pPr>
              <w:tabs>
                <w:tab w:val="decimal" w:pos="304"/>
              </w:tabs>
              <w:spacing w:before="20" w:after="20"/>
              <w:jc w:val="center"/>
              <w:cnfStyle w:val="000000100000"/>
              <w:rPr>
                <w:b/>
                <w:color w:val="auto"/>
                <w:sz w:val="18"/>
                <w:szCs w:val="18"/>
              </w:rPr>
            </w:pPr>
            <w:r w:rsidRPr="00077B11">
              <w:rPr>
                <w:b/>
                <w:color w:val="auto"/>
                <w:sz w:val="18"/>
                <w:szCs w:val="18"/>
              </w:rPr>
              <w:t>5,6</w:t>
            </w:r>
          </w:p>
        </w:tc>
      </w:tr>
    </w:tbl>
    <w:p w:rsidR="009E43F2" w:rsidRDefault="009E43F2" w:rsidP="00BE41C7">
      <w:pPr>
        <w:pStyle w:val="ListParagraph"/>
        <w:ind w:left="0"/>
        <w:rPr>
          <w:sz w:val="6"/>
          <w:szCs w:val="6"/>
        </w:rPr>
      </w:pPr>
    </w:p>
    <w:tbl>
      <w:tblPr>
        <w:tblStyle w:val="LightShading2"/>
        <w:tblW w:w="4802" w:type="pct"/>
        <w:tblLayout w:type="fixed"/>
        <w:tblLook w:val="04A0"/>
      </w:tblPr>
      <w:tblGrid>
        <w:gridCol w:w="635"/>
        <w:gridCol w:w="2226"/>
        <w:gridCol w:w="634"/>
        <w:gridCol w:w="636"/>
        <w:gridCol w:w="237"/>
        <w:gridCol w:w="634"/>
        <w:gridCol w:w="638"/>
        <w:gridCol w:w="638"/>
        <w:gridCol w:w="634"/>
        <w:gridCol w:w="638"/>
        <w:gridCol w:w="634"/>
        <w:gridCol w:w="638"/>
        <w:gridCol w:w="634"/>
        <w:gridCol w:w="9"/>
      </w:tblGrid>
      <w:tr w:rsidR="00352185" w:rsidRPr="0047327C" w:rsidTr="001C2361">
        <w:trPr>
          <w:cnfStyle w:val="100000000000"/>
        </w:trPr>
        <w:tc>
          <w:tcPr>
            <w:cnfStyle w:val="001000000000"/>
            <w:tcW w:w="335" w:type="pct"/>
            <w:tcBorders>
              <w:top w:val="single" w:sz="4" w:space="0" w:color="FF0000"/>
              <w:bottom w:val="single" w:sz="4" w:space="0" w:color="FF0000"/>
            </w:tcBorders>
          </w:tcPr>
          <w:p w:rsidR="00352185" w:rsidRPr="0047327C" w:rsidRDefault="00352185" w:rsidP="00352185">
            <w:pPr>
              <w:pStyle w:val="ListParagraph"/>
              <w:spacing w:before="20" w:after="20"/>
              <w:ind w:left="0"/>
              <w:contextualSpacing w:val="0"/>
              <w:jc w:val="center"/>
              <w:rPr>
                <w:color w:val="000000"/>
                <w:sz w:val="18"/>
                <w:szCs w:val="18"/>
              </w:rPr>
            </w:pPr>
          </w:p>
        </w:tc>
        <w:tc>
          <w:tcPr>
            <w:tcW w:w="4665" w:type="pct"/>
            <w:gridSpan w:val="13"/>
            <w:tcBorders>
              <w:top w:val="single" w:sz="4" w:space="0" w:color="FF0000"/>
              <w:bottom w:val="single" w:sz="4" w:space="0" w:color="FF0000"/>
            </w:tcBorders>
          </w:tcPr>
          <w:p w:rsidR="00352185" w:rsidRPr="0047327C" w:rsidRDefault="00352185" w:rsidP="00352185">
            <w:pPr>
              <w:pStyle w:val="ListParagraph"/>
              <w:spacing w:before="20" w:after="20"/>
              <w:ind w:left="0"/>
              <w:contextualSpacing w:val="0"/>
              <w:jc w:val="center"/>
              <w:cnfStyle w:val="100000000000"/>
              <w:rPr>
                <w:color w:val="000000"/>
                <w:sz w:val="18"/>
                <w:szCs w:val="18"/>
              </w:rPr>
            </w:pPr>
            <w:r>
              <w:rPr>
                <w:color w:val="000000"/>
                <w:sz w:val="18"/>
                <w:szCs w:val="18"/>
              </w:rPr>
              <w:t xml:space="preserve">Ieguldījums pieaugumā, </w:t>
            </w:r>
            <w:r w:rsidRPr="00E75F96">
              <w:rPr>
                <w:b w:val="0"/>
                <w:color w:val="auto"/>
                <w:sz w:val="18"/>
                <w:szCs w:val="18"/>
              </w:rPr>
              <w:t>%</w:t>
            </w:r>
          </w:p>
        </w:tc>
      </w:tr>
      <w:tr w:rsidR="00354BC8" w:rsidRPr="00352185" w:rsidTr="00352185">
        <w:trPr>
          <w:gridAfter w:val="1"/>
          <w:cnfStyle w:val="000000100000"/>
          <w:wAfter w:w="5" w:type="pct"/>
        </w:trPr>
        <w:tc>
          <w:tcPr>
            <w:cnfStyle w:val="001000000000"/>
            <w:tcW w:w="1511" w:type="pct"/>
            <w:gridSpan w:val="2"/>
          </w:tcPr>
          <w:p w:rsidR="00354BC8" w:rsidRPr="00352185" w:rsidRDefault="00354BC8" w:rsidP="00352185">
            <w:pPr>
              <w:spacing w:before="20" w:after="20"/>
              <w:jc w:val="center"/>
              <w:rPr>
                <w:color w:val="000000"/>
                <w:sz w:val="18"/>
                <w:szCs w:val="18"/>
              </w:rPr>
            </w:pPr>
          </w:p>
        </w:tc>
        <w:tc>
          <w:tcPr>
            <w:tcW w:w="335" w:type="pct"/>
          </w:tcPr>
          <w:p w:rsidR="00354BC8" w:rsidRPr="00352185" w:rsidRDefault="00354BC8" w:rsidP="00352185">
            <w:pPr>
              <w:tabs>
                <w:tab w:val="decimal" w:pos="304"/>
              </w:tabs>
              <w:spacing w:before="20" w:after="20"/>
              <w:jc w:val="center"/>
              <w:cnfStyle w:val="000000100000"/>
              <w:rPr>
                <w:b/>
                <w:sz w:val="18"/>
                <w:szCs w:val="18"/>
              </w:rPr>
            </w:pPr>
            <w:r w:rsidRPr="00352185">
              <w:rPr>
                <w:b/>
                <w:sz w:val="18"/>
                <w:szCs w:val="18"/>
              </w:rPr>
              <w:t>2009</w:t>
            </w:r>
          </w:p>
        </w:tc>
        <w:tc>
          <w:tcPr>
            <w:tcW w:w="336" w:type="pct"/>
          </w:tcPr>
          <w:p w:rsidR="00354BC8" w:rsidRPr="00352185" w:rsidRDefault="00354BC8" w:rsidP="00352185">
            <w:pPr>
              <w:tabs>
                <w:tab w:val="decimal" w:pos="304"/>
              </w:tabs>
              <w:spacing w:before="20" w:after="20"/>
              <w:jc w:val="center"/>
              <w:cnfStyle w:val="000000100000"/>
              <w:rPr>
                <w:b/>
                <w:sz w:val="18"/>
                <w:szCs w:val="18"/>
              </w:rPr>
            </w:pPr>
            <w:r w:rsidRPr="00352185">
              <w:rPr>
                <w:b/>
                <w:sz w:val="18"/>
                <w:szCs w:val="18"/>
              </w:rPr>
              <w:t>2010</w:t>
            </w:r>
          </w:p>
        </w:tc>
        <w:tc>
          <w:tcPr>
            <w:tcW w:w="125" w:type="pct"/>
          </w:tcPr>
          <w:p w:rsidR="00354BC8" w:rsidRPr="00352185" w:rsidRDefault="00354BC8" w:rsidP="00352185">
            <w:pPr>
              <w:spacing w:before="20" w:after="20"/>
              <w:jc w:val="center"/>
              <w:cnfStyle w:val="000000100000"/>
              <w:rPr>
                <w:b/>
                <w:sz w:val="2"/>
                <w:szCs w:val="2"/>
              </w:rPr>
            </w:pPr>
          </w:p>
        </w:tc>
        <w:tc>
          <w:tcPr>
            <w:tcW w:w="335" w:type="pct"/>
            <w:vAlign w:val="bottom"/>
          </w:tcPr>
          <w:p w:rsidR="00354BC8" w:rsidRPr="00352185" w:rsidRDefault="00354BC8" w:rsidP="00352185">
            <w:pPr>
              <w:tabs>
                <w:tab w:val="decimal" w:pos="304"/>
              </w:tabs>
              <w:spacing w:before="20" w:after="20"/>
              <w:jc w:val="center"/>
              <w:cnfStyle w:val="000000100000"/>
              <w:rPr>
                <w:b/>
                <w:sz w:val="18"/>
                <w:szCs w:val="18"/>
              </w:rPr>
            </w:pPr>
            <w:r w:rsidRPr="00352185">
              <w:rPr>
                <w:b/>
                <w:sz w:val="18"/>
                <w:szCs w:val="18"/>
              </w:rPr>
              <w:t>2009</w:t>
            </w:r>
          </w:p>
        </w:tc>
        <w:tc>
          <w:tcPr>
            <w:tcW w:w="337" w:type="pct"/>
            <w:vAlign w:val="bottom"/>
          </w:tcPr>
          <w:p w:rsidR="00354BC8" w:rsidRPr="00352185" w:rsidRDefault="00354BC8" w:rsidP="00352185">
            <w:pPr>
              <w:tabs>
                <w:tab w:val="decimal" w:pos="304"/>
              </w:tabs>
              <w:spacing w:before="20" w:after="20"/>
              <w:jc w:val="center"/>
              <w:cnfStyle w:val="000000100000"/>
              <w:rPr>
                <w:b/>
                <w:sz w:val="18"/>
                <w:szCs w:val="18"/>
              </w:rPr>
            </w:pPr>
          </w:p>
        </w:tc>
        <w:tc>
          <w:tcPr>
            <w:tcW w:w="337" w:type="pct"/>
            <w:vAlign w:val="bottom"/>
          </w:tcPr>
          <w:p w:rsidR="00354BC8" w:rsidRPr="00352185" w:rsidRDefault="00354BC8" w:rsidP="00E45D81">
            <w:pPr>
              <w:tabs>
                <w:tab w:val="decimal" w:pos="304"/>
              </w:tabs>
              <w:spacing w:before="20" w:after="20"/>
              <w:jc w:val="center"/>
              <w:cnfStyle w:val="000000100000"/>
              <w:rPr>
                <w:b/>
                <w:sz w:val="18"/>
                <w:szCs w:val="18"/>
              </w:rPr>
            </w:pPr>
            <w:r w:rsidRPr="00352185">
              <w:rPr>
                <w:b/>
                <w:sz w:val="18"/>
                <w:szCs w:val="18"/>
              </w:rPr>
              <w:t>2010</w:t>
            </w:r>
          </w:p>
        </w:tc>
        <w:tc>
          <w:tcPr>
            <w:tcW w:w="335"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7"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5" w:type="pct"/>
            <w:vAlign w:val="bottom"/>
          </w:tcPr>
          <w:p w:rsidR="00354BC8" w:rsidRPr="00352185" w:rsidRDefault="00354BC8" w:rsidP="00E45D81">
            <w:pPr>
              <w:tabs>
                <w:tab w:val="decimal" w:pos="304"/>
              </w:tabs>
              <w:spacing w:before="20" w:after="20"/>
              <w:jc w:val="center"/>
              <w:cnfStyle w:val="000000100000"/>
              <w:rPr>
                <w:b/>
                <w:sz w:val="18"/>
                <w:szCs w:val="18"/>
              </w:rPr>
            </w:pPr>
          </w:p>
        </w:tc>
        <w:tc>
          <w:tcPr>
            <w:tcW w:w="337" w:type="pct"/>
            <w:vAlign w:val="bottom"/>
          </w:tcPr>
          <w:p w:rsidR="00354BC8" w:rsidRPr="00352185" w:rsidRDefault="00354BC8" w:rsidP="00E45D81">
            <w:pPr>
              <w:tabs>
                <w:tab w:val="decimal" w:pos="304"/>
              </w:tabs>
              <w:spacing w:before="20" w:after="20"/>
              <w:jc w:val="center"/>
              <w:cnfStyle w:val="000000100000"/>
              <w:rPr>
                <w:b/>
                <w:sz w:val="18"/>
                <w:szCs w:val="18"/>
              </w:rPr>
            </w:pPr>
            <w:r>
              <w:rPr>
                <w:b/>
                <w:sz w:val="18"/>
                <w:szCs w:val="18"/>
              </w:rPr>
              <w:t>2011</w:t>
            </w:r>
          </w:p>
        </w:tc>
        <w:tc>
          <w:tcPr>
            <w:tcW w:w="335" w:type="pct"/>
            <w:vAlign w:val="bottom"/>
          </w:tcPr>
          <w:p w:rsidR="00354BC8" w:rsidRPr="00352185" w:rsidRDefault="00354BC8" w:rsidP="00352185">
            <w:pPr>
              <w:tabs>
                <w:tab w:val="decimal" w:pos="304"/>
              </w:tabs>
              <w:spacing w:before="20" w:after="20"/>
              <w:jc w:val="center"/>
              <w:cnfStyle w:val="000000100000"/>
              <w:rPr>
                <w:b/>
                <w:sz w:val="18"/>
                <w:szCs w:val="18"/>
              </w:rPr>
            </w:pPr>
          </w:p>
        </w:tc>
      </w:tr>
      <w:tr w:rsidR="00354BC8" w:rsidRPr="0047327C" w:rsidTr="00352185">
        <w:trPr>
          <w:gridAfter w:val="1"/>
          <w:wAfter w:w="5" w:type="pct"/>
        </w:trPr>
        <w:tc>
          <w:tcPr>
            <w:cnfStyle w:val="001000000000"/>
            <w:tcW w:w="1511" w:type="pct"/>
            <w:gridSpan w:val="2"/>
          </w:tcPr>
          <w:p w:rsidR="00354BC8" w:rsidRPr="0047327C" w:rsidRDefault="00354BC8" w:rsidP="00352185">
            <w:pPr>
              <w:spacing w:before="20" w:after="20"/>
              <w:rPr>
                <w:color w:val="000000"/>
                <w:sz w:val="18"/>
                <w:szCs w:val="18"/>
              </w:rPr>
            </w:pPr>
          </w:p>
        </w:tc>
        <w:tc>
          <w:tcPr>
            <w:tcW w:w="335" w:type="pct"/>
          </w:tcPr>
          <w:p w:rsidR="00354BC8" w:rsidRPr="004E5210" w:rsidRDefault="00354BC8" w:rsidP="00352185">
            <w:pPr>
              <w:tabs>
                <w:tab w:val="decimal" w:pos="304"/>
              </w:tabs>
              <w:spacing w:before="20" w:after="20"/>
              <w:jc w:val="center"/>
              <w:cnfStyle w:val="000000000000"/>
              <w:rPr>
                <w:sz w:val="18"/>
                <w:szCs w:val="18"/>
              </w:rPr>
            </w:pPr>
          </w:p>
        </w:tc>
        <w:tc>
          <w:tcPr>
            <w:tcW w:w="336" w:type="pct"/>
          </w:tcPr>
          <w:p w:rsidR="00354BC8" w:rsidRPr="004E5210" w:rsidRDefault="00354BC8" w:rsidP="00352185">
            <w:pPr>
              <w:tabs>
                <w:tab w:val="decimal" w:pos="304"/>
              </w:tabs>
              <w:spacing w:before="20" w:after="20"/>
              <w:jc w:val="center"/>
              <w:cnfStyle w:val="000000000000"/>
              <w:rPr>
                <w:sz w:val="18"/>
                <w:szCs w:val="18"/>
              </w:rPr>
            </w:pPr>
          </w:p>
        </w:tc>
        <w:tc>
          <w:tcPr>
            <w:tcW w:w="125" w:type="pct"/>
          </w:tcPr>
          <w:p w:rsidR="00354BC8" w:rsidRPr="00352185" w:rsidRDefault="00354BC8" w:rsidP="00352185">
            <w:pPr>
              <w:spacing w:before="20" w:after="20"/>
              <w:jc w:val="center"/>
              <w:cnfStyle w:val="000000000000"/>
              <w:rPr>
                <w:b/>
                <w:sz w:val="2"/>
                <w:szCs w:val="2"/>
              </w:rPr>
            </w:pPr>
          </w:p>
        </w:tc>
        <w:tc>
          <w:tcPr>
            <w:tcW w:w="335"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III</w:t>
            </w:r>
          </w:p>
        </w:tc>
        <w:tc>
          <w:tcPr>
            <w:tcW w:w="337"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IV</w:t>
            </w:r>
          </w:p>
        </w:tc>
        <w:tc>
          <w:tcPr>
            <w:tcW w:w="337" w:type="pct"/>
          </w:tcPr>
          <w:p w:rsidR="00354BC8" w:rsidRPr="00792E95" w:rsidRDefault="00354BC8" w:rsidP="00E45D81">
            <w:pPr>
              <w:spacing w:before="20" w:after="20"/>
              <w:jc w:val="center"/>
              <w:cnfStyle w:val="000000000000"/>
              <w:rPr>
                <w:b/>
                <w:sz w:val="18"/>
                <w:szCs w:val="18"/>
              </w:rPr>
            </w:pPr>
            <w:r w:rsidRPr="00792E95">
              <w:rPr>
                <w:b/>
                <w:color w:val="auto"/>
                <w:sz w:val="18"/>
                <w:szCs w:val="18"/>
              </w:rPr>
              <w:t>I</w:t>
            </w:r>
          </w:p>
        </w:tc>
        <w:tc>
          <w:tcPr>
            <w:tcW w:w="335" w:type="pct"/>
          </w:tcPr>
          <w:p w:rsidR="00354BC8" w:rsidRPr="00792E95" w:rsidRDefault="00354BC8" w:rsidP="00E45D81">
            <w:pPr>
              <w:spacing w:before="20" w:after="20"/>
              <w:jc w:val="center"/>
              <w:cnfStyle w:val="000000000000"/>
              <w:rPr>
                <w:b/>
                <w:color w:val="auto"/>
                <w:sz w:val="18"/>
                <w:szCs w:val="18"/>
              </w:rPr>
            </w:pPr>
            <w:r w:rsidRPr="00792E95">
              <w:rPr>
                <w:b/>
                <w:color w:val="auto"/>
                <w:sz w:val="18"/>
                <w:szCs w:val="18"/>
              </w:rPr>
              <w:t>I</w:t>
            </w:r>
            <w:r>
              <w:rPr>
                <w:b/>
                <w:color w:val="auto"/>
                <w:sz w:val="18"/>
                <w:szCs w:val="18"/>
              </w:rPr>
              <w:t>I</w:t>
            </w:r>
          </w:p>
        </w:tc>
        <w:tc>
          <w:tcPr>
            <w:tcW w:w="337" w:type="pct"/>
          </w:tcPr>
          <w:p w:rsidR="00354BC8" w:rsidRPr="00792E95" w:rsidRDefault="00354BC8" w:rsidP="00E45D81">
            <w:pPr>
              <w:spacing w:before="20" w:after="20"/>
              <w:jc w:val="center"/>
              <w:cnfStyle w:val="000000000000"/>
              <w:rPr>
                <w:b/>
                <w:sz w:val="18"/>
                <w:szCs w:val="18"/>
              </w:rPr>
            </w:pPr>
            <w:r>
              <w:rPr>
                <w:b/>
                <w:sz w:val="18"/>
                <w:szCs w:val="18"/>
              </w:rPr>
              <w:t>III</w:t>
            </w:r>
          </w:p>
        </w:tc>
        <w:tc>
          <w:tcPr>
            <w:tcW w:w="335" w:type="pct"/>
          </w:tcPr>
          <w:p w:rsidR="00354BC8" w:rsidRPr="00792E95" w:rsidRDefault="00354BC8" w:rsidP="00E45D81">
            <w:pPr>
              <w:spacing w:before="20" w:after="20"/>
              <w:jc w:val="center"/>
              <w:cnfStyle w:val="000000000000"/>
              <w:rPr>
                <w:b/>
                <w:sz w:val="18"/>
                <w:szCs w:val="18"/>
              </w:rPr>
            </w:pPr>
            <w:r>
              <w:rPr>
                <w:b/>
                <w:sz w:val="18"/>
                <w:szCs w:val="18"/>
              </w:rPr>
              <w:t>IV</w:t>
            </w:r>
          </w:p>
        </w:tc>
        <w:tc>
          <w:tcPr>
            <w:tcW w:w="337" w:type="pct"/>
          </w:tcPr>
          <w:p w:rsidR="00354BC8" w:rsidRPr="00792E95" w:rsidRDefault="00354BC8" w:rsidP="00E45D81">
            <w:pPr>
              <w:spacing w:before="20" w:after="20"/>
              <w:jc w:val="center"/>
              <w:cnfStyle w:val="000000000000"/>
              <w:rPr>
                <w:b/>
                <w:sz w:val="18"/>
                <w:szCs w:val="18"/>
              </w:rPr>
            </w:pPr>
            <w:r>
              <w:rPr>
                <w:b/>
                <w:sz w:val="18"/>
                <w:szCs w:val="18"/>
              </w:rPr>
              <w:t>I</w:t>
            </w:r>
          </w:p>
        </w:tc>
        <w:tc>
          <w:tcPr>
            <w:tcW w:w="335" w:type="pct"/>
          </w:tcPr>
          <w:p w:rsidR="00354BC8" w:rsidRPr="00792E95" w:rsidRDefault="00354BC8" w:rsidP="00352185">
            <w:pPr>
              <w:spacing w:before="20" w:after="20"/>
              <w:jc w:val="center"/>
              <w:cnfStyle w:val="000000000000"/>
              <w:rPr>
                <w:b/>
                <w:sz w:val="18"/>
                <w:szCs w:val="18"/>
              </w:rPr>
            </w:pPr>
            <w:r>
              <w:rPr>
                <w:b/>
                <w:sz w:val="18"/>
                <w:szCs w:val="18"/>
              </w:rPr>
              <w:t>II</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E45D81">
            <w:pPr>
              <w:spacing w:before="20" w:after="20"/>
              <w:rPr>
                <w:b w:val="0"/>
                <w:color w:val="auto"/>
                <w:sz w:val="18"/>
                <w:szCs w:val="18"/>
              </w:rPr>
            </w:pPr>
            <w:r>
              <w:rPr>
                <w:b w:val="0"/>
                <w:color w:val="auto"/>
                <w:sz w:val="18"/>
                <w:szCs w:val="18"/>
              </w:rPr>
              <w:t>Lauksaimniecība, mežsaimniecība</w:t>
            </w:r>
          </w:p>
        </w:tc>
        <w:tc>
          <w:tcPr>
            <w:tcW w:w="335" w:type="pct"/>
            <w:vAlign w:val="center"/>
          </w:tcPr>
          <w:p w:rsidR="00165752" w:rsidRPr="004E5210" w:rsidRDefault="00165752" w:rsidP="00077B11">
            <w:pPr>
              <w:tabs>
                <w:tab w:val="decimal" w:pos="304"/>
              </w:tabs>
              <w:spacing w:before="20" w:after="20"/>
              <w:jc w:val="center"/>
              <w:cnfStyle w:val="000000100000"/>
              <w:rPr>
                <w:color w:val="auto"/>
                <w:sz w:val="18"/>
                <w:szCs w:val="18"/>
              </w:rPr>
            </w:pPr>
            <w:r>
              <w:rPr>
                <w:color w:val="auto"/>
                <w:sz w:val="18"/>
                <w:szCs w:val="18"/>
              </w:rPr>
              <w:t>0,3</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0,1</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0,3</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0,5</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0,1</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0,0</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0,1</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0,2</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0,2</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Apstrādes rūpniecība</w:t>
            </w:r>
          </w:p>
        </w:tc>
        <w:tc>
          <w:tcPr>
            <w:tcW w:w="335"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-2,3</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1,3</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-2,1</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-1,1</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0,4</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1,5</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2,8</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2,2</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1,4</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1,8</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Pr>
                <w:b w:val="0"/>
                <w:color w:val="000000"/>
                <w:sz w:val="18"/>
                <w:szCs w:val="18"/>
              </w:rPr>
              <w:t>Pārējā rūpniecība</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-0,2</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0,2</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-0,4</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0,4</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0,2</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0,1</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0,2</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-0,1</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0,1</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Būvniecība</w:t>
            </w:r>
          </w:p>
        </w:tc>
        <w:tc>
          <w:tcPr>
            <w:tcW w:w="335"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-3,6</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-1,3</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-4,6</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-4,3</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-2,7</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-2,7</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-1,2</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-0,7</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-0,4</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0,0</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Tirdzniecība, viesnīcas, restorāni</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-6,5</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0,4</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-6,7</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-4,5</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-1,8</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0,0</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2,3</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1,8</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1,7</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1,7</w:t>
            </w:r>
          </w:p>
        </w:tc>
      </w:tr>
      <w:tr w:rsidR="00165752" w:rsidRPr="0047327C" w:rsidTr="00077B11">
        <w:trPr>
          <w:gridAfter w:val="1"/>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 xml:space="preserve">Transports un </w:t>
            </w:r>
            <w:r>
              <w:rPr>
                <w:b w:val="0"/>
                <w:color w:val="000000"/>
                <w:sz w:val="18"/>
                <w:szCs w:val="18"/>
              </w:rPr>
              <w:t>uzglabāšana</w:t>
            </w:r>
          </w:p>
        </w:tc>
        <w:tc>
          <w:tcPr>
            <w:tcW w:w="335"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0,1</w:t>
            </w:r>
          </w:p>
        </w:tc>
        <w:tc>
          <w:tcPr>
            <w:tcW w:w="336" w:type="pct"/>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0,5</w:t>
            </w:r>
          </w:p>
        </w:tc>
        <w:tc>
          <w:tcPr>
            <w:tcW w:w="125" w:type="pct"/>
          </w:tcPr>
          <w:p w:rsidR="00165752" w:rsidRPr="00352185" w:rsidRDefault="00165752" w:rsidP="00352185">
            <w:pPr>
              <w:spacing w:before="20" w:after="20"/>
              <w:jc w:val="center"/>
              <w:cnfStyle w:val="0000000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0,1</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0,2</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0,7</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0,7</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0,9</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0,6</w:t>
            </w:r>
          </w:p>
        </w:tc>
        <w:tc>
          <w:tcPr>
            <w:tcW w:w="337"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0,9</w:t>
            </w:r>
          </w:p>
        </w:tc>
        <w:tc>
          <w:tcPr>
            <w:tcW w:w="335" w:type="pct"/>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1,1</w:t>
            </w:r>
          </w:p>
        </w:tc>
      </w:tr>
      <w:tr w:rsidR="00165752" w:rsidRPr="0047327C" w:rsidTr="00077B11">
        <w:trPr>
          <w:gridAfter w:val="1"/>
          <w:cnfStyle w:val="000000100000"/>
          <w:wAfter w:w="5" w:type="pct"/>
        </w:trPr>
        <w:tc>
          <w:tcPr>
            <w:cnfStyle w:val="001000000000"/>
            <w:tcW w:w="1511" w:type="pct"/>
            <w:gridSpan w:val="2"/>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Sabiedriskie pakalpojumi</w:t>
            </w:r>
          </w:p>
        </w:tc>
        <w:tc>
          <w:tcPr>
            <w:tcW w:w="335"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-1,3</w:t>
            </w:r>
          </w:p>
        </w:tc>
        <w:tc>
          <w:tcPr>
            <w:tcW w:w="336" w:type="pct"/>
            <w:vAlign w:val="center"/>
          </w:tcPr>
          <w:p w:rsidR="00165752" w:rsidRPr="004E5210" w:rsidRDefault="00165752" w:rsidP="00227BDB">
            <w:pPr>
              <w:tabs>
                <w:tab w:val="decimal" w:pos="304"/>
              </w:tabs>
              <w:spacing w:before="20" w:after="20"/>
              <w:jc w:val="center"/>
              <w:cnfStyle w:val="000000100000"/>
              <w:rPr>
                <w:color w:val="auto"/>
                <w:sz w:val="18"/>
                <w:szCs w:val="18"/>
              </w:rPr>
            </w:pPr>
            <w:r>
              <w:rPr>
                <w:color w:val="auto"/>
                <w:sz w:val="18"/>
                <w:szCs w:val="18"/>
              </w:rPr>
              <w:t>-0,6</w:t>
            </w:r>
          </w:p>
        </w:tc>
        <w:tc>
          <w:tcPr>
            <w:tcW w:w="125" w:type="pct"/>
          </w:tcPr>
          <w:p w:rsidR="00165752" w:rsidRPr="00352185" w:rsidRDefault="00165752" w:rsidP="00352185">
            <w:pPr>
              <w:spacing w:before="20" w:after="20"/>
              <w:jc w:val="center"/>
              <w:cnfStyle w:val="000000100000"/>
              <w:rPr>
                <w:sz w:val="2"/>
                <w:szCs w:val="2"/>
              </w:rPr>
            </w:pP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-4,2</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-3,5</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-1,6</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-1,7</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-1,1</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-0,5</w:t>
            </w:r>
          </w:p>
        </w:tc>
        <w:tc>
          <w:tcPr>
            <w:tcW w:w="337"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-0,4</w:t>
            </w:r>
          </w:p>
        </w:tc>
        <w:tc>
          <w:tcPr>
            <w:tcW w:w="335" w:type="pct"/>
            <w:vAlign w:val="bottom"/>
          </w:tcPr>
          <w:p w:rsidR="00165752" w:rsidRPr="00165752" w:rsidRDefault="00165752" w:rsidP="00165752">
            <w:pPr>
              <w:tabs>
                <w:tab w:val="decimal" w:pos="304"/>
              </w:tabs>
              <w:spacing w:before="20" w:after="20"/>
              <w:jc w:val="center"/>
              <w:cnfStyle w:val="000000100000"/>
              <w:rPr>
                <w:color w:val="auto"/>
                <w:sz w:val="18"/>
                <w:szCs w:val="18"/>
              </w:rPr>
            </w:pPr>
            <w:r w:rsidRPr="00165752">
              <w:rPr>
                <w:color w:val="auto"/>
                <w:sz w:val="18"/>
                <w:szCs w:val="18"/>
              </w:rPr>
              <w:t>0,6</w:t>
            </w:r>
          </w:p>
        </w:tc>
      </w:tr>
      <w:tr w:rsidR="00165752" w:rsidRPr="0047327C" w:rsidTr="001C2361">
        <w:trPr>
          <w:gridAfter w:val="1"/>
          <w:wAfter w:w="5" w:type="pct"/>
        </w:trPr>
        <w:tc>
          <w:tcPr>
            <w:cnfStyle w:val="001000000000"/>
            <w:tcW w:w="1511" w:type="pct"/>
            <w:gridSpan w:val="2"/>
            <w:tcBorders>
              <w:bottom w:val="nil"/>
            </w:tcBorders>
            <w:vAlign w:val="center"/>
          </w:tcPr>
          <w:p w:rsidR="00165752" w:rsidRPr="0047327C" w:rsidRDefault="00165752" w:rsidP="00E45D81">
            <w:pPr>
              <w:spacing w:before="20" w:after="20"/>
              <w:rPr>
                <w:b w:val="0"/>
                <w:color w:val="000000"/>
                <w:sz w:val="18"/>
                <w:szCs w:val="18"/>
              </w:rPr>
            </w:pPr>
            <w:r w:rsidRPr="0047327C">
              <w:rPr>
                <w:b w:val="0"/>
                <w:color w:val="000000"/>
                <w:sz w:val="18"/>
                <w:szCs w:val="18"/>
              </w:rPr>
              <w:t>Citi komercpakalpojumi</w:t>
            </w:r>
          </w:p>
        </w:tc>
        <w:tc>
          <w:tcPr>
            <w:tcW w:w="335" w:type="pct"/>
            <w:tcBorders>
              <w:bottom w:val="nil"/>
            </w:tcBorders>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-4,5</w:t>
            </w:r>
          </w:p>
        </w:tc>
        <w:tc>
          <w:tcPr>
            <w:tcW w:w="336" w:type="pct"/>
            <w:tcBorders>
              <w:bottom w:val="nil"/>
            </w:tcBorders>
            <w:vAlign w:val="center"/>
          </w:tcPr>
          <w:p w:rsidR="00165752" w:rsidRPr="004E5210" w:rsidRDefault="00165752" w:rsidP="00227BDB">
            <w:pPr>
              <w:tabs>
                <w:tab w:val="decimal" w:pos="304"/>
              </w:tabs>
              <w:spacing w:before="20" w:after="20"/>
              <w:jc w:val="center"/>
              <w:cnfStyle w:val="000000000000"/>
              <w:rPr>
                <w:color w:val="auto"/>
                <w:sz w:val="18"/>
                <w:szCs w:val="18"/>
              </w:rPr>
            </w:pPr>
            <w:r>
              <w:rPr>
                <w:color w:val="auto"/>
                <w:sz w:val="18"/>
                <w:szCs w:val="18"/>
              </w:rPr>
              <w:t>-0,9</w:t>
            </w:r>
          </w:p>
        </w:tc>
        <w:tc>
          <w:tcPr>
            <w:tcW w:w="125" w:type="pct"/>
            <w:tcBorders>
              <w:bottom w:val="nil"/>
            </w:tcBorders>
          </w:tcPr>
          <w:p w:rsidR="00165752" w:rsidRPr="00352185" w:rsidRDefault="00165752" w:rsidP="00352185">
            <w:pPr>
              <w:spacing w:before="20" w:after="20"/>
              <w:jc w:val="center"/>
              <w:cnfStyle w:val="000000000000"/>
              <w:rPr>
                <w:sz w:val="2"/>
                <w:szCs w:val="2"/>
              </w:rPr>
            </w:pP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-0,8</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-2,9</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-1,2</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-1,4</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-0,3</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-0,2</w:t>
            </w:r>
          </w:p>
        </w:tc>
        <w:tc>
          <w:tcPr>
            <w:tcW w:w="337"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0,1</w:t>
            </w:r>
          </w:p>
        </w:tc>
        <w:tc>
          <w:tcPr>
            <w:tcW w:w="335" w:type="pct"/>
            <w:tcBorders>
              <w:bottom w:val="nil"/>
            </w:tcBorders>
            <w:vAlign w:val="bottom"/>
          </w:tcPr>
          <w:p w:rsidR="00165752" w:rsidRPr="00165752" w:rsidRDefault="00165752" w:rsidP="00165752">
            <w:pPr>
              <w:tabs>
                <w:tab w:val="decimal" w:pos="304"/>
              </w:tabs>
              <w:spacing w:before="20" w:after="20"/>
              <w:jc w:val="center"/>
              <w:cnfStyle w:val="000000000000"/>
              <w:rPr>
                <w:color w:val="auto"/>
                <w:sz w:val="18"/>
                <w:szCs w:val="18"/>
              </w:rPr>
            </w:pPr>
            <w:r w:rsidRPr="00165752">
              <w:rPr>
                <w:color w:val="auto"/>
                <w:sz w:val="18"/>
                <w:szCs w:val="18"/>
              </w:rPr>
              <w:t>0,1</w:t>
            </w:r>
          </w:p>
        </w:tc>
      </w:tr>
      <w:tr w:rsidR="007F5394" w:rsidRPr="004E5210" w:rsidTr="001C2361">
        <w:trPr>
          <w:gridAfter w:val="1"/>
          <w:cnfStyle w:val="000000100000"/>
          <w:wAfter w:w="5" w:type="pct"/>
        </w:trPr>
        <w:tc>
          <w:tcPr>
            <w:cnfStyle w:val="001000000000"/>
            <w:tcW w:w="1511" w:type="pct"/>
            <w:gridSpan w:val="2"/>
            <w:tcBorders>
              <w:top w:val="nil"/>
              <w:bottom w:val="single" w:sz="4" w:space="0" w:color="FF0000"/>
            </w:tcBorders>
            <w:vAlign w:val="center"/>
          </w:tcPr>
          <w:p w:rsidR="007F5394" w:rsidRPr="004E5210" w:rsidRDefault="007F5394" w:rsidP="00227BDB">
            <w:pPr>
              <w:spacing w:before="20" w:after="20"/>
              <w:rPr>
                <w:color w:val="000000"/>
                <w:sz w:val="20"/>
                <w:szCs w:val="18"/>
              </w:rPr>
            </w:pPr>
            <w:r w:rsidRPr="004E5210">
              <w:rPr>
                <w:color w:val="000000"/>
                <w:sz w:val="20"/>
                <w:szCs w:val="18"/>
              </w:rPr>
              <w:t>IKP</w:t>
            </w:r>
          </w:p>
        </w:tc>
        <w:tc>
          <w:tcPr>
            <w:tcW w:w="335" w:type="pct"/>
            <w:tcBorders>
              <w:top w:val="nil"/>
              <w:bottom w:val="single" w:sz="4" w:space="0" w:color="FF0000"/>
            </w:tcBorders>
            <w:vAlign w:val="center"/>
          </w:tcPr>
          <w:p w:rsidR="007F5394" w:rsidRPr="005420C2" w:rsidRDefault="007F5394" w:rsidP="00227BDB">
            <w:pPr>
              <w:tabs>
                <w:tab w:val="decimal" w:pos="304"/>
              </w:tabs>
              <w:spacing w:before="20" w:after="20"/>
              <w:jc w:val="center"/>
              <w:cnfStyle w:val="000000100000"/>
              <w:rPr>
                <w:b/>
                <w:color w:val="auto"/>
                <w:sz w:val="20"/>
                <w:szCs w:val="20"/>
              </w:rPr>
            </w:pPr>
            <w:r>
              <w:rPr>
                <w:b/>
                <w:color w:val="auto"/>
                <w:sz w:val="20"/>
                <w:szCs w:val="20"/>
              </w:rPr>
              <w:t>-17,7</w:t>
            </w:r>
          </w:p>
        </w:tc>
        <w:tc>
          <w:tcPr>
            <w:tcW w:w="336" w:type="pct"/>
            <w:tcBorders>
              <w:top w:val="nil"/>
              <w:bottom w:val="single" w:sz="4" w:space="0" w:color="FF0000"/>
            </w:tcBorders>
            <w:vAlign w:val="center"/>
          </w:tcPr>
          <w:p w:rsidR="007F5394" w:rsidRPr="005420C2" w:rsidRDefault="007F5394" w:rsidP="00227BDB">
            <w:pPr>
              <w:tabs>
                <w:tab w:val="decimal" w:pos="304"/>
              </w:tabs>
              <w:spacing w:before="20" w:after="20"/>
              <w:jc w:val="center"/>
              <w:cnfStyle w:val="000000100000"/>
              <w:rPr>
                <w:b/>
                <w:color w:val="auto"/>
                <w:sz w:val="20"/>
                <w:szCs w:val="20"/>
              </w:rPr>
            </w:pPr>
            <w:r>
              <w:rPr>
                <w:b/>
                <w:color w:val="auto"/>
                <w:sz w:val="20"/>
                <w:szCs w:val="20"/>
              </w:rPr>
              <w:t>-0,3</w:t>
            </w:r>
          </w:p>
        </w:tc>
        <w:tc>
          <w:tcPr>
            <w:tcW w:w="125" w:type="pct"/>
            <w:tcBorders>
              <w:top w:val="nil"/>
              <w:bottom w:val="single" w:sz="4" w:space="0" w:color="FF0000"/>
            </w:tcBorders>
          </w:tcPr>
          <w:p w:rsidR="007F5394" w:rsidRPr="00352185" w:rsidRDefault="007F5394" w:rsidP="00352185">
            <w:pPr>
              <w:spacing w:before="20" w:after="20"/>
              <w:jc w:val="center"/>
              <w:cnfStyle w:val="000000100000"/>
              <w:rPr>
                <w:b/>
                <w:sz w:val="2"/>
                <w:szCs w:val="2"/>
              </w:rPr>
            </w:pPr>
          </w:p>
        </w:tc>
        <w:tc>
          <w:tcPr>
            <w:tcW w:w="335"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-18,0</w:t>
            </w:r>
          </w:p>
        </w:tc>
        <w:tc>
          <w:tcPr>
            <w:tcW w:w="337"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-16,0</w:t>
            </w:r>
          </w:p>
        </w:tc>
        <w:tc>
          <w:tcPr>
            <w:tcW w:w="337"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-5,5</w:t>
            </w:r>
          </w:p>
        </w:tc>
        <w:tc>
          <w:tcPr>
            <w:tcW w:w="335"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7"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3,6</w:t>
            </w:r>
          </w:p>
        </w:tc>
        <w:tc>
          <w:tcPr>
            <w:tcW w:w="337"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3,5</w:t>
            </w:r>
          </w:p>
        </w:tc>
        <w:tc>
          <w:tcPr>
            <w:tcW w:w="335" w:type="pct"/>
            <w:tcBorders>
              <w:top w:val="nil"/>
              <w:bottom w:val="single" w:sz="4" w:space="0" w:color="FF0000"/>
            </w:tcBorders>
            <w:vAlign w:val="bottom"/>
          </w:tcPr>
          <w:p w:rsidR="007F5394" w:rsidRPr="00077B11" w:rsidRDefault="007F5394" w:rsidP="003B5606">
            <w:pPr>
              <w:tabs>
                <w:tab w:val="decimal" w:pos="304"/>
              </w:tabs>
              <w:spacing w:before="20" w:after="20"/>
              <w:jc w:val="center"/>
              <w:cnfStyle w:val="000000100000"/>
              <w:rPr>
                <w:b/>
                <w:color w:val="auto"/>
                <w:sz w:val="18"/>
                <w:szCs w:val="18"/>
              </w:rPr>
            </w:pPr>
            <w:r w:rsidRPr="00077B11">
              <w:rPr>
                <w:b/>
                <w:color w:val="auto"/>
                <w:sz w:val="18"/>
                <w:szCs w:val="18"/>
              </w:rPr>
              <w:t>5,6</w:t>
            </w:r>
          </w:p>
        </w:tc>
      </w:tr>
    </w:tbl>
    <w:p w:rsidR="00352185" w:rsidRDefault="00352185" w:rsidP="00BE41C7">
      <w:pPr>
        <w:pStyle w:val="ListParagraph"/>
        <w:ind w:left="0"/>
        <w:rPr>
          <w:sz w:val="6"/>
          <w:szCs w:val="6"/>
        </w:rPr>
      </w:pPr>
    </w:p>
    <w:p w:rsidR="00BE41C7" w:rsidRPr="009F6E8E" w:rsidRDefault="00EC307E" w:rsidP="004E5210">
      <w:pPr>
        <w:pStyle w:val="Heading2"/>
        <w:spacing w:before="120"/>
      </w:pPr>
      <w:bookmarkStart w:id="56" w:name="_Toc216077839"/>
      <w:bookmarkStart w:id="57" w:name="_Toc216079508"/>
      <w:bookmarkStart w:id="58" w:name="_Toc216079576"/>
      <w:bookmarkStart w:id="59" w:name="_Toc216079638"/>
      <w:bookmarkStart w:id="60" w:name="_Toc216079694"/>
      <w:bookmarkStart w:id="61" w:name="_Toc216079750"/>
      <w:bookmarkStart w:id="62" w:name="_Toc216079806"/>
      <w:bookmarkStart w:id="63" w:name="_Toc305421413"/>
      <w:r w:rsidRPr="00EC307E">
        <w:rPr>
          <w:b w:val="0"/>
        </w:rPr>
        <w:t>2</w:t>
      </w:r>
      <w:r w:rsidR="00BE41C7" w:rsidRPr="00EC307E">
        <w:rPr>
          <w:b w:val="0"/>
        </w:rPr>
        <w:t>.1.attēls.</w:t>
      </w:r>
      <w:r w:rsidR="00BE41C7" w:rsidRPr="009F6E8E">
        <w:rPr>
          <w:b w:val="0"/>
        </w:rPr>
        <w:t xml:space="preserve"> </w:t>
      </w:r>
      <w:r w:rsidR="00BE41C7" w:rsidRPr="009F6E8E">
        <w:t>IKP dinamika pa ceturkšņiem</w:t>
      </w:r>
      <w:bookmarkEnd w:id="56"/>
      <w:bookmarkEnd w:id="57"/>
      <w:bookmarkEnd w:id="58"/>
      <w:bookmarkEnd w:id="59"/>
      <w:bookmarkEnd w:id="60"/>
      <w:bookmarkEnd w:id="61"/>
      <w:bookmarkEnd w:id="62"/>
      <w:bookmarkEnd w:id="63"/>
    </w:p>
    <w:tbl>
      <w:tblPr>
        <w:tblW w:w="9582" w:type="dxa"/>
        <w:jc w:val="center"/>
        <w:tblLook w:val="01E0"/>
      </w:tblPr>
      <w:tblGrid>
        <w:gridCol w:w="4821"/>
        <w:gridCol w:w="4761"/>
      </w:tblGrid>
      <w:tr w:rsidR="00BE41C7" w:rsidRPr="009F6E8E" w:rsidTr="009A2453">
        <w:trPr>
          <w:jc w:val="center"/>
        </w:trPr>
        <w:tc>
          <w:tcPr>
            <w:tcW w:w="4821" w:type="dxa"/>
            <w:vAlign w:val="bottom"/>
          </w:tcPr>
          <w:p w:rsidR="00BE41C7" w:rsidRPr="009F6E8E" w:rsidRDefault="00BE41C7" w:rsidP="00411B7C">
            <w:pPr>
              <w:tabs>
                <w:tab w:val="center" w:pos="2409"/>
              </w:tabs>
              <w:spacing w:before="120"/>
              <w:jc w:val="center"/>
              <w:rPr>
                <w:rFonts w:eastAsia="Times New Roman"/>
                <w:sz w:val="20"/>
                <w:szCs w:val="20"/>
                <w:lang w:eastAsia="lv-LV"/>
              </w:rPr>
            </w:pPr>
            <w:r w:rsidRPr="009F6E8E">
              <w:rPr>
                <w:rFonts w:eastAsia="Times New Roman"/>
                <w:bCs/>
                <w:color w:val="000000"/>
                <w:sz w:val="20"/>
                <w:szCs w:val="20"/>
              </w:rPr>
              <w:t xml:space="preserve">Sezonāli izlīdzināti dati, </w:t>
            </w:r>
            <w:r w:rsidRPr="009F6E8E">
              <w:rPr>
                <w:rFonts w:eastAsia="Times New Roman"/>
                <w:bCs/>
                <w:color w:val="000000"/>
                <w:sz w:val="20"/>
                <w:szCs w:val="20"/>
              </w:rPr>
              <w:tab/>
              <w:t>2005.g. IV cet. = 100</w:t>
            </w:r>
          </w:p>
        </w:tc>
        <w:tc>
          <w:tcPr>
            <w:tcW w:w="4761" w:type="dxa"/>
            <w:vAlign w:val="bottom"/>
          </w:tcPr>
          <w:p w:rsidR="00BE41C7" w:rsidRPr="009F6E8E" w:rsidRDefault="00BE41C7" w:rsidP="00056EA9">
            <w:pPr>
              <w:tabs>
                <w:tab w:val="center" w:pos="2415"/>
              </w:tabs>
              <w:spacing w:before="120"/>
              <w:jc w:val="center"/>
              <w:rPr>
                <w:rFonts w:eastAsia="Times New Roman"/>
                <w:sz w:val="20"/>
                <w:szCs w:val="20"/>
                <w:lang w:eastAsia="lv-LV"/>
              </w:rPr>
            </w:pPr>
            <w:r w:rsidRPr="009F6E8E">
              <w:rPr>
                <w:rFonts w:eastAsia="Times New Roman"/>
                <w:bCs/>
                <w:color w:val="000000"/>
                <w:sz w:val="20"/>
                <w:szCs w:val="20"/>
              </w:rPr>
              <w:t>Pret iepriekšējā gada attiecīgo periodu, %</w:t>
            </w:r>
          </w:p>
        </w:tc>
      </w:tr>
      <w:tr w:rsidR="00BE41C7" w:rsidRPr="009F6E8E" w:rsidTr="009A2453">
        <w:trPr>
          <w:trHeight w:val="2818"/>
          <w:jc w:val="center"/>
        </w:trPr>
        <w:tc>
          <w:tcPr>
            <w:tcW w:w="482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924175" cy="2085975"/>
                  <wp:effectExtent l="0" t="0" r="0" b="0"/>
                  <wp:docPr id="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761" w:type="dxa"/>
          </w:tcPr>
          <w:p w:rsidR="00BE41C7" w:rsidRPr="009F6E8E" w:rsidRDefault="00BE41C7" w:rsidP="00467A8A">
            <w:pPr>
              <w:rPr>
                <w:rFonts w:eastAsia="Times New Roman"/>
              </w:rPr>
            </w:pPr>
            <w:r w:rsidRPr="009F6E8E">
              <w:rPr>
                <w:rFonts w:eastAsia="Times New Roman"/>
                <w:noProof/>
                <w:sz w:val="20"/>
                <w:szCs w:val="20"/>
                <w:lang w:eastAsia="lv-LV"/>
              </w:rPr>
              <w:drawing>
                <wp:inline distT="0" distB="0" distL="0" distR="0">
                  <wp:extent cx="2886075" cy="2143125"/>
                  <wp:effectExtent l="0" t="0" r="0" b="0"/>
                  <wp:docPr id="3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BE41C7" w:rsidRPr="009F6E8E" w:rsidRDefault="00EC307E" w:rsidP="00BE41C7">
      <w:pPr>
        <w:rPr>
          <w:rFonts w:eastAsia="Times New Roman"/>
          <w:color w:val="000000"/>
        </w:rPr>
      </w:pPr>
      <w:bookmarkStart w:id="64" w:name="_Toc216079509"/>
      <w:bookmarkStart w:id="65" w:name="_Toc216079577"/>
      <w:bookmarkStart w:id="66" w:name="_Toc216079639"/>
      <w:bookmarkStart w:id="67" w:name="_Toc216079695"/>
      <w:bookmarkStart w:id="68" w:name="_Toc216079751"/>
      <w:bookmarkStart w:id="69" w:name="_Toc216079807"/>
      <w:bookmarkStart w:id="70" w:name="_Toc216077840"/>
      <w:bookmarkStart w:id="71" w:name="_Toc305421414"/>
      <w:r w:rsidRPr="00EC307E">
        <w:rPr>
          <w:rStyle w:val="Heading2Char"/>
          <w:b w:val="0"/>
        </w:rPr>
        <w:t>2</w:t>
      </w:r>
      <w:r w:rsidR="00BE41C7" w:rsidRPr="00EC307E">
        <w:rPr>
          <w:rStyle w:val="Heading2Char"/>
          <w:b w:val="0"/>
        </w:rPr>
        <w:t>.2. attēls.</w:t>
      </w:r>
      <w:r w:rsidR="00BE41C7" w:rsidRPr="009F6E8E">
        <w:rPr>
          <w:rStyle w:val="Heading2Char"/>
        </w:rPr>
        <w:t xml:space="preserve"> Ekonomikas sentimenta indekss</w:t>
      </w:r>
      <w:bookmarkEnd w:id="64"/>
      <w:bookmarkEnd w:id="65"/>
      <w:bookmarkEnd w:id="66"/>
      <w:bookmarkEnd w:id="67"/>
      <w:bookmarkEnd w:id="68"/>
      <w:bookmarkEnd w:id="69"/>
      <w:bookmarkEnd w:id="71"/>
      <w:r w:rsidR="00BE41C7" w:rsidRPr="009F6E8E">
        <w:t>, sezonāli izlīdzināts</w:t>
      </w:r>
      <w:bookmarkEnd w:id="70"/>
    </w:p>
    <w:p w:rsidR="00BE41C7" w:rsidRPr="009F6E8E" w:rsidRDefault="00BE41C7" w:rsidP="00BE41C7">
      <w:pPr>
        <w:spacing w:after="60"/>
        <w:ind w:left="284"/>
        <w:jc w:val="center"/>
        <w:rPr>
          <w:sz w:val="28"/>
        </w:rPr>
      </w:pPr>
      <w:r w:rsidRPr="009F6E8E">
        <w:rPr>
          <w:noProof/>
          <w:sz w:val="28"/>
          <w:lang w:eastAsia="lv-LV"/>
        </w:rPr>
        <w:drawing>
          <wp:inline distT="0" distB="0" distL="0" distR="0">
            <wp:extent cx="5766179" cy="1712794"/>
            <wp:effectExtent l="0" t="0" r="0" b="0"/>
            <wp:docPr id="3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41C7" w:rsidRDefault="00BE41C7" w:rsidP="00CA0597">
      <w:pPr>
        <w:ind w:left="1134" w:right="283" w:hanging="142"/>
        <w:jc w:val="both"/>
        <w:rPr>
          <w:sz w:val="16"/>
          <w:szCs w:val="16"/>
        </w:rPr>
      </w:pPr>
      <w:r w:rsidRPr="00467A8A">
        <w:rPr>
          <w:sz w:val="16"/>
          <w:szCs w:val="16"/>
        </w:rPr>
        <w:t>* Ekonomikas sentimenta indeksu aprēķina kā vidējo svērto lielumu no atbilstošā perioda apstrādes rūpniecības, pakalpojumu sektora, būvniecības un mazumtirdzniecības konfidences rādītājiem, kā arī patērētāju konfidences indikatora.</w:t>
      </w:r>
    </w:p>
    <w:p w:rsidR="004E5210" w:rsidRPr="00467A8A" w:rsidRDefault="004E5210" w:rsidP="00BE41C7">
      <w:pPr>
        <w:ind w:left="142" w:hanging="142"/>
        <w:jc w:val="both"/>
        <w:rPr>
          <w:sz w:val="16"/>
          <w:szCs w:val="16"/>
        </w:rPr>
      </w:pPr>
    </w:p>
    <w:p w:rsidR="00763E0D" w:rsidRPr="009F6E8E" w:rsidRDefault="00EC307E" w:rsidP="00763E0D">
      <w:pPr>
        <w:pStyle w:val="Heading2"/>
      </w:pPr>
      <w:bookmarkStart w:id="72" w:name="_Toc216077841"/>
      <w:bookmarkStart w:id="73" w:name="_Toc216079510"/>
      <w:bookmarkStart w:id="74" w:name="_Toc216079578"/>
      <w:bookmarkStart w:id="75" w:name="_Toc216079640"/>
      <w:bookmarkStart w:id="76" w:name="_Toc216079696"/>
      <w:bookmarkStart w:id="77" w:name="_Toc216079752"/>
      <w:bookmarkStart w:id="78" w:name="_Toc216079808"/>
      <w:bookmarkStart w:id="79" w:name="_Toc305421415"/>
      <w:r>
        <w:rPr>
          <w:b w:val="0"/>
          <w:szCs w:val="24"/>
        </w:rPr>
        <w:lastRenderedPageBreak/>
        <w:t>2</w:t>
      </w:r>
      <w:r w:rsidR="00763E0D" w:rsidRPr="009F6E8E">
        <w:rPr>
          <w:b w:val="0"/>
          <w:szCs w:val="24"/>
        </w:rPr>
        <w:t>.</w:t>
      </w:r>
      <w:r w:rsidR="00763E0D">
        <w:rPr>
          <w:b w:val="0"/>
        </w:rPr>
        <w:t>3</w:t>
      </w:r>
      <w:r w:rsidR="00763E0D" w:rsidRPr="009F6E8E">
        <w:rPr>
          <w:b w:val="0"/>
        </w:rPr>
        <w:t>.attēls.</w:t>
      </w:r>
      <w:r w:rsidR="00763E0D" w:rsidRPr="009F6E8E">
        <w:t xml:space="preserve"> Mazumtirdzniecība</w:t>
      </w:r>
      <w:bookmarkEnd w:id="79"/>
    </w:p>
    <w:p w:rsidR="00763E0D" w:rsidRPr="009F6E8E" w:rsidRDefault="00763E0D" w:rsidP="00763E0D">
      <w:pPr>
        <w:spacing w:after="120"/>
        <w:jc w:val="center"/>
        <w:rPr>
          <w:rFonts w:eastAsia="Times New Roman"/>
          <w:sz w:val="20"/>
          <w:szCs w:val="24"/>
        </w:rPr>
      </w:pPr>
    </w:p>
    <w:p w:rsidR="00763E0D" w:rsidRDefault="00763E0D" w:rsidP="005B00A4">
      <w:pPr>
        <w:jc w:val="center"/>
        <w:rPr>
          <w:rFonts w:eastAsia="Times New Roman"/>
          <w:bCs/>
          <w:color w:val="000000"/>
          <w:sz w:val="20"/>
          <w:szCs w:val="24"/>
        </w:rPr>
      </w:pPr>
      <w:r w:rsidRPr="009F6E8E">
        <w:rPr>
          <w:rFonts w:eastAsia="Times New Roman"/>
          <w:sz w:val="20"/>
          <w:szCs w:val="24"/>
        </w:rPr>
        <w:t>A</w:t>
      </w:r>
      <w:r w:rsidRPr="009F6E8E">
        <w:rPr>
          <w:rFonts w:eastAsia="Times New Roman"/>
          <w:bCs/>
          <w:color w:val="000000"/>
          <w:sz w:val="20"/>
          <w:szCs w:val="24"/>
        </w:rPr>
        <w:t>pgrozījuma indekss, 200</w:t>
      </w:r>
      <w:r w:rsidR="00301644">
        <w:rPr>
          <w:rFonts w:eastAsia="Times New Roman"/>
          <w:bCs/>
          <w:color w:val="000000"/>
          <w:sz w:val="20"/>
          <w:szCs w:val="24"/>
        </w:rPr>
        <w:t>7</w:t>
      </w:r>
      <w:r w:rsidRPr="009F6E8E">
        <w:rPr>
          <w:rFonts w:eastAsia="Times New Roman"/>
          <w:bCs/>
          <w:color w:val="000000"/>
          <w:sz w:val="20"/>
          <w:szCs w:val="24"/>
        </w:rPr>
        <w:t>.g.decembris=100</w:t>
      </w:r>
      <w:r w:rsidR="005B00A4">
        <w:rPr>
          <w:rFonts w:eastAsia="Times New Roman"/>
          <w:bCs/>
          <w:color w:val="000000"/>
          <w:sz w:val="20"/>
          <w:szCs w:val="24"/>
        </w:rPr>
        <w:t>,</w:t>
      </w:r>
    </w:p>
    <w:p w:rsidR="005B00A4" w:rsidRPr="009F6E8E" w:rsidRDefault="005B00A4" w:rsidP="00763E0D">
      <w:pPr>
        <w:spacing w:after="120"/>
        <w:jc w:val="center"/>
        <w:rPr>
          <w:rFonts w:eastAsia="Times New Roman"/>
          <w:bCs/>
          <w:color w:val="000000"/>
          <w:sz w:val="20"/>
          <w:szCs w:val="24"/>
        </w:rPr>
      </w:pPr>
      <w:r>
        <w:rPr>
          <w:rFonts w:eastAsia="Times New Roman"/>
          <w:bCs/>
          <w:color w:val="000000"/>
          <w:sz w:val="20"/>
          <w:szCs w:val="24"/>
        </w:rPr>
        <w:t>sezonāli izlīdzināti dati</w:t>
      </w:r>
    </w:p>
    <w:p w:rsidR="00763E0D" w:rsidRPr="009F6E8E" w:rsidRDefault="00763E0D" w:rsidP="00763E0D">
      <w:pPr>
        <w:spacing w:after="120"/>
        <w:jc w:val="center"/>
        <w:rPr>
          <w:rFonts w:eastAsia="Times New Roman"/>
          <w:bCs/>
          <w:color w:val="000000"/>
          <w:sz w:val="18"/>
          <w:szCs w:val="24"/>
        </w:rPr>
      </w:pPr>
      <w:r w:rsidRPr="009F6E8E">
        <w:rPr>
          <w:rFonts w:eastAsia="Times New Roman"/>
          <w:bCs/>
          <w:noProof/>
          <w:color w:val="000000"/>
          <w:sz w:val="18"/>
          <w:szCs w:val="24"/>
          <w:lang w:eastAsia="lv-LV"/>
        </w:rPr>
        <w:drawing>
          <wp:inline distT="0" distB="0" distL="0" distR="0">
            <wp:extent cx="4968000" cy="2162175"/>
            <wp:effectExtent l="0" t="0" r="0" b="0"/>
            <wp:docPr id="4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3E0D" w:rsidRDefault="00763E0D" w:rsidP="005B00A4">
      <w:pPr>
        <w:jc w:val="center"/>
        <w:rPr>
          <w:rFonts w:eastAsia="Times New Roman"/>
          <w:bCs/>
          <w:color w:val="000000"/>
          <w:sz w:val="20"/>
          <w:szCs w:val="24"/>
        </w:rPr>
      </w:pPr>
      <w:r w:rsidRPr="009F6E8E">
        <w:rPr>
          <w:rFonts w:eastAsia="Times New Roman"/>
          <w:bCs/>
          <w:color w:val="000000"/>
          <w:sz w:val="20"/>
          <w:szCs w:val="24"/>
        </w:rPr>
        <w:t xml:space="preserve">Apgrozījuma indekss </w:t>
      </w:r>
      <w:r w:rsidR="00F24E3E">
        <w:rPr>
          <w:rFonts w:eastAsia="Times New Roman"/>
          <w:bCs/>
          <w:color w:val="000000"/>
          <w:sz w:val="20"/>
          <w:szCs w:val="24"/>
        </w:rPr>
        <w:t xml:space="preserve">% </w:t>
      </w:r>
      <w:r w:rsidRPr="009F6E8E">
        <w:rPr>
          <w:rFonts w:eastAsia="Times New Roman"/>
          <w:bCs/>
          <w:color w:val="000000"/>
          <w:sz w:val="20"/>
          <w:szCs w:val="24"/>
        </w:rPr>
        <w:t>pret iepriekšējā gada attiecīgo periodu</w:t>
      </w:r>
      <w:r w:rsidR="005B00A4">
        <w:rPr>
          <w:rFonts w:eastAsia="Times New Roman"/>
          <w:bCs/>
          <w:color w:val="000000"/>
          <w:sz w:val="20"/>
          <w:szCs w:val="24"/>
        </w:rPr>
        <w:t>,</w:t>
      </w:r>
    </w:p>
    <w:p w:rsidR="005B00A4" w:rsidRPr="009F6E8E" w:rsidRDefault="005B00A4" w:rsidP="00763E0D">
      <w:pPr>
        <w:spacing w:after="120"/>
        <w:jc w:val="center"/>
        <w:rPr>
          <w:sz w:val="28"/>
          <w:szCs w:val="24"/>
        </w:rPr>
      </w:pPr>
      <w:r>
        <w:rPr>
          <w:rFonts w:eastAsia="Times New Roman"/>
          <w:bCs/>
          <w:color w:val="000000"/>
          <w:sz w:val="20"/>
          <w:szCs w:val="24"/>
        </w:rPr>
        <w:t>sezonāli neizlīdzināti dati</w:t>
      </w:r>
    </w:p>
    <w:p w:rsidR="00763E0D" w:rsidRPr="009F6E8E" w:rsidRDefault="00763E0D" w:rsidP="00763E0D">
      <w:pPr>
        <w:spacing w:after="120"/>
        <w:jc w:val="center"/>
        <w:rPr>
          <w:szCs w:val="24"/>
        </w:rPr>
      </w:pPr>
      <w:r w:rsidRPr="009F6E8E">
        <w:rPr>
          <w:noProof/>
          <w:szCs w:val="24"/>
          <w:lang w:eastAsia="lv-LV"/>
        </w:rPr>
        <w:drawing>
          <wp:inline distT="0" distB="0" distL="0" distR="0">
            <wp:extent cx="4968000" cy="2162175"/>
            <wp:effectExtent l="19050" t="0" r="0" b="0"/>
            <wp:docPr id="4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E0D" w:rsidRPr="009F6E8E" w:rsidRDefault="00763E0D" w:rsidP="00763E0D">
      <w:pPr>
        <w:spacing w:after="120"/>
        <w:rPr>
          <w:szCs w:val="24"/>
        </w:rPr>
      </w:pPr>
    </w:p>
    <w:p w:rsidR="00763E0D" w:rsidRPr="009F6E8E" w:rsidRDefault="00EC307E" w:rsidP="00763E0D">
      <w:pPr>
        <w:pStyle w:val="Heading2"/>
      </w:pPr>
      <w:bookmarkStart w:id="80" w:name="_Toc216077844"/>
      <w:bookmarkStart w:id="81" w:name="_Toc216079513"/>
      <w:bookmarkStart w:id="82" w:name="_Toc216079581"/>
      <w:bookmarkStart w:id="83" w:name="_Toc216079643"/>
      <w:bookmarkStart w:id="84" w:name="_Toc216079699"/>
      <w:bookmarkStart w:id="85" w:name="_Toc216079755"/>
      <w:bookmarkStart w:id="86" w:name="_Toc216079811"/>
      <w:bookmarkStart w:id="87" w:name="_Toc305421416"/>
      <w:r>
        <w:rPr>
          <w:b w:val="0"/>
        </w:rPr>
        <w:t>2</w:t>
      </w:r>
      <w:r w:rsidR="00763E0D">
        <w:rPr>
          <w:b w:val="0"/>
        </w:rPr>
        <w:t>.4.</w:t>
      </w:r>
      <w:r w:rsidR="00763E0D" w:rsidRPr="009F6E8E">
        <w:rPr>
          <w:b w:val="0"/>
        </w:rPr>
        <w:t>attēls.</w:t>
      </w:r>
      <w:r w:rsidR="00763E0D" w:rsidRPr="009F6E8E">
        <w:t xml:space="preserve"> Mazumtirdzniecības konfidences rādītājs</w:t>
      </w:r>
      <w:bookmarkEnd w:id="80"/>
      <w:bookmarkEnd w:id="81"/>
      <w:bookmarkEnd w:id="82"/>
      <w:bookmarkEnd w:id="83"/>
      <w:bookmarkEnd w:id="84"/>
      <w:bookmarkEnd w:id="85"/>
      <w:bookmarkEnd w:id="86"/>
      <w:bookmarkEnd w:id="87"/>
    </w:p>
    <w:p w:rsidR="00763E0D" w:rsidRPr="009F6E8E" w:rsidRDefault="00763E0D" w:rsidP="00763E0D">
      <w:pPr>
        <w:jc w:val="center"/>
      </w:pPr>
      <w:r w:rsidRPr="009F6E8E">
        <w:rPr>
          <w:b/>
          <w:noProof/>
          <w:sz w:val="32"/>
          <w:lang w:eastAsia="lv-LV"/>
        </w:rPr>
        <w:drawing>
          <wp:inline distT="0" distB="0" distL="0" distR="0">
            <wp:extent cx="5500048" cy="2238233"/>
            <wp:effectExtent l="0" t="0" r="0" b="0"/>
            <wp:docPr id="4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E0D" w:rsidRPr="00467A8A" w:rsidRDefault="00763E0D" w:rsidP="00763E0D">
      <w:pPr>
        <w:ind w:left="284" w:right="141" w:hanging="284"/>
        <w:jc w:val="both"/>
        <w:rPr>
          <w:sz w:val="16"/>
          <w:szCs w:val="16"/>
        </w:rPr>
      </w:pPr>
      <w:r w:rsidRPr="00467A8A">
        <w:rPr>
          <w:sz w:val="16"/>
          <w:szCs w:val="16"/>
        </w:rPr>
        <w:t>*</w:t>
      </w:r>
      <w:r w:rsidRPr="00467A8A">
        <w:rPr>
          <w:sz w:val="16"/>
          <w:szCs w:val="16"/>
        </w:rPr>
        <w:tab/>
        <w:t>Mazumtirdzniecības konfidences rādītāju aprēķina kā atbilžu saldo vidējo lielumu uz 3 jautājumiem: par uzņēmuma darbības aktivitāti pēdējos 3 mēnešos, uzņēmuma darbības aktivitāti turpmākajos 3 mēnešos un preču krājumu līmeni (šo rādītāju ņem ar pretēju zīmi). Saldo (bilanci) rēķina kā starpību starp galējo (t.i. pozitīvo un negatīvo) atbilžu īpatsvariem, kas izteikti procentos.</w:t>
      </w:r>
    </w:p>
    <w:p w:rsidR="00763E0D" w:rsidRPr="00467A8A" w:rsidRDefault="00763E0D" w:rsidP="00763E0D">
      <w:pPr>
        <w:ind w:left="284" w:hanging="284"/>
        <w:jc w:val="both"/>
        <w:rPr>
          <w:sz w:val="16"/>
          <w:szCs w:val="16"/>
        </w:rPr>
      </w:pPr>
    </w:p>
    <w:p w:rsidR="00763E0D" w:rsidRDefault="00763E0D">
      <w:pPr>
        <w:rPr>
          <w:rFonts w:eastAsiaTheme="majorEastAsia" w:cstheme="majorBidi"/>
          <w:bCs/>
          <w:sz w:val="28"/>
          <w:szCs w:val="24"/>
        </w:rPr>
      </w:pPr>
      <w:r>
        <w:rPr>
          <w:b/>
          <w:szCs w:val="24"/>
        </w:rPr>
        <w:br w:type="page"/>
      </w:r>
    </w:p>
    <w:p w:rsidR="00BE41C7" w:rsidRPr="009F6E8E" w:rsidRDefault="00EC307E" w:rsidP="00BE41C7">
      <w:pPr>
        <w:pStyle w:val="Heading2"/>
      </w:pPr>
      <w:bookmarkStart w:id="88" w:name="_Toc305421417"/>
      <w:r>
        <w:rPr>
          <w:b w:val="0"/>
          <w:szCs w:val="24"/>
        </w:rPr>
        <w:lastRenderedPageBreak/>
        <w:t>2</w:t>
      </w:r>
      <w:r w:rsidR="00BE41C7" w:rsidRPr="009F6E8E">
        <w:rPr>
          <w:b w:val="0"/>
          <w:szCs w:val="24"/>
        </w:rPr>
        <w:t>.</w:t>
      </w:r>
      <w:r w:rsidR="00763E0D">
        <w:rPr>
          <w:b w:val="0"/>
        </w:rPr>
        <w:t>5</w:t>
      </w:r>
      <w:r w:rsidR="00BE41C7" w:rsidRPr="009F6E8E">
        <w:rPr>
          <w:b w:val="0"/>
        </w:rPr>
        <w:t xml:space="preserve">.attēls. </w:t>
      </w:r>
      <w:r w:rsidR="00BE41C7" w:rsidRPr="009F6E8E">
        <w:t>Būvniecību raksturojošie rādītāji</w:t>
      </w:r>
      <w:bookmarkEnd w:id="72"/>
      <w:bookmarkEnd w:id="73"/>
      <w:bookmarkEnd w:id="74"/>
      <w:bookmarkEnd w:id="75"/>
      <w:bookmarkEnd w:id="76"/>
      <w:bookmarkEnd w:id="77"/>
      <w:bookmarkEnd w:id="78"/>
      <w:bookmarkEnd w:id="88"/>
    </w:p>
    <w:p w:rsidR="00BE41C7" w:rsidRPr="009F6E8E" w:rsidRDefault="00BE41C7" w:rsidP="00BE41C7">
      <w:pPr>
        <w:spacing w:after="40"/>
        <w:rPr>
          <w:b/>
          <w:sz w:val="14"/>
          <w:szCs w:val="14"/>
        </w:rPr>
      </w:pPr>
    </w:p>
    <w:p w:rsidR="00BE41C7" w:rsidRPr="009F6E8E" w:rsidRDefault="00BE41C7" w:rsidP="00BE41C7">
      <w:pPr>
        <w:spacing w:after="40"/>
        <w:rPr>
          <w:b/>
          <w:sz w:val="22"/>
          <w:szCs w:val="24"/>
          <w:u w:val="single"/>
        </w:rPr>
      </w:pPr>
      <w:r w:rsidRPr="009F6E8E">
        <w:rPr>
          <w:b/>
          <w:sz w:val="22"/>
          <w:szCs w:val="24"/>
        </w:rPr>
        <w:t>Būvniecības apjomi</w:t>
      </w:r>
    </w:p>
    <w:tbl>
      <w:tblPr>
        <w:tblW w:w="9716" w:type="dxa"/>
        <w:tblLook w:val="01E0"/>
      </w:tblPr>
      <w:tblGrid>
        <w:gridCol w:w="4932"/>
        <w:gridCol w:w="4784"/>
      </w:tblGrid>
      <w:tr w:rsidR="00BE41C7" w:rsidRPr="009F6E8E" w:rsidTr="009A2453">
        <w:tc>
          <w:tcPr>
            <w:tcW w:w="4962" w:type="dxa"/>
            <w:vAlign w:val="bottom"/>
          </w:tcPr>
          <w:p w:rsidR="00BE41C7" w:rsidRPr="009F6E8E" w:rsidRDefault="00BE41C7" w:rsidP="009A2453">
            <w:pPr>
              <w:tabs>
                <w:tab w:val="center" w:pos="2552"/>
              </w:tabs>
              <w:jc w:val="center"/>
              <w:rPr>
                <w:rFonts w:eastAsia="Times New Roman"/>
                <w:sz w:val="18"/>
                <w:szCs w:val="18"/>
              </w:rPr>
            </w:pPr>
            <w:r w:rsidRPr="009F6E8E">
              <w:rPr>
                <w:rFonts w:eastAsia="Times New Roman"/>
                <w:sz w:val="18"/>
                <w:szCs w:val="18"/>
              </w:rPr>
              <w:br w:type="page"/>
              <w:t>Būvniecības apjomu indekss</w:t>
            </w:r>
            <w:r w:rsidRPr="009F6E8E">
              <w:rPr>
                <w:rFonts w:eastAsia="Times New Roman"/>
                <w:bCs/>
                <w:color w:val="000000"/>
                <w:sz w:val="18"/>
                <w:szCs w:val="18"/>
              </w:rPr>
              <w:t>, 2005.g. IV ceturksnis=100</w:t>
            </w:r>
          </w:p>
        </w:tc>
        <w:tc>
          <w:tcPr>
            <w:tcW w:w="4754" w:type="dxa"/>
            <w:vAlign w:val="bottom"/>
          </w:tcPr>
          <w:p w:rsidR="00BE41C7" w:rsidRPr="009F6E8E" w:rsidRDefault="00BE41C7" w:rsidP="00334FC9">
            <w:pPr>
              <w:jc w:val="center"/>
              <w:rPr>
                <w:rFonts w:eastAsia="Times New Roman"/>
                <w:sz w:val="18"/>
                <w:szCs w:val="18"/>
                <w:lang w:eastAsia="lv-LV"/>
              </w:rPr>
            </w:pPr>
            <w:r w:rsidRPr="009F6E8E">
              <w:rPr>
                <w:rFonts w:eastAsia="Times New Roman"/>
                <w:bCs/>
                <w:color w:val="000000"/>
                <w:sz w:val="18"/>
                <w:szCs w:val="18"/>
              </w:rPr>
              <w:t>Pret iepriekšējā gada attiecīgo periodu, %</w:t>
            </w:r>
          </w:p>
        </w:tc>
      </w:tr>
      <w:tr w:rsidR="00BE41C7" w:rsidRPr="009F6E8E" w:rsidTr="009A2453">
        <w:tc>
          <w:tcPr>
            <w:tcW w:w="4962" w:type="dxa"/>
          </w:tcPr>
          <w:p w:rsidR="00BE41C7" w:rsidRPr="009F6E8E" w:rsidRDefault="00BE41C7" w:rsidP="009A2453">
            <w:pPr>
              <w:tabs>
                <w:tab w:val="center" w:pos="2552"/>
              </w:tabs>
              <w:jc w:val="center"/>
              <w:rPr>
                <w:rFonts w:eastAsia="Times New Roman"/>
                <w:sz w:val="18"/>
                <w:szCs w:val="18"/>
              </w:rPr>
            </w:pPr>
            <w:r w:rsidRPr="009F6E8E">
              <w:rPr>
                <w:rFonts w:eastAsia="Times New Roman"/>
                <w:noProof/>
                <w:sz w:val="20"/>
                <w:szCs w:val="20"/>
                <w:lang w:eastAsia="lv-LV"/>
              </w:rPr>
              <w:drawing>
                <wp:inline distT="0" distB="0" distL="0" distR="0">
                  <wp:extent cx="2924091" cy="1923690"/>
                  <wp:effectExtent l="0" t="0" r="0" b="0"/>
                  <wp:docPr id="6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754" w:type="dxa"/>
          </w:tcPr>
          <w:p w:rsidR="00BE41C7" w:rsidRPr="009F6E8E" w:rsidRDefault="00BE41C7" w:rsidP="009A2453">
            <w:pPr>
              <w:spacing w:after="120"/>
              <w:rPr>
                <w:rFonts w:eastAsia="Times New Roman"/>
              </w:rPr>
            </w:pPr>
            <w:r w:rsidRPr="009F6E8E">
              <w:rPr>
                <w:rFonts w:eastAsia="Times New Roman"/>
                <w:noProof/>
                <w:sz w:val="20"/>
                <w:szCs w:val="20"/>
                <w:lang w:eastAsia="lv-LV"/>
              </w:rPr>
              <w:drawing>
                <wp:inline distT="0" distB="0" distL="0" distR="0">
                  <wp:extent cx="2881223" cy="1923690"/>
                  <wp:effectExtent l="19050" t="0" r="0" b="0"/>
                  <wp:docPr id="6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E41C7" w:rsidRPr="009F6E8E" w:rsidRDefault="00BE41C7" w:rsidP="00BE41C7">
      <w:pPr>
        <w:spacing w:after="40"/>
        <w:rPr>
          <w:b/>
          <w:sz w:val="22"/>
          <w:szCs w:val="24"/>
        </w:rPr>
      </w:pPr>
      <w:r w:rsidRPr="009F6E8E">
        <w:rPr>
          <w:b/>
          <w:sz w:val="22"/>
          <w:szCs w:val="24"/>
        </w:rPr>
        <w:t>Būvniecības konfidences rādītājs</w:t>
      </w:r>
    </w:p>
    <w:p w:rsidR="00BE41C7" w:rsidRPr="009F6E8E" w:rsidRDefault="00BE41C7" w:rsidP="00BE41C7">
      <w:pPr>
        <w:jc w:val="center"/>
        <w:rPr>
          <w:sz w:val="32"/>
        </w:rPr>
      </w:pPr>
      <w:r w:rsidRPr="009F6E8E">
        <w:rPr>
          <w:b/>
          <w:noProof/>
          <w:sz w:val="32"/>
          <w:lang w:eastAsia="lv-LV"/>
        </w:rPr>
        <w:drawing>
          <wp:inline distT="0" distB="0" distL="0" distR="0">
            <wp:extent cx="5800725" cy="1971675"/>
            <wp:effectExtent l="0" t="0" r="0" b="0"/>
            <wp:docPr id="6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1C7" w:rsidRPr="002763E5" w:rsidRDefault="00BE41C7" w:rsidP="00BE41C7">
      <w:pPr>
        <w:ind w:hanging="142"/>
        <w:jc w:val="both"/>
        <w:rPr>
          <w:spacing w:val="-4"/>
          <w:sz w:val="18"/>
          <w:szCs w:val="18"/>
        </w:rPr>
      </w:pPr>
      <w:r w:rsidRPr="002763E5">
        <w:rPr>
          <w:spacing w:val="-4"/>
          <w:sz w:val="18"/>
          <w:szCs w:val="18"/>
        </w:rPr>
        <w:t>*</w:t>
      </w:r>
      <w:r w:rsidRPr="002763E5">
        <w:rPr>
          <w:spacing w:val="-4"/>
          <w:sz w:val="18"/>
          <w:szCs w:val="18"/>
        </w:rPr>
        <w:tab/>
        <w:t>Būvniecības konfidences rādītāju aprēķina kā atbilžu saldo vidējo lielumu uz diviem jautājumiem: pašreizējais pasūtījumu līmenis un gaidāmā nodarbinātība nākamajos 3 mēnešos. Saldo aprēķina kā starpību starp pozitīvajām un negatīvajām atbildēm, kas izteiktas procentos.</w:t>
      </w:r>
    </w:p>
    <w:p w:rsidR="00BE41C7" w:rsidRDefault="00BE41C7" w:rsidP="00BE41C7">
      <w:pPr>
        <w:ind w:firstLine="567"/>
        <w:jc w:val="both"/>
        <w:rPr>
          <w:sz w:val="16"/>
          <w:szCs w:val="18"/>
        </w:rPr>
      </w:pPr>
    </w:p>
    <w:p w:rsidR="00BE41C7" w:rsidRPr="009F6E8E" w:rsidRDefault="00BE41C7" w:rsidP="00BE41C7">
      <w:pPr>
        <w:ind w:firstLine="567"/>
        <w:jc w:val="both"/>
        <w:rPr>
          <w:sz w:val="16"/>
          <w:szCs w:val="18"/>
        </w:rPr>
      </w:pPr>
    </w:p>
    <w:p w:rsidR="00BE41C7" w:rsidRPr="009F6E8E" w:rsidRDefault="00BE41C7" w:rsidP="00BE41C7">
      <w:pPr>
        <w:ind w:firstLine="567"/>
        <w:jc w:val="both"/>
        <w:rPr>
          <w:sz w:val="8"/>
          <w:szCs w:val="18"/>
        </w:rPr>
      </w:pPr>
    </w:p>
    <w:p w:rsidR="00BE41C7" w:rsidRPr="009F6E8E" w:rsidRDefault="00EC307E" w:rsidP="00BE41C7">
      <w:pPr>
        <w:pStyle w:val="Heading2"/>
      </w:pPr>
      <w:bookmarkStart w:id="89" w:name="_Toc216077842"/>
      <w:bookmarkStart w:id="90" w:name="_Toc216079511"/>
      <w:bookmarkStart w:id="91" w:name="_Toc216079579"/>
      <w:bookmarkStart w:id="92" w:name="_Toc216079641"/>
      <w:bookmarkStart w:id="93" w:name="_Toc216079697"/>
      <w:bookmarkStart w:id="94" w:name="_Toc216079753"/>
      <w:bookmarkStart w:id="95" w:name="_Toc216079809"/>
      <w:bookmarkStart w:id="96" w:name="_Toc305421418"/>
      <w:r>
        <w:rPr>
          <w:b w:val="0"/>
          <w:szCs w:val="24"/>
        </w:rPr>
        <w:t>2</w:t>
      </w:r>
      <w:r w:rsidR="00BE41C7" w:rsidRPr="009F6E8E">
        <w:rPr>
          <w:b w:val="0"/>
          <w:szCs w:val="24"/>
        </w:rPr>
        <w:t>.</w:t>
      </w:r>
      <w:r w:rsidR="00763E0D">
        <w:rPr>
          <w:b w:val="0"/>
          <w:szCs w:val="24"/>
        </w:rPr>
        <w:t>6</w:t>
      </w:r>
      <w:r w:rsidR="00BE41C7" w:rsidRPr="009F6E8E">
        <w:rPr>
          <w:b w:val="0"/>
        </w:rPr>
        <w:t>.attēls.</w:t>
      </w:r>
      <w:r w:rsidR="00BE41C7" w:rsidRPr="009F6E8E">
        <w:t xml:space="preserve"> Kravu apgrozījums</w:t>
      </w:r>
      <w:bookmarkEnd w:id="89"/>
      <w:bookmarkEnd w:id="90"/>
      <w:bookmarkEnd w:id="91"/>
      <w:bookmarkEnd w:id="92"/>
      <w:bookmarkEnd w:id="93"/>
      <w:bookmarkEnd w:id="94"/>
      <w:bookmarkEnd w:id="95"/>
      <w:bookmarkEnd w:id="96"/>
    </w:p>
    <w:tbl>
      <w:tblPr>
        <w:tblW w:w="0" w:type="auto"/>
        <w:tblLook w:val="01E0"/>
      </w:tblPr>
      <w:tblGrid>
        <w:gridCol w:w="4917"/>
        <w:gridCol w:w="4938"/>
      </w:tblGrid>
      <w:tr w:rsidR="00BE41C7" w:rsidRPr="009F6E8E" w:rsidTr="009A2453">
        <w:trPr>
          <w:trHeight w:val="20"/>
        </w:trPr>
        <w:tc>
          <w:tcPr>
            <w:tcW w:w="4917" w:type="dxa"/>
          </w:tcPr>
          <w:p w:rsidR="00BE41C7" w:rsidRPr="009F6E8E" w:rsidRDefault="00BE41C7" w:rsidP="00F24E3E">
            <w:pPr>
              <w:tabs>
                <w:tab w:val="center" w:pos="2552"/>
              </w:tabs>
              <w:spacing w:before="60"/>
              <w:rPr>
                <w:rFonts w:eastAsia="Times New Roman"/>
                <w:sz w:val="18"/>
                <w:szCs w:val="18"/>
              </w:rPr>
            </w:pPr>
            <w:r w:rsidRPr="009F6E8E">
              <w:rPr>
                <w:rFonts w:eastAsia="Times New Roman"/>
                <w:sz w:val="18"/>
                <w:szCs w:val="18"/>
              </w:rPr>
              <w:br w:type="page"/>
            </w:r>
            <w:r w:rsidRPr="009F6E8E">
              <w:rPr>
                <w:rFonts w:eastAsia="Times New Roman"/>
                <w:sz w:val="18"/>
                <w:szCs w:val="18"/>
              </w:rPr>
              <w:tab/>
              <w:t xml:space="preserve">Kravu pārvadājumi dzelzceļā, </w:t>
            </w:r>
            <w:r w:rsidRPr="009F6E8E">
              <w:rPr>
                <w:rFonts w:eastAsia="Times New Roman"/>
                <w:bCs/>
                <w:color w:val="000000"/>
                <w:sz w:val="18"/>
                <w:szCs w:val="18"/>
              </w:rPr>
              <w:t>tūkst. t</w:t>
            </w:r>
          </w:p>
        </w:tc>
        <w:tc>
          <w:tcPr>
            <w:tcW w:w="4963" w:type="dxa"/>
          </w:tcPr>
          <w:p w:rsidR="00BE41C7" w:rsidRPr="009F6E8E" w:rsidRDefault="00BE41C7" w:rsidP="009A2453">
            <w:pPr>
              <w:tabs>
                <w:tab w:val="center" w:pos="2565"/>
              </w:tabs>
              <w:spacing w:before="60"/>
              <w:rPr>
                <w:rFonts w:eastAsia="Times New Roman"/>
                <w:sz w:val="18"/>
                <w:szCs w:val="18"/>
              </w:rPr>
            </w:pPr>
            <w:r w:rsidRPr="009F6E8E">
              <w:rPr>
                <w:rFonts w:eastAsia="Times New Roman"/>
                <w:bCs/>
                <w:color w:val="000000"/>
                <w:sz w:val="18"/>
                <w:szCs w:val="18"/>
              </w:rPr>
              <w:tab/>
              <w:t>Nosūtītās un saņemtās kravas ostās, tūkst. t</w:t>
            </w:r>
          </w:p>
        </w:tc>
      </w:tr>
      <w:tr w:rsidR="00BE41C7" w:rsidRPr="009F6E8E" w:rsidTr="009A2453">
        <w:trPr>
          <w:trHeight w:val="20"/>
        </w:trPr>
        <w:tc>
          <w:tcPr>
            <w:tcW w:w="4917" w:type="dxa"/>
          </w:tcPr>
          <w:p w:rsidR="00BE41C7" w:rsidRPr="009F6E8E" w:rsidRDefault="00BE41C7" w:rsidP="009A2453">
            <w:pPr>
              <w:jc w:val="center"/>
              <w:rPr>
                <w:rFonts w:eastAsia="Times New Roman"/>
              </w:rPr>
            </w:pPr>
            <w:r w:rsidRPr="009F6E8E">
              <w:rPr>
                <w:rFonts w:eastAsia="Times New Roman"/>
                <w:noProof/>
                <w:sz w:val="20"/>
                <w:szCs w:val="20"/>
                <w:lang w:eastAsia="lv-LV"/>
              </w:rPr>
              <w:drawing>
                <wp:inline distT="0" distB="0" distL="0" distR="0">
                  <wp:extent cx="2984740" cy="2458528"/>
                  <wp:effectExtent l="0" t="0" r="0" b="0"/>
                  <wp:docPr id="6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63" w:type="dxa"/>
          </w:tcPr>
          <w:p w:rsidR="00BE41C7" w:rsidRPr="009F6E8E" w:rsidRDefault="00BE41C7" w:rsidP="009A2453">
            <w:pPr>
              <w:jc w:val="center"/>
              <w:rPr>
                <w:rFonts w:eastAsia="Times New Roman"/>
              </w:rPr>
            </w:pPr>
            <w:r w:rsidRPr="00707016">
              <w:rPr>
                <w:rFonts w:eastAsia="Times New Roman"/>
                <w:noProof/>
                <w:lang w:eastAsia="lv-LV"/>
              </w:rPr>
              <w:drawing>
                <wp:inline distT="0" distB="0" distL="0" distR="0">
                  <wp:extent cx="2984739" cy="2458528"/>
                  <wp:effectExtent l="0" t="0" r="0" b="0"/>
                  <wp:docPr id="5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BE41C7" w:rsidRDefault="00BE41C7" w:rsidP="00BE41C7">
      <w:pPr>
        <w:pStyle w:val="Heading2"/>
        <w:rPr>
          <w:b w:val="0"/>
          <w:szCs w:val="24"/>
        </w:rPr>
      </w:pPr>
      <w:bookmarkStart w:id="97" w:name="_Toc216077843"/>
      <w:bookmarkStart w:id="98" w:name="_Toc216079512"/>
      <w:bookmarkStart w:id="99" w:name="_Toc216079580"/>
      <w:bookmarkStart w:id="100" w:name="_Toc216079642"/>
      <w:bookmarkStart w:id="101" w:name="_Toc216079698"/>
      <w:bookmarkStart w:id="102" w:name="_Toc216079754"/>
      <w:bookmarkStart w:id="103" w:name="_Toc216079810"/>
    </w:p>
    <w:p w:rsidR="00BE41C7" w:rsidRDefault="00BE41C7" w:rsidP="00BE41C7">
      <w:pPr>
        <w:rPr>
          <w:rFonts w:eastAsiaTheme="majorEastAsia" w:cstheme="majorBidi"/>
        </w:rPr>
      </w:pPr>
      <w:r>
        <w:br w:type="page"/>
      </w:r>
    </w:p>
    <w:p w:rsidR="00BE41C7" w:rsidRPr="009F6E8E" w:rsidRDefault="00EC307E" w:rsidP="00BE41C7">
      <w:pPr>
        <w:pStyle w:val="Heading2"/>
      </w:pPr>
      <w:bookmarkStart w:id="104" w:name="_Toc216077845"/>
      <w:bookmarkStart w:id="105" w:name="_Toc216079514"/>
      <w:bookmarkStart w:id="106" w:name="_Toc216079582"/>
      <w:bookmarkStart w:id="107" w:name="_Toc216079644"/>
      <w:bookmarkStart w:id="108" w:name="_Toc216079700"/>
      <w:bookmarkStart w:id="109" w:name="_Toc216079756"/>
      <w:bookmarkStart w:id="110" w:name="_Toc216079812"/>
      <w:bookmarkStart w:id="111" w:name="_Toc305421419"/>
      <w:bookmarkEnd w:id="97"/>
      <w:bookmarkEnd w:id="98"/>
      <w:bookmarkEnd w:id="99"/>
      <w:bookmarkEnd w:id="100"/>
      <w:bookmarkEnd w:id="101"/>
      <w:bookmarkEnd w:id="102"/>
      <w:bookmarkEnd w:id="103"/>
      <w:r>
        <w:rPr>
          <w:b w:val="0"/>
        </w:rPr>
        <w:lastRenderedPageBreak/>
        <w:t>2</w:t>
      </w:r>
      <w:r w:rsidR="00BE41C7" w:rsidRPr="009F6E8E">
        <w:rPr>
          <w:b w:val="0"/>
        </w:rPr>
        <w:t>.7.attēls.</w:t>
      </w:r>
      <w:r w:rsidR="00BE41C7" w:rsidRPr="009F6E8E">
        <w:t xml:space="preserve"> Apstrādes rūpniecības produkcijas fiziskā apjoma indekss</w:t>
      </w:r>
      <w:bookmarkEnd w:id="104"/>
      <w:bookmarkEnd w:id="105"/>
      <w:bookmarkEnd w:id="106"/>
      <w:bookmarkEnd w:id="107"/>
      <w:bookmarkEnd w:id="108"/>
      <w:bookmarkEnd w:id="109"/>
      <w:bookmarkEnd w:id="110"/>
      <w:bookmarkEnd w:id="111"/>
    </w:p>
    <w:p w:rsidR="00BE41C7" w:rsidRPr="009F6E8E" w:rsidRDefault="00BE41C7" w:rsidP="00BE41C7">
      <w:pPr>
        <w:spacing w:after="60"/>
        <w:jc w:val="center"/>
        <w:rPr>
          <w:rFonts w:eastAsia="Times New Roman"/>
          <w:bCs/>
          <w:color w:val="000000"/>
          <w:sz w:val="12"/>
          <w:szCs w:val="18"/>
        </w:rPr>
      </w:pPr>
    </w:p>
    <w:p w:rsidR="00BE41C7" w:rsidRPr="009F6E8E" w:rsidRDefault="00F24E3E" w:rsidP="00BE41C7">
      <w:pPr>
        <w:spacing w:after="60"/>
        <w:jc w:val="center"/>
        <w:rPr>
          <w:b/>
          <w:sz w:val="28"/>
          <w:szCs w:val="24"/>
        </w:rPr>
      </w:pPr>
      <w:r>
        <w:rPr>
          <w:rFonts w:eastAsia="Times New Roman"/>
          <w:bCs/>
          <w:color w:val="000000"/>
          <w:sz w:val="20"/>
          <w:szCs w:val="18"/>
        </w:rPr>
        <w:t>sezonāli izlīdzināti dati, 2007</w:t>
      </w:r>
      <w:r w:rsidR="00BE41C7" w:rsidRPr="009F6E8E">
        <w:rPr>
          <w:rFonts w:eastAsia="Times New Roman"/>
          <w:bCs/>
          <w:color w:val="000000"/>
          <w:sz w:val="20"/>
          <w:szCs w:val="18"/>
        </w:rPr>
        <w:t>.g. decembris=100</w:t>
      </w:r>
    </w:p>
    <w:p w:rsidR="00BE41C7" w:rsidRPr="009F6E8E" w:rsidRDefault="00BE41C7" w:rsidP="00BE41C7">
      <w:pPr>
        <w:spacing w:after="60"/>
        <w:jc w:val="center"/>
        <w:rPr>
          <w:b/>
          <w:szCs w:val="24"/>
        </w:rPr>
      </w:pPr>
      <w:r w:rsidRPr="009F6E8E">
        <w:rPr>
          <w:rFonts w:eastAsia="Times New Roman"/>
          <w:noProof/>
          <w:sz w:val="20"/>
          <w:szCs w:val="20"/>
          <w:lang w:eastAsia="lv-LV"/>
        </w:rPr>
        <w:drawing>
          <wp:inline distT="0" distB="0" distL="0" distR="0">
            <wp:extent cx="4959706" cy="2157984"/>
            <wp:effectExtent l="0" t="0" r="0" b="0"/>
            <wp:docPr id="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41C7" w:rsidRPr="009F6E8E" w:rsidRDefault="00BE41C7" w:rsidP="00BE41C7">
      <w:pPr>
        <w:spacing w:after="120"/>
        <w:jc w:val="center"/>
        <w:rPr>
          <w:rFonts w:eastAsia="Times New Roman"/>
          <w:bCs/>
          <w:color w:val="000000"/>
          <w:sz w:val="18"/>
          <w:szCs w:val="18"/>
        </w:rPr>
      </w:pPr>
    </w:p>
    <w:p w:rsidR="00BE41C7" w:rsidRPr="009F6E8E" w:rsidRDefault="00F24E3E" w:rsidP="00BE41C7">
      <w:pPr>
        <w:spacing w:after="120"/>
        <w:jc w:val="center"/>
        <w:rPr>
          <w:b/>
          <w:sz w:val="28"/>
          <w:szCs w:val="24"/>
        </w:rPr>
      </w:pPr>
      <w:r>
        <w:rPr>
          <w:rFonts w:eastAsia="Times New Roman"/>
          <w:bCs/>
          <w:color w:val="000000"/>
          <w:sz w:val="20"/>
          <w:szCs w:val="18"/>
        </w:rPr>
        <w:t>procentos p</w:t>
      </w:r>
      <w:r w:rsidR="00BE41C7" w:rsidRPr="009F6E8E">
        <w:rPr>
          <w:rFonts w:eastAsia="Times New Roman"/>
          <w:bCs/>
          <w:color w:val="000000"/>
          <w:sz w:val="20"/>
          <w:szCs w:val="18"/>
        </w:rPr>
        <w:t>ret iepriekšējā gada attiecīgo periodu, pēc darba dienu skaita izlīdzināti dati</w:t>
      </w:r>
    </w:p>
    <w:p w:rsidR="00BE41C7" w:rsidRPr="009F6E8E" w:rsidRDefault="00BE41C7" w:rsidP="00BE41C7">
      <w:pPr>
        <w:spacing w:after="120"/>
        <w:jc w:val="center"/>
        <w:rPr>
          <w:b/>
          <w:szCs w:val="24"/>
        </w:rPr>
      </w:pPr>
      <w:r w:rsidRPr="009F6E8E">
        <w:rPr>
          <w:rFonts w:eastAsia="Times New Roman"/>
          <w:noProof/>
          <w:sz w:val="20"/>
          <w:szCs w:val="20"/>
          <w:lang w:eastAsia="lv-LV"/>
        </w:rPr>
        <w:drawing>
          <wp:inline distT="0" distB="0" distL="0" distR="0">
            <wp:extent cx="5135270" cy="2157984"/>
            <wp:effectExtent l="0" t="0" r="0" b="0"/>
            <wp:docPr id="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41C7" w:rsidRPr="009F6E8E" w:rsidRDefault="00BE41C7" w:rsidP="00BE41C7">
      <w:pPr>
        <w:spacing w:after="120"/>
        <w:rPr>
          <w:sz w:val="12"/>
          <w:szCs w:val="24"/>
        </w:rPr>
      </w:pPr>
    </w:p>
    <w:p w:rsidR="00BE41C7" w:rsidRDefault="00EC307E" w:rsidP="00BE41C7">
      <w:pPr>
        <w:pStyle w:val="Heading2"/>
      </w:pPr>
      <w:bookmarkStart w:id="112" w:name="_Toc216077846"/>
      <w:bookmarkStart w:id="113" w:name="_Toc216079515"/>
      <w:bookmarkStart w:id="114" w:name="_Toc216079583"/>
      <w:bookmarkStart w:id="115" w:name="_Toc216079645"/>
      <w:bookmarkStart w:id="116" w:name="_Toc216079701"/>
      <w:bookmarkStart w:id="117" w:name="_Toc216079757"/>
      <w:bookmarkStart w:id="118" w:name="_Toc216079813"/>
      <w:bookmarkStart w:id="119" w:name="_Toc305421420"/>
      <w:r>
        <w:rPr>
          <w:b w:val="0"/>
        </w:rPr>
        <w:t>2</w:t>
      </w:r>
      <w:r w:rsidR="00BE41C7" w:rsidRPr="009F6E8E">
        <w:rPr>
          <w:b w:val="0"/>
        </w:rPr>
        <w:t>.8.attēls.</w:t>
      </w:r>
      <w:r w:rsidR="00BE41C7" w:rsidRPr="009F6E8E">
        <w:t xml:space="preserve"> Rūpniecības konfidences rādītājs</w:t>
      </w:r>
      <w:bookmarkEnd w:id="112"/>
      <w:bookmarkEnd w:id="113"/>
      <w:bookmarkEnd w:id="114"/>
      <w:bookmarkEnd w:id="115"/>
      <w:bookmarkEnd w:id="116"/>
      <w:bookmarkEnd w:id="117"/>
      <w:bookmarkEnd w:id="118"/>
      <w:r w:rsidR="00E17FD0">
        <w:t xml:space="preserve"> un ražošanas jaudu noslodze</w:t>
      </w:r>
      <w:bookmarkEnd w:id="119"/>
    </w:p>
    <w:p w:rsidR="00E17FD0" w:rsidRDefault="00E17FD0" w:rsidP="00E17F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4"/>
        <w:gridCol w:w="4941"/>
      </w:tblGrid>
      <w:tr w:rsidR="00E17FD0" w:rsidTr="00F24E3E">
        <w:tc>
          <w:tcPr>
            <w:tcW w:w="4914" w:type="dxa"/>
          </w:tcPr>
          <w:p w:rsidR="00E17FD0" w:rsidRDefault="00E17FD0" w:rsidP="00E17FD0">
            <w:pPr>
              <w:spacing w:after="40"/>
              <w:jc w:val="center"/>
            </w:pPr>
            <w:r>
              <w:t>Rūpniecības konfidences rādītājs</w:t>
            </w:r>
          </w:p>
        </w:tc>
        <w:tc>
          <w:tcPr>
            <w:tcW w:w="4941" w:type="dxa"/>
          </w:tcPr>
          <w:p w:rsidR="00E17FD0" w:rsidRDefault="00E17FD0" w:rsidP="00E17FD0">
            <w:pPr>
              <w:spacing w:after="40"/>
              <w:jc w:val="center"/>
            </w:pPr>
            <w:r>
              <w:t>Ražošanas jaudu noslodze, %</w:t>
            </w:r>
          </w:p>
        </w:tc>
      </w:tr>
      <w:tr w:rsidR="00F24E3E" w:rsidTr="00F24E3E">
        <w:tc>
          <w:tcPr>
            <w:tcW w:w="4914" w:type="dxa"/>
          </w:tcPr>
          <w:p w:rsidR="00F24E3E" w:rsidRDefault="00F24E3E" w:rsidP="00E17FD0">
            <w:r w:rsidRPr="009F6E8E">
              <w:rPr>
                <w:b/>
                <w:noProof/>
                <w:sz w:val="32"/>
              </w:rPr>
              <w:drawing>
                <wp:inline distT="0" distB="0" distL="0" distR="0">
                  <wp:extent cx="2981325" cy="2295525"/>
                  <wp:effectExtent l="0" t="0" r="0" b="0"/>
                  <wp:docPr id="7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41" w:type="dxa"/>
            <w:vMerge w:val="restart"/>
          </w:tcPr>
          <w:p w:rsidR="00F24E3E" w:rsidRDefault="00F24E3E" w:rsidP="00E17FD0">
            <w:r w:rsidRPr="00E17FD0">
              <w:rPr>
                <w:noProof/>
              </w:rPr>
              <w:drawing>
                <wp:inline distT="0" distB="0" distL="0" distR="0">
                  <wp:extent cx="2981325" cy="2867025"/>
                  <wp:effectExtent l="19050" t="0" r="0" b="0"/>
                  <wp:docPr id="8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24E3E" w:rsidTr="00F24E3E">
        <w:tc>
          <w:tcPr>
            <w:tcW w:w="4914" w:type="dxa"/>
          </w:tcPr>
          <w:p w:rsidR="00F24E3E" w:rsidRDefault="00F24E3E" w:rsidP="00E17FD0">
            <w:pPr>
              <w:spacing w:before="40"/>
              <w:ind w:left="142" w:right="346" w:hanging="142"/>
              <w:jc w:val="both"/>
            </w:pPr>
            <w:r w:rsidRPr="00467A8A">
              <w:rPr>
                <w:sz w:val="16"/>
                <w:szCs w:val="16"/>
              </w:rPr>
              <w:t>* Rūpniecības konfidences rādītāju aprēķina kā atbilžu saldo vidējo lielumu uz trim jautājumiem: kopējais produkcijas pieprasījuma līmenis; gaidāmās ražošanas aktivitātes izmaiņas un gatavās produkcijas krājumu līmenis ar pretēju zīmi.</w:t>
            </w:r>
          </w:p>
        </w:tc>
        <w:tc>
          <w:tcPr>
            <w:tcW w:w="4941" w:type="dxa"/>
            <w:vMerge/>
          </w:tcPr>
          <w:p w:rsidR="00F24E3E" w:rsidRDefault="00F24E3E" w:rsidP="00E17FD0"/>
        </w:tc>
      </w:tr>
    </w:tbl>
    <w:p w:rsidR="00E17FD0" w:rsidRDefault="00E17FD0" w:rsidP="00E17FD0"/>
    <w:p w:rsidR="00BE41C7" w:rsidRPr="009F6E8E" w:rsidRDefault="00BE41C7" w:rsidP="00BE41C7">
      <w:pPr>
        <w:ind w:left="284" w:hanging="284"/>
        <w:jc w:val="both"/>
        <w:rPr>
          <w:sz w:val="18"/>
          <w:szCs w:val="18"/>
        </w:rPr>
      </w:pPr>
    </w:p>
    <w:p w:rsidR="00BE41C7" w:rsidRPr="009F6E8E" w:rsidRDefault="00EC307E" w:rsidP="00BE41C7">
      <w:pPr>
        <w:pStyle w:val="Heading2"/>
      </w:pPr>
      <w:bookmarkStart w:id="120" w:name="_Toc216077847"/>
      <w:bookmarkStart w:id="121" w:name="_Toc216079516"/>
      <w:bookmarkStart w:id="122" w:name="_Toc216079584"/>
      <w:bookmarkStart w:id="123" w:name="_Toc216079646"/>
      <w:bookmarkStart w:id="124" w:name="_Toc216079702"/>
      <w:bookmarkStart w:id="125" w:name="_Toc216079758"/>
      <w:bookmarkStart w:id="126" w:name="_Toc216079814"/>
      <w:bookmarkStart w:id="127" w:name="_Toc305421421"/>
      <w:r>
        <w:rPr>
          <w:b w:val="0"/>
        </w:rPr>
        <w:t>2</w:t>
      </w:r>
      <w:r w:rsidR="00BE41C7" w:rsidRPr="009F6E8E">
        <w:rPr>
          <w:b w:val="0"/>
        </w:rPr>
        <w:t>.9.attēls.</w:t>
      </w:r>
      <w:r w:rsidR="00BE41C7" w:rsidRPr="009F6E8E">
        <w:t xml:space="preserve"> Jaunie pasūtījumi apstrādes rūpniecībā</w:t>
      </w:r>
      <w:bookmarkEnd w:id="120"/>
      <w:bookmarkEnd w:id="121"/>
      <w:bookmarkEnd w:id="122"/>
      <w:bookmarkEnd w:id="123"/>
      <w:bookmarkEnd w:id="124"/>
      <w:bookmarkEnd w:id="125"/>
      <w:bookmarkEnd w:id="126"/>
      <w:bookmarkEnd w:id="127"/>
    </w:p>
    <w:p w:rsidR="00BE41C7" w:rsidRPr="009F6E8E" w:rsidRDefault="00BE41C7" w:rsidP="00BE41C7"/>
    <w:p w:rsidR="00BE41C7" w:rsidRPr="009F6E8E" w:rsidRDefault="00BE41C7" w:rsidP="00BE41C7">
      <w:pPr>
        <w:spacing w:after="40"/>
        <w:jc w:val="center"/>
        <w:rPr>
          <w:b/>
          <w:sz w:val="22"/>
          <w:szCs w:val="24"/>
        </w:rPr>
      </w:pPr>
      <w:r w:rsidRPr="009F6E8E">
        <w:rPr>
          <w:b/>
          <w:sz w:val="22"/>
          <w:szCs w:val="24"/>
        </w:rPr>
        <w:t>Kopā apstrādes rūpniecības nozarēs, kas darbojas galvenokārt uz pasūtījumiem</w:t>
      </w:r>
    </w:p>
    <w:p w:rsidR="00BE41C7" w:rsidRPr="009F6E8E" w:rsidRDefault="00F24E3E" w:rsidP="00467A8A">
      <w:pPr>
        <w:spacing w:after="120"/>
        <w:jc w:val="center"/>
        <w:rPr>
          <w:rFonts w:eastAsia="Times New Roman"/>
          <w:bCs/>
          <w:color w:val="000000"/>
          <w:sz w:val="20"/>
          <w:szCs w:val="18"/>
        </w:rPr>
      </w:pPr>
      <w:r>
        <w:rPr>
          <w:rFonts w:eastAsia="Times New Roman"/>
          <w:bCs/>
          <w:color w:val="000000"/>
          <w:sz w:val="20"/>
          <w:szCs w:val="18"/>
        </w:rPr>
        <w:t>%</w:t>
      </w:r>
      <w:r w:rsidR="00BE41C7">
        <w:rPr>
          <w:rFonts w:eastAsia="Times New Roman"/>
          <w:bCs/>
          <w:color w:val="000000"/>
          <w:sz w:val="20"/>
          <w:szCs w:val="18"/>
        </w:rPr>
        <w:t xml:space="preserve"> </w:t>
      </w:r>
      <w:r w:rsidR="00BE41C7" w:rsidRPr="009F6E8E">
        <w:rPr>
          <w:rFonts w:eastAsia="Times New Roman"/>
          <w:bCs/>
          <w:color w:val="000000"/>
          <w:sz w:val="20"/>
          <w:szCs w:val="18"/>
        </w:rPr>
        <w:t>pret iepriekšējā gada attiecīgo ce</w:t>
      </w:r>
      <w:r w:rsidR="006060E3">
        <w:rPr>
          <w:rFonts w:eastAsia="Times New Roman"/>
          <w:bCs/>
          <w:color w:val="000000"/>
          <w:sz w:val="20"/>
          <w:szCs w:val="18"/>
        </w:rPr>
        <w:t>turksni, sezonāli izlīdzināti</w:t>
      </w:r>
      <w:r w:rsidR="00BE41C7" w:rsidRPr="009F6E8E">
        <w:rPr>
          <w:rFonts w:eastAsia="Times New Roman"/>
          <w:bCs/>
          <w:color w:val="000000"/>
          <w:sz w:val="20"/>
          <w:szCs w:val="18"/>
        </w:rPr>
        <w:t xml:space="preserve"> dati</w:t>
      </w:r>
    </w:p>
    <w:p w:rsidR="00BE41C7" w:rsidRPr="009F6E8E" w:rsidRDefault="00BE41C7" w:rsidP="00BE41C7">
      <w:pPr>
        <w:jc w:val="center"/>
      </w:pPr>
      <w:r w:rsidRPr="009F6E8E">
        <w:rPr>
          <w:noProof/>
          <w:lang w:eastAsia="lv-LV"/>
        </w:rPr>
        <w:drawing>
          <wp:inline distT="0" distB="0" distL="0" distR="0">
            <wp:extent cx="5747657" cy="1959428"/>
            <wp:effectExtent l="0" t="0" r="0" b="0"/>
            <wp:docPr id="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41C7" w:rsidRPr="009F6E8E" w:rsidRDefault="00BE41C7" w:rsidP="00BE41C7">
      <w:pPr>
        <w:ind w:firstLine="567"/>
        <w:jc w:val="both"/>
        <w:rPr>
          <w:sz w:val="20"/>
        </w:rPr>
      </w:pPr>
    </w:p>
    <w:p w:rsidR="00BE41C7" w:rsidRPr="009F6E8E" w:rsidRDefault="00BE41C7" w:rsidP="00BE41C7">
      <w:pPr>
        <w:spacing w:after="40"/>
        <w:jc w:val="center"/>
        <w:rPr>
          <w:b/>
          <w:sz w:val="22"/>
          <w:szCs w:val="24"/>
        </w:rPr>
      </w:pPr>
      <w:r w:rsidRPr="009F6E8E">
        <w:rPr>
          <w:b/>
          <w:sz w:val="22"/>
          <w:szCs w:val="24"/>
        </w:rPr>
        <w:t>Jaunie pasūtījumi apstrādes rūpniecības apakšnozarēs</w:t>
      </w:r>
    </w:p>
    <w:p w:rsidR="00BE41C7" w:rsidRPr="009F6E8E" w:rsidRDefault="00BE41C7" w:rsidP="00BE41C7">
      <w:pPr>
        <w:spacing w:after="120"/>
        <w:jc w:val="center"/>
        <w:rPr>
          <w:rFonts w:eastAsia="Times New Roman"/>
          <w:bCs/>
          <w:color w:val="000000"/>
          <w:sz w:val="20"/>
          <w:szCs w:val="18"/>
        </w:rPr>
      </w:pPr>
      <w:r>
        <w:rPr>
          <w:rFonts w:eastAsia="Times New Roman"/>
          <w:bCs/>
          <w:color w:val="000000"/>
          <w:sz w:val="20"/>
          <w:szCs w:val="18"/>
        </w:rPr>
        <w:t xml:space="preserve">% </w:t>
      </w:r>
      <w:r w:rsidRPr="009F6E8E">
        <w:rPr>
          <w:rFonts w:eastAsia="Times New Roman"/>
          <w:bCs/>
          <w:color w:val="000000"/>
          <w:sz w:val="20"/>
          <w:szCs w:val="18"/>
        </w:rPr>
        <w:t>pret iepriekšējā gada attiecīgo ceturksni, sezonāli izlīdzinātie dati</w:t>
      </w:r>
    </w:p>
    <w:p w:rsidR="00BE41C7" w:rsidRPr="009F6E8E" w:rsidRDefault="00BE41C7" w:rsidP="00BE41C7">
      <w:pPr>
        <w:spacing w:after="120"/>
        <w:jc w:val="center"/>
        <w:rPr>
          <w:rFonts w:eastAsia="Times New Roman"/>
          <w:bCs/>
          <w:color w:val="000000"/>
          <w:sz w:val="6"/>
          <w:szCs w:val="18"/>
        </w:rPr>
      </w:pPr>
    </w:p>
    <w:tbl>
      <w:tblPr>
        <w:tblW w:w="9472" w:type="dxa"/>
        <w:jc w:val="center"/>
        <w:tblLayout w:type="fixed"/>
        <w:tblLook w:val="01E0"/>
      </w:tblPr>
      <w:tblGrid>
        <w:gridCol w:w="4697"/>
        <w:gridCol w:w="21"/>
        <w:gridCol w:w="4713"/>
        <w:gridCol w:w="41"/>
      </w:tblGrid>
      <w:tr w:rsidR="00BE41C7" w:rsidRPr="009F6E8E" w:rsidTr="009A2453">
        <w:trPr>
          <w:gridAfter w:val="1"/>
          <w:wAfter w:w="41" w:type="dxa"/>
          <w:trHeight w:val="246"/>
          <w:jc w:val="center"/>
        </w:trPr>
        <w:tc>
          <w:tcPr>
            <w:tcW w:w="4697" w:type="dxa"/>
            <w:vAlign w:val="bottom"/>
          </w:tcPr>
          <w:p w:rsidR="00BE41C7" w:rsidRPr="009F6E8E" w:rsidRDefault="00BE41C7" w:rsidP="009A2453">
            <w:pPr>
              <w:jc w:val="center"/>
              <w:rPr>
                <w:sz w:val="20"/>
                <w:szCs w:val="18"/>
              </w:rPr>
            </w:pPr>
            <w:r w:rsidRPr="009F6E8E">
              <w:rPr>
                <w:sz w:val="20"/>
                <w:szCs w:val="18"/>
              </w:rPr>
              <w:t>Vieglā rūpniecība</w:t>
            </w:r>
          </w:p>
        </w:tc>
        <w:tc>
          <w:tcPr>
            <w:tcW w:w="4734" w:type="dxa"/>
            <w:gridSpan w:val="2"/>
            <w:vAlign w:val="bottom"/>
          </w:tcPr>
          <w:p w:rsidR="00BE41C7" w:rsidRPr="009F6E8E" w:rsidRDefault="00BE41C7" w:rsidP="009A2453">
            <w:pPr>
              <w:jc w:val="center"/>
              <w:rPr>
                <w:sz w:val="20"/>
                <w:szCs w:val="18"/>
              </w:rPr>
            </w:pPr>
            <w:r w:rsidRPr="009F6E8E">
              <w:rPr>
                <w:sz w:val="20"/>
                <w:szCs w:val="18"/>
              </w:rPr>
              <w:t>Ķīmiskā rūpniecība</w:t>
            </w:r>
          </w:p>
        </w:tc>
      </w:tr>
      <w:tr w:rsidR="00BE41C7" w:rsidRPr="009F6E8E" w:rsidTr="009A2453">
        <w:trPr>
          <w:gridAfter w:val="1"/>
          <w:wAfter w:w="41" w:type="dxa"/>
          <w:trHeight w:val="2287"/>
          <w:jc w:val="center"/>
        </w:trPr>
        <w:tc>
          <w:tcPr>
            <w:tcW w:w="4697" w:type="dxa"/>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34"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Metālu un metāla izstrādājumu ražošana</w:t>
            </w:r>
          </w:p>
        </w:tc>
        <w:tc>
          <w:tcPr>
            <w:tcW w:w="4754" w:type="dxa"/>
            <w:gridSpan w:val="2"/>
            <w:vAlign w:val="bottom"/>
          </w:tcPr>
          <w:p w:rsidR="00BE41C7" w:rsidRPr="009F6E8E" w:rsidRDefault="00BE41C7" w:rsidP="009A2453">
            <w:pPr>
              <w:tabs>
                <w:tab w:val="center" w:pos="2401"/>
              </w:tabs>
              <w:ind w:right="34"/>
              <w:jc w:val="center"/>
              <w:rPr>
                <w:rFonts w:eastAsia="Times New Roman"/>
                <w:sz w:val="20"/>
                <w:szCs w:val="18"/>
              </w:rPr>
            </w:pPr>
            <w:r w:rsidRPr="009F6E8E">
              <w:rPr>
                <w:rFonts w:eastAsia="Times New Roman"/>
                <w:sz w:val="20"/>
                <w:szCs w:val="18"/>
              </w:rPr>
              <w:t xml:space="preserve">Elektrisko un optisko iekārtu ražošana </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9F6E8E">
              <w:rPr>
                <w:rFonts w:eastAsia="Times New Roman"/>
                <w:noProof/>
                <w:lang w:eastAsia="lv-LV"/>
              </w:rPr>
              <w:drawing>
                <wp:inline distT="0" distB="0" distL="0" distR="0">
                  <wp:extent cx="2916000" cy="1509622"/>
                  <wp:effectExtent l="19050" t="0" r="0" b="0"/>
                  <wp:docPr id="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E41C7" w:rsidRPr="009F6E8E" w:rsidTr="009A2453">
        <w:trPr>
          <w:trHeight w:val="235"/>
          <w:jc w:val="center"/>
        </w:trPr>
        <w:tc>
          <w:tcPr>
            <w:tcW w:w="4718" w:type="dxa"/>
            <w:gridSpan w:val="2"/>
            <w:vAlign w:val="bottom"/>
          </w:tcPr>
          <w:p w:rsidR="00BE41C7" w:rsidRPr="009F6E8E" w:rsidRDefault="00BE41C7" w:rsidP="009A2453">
            <w:pPr>
              <w:tabs>
                <w:tab w:val="center" w:pos="2424"/>
              </w:tabs>
              <w:jc w:val="center"/>
              <w:rPr>
                <w:rFonts w:eastAsia="Times New Roman"/>
                <w:sz w:val="20"/>
                <w:szCs w:val="18"/>
              </w:rPr>
            </w:pPr>
            <w:r w:rsidRPr="009F6E8E">
              <w:rPr>
                <w:rFonts w:eastAsia="Times New Roman"/>
                <w:sz w:val="20"/>
                <w:szCs w:val="18"/>
              </w:rPr>
              <w:t>Mašīnu un iekārtu ražošana</w:t>
            </w:r>
          </w:p>
        </w:tc>
        <w:tc>
          <w:tcPr>
            <w:tcW w:w="4754" w:type="dxa"/>
            <w:gridSpan w:val="2"/>
            <w:vAlign w:val="bottom"/>
          </w:tcPr>
          <w:p w:rsidR="00BE41C7" w:rsidRPr="009F6E8E" w:rsidRDefault="00BE41C7" w:rsidP="009A2453">
            <w:pPr>
              <w:tabs>
                <w:tab w:val="center" w:pos="2401"/>
              </w:tabs>
              <w:ind w:right="34"/>
              <w:jc w:val="center"/>
              <w:rPr>
                <w:sz w:val="20"/>
                <w:szCs w:val="18"/>
              </w:rPr>
            </w:pPr>
            <w:r w:rsidRPr="009F6E8E">
              <w:rPr>
                <w:sz w:val="20"/>
                <w:szCs w:val="18"/>
              </w:rPr>
              <w:t>Transportlīdzekļu ražošana</w:t>
            </w:r>
          </w:p>
        </w:tc>
      </w:tr>
      <w:tr w:rsidR="00BE41C7" w:rsidRPr="009F6E8E" w:rsidTr="009A2453">
        <w:trPr>
          <w:trHeight w:val="2104"/>
          <w:jc w:val="center"/>
        </w:trPr>
        <w:tc>
          <w:tcPr>
            <w:tcW w:w="4718"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54" w:type="dxa"/>
            <w:gridSpan w:val="2"/>
          </w:tcPr>
          <w:p w:rsidR="00BE41C7" w:rsidRPr="009F6E8E" w:rsidRDefault="00BE41C7" w:rsidP="009A2453">
            <w:pPr>
              <w:rPr>
                <w:rFonts w:eastAsia="Times New Roman"/>
              </w:rPr>
            </w:pPr>
            <w:r w:rsidRPr="00E627EE">
              <w:rPr>
                <w:rFonts w:eastAsia="Times New Roman"/>
                <w:noProof/>
                <w:lang w:eastAsia="lv-LV"/>
              </w:rPr>
              <w:drawing>
                <wp:inline distT="0" distB="0" distL="0" distR="0">
                  <wp:extent cx="2916000" cy="1509622"/>
                  <wp:effectExtent l="19050" t="0" r="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9C492A" w:rsidRPr="009C492A" w:rsidRDefault="009C492A" w:rsidP="00BE41C7">
      <w:pPr>
        <w:ind w:left="142" w:hanging="142"/>
        <w:jc w:val="both"/>
        <w:rPr>
          <w:sz w:val="12"/>
          <w:szCs w:val="16"/>
        </w:rPr>
      </w:pPr>
    </w:p>
    <w:p w:rsidR="00BE41C7" w:rsidRPr="00467A8A" w:rsidRDefault="00BE41C7" w:rsidP="00BE41C7">
      <w:pPr>
        <w:ind w:left="142" w:hanging="142"/>
        <w:jc w:val="both"/>
        <w:rPr>
          <w:sz w:val="16"/>
          <w:szCs w:val="16"/>
        </w:rPr>
      </w:pPr>
      <w:r w:rsidRPr="00467A8A">
        <w:rPr>
          <w:sz w:val="16"/>
          <w:szCs w:val="16"/>
        </w:rPr>
        <w:t>*</w:t>
      </w:r>
      <w:r w:rsidRPr="00467A8A">
        <w:rPr>
          <w:sz w:val="16"/>
          <w:szCs w:val="16"/>
        </w:rPr>
        <w:tab/>
        <w:t>Jauno pasūtījumu apjoms ietver visus pārskata periodā (mēnesī) noslēgtos, saskaņotos pasūtījumus (līgumi, kontrakti), kas saista ražotāju ar trešo pusi par preču vai pakalpojumu piegādi. Jauno pasūtījumu izmaiņas raksturo apstrādes rūpniecības nozarē saņemto jauno pasūtījumu apjoma izmaiņas pārskata periodā, salīdzinot ar bāzes periodu.</w:t>
      </w:r>
    </w:p>
    <w:p w:rsidR="00BE41C7" w:rsidRPr="009F6E8E" w:rsidRDefault="00BE41C7" w:rsidP="00BE41C7">
      <w:pPr>
        <w:ind w:left="284" w:hanging="284"/>
        <w:jc w:val="both"/>
        <w:rPr>
          <w:sz w:val="18"/>
          <w:szCs w:val="18"/>
        </w:rPr>
      </w:pPr>
    </w:p>
    <w:p w:rsidR="00BE41C7" w:rsidRDefault="00EC307E" w:rsidP="00BE41C7">
      <w:pPr>
        <w:pStyle w:val="Heading2"/>
      </w:pPr>
      <w:bookmarkStart w:id="128" w:name="_Toc216077848"/>
      <w:bookmarkStart w:id="129" w:name="_Toc216079517"/>
      <w:bookmarkStart w:id="130" w:name="_Toc216079585"/>
      <w:bookmarkStart w:id="131" w:name="_Toc216079647"/>
      <w:bookmarkStart w:id="132" w:name="_Toc216079703"/>
      <w:bookmarkStart w:id="133" w:name="_Toc216079759"/>
      <w:bookmarkStart w:id="134" w:name="_Toc216079815"/>
      <w:bookmarkStart w:id="135" w:name="_Toc305421422"/>
      <w:r>
        <w:rPr>
          <w:b w:val="0"/>
        </w:rPr>
        <w:lastRenderedPageBreak/>
        <w:t>2</w:t>
      </w:r>
      <w:r w:rsidR="00BE41C7" w:rsidRPr="009F6E8E">
        <w:rPr>
          <w:b w:val="0"/>
        </w:rPr>
        <w:t>.10.attēls.</w:t>
      </w:r>
      <w:r w:rsidR="00BE41C7" w:rsidRPr="009F6E8E">
        <w:t xml:space="preserve"> Apstrādes rūpniecīb</w:t>
      </w:r>
      <w:bookmarkEnd w:id="128"/>
      <w:bookmarkEnd w:id="129"/>
      <w:bookmarkEnd w:id="130"/>
      <w:bookmarkEnd w:id="131"/>
      <w:bookmarkEnd w:id="132"/>
      <w:bookmarkEnd w:id="133"/>
      <w:bookmarkEnd w:id="134"/>
      <w:r w:rsidR="004A062D">
        <w:t>u raksturojošie rādītāji</w:t>
      </w:r>
      <w:bookmarkEnd w:id="135"/>
    </w:p>
    <w:p w:rsidR="00ED5018" w:rsidRDefault="00ED5018" w:rsidP="00ED5018">
      <w:pPr>
        <w:rPr>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0"/>
        <w:gridCol w:w="3406"/>
        <w:gridCol w:w="3079"/>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43F96">
            <w:pPr>
              <w:spacing w:before="120" w:after="40"/>
              <w:jc w:val="center"/>
              <w:rPr>
                <w:sz w:val="18"/>
                <w:szCs w:val="18"/>
              </w:rPr>
            </w:pPr>
            <w:r w:rsidRPr="00F32283">
              <w:rPr>
                <w:sz w:val="18"/>
                <w:szCs w:val="18"/>
              </w:rPr>
              <w:t>Produkcijas fiziskā apjoma indekss, sezonāli izlīdzināti dati, 200</w:t>
            </w:r>
            <w:r w:rsidR="00543F96">
              <w:rPr>
                <w:sz w:val="18"/>
                <w:szCs w:val="18"/>
              </w:rPr>
              <w:t>7 XII</w:t>
            </w:r>
            <w:r w:rsidRPr="00F32283">
              <w:rPr>
                <w:sz w:val="18"/>
                <w:szCs w:val="18"/>
              </w:rPr>
              <w:t>=100</w:t>
            </w:r>
          </w:p>
        </w:tc>
        <w:tc>
          <w:tcPr>
            <w:tcW w:w="1736" w:type="pct"/>
            <w:vAlign w:val="bottom"/>
          </w:tcPr>
          <w:p w:rsidR="00592371" w:rsidRPr="00F32283" w:rsidRDefault="00592371" w:rsidP="004F2DEC">
            <w:pPr>
              <w:spacing w:before="120" w:after="40"/>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99145" cy="1725433"/>
                  <wp:effectExtent l="0" t="0" r="0" b="0"/>
                  <wp:docPr id="1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after="40"/>
              <w:jc w:val="center"/>
              <w:rPr>
                <w:sz w:val="18"/>
                <w:szCs w:val="18"/>
              </w:rPr>
            </w:pPr>
            <w:r w:rsidRPr="00F32283">
              <w:rPr>
                <w:sz w:val="18"/>
                <w:szCs w:val="18"/>
              </w:rPr>
              <w:t>Ražotāju cenu izmaiņas, 2007.gada decembris =100</w:t>
            </w:r>
          </w:p>
        </w:tc>
        <w:tc>
          <w:tcPr>
            <w:tcW w:w="1736" w:type="pct"/>
            <w:vAlign w:val="bottom"/>
          </w:tcPr>
          <w:p w:rsidR="00592371" w:rsidRPr="00F32283" w:rsidRDefault="00AD0C5A" w:rsidP="004F2DEC">
            <w:pPr>
              <w:spacing w:before="40" w:after="40"/>
              <w:ind w:left="142"/>
              <w:jc w:val="center"/>
              <w:rPr>
                <w:sz w:val="18"/>
                <w:szCs w:val="18"/>
              </w:rPr>
            </w:pPr>
            <w:r>
              <w:rPr>
                <w:sz w:val="18"/>
                <w:szCs w:val="18"/>
              </w:rPr>
              <w:t>Nozares konfidences rādītājs</w:t>
            </w: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1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1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736" w:type="pct"/>
            <w:vAlign w:val="bottom"/>
          </w:tcPr>
          <w:p w:rsidR="00592371" w:rsidRDefault="00AD0C5A" w:rsidP="004F2DEC">
            <w:pPr>
              <w:ind w:left="-142" w:right="-192"/>
              <w:jc w:val="center"/>
            </w:pPr>
            <w:r w:rsidRPr="00AD0C5A">
              <w:rPr>
                <w:noProof/>
              </w:rPr>
              <w:drawing>
                <wp:inline distT="0" distB="0" distL="0" distR="0">
                  <wp:extent cx="2078181" cy="1728000"/>
                  <wp:effectExtent l="0" t="0" r="0" b="0"/>
                  <wp:docPr id="3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592371" w:rsidRDefault="00592371" w:rsidP="00ED5018">
      <w:pPr>
        <w:rPr>
          <w:sz w:val="4"/>
          <w:szCs w:val="4"/>
        </w:rPr>
      </w:pPr>
    </w:p>
    <w:p w:rsidR="00592371" w:rsidRPr="008250FB" w:rsidRDefault="00592371" w:rsidP="00ED5018">
      <w:pPr>
        <w:rPr>
          <w:sz w:val="4"/>
          <w:szCs w:val="4"/>
        </w:rPr>
      </w:pPr>
    </w:p>
    <w:p w:rsidR="00ED5018" w:rsidRDefault="00ED5018" w:rsidP="00ED5018"/>
    <w:p w:rsidR="00BE41C7" w:rsidRPr="009F6E8E" w:rsidRDefault="00EC307E" w:rsidP="00BE41C7">
      <w:pPr>
        <w:pStyle w:val="Heading2"/>
      </w:pPr>
      <w:bookmarkStart w:id="136" w:name="_Toc216077850"/>
      <w:bookmarkStart w:id="137" w:name="_Toc216079519"/>
      <w:bookmarkStart w:id="138" w:name="_Toc216079587"/>
      <w:bookmarkStart w:id="139" w:name="_Toc216079649"/>
      <w:bookmarkStart w:id="140" w:name="_Toc216079705"/>
      <w:bookmarkStart w:id="141" w:name="_Toc216079761"/>
      <w:bookmarkStart w:id="142" w:name="_Toc216079817"/>
      <w:bookmarkStart w:id="143" w:name="_Toc305421423"/>
      <w:r>
        <w:rPr>
          <w:b w:val="0"/>
          <w:szCs w:val="24"/>
        </w:rPr>
        <w:t>2</w:t>
      </w:r>
      <w:r w:rsidR="00BE41C7" w:rsidRPr="009F6E8E">
        <w:rPr>
          <w:b w:val="0"/>
          <w:szCs w:val="24"/>
        </w:rPr>
        <w:t>.1</w:t>
      </w:r>
      <w:r w:rsidR="00B10C02">
        <w:rPr>
          <w:b w:val="0"/>
          <w:szCs w:val="24"/>
        </w:rPr>
        <w:t>1</w:t>
      </w:r>
      <w:r w:rsidR="00BE41C7" w:rsidRPr="009F6E8E">
        <w:rPr>
          <w:b w:val="0"/>
          <w:szCs w:val="24"/>
        </w:rPr>
        <w:t>.attēls.</w:t>
      </w:r>
      <w:r w:rsidR="00BE41C7" w:rsidRPr="009F6E8E">
        <w:rPr>
          <w:szCs w:val="24"/>
        </w:rPr>
        <w:t xml:space="preserve"> </w:t>
      </w:r>
      <w:r w:rsidR="00BE41C7" w:rsidRPr="009F6E8E">
        <w:t>Pārtikas un dzērienu ražošanu raksturojošie rādītāji</w:t>
      </w:r>
      <w:bookmarkEnd w:id="136"/>
      <w:bookmarkEnd w:id="137"/>
      <w:bookmarkEnd w:id="138"/>
      <w:bookmarkEnd w:id="139"/>
      <w:bookmarkEnd w:id="140"/>
      <w:bookmarkEnd w:id="141"/>
      <w:bookmarkEnd w:id="142"/>
      <w:bookmarkEnd w:id="143"/>
    </w:p>
    <w:p w:rsidR="00BE41C7" w:rsidRDefault="00BE41C7" w:rsidP="00BE41C7">
      <w:pPr>
        <w:jc w:val="center"/>
        <w:rPr>
          <w:b/>
          <w:sz w:val="4"/>
          <w:szCs w:val="4"/>
        </w:rPr>
      </w:pPr>
    </w:p>
    <w:p w:rsidR="00592371" w:rsidRDefault="00592371" w:rsidP="00BE41C7">
      <w:pPr>
        <w:jc w:val="center"/>
        <w:rPr>
          <w:b/>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3415"/>
        <w:gridCol w:w="3062"/>
      </w:tblGrid>
      <w:tr w:rsidR="00592371" w:rsidRPr="00F32283" w:rsidTr="004F2DE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 sezonāli neizlīdzināti dati, 2005=100</w:t>
            </w:r>
          </w:p>
        </w:tc>
        <w:tc>
          <w:tcPr>
            <w:tcW w:w="1632" w:type="pct"/>
            <w:vAlign w:val="bottom"/>
          </w:tcPr>
          <w:p w:rsidR="00592371" w:rsidRPr="00F32283" w:rsidRDefault="00592371" w:rsidP="00592371">
            <w:pPr>
              <w:spacing w:before="120" w:after="40"/>
              <w:jc w:val="center"/>
              <w:rPr>
                <w:sz w:val="18"/>
                <w:szCs w:val="18"/>
              </w:rPr>
            </w:pPr>
            <w:r w:rsidRPr="00F32283">
              <w:rPr>
                <w:sz w:val="18"/>
                <w:szCs w:val="18"/>
              </w:rPr>
              <w:t>Produkcijas fiziskā apjoma indekss,</w:t>
            </w:r>
            <w:r w:rsidR="002D3819">
              <w:rPr>
                <w:sz w:val="18"/>
                <w:szCs w:val="18"/>
              </w:rPr>
              <w:t xml:space="preserve"> sezonāli izlīdzināti dati, 2007 XII</w:t>
            </w:r>
            <w:r w:rsidRPr="00F32283">
              <w:rPr>
                <w:sz w:val="18"/>
                <w:szCs w:val="18"/>
              </w:rPr>
              <w:t>=100</w:t>
            </w:r>
          </w:p>
        </w:tc>
        <w:tc>
          <w:tcPr>
            <w:tcW w:w="1736" w:type="pct"/>
            <w:vAlign w:val="bottom"/>
          </w:tcPr>
          <w:p w:rsidR="00592371" w:rsidRPr="00F32283" w:rsidRDefault="00592371" w:rsidP="004F2DEC">
            <w:pPr>
              <w:spacing w:before="120" w:after="40"/>
              <w:ind w:left="142"/>
              <w:jc w:val="center"/>
              <w:rPr>
                <w:sz w:val="18"/>
                <w:szCs w:val="18"/>
              </w:rPr>
            </w:pPr>
            <w:r w:rsidRPr="00F32283">
              <w:rPr>
                <w:sz w:val="18"/>
                <w:szCs w:val="18"/>
              </w:rPr>
              <w:t>Produkcijas realizācija faktiskās cenās, milj. latu</w:t>
            </w:r>
          </w:p>
        </w:tc>
      </w:tr>
      <w:tr w:rsidR="00592371" w:rsidTr="004F2DEC">
        <w:tc>
          <w:tcPr>
            <w:tcW w:w="1632" w:type="pct"/>
            <w:vAlign w:val="bottom"/>
          </w:tcPr>
          <w:p w:rsidR="00592371" w:rsidRDefault="00592371" w:rsidP="00592371">
            <w:pPr>
              <w:jc w:val="center"/>
            </w:pPr>
            <w:r w:rsidRPr="00ED5018">
              <w:rPr>
                <w:noProof/>
              </w:rPr>
              <w:drawing>
                <wp:inline distT="0" distB="0" distL="0" distR="0">
                  <wp:extent cx="2078182" cy="1728000"/>
                  <wp:effectExtent l="0" t="0" r="0" b="0"/>
                  <wp:docPr id="1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632" w:type="pct"/>
            <w:vAlign w:val="bottom"/>
          </w:tcPr>
          <w:p w:rsidR="00592371" w:rsidRDefault="00592371" w:rsidP="00592371">
            <w:pPr>
              <w:jc w:val="center"/>
            </w:pPr>
            <w:r w:rsidRPr="002C706C">
              <w:rPr>
                <w:noProof/>
              </w:rPr>
              <w:drawing>
                <wp:inline distT="0" distB="0" distL="0" distR="0">
                  <wp:extent cx="2078181" cy="1728000"/>
                  <wp:effectExtent l="0" t="0" r="0" b="0"/>
                  <wp:docPr id="1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736" w:type="pct"/>
            <w:vAlign w:val="bottom"/>
          </w:tcPr>
          <w:p w:rsidR="00592371" w:rsidRDefault="00592371" w:rsidP="004F2DEC">
            <w:pPr>
              <w:ind w:left="-142" w:right="-193"/>
              <w:jc w:val="center"/>
            </w:pPr>
            <w:r w:rsidRPr="00522BE0">
              <w:rPr>
                <w:noProof/>
              </w:rPr>
              <w:drawing>
                <wp:inline distT="0" distB="0" distL="0" distR="0">
                  <wp:extent cx="2083242" cy="1725433"/>
                  <wp:effectExtent l="0" t="0" r="0" b="0"/>
                  <wp:docPr id="12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92371" w:rsidRPr="00F32283" w:rsidTr="004F2DEC">
        <w:tc>
          <w:tcPr>
            <w:tcW w:w="1632" w:type="pct"/>
            <w:vAlign w:val="bottom"/>
          </w:tcPr>
          <w:p w:rsidR="00592371" w:rsidRPr="00F32283" w:rsidRDefault="00592371" w:rsidP="00592371">
            <w:pPr>
              <w:spacing w:before="40" w:after="40"/>
              <w:jc w:val="center"/>
              <w:rPr>
                <w:sz w:val="18"/>
                <w:szCs w:val="18"/>
              </w:rPr>
            </w:pPr>
            <w:r w:rsidRPr="00F32283">
              <w:rPr>
                <w:sz w:val="18"/>
                <w:szCs w:val="18"/>
              </w:rPr>
              <w:t>Produkcijas realizācija, izmaiņas % pret iepriekšējā gada atbilstošo periodu</w:t>
            </w:r>
          </w:p>
        </w:tc>
        <w:tc>
          <w:tcPr>
            <w:tcW w:w="1632" w:type="pct"/>
            <w:vAlign w:val="bottom"/>
          </w:tcPr>
          <w:p w:rsidR="00592371" w:rsidRPr="00F32283" w:rsidRDefault="00592371" w:rsidP="00592371">
            <w:pPr>
              <w:spacing w:before="40"/>
              <w:jc w:val="center"/>
              <w:rPr>
                <w:sz w:val="18"/>
                <w:szCs w:val="18"/>
              </w:rPr>
            </w:pPr>
            <w:r w:rsidRPr="00F32283">
              <w:rPr>
                <w:sz w:val="18"/>
                <w:szCs w:val="18"/>
              </w:rPr>
              <w:t>Ražotāju cenu izmaiņas,</w:t>
            </w:r>
            <w:r>
              <w:rPr>
                <w:sz w:val="18"/>
                <w:szCs w:val="18"/>
              </w:rPr>
              <w:t xml:space="preserve"> </w:t>
            </w:r>
            <w:r w:rsidRPr="00F32283">
              <w:rPr>
                <w:sz w:val="18"/>
                <w:szCs w:val="18"/>
              </w:rPr>
              <w:t>2007.gada decembris =100</w:t>
            </w:r>
          </w:p>
        </w:tc>
        <w:tc>
          <w:tcPr>
            <w:tcW w:w="1736" w:type="pct"/>
            <w:vAlign w:val="bottom"/>
          </w:tcPr>
          <w:p w:rsidR="00592371" w:rsidRPr="00F32283" w:rsidRDefault="00547173" w:rsidP="004F2DEC">
            <w:pPr>
              <w:spacing w:before="40" w:after="40"/>
              <w:ind w:left="142"/>
              <w:jc w:val="center"/>
              <w:rPr>
                <w:sz w:val="18"/>
                <w:szCs w:val="18"/>
              </w:rPr>
            </w:pPr>
            <w:r>
              <w:rPr>
                <w:sz w:val="18"/>
                <w:szCs w:val="18"/>
              </w:rPr>
              <w:t>Nozares konfidences rādītājs</w:t>
            </w:r>
          </w:p>
        </w:tc>
      </w:tr>
      <w:tr w:rsidR="00592371" w:rsidTr="004F2DEC">
        <w:tc>
          <w:tcPr>
            <w:tcW w:w="1632" w:type="pct"/>
            <w:vAlign w:val="bottom"/>
          </w:tcPr>
          <w:p w:rsidR="00592371" w:rsidRDefault="00592371" w:rsidP="00592371">
            <w:pPr>
              <w:jc w:val="center"/>
            </w:pPr>
            <w:r w:rsidRPr="00372C02">
              <w:rPr>
                <w:noProof/>
              </w:rPr>
              <w:drawing>
                <wp:inline distT="0" distB="0" distL="0" distR="0">
                  <wp:extent cx="2078182" cy="1728000"/>
                  <wp:effectExtent l="0" t="0" r="0" b="0"/>
                  <wp:docPr id="29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632" w:type="pct"/>
            <w:vAlign w:val="bottom"/>
          </w:tcPr>
          <w:p w:rsidR="00592371" w:rsidRDefault="00592371" w:rsidP="00592371">
            <w:pPr>
              <w:jc w:val="center"/>
            </w:pPr>
            <w:r w:rsidRPr="00BB3A4B">
              <w:rPr>
                <w:noProof/>
              </w:rPr>
              <w:drawing>
                <wp:inline distT="0" distB="0" distL="0" distR="0">
                  <wp:extent cx="2082883" cy="1728000"/>
                  <wp:effectExtent l="19050" t="0" r="0" b="0"/>
                  <wp:docPr id="2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736" w:type="pct"/>
            <w:vAlign w:val="bottom"/>
          </w:tcPr>
          <w:p w:rsidR="00592371" w:rsidRDefault="00547173" w:rsidP="004F2DEC">
            <w:pPr>
              <w:ind w:left="-142" w:right="-192"/>
              <w:jc w:val="center"/>
            </w:pPr>
            <w:r w:rsidRPr="00547173">
              <w:rPr>
                <w:noProof/>
              </w:rPr>
              <w:drawing>
                <wp:inline distT="0" distB="0" distL="0" distR="0">
                  <wp:extent cx="2078181" cy="1728000"/>
                  <wp:effectExtent l="0" t="0" r="0" b="0"/>
                  <wp:docPr id="4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592371" w:rsidRDefault="00592371" w:rsidP="00BE41C7">
      <w:pPr>
        <w:jc w:val="center"/>
        <w:rPr>
          <w:b/>
          <w:sz w:val="4"/>
          <w:szCs w:val="4"/>
        </w:rPr>
      </w:pPr>
    </w:p>
    <w:p w:rsidR="00592371" w:rsidRPr="00F32283" w:rsidRDefault="00592371" w:rsidP="00BE41C7">
      <w:pPr>
        <w:jc w:val="center"/>
        <w:rPr>
          <w:b/>
          <w:sz w:val="4"/>
          <w:szCs w:val="4"/>
        </w:rPr>
      </w:pPr>
    </w:p>
    <w:p w:rsidR="00BE41C7" w:rsidRPr="009F6E8E" w:rsidRDefault="00CD3CE6" w:rsidP="00BE41C7">
      <w:pPr>
        <w:pStyle w:val="Heading2"/>
      </w:pPr>
      <w:bookmarkStart w:id="144" w:name="_Toc216077851"/>
      <w:bookmarkStart w:id="145" w:name="_Toc216079520"/>
      <w:bookmarkStart w:id="146" w:name="_Toc216079588"/>
      <w:bookmarkStart w:id="147" w:name="_Toc216079650"/>
      <w:bookmarkStart w:id="148" w:name="_Toc216079706"/>
      <w:bookmarkStart w:id="149" w:name="_Toc216079762"/>
      <w:bookmarkStart w:id="150" w:name="_Toc216079818"/>
      <w:bookmarkStart w:id="151" w:name="_Toc305421424"/>
      <w:r>
        <w:rPr>
          <w:b w:val="0"/>
        </w:rPr>
        <w:lastRenderedPageBreak/>
        <w:t>2</w:t>
      </w:r>
      <w:r w:rsidR="00BE41C7" w:rsidRPr="009F6E8E">
        <w:rPr>
          <w:b w:val="0"/>
        </w:rPr>
        <w:t>.1</w:t>
      </w:r>
      <w:r w:rsidR="00B10C02">
        <w:rPr>
          <w:b w:val="0"/>
        </w:rPr>
        <w:t>2</w:t>
      </w:r>
      <w:r w:rsidR="00BE41C7" w:rsidRPr="009F6E8E">
        <w:rPr>
          <w:b w:val="0"/>
        </w:rPr>
        <w:t xml:space="preserve">.attēls. </w:t>
      </w:r>
      <w:r w:rsidR="00BE41C7" w:rsidRPr="009F6E8E">
        <w:t>Vieglo rūpniecību raksturojoši rādītāji</w:t>
      </w:r>
      <w:bookmarkEnd w:id="144"/>
      <w:bookmarkEnd w:id="145"/>
      <w:bookmarkEnd w:id="146"/>
      <w:bookmarkEnd w:id="147"/>
      <w:bookmarkEnd w:id="148"/>
      <w:bookmarkEnd w:id="149"/>
      <w:bookmarkEnd w:id="150"/>
      <w:bookmarkEnd w:id="1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B567BC" w:rsidRPr="00F32283" w:rsidRDefault="00B567BC" w:rsidP="002D3819">
            <w:pPr>
              <w:spacing w:before="120" w:after="40"/>
              <w:ind w:left="142"/>
              <w:jc w:val="center"/>
              <w:rPr>
                <w:sz w:val="18"/>
                <w:szCs w:val="18"/>
              </w:rPr>
            </w:pPr>
            <w:r w:rsidRPr="00F32283">
              <w:rPr>
                <w:sz w:val="18"/>
                <w:szCs w:val="18"/>
              </w:rPr>
              <w:t>Produkcijas fiziskā apjoma indekss, sezonāli izlīdzināti dati, 200</w:t>
            </w:r>
            <w:r w:rsidR="002D3819">
              <w:rPr>
                <w:sz w:val="18"/>
                <w:szCs w:val="18"/>
              </w:rPr>
              <w:t>7 XII</w:t>
            </w:r>
            <w:r w:rsidRPr="00F32283">
              <w:rPr>
                <w:sz w:val="18"/>
                <w:szCs w:val="18"/>
              </w:rPr>
              <w:t>=100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9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9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547173" w:rsidP="00F44AB3">
            <w:pPr>
              <w:spacing w:before="40" w:after="40"/>
              <w:ind w:left="142"/>
              <w:jc w:val="center"/>
              <w:rPr>
                <w:sz w:val="18"/>
                <w:szCs w:val="18"/>
              </w:rPr>
            </w:pPr>
            <w:r>
              <w:rPr>
                <w:sz w:val="18"/>
                <w:szCs w:val="18"/>
              </w:rPr>
              <w:t>Nozares konfidences rādītājs</w:t>
            </w: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28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28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736" w:type="pct"/>
            <w:vAlign w:val="bottom"/>
          </w:tcPr>
          <w:p w:rsidR="00B567BC" w:rsidRDefault="00547173" w:rsidP="00726024">
            <w:pPr>
              <w:ind w:left="-142" w:right="-192"/>
              <w:jc w:val="center"/>
            </w:pPr>
            <w:r w:rsidRPr="00547173">
              <w:rPr>
                <w:noProof/>
              </w:rPr>
              <w:drawing>
                <wp:inline distT="0" distB="0" distL="0" distR="0">
                  <wp:extent cx="2078181" cy="1728000"/>
                  <wp:effectExtent l="0" t="0" r="0" b="0"/>
                  <wp:docPr id="4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D46A75" w:rsidRDefault="00D46A75" w:rsidP="005D4E6F">
      <w:pPr>
        <w:rPr>
          <w:b/>
          <w:sz w:val="16"/>
        </w:rPr>
      </w:pPr>
    </w:p>
    <w:p w:rsidR="00B567BC" w:rsidRPr="009F6E8E" w:rsidRDefault="00B567BC" w:rsidP="005D4E6F">
      <w:pPr>
        <w:rPr>
          <w:b/>
          <w:sz w:val="16"/>
        </w:rPr>
      </w:pPr>
    </w:p>
    <w:p w:rsidR="00BE41C7" w:rsidRPr="009F6E8E" w:rsidRDefault="00CD3CE6" w:rsidP="00BE41C7">
      <w:pPr>
        <w:pStyle w:val="Heading2"/>
      </w:pPr>
      <w:bookmarkStart w:id="152" w:name="_Toc216077852"/>
      <w:bookmarkStart w:id="153" w:name="_Toc216079521"/>
      <w:bookmarkStart w:id="154" w:name="_Toc216079589"/>
      <w:bookmarkStart w:id="155" w:name="_Toc216079651"/>
      <w:bookmarkStart w:id="156" w:name="_Toc216079707"/>
      <w:bookmarkStart w:id="157" w:name="_Toc216079763"/>
      <w:bookmarkStart w:id="158" w:name="_Toc216079819"/>
      <w:bookmarkStart w:id="159" w:name="_Toc305421425"/>
      <w:r>
        <w:rPr>
          <w:b w:val="0"/>
        </w:rPr>
        <w:t>2</w:t>
      </w:r>
      <w:r w:rsidR="00BE41C7" w:rsidRPr="009F6E8E">
        <w:rPr>
          <w:b w:val="0"/>
        </w:rPr>
        <w:t>.1</w:t>
      </w:r>
      <w:r w:rsidR="00B10C02">
        <w:rPr>
          <w:b w:val="0"/>
        </w:rPr>
        <w:t>3</w:t>
      </w:r>
      <w:r w:rsidR="00BE41C7" w:rsidRPr="009F6E8E">
        <w:rPr>
          <w:b w:val="0"/>
        </w:rPr>
        <w:t xml:space="preserve">.attēls. </w:t>
      </w:r>
      <w:r w:rsidR="00BE41C7" w:rsidRPr="009F6E8E">
        <w:t>Kokapstrādi raksturojoši rādītāji</w:t>
      </w:r>
      <w:bookmarkEnd w:id="152"/>
      <w:bookmarkEnd w:id="153"/>
      <w:bookmarkEnd w:id="154"/>
      <w:bookmarkEnd w:id="155"/>
      <w:bookmarkEnd w:id="156"/>
      <w:bookmarkEnd w:id="157"/>
      <w:bookmarkEnd w:id="158"/>
      <w:bookmarkEnd w:id="1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0" w:name="_Toc216077853"/>
            <w:bookmarkStart w:id="161" w:name="_Toc216079522"/>
            <w:bookmarkStart w:id="162" w:name="_Toc216079590"/>
            <w:bookmarkStart w:id="163" w:name="_Toc216079652"/>
            <w:bookmarkStart w:id="164" w:name="_Toc216079708"/>
            <w:bookmarkStart w:id="165" w:name="_Toc216079764"/>
            <w:bookmarkStart w:id="166" w:name="_Toc216079820"/>
            <w:r w:rsidRPr="00F32283">
              <w:rPr>
                <w:sz w:val="18"/>
                <w:szCs w:val="18"/>
              </w:rPr>
              <w:t>Produkcijas fiziskā apjoma indekss, sezonāli neizlīdzināti dati, 2005=100</w:t>
            </w:r>
          </w:p>
        </w:tc>
        <w:tc>
          <w:tcPr>
            <w:tcW w:w="1632" w:type="pct"/>
            <w:vAlign w:val="bottom"/>
          </w:tcPr>
          <w:p w:rsidR="00B567BC" w:rsidRPr="00F32283" w:rsidRDefault="00B567BC" w:rsidP="00726024">
            <w:pPr>
              <w:spacing w:before="120" w:after="40"/>
              <w:ind w:left="142"/>
              <w:jc w:val="center"/>
              <w:rPr>
                <w:sz w:val="18"/>
                <w:szCs w:val="18"/>
              </w:rPr>
            </w:pPr>
            <w:r w:rsidRPr="00F32283">
              <w:rPr>
                <w:sz w:val="18"/>
                <w:szCs w:val="18"/>
              </w:rPr>
              <w:t xml:space="preserve">Produkcijas fiziskā apjoma indekss, </w:t>
            </w:r>
            <w:r w:rsidR="00222743" w:rsidRPr="00F32283">
              <w:rPr>
                <w:sz w:val="18"/>
                <w:szCs w:val="18"/>
              </w:rPr>
              <w:t>sezonāli izlīdzināti dati, 200</w:t>
            </w:r>
            <w:r w:rsidR="00222743">
              <w:rPr>
                <w:sz w:val="18"/>
                <w:szCs w:val="18"/>
              </w:rPr>
              <w:t>7 XII</w:t>
            </w:r>
            <w:r w:rsidR="00222743" w:rsidRPr="00F32283">
              <w:rPr>
                <w:sz w:val="18"/>
                <w:szCs w:val="18"/>
              </w:rPr>
              <w:t>=100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7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7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547173" w:rsidP="00726024">
            <w:pPr>
              <w:spacing w:before="40" w:after="40"/>
              <w:ind w:left="142"/>
              <w:jc w:val="center"/>
              <w:rPr>
                <w:sz w:val="18"/>
                <w:szCs w:val="18"/>
              </w:rPr>
            </w:pPr>
            <w:r>
              <w:rPr>
                <w:sz w:val="18"/>
                <w:szCs w:val="18"/>
              </w:rPr>
              <w:t>Nozares konfidences rādītājs</w:t>
            </w: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19050" t="0" r="0" b="0"/>
                  <wp:docPr id="7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7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736" w:type="pct"/>
            <w:vAlign w:val="bottom"/>
          </w:tcPr>
          <w:p w:rsidR="00B567BC" w:rsidRDefault="00547173" w:rsidP="00726024">
            <w:pPr>
              <w:ind w:left="-142" w:right="-192"/>
              <w:jc w:val="center"/>
            </w:pPr>
            <w:r w:rsidRPr="00547173">
              <w:rPr>
                <w:noProof/>
              </w:rPr>
              <w:drawing>
                <wp:inline distT="0" distB="0" distL="0" distR="0">
                  <wp:extent cx="2078181" cy="1728000"/>
                  <wp:effectExtent l="0" t="0" r="0" b="0"/>
                  <wp:docPr id="5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BE41C7" w:rsidRDefault="00CD3CE6" w:rsidP="00BE41C7">
      <w:pPr>
        <w:pStyle w:val="Heading2"/>
      </w:pPr>
      <w:bookmarkStart w:id="167" w:name="_Toc305421426"/>
      <w:r>
        <w:rPr>
          <w:b w:val="0"/>
        </w:rPr>
        <w:lastRenderedPageBreak/>
        <w:t>2</w:t>
      </w:r>
      <w:r w:rsidR="00BE41C7" w:rsidRPr="009F6E8E">
        <w:rPr>
          <w:b w:val="0"/>
        </w:rPr>
        <w:t>.1</w:t>
      </w:r>
      <w:r w:rsidR="00B10C02">
        <w:rPr>
          <w:b w:val="0"/>
        </w:rPr>
        <w:t>4</w:t>
      </w:r>
      <w:r w:rsidR="00BE41C7" w:rsidRPr="009F6E8E">
        <w:rPr>
          <w:b w:val="0"/>
        </w:rPr>
        <w:t>.attēls.</w:t>
      </w:r>
      <w:r w:rsidR="00BE41C7" w:rsidRPr="009F6E8E">
        <w:t xml:space="preserve"> Papīra ražošanu un izdevējdarbību raksturojoši rādītāji</w:t>
      </w:r>
      <w:bookmarkEnd w:id="160"/>
      <w:bookmarkEnd w:id="161"/>
      <w:bookmarkEnd w:id="162"/>
      <w:bookmarkEnd w:id="163"/>
      <w:bookmarkEnd w:id="164"/>
      <w:bookmarkEnd w:id="165"/>
      <w:bookmarkEnd w:id="166"/>
      <w:bookmarkEnd w:id="16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B567BC" w:rsidRPr="00F32283" w:rsidTr="00726024">
        <w:tc>
          <w:tcPr>
            <w:tcW w:w="1632" w:type="pct"/>
            <w:vAlign w:val="bottom"/>
          </w:tcPr>
          <w:p w:rsidR="00B567BC" w:rsidRPr="00F32283" w:rsidRDefault="00B567BC" w:rsidP="00726024">
            <w:pPr>
              <w:spacing w:before="120" w:after="40"/>
              <w:ind w:left="142"/>
              <w:jc w:val="center"/>
              <w:rPr>
                <w:sz w:val="18"/>
                <w:szCs w:val="18"/>
              </w:rPr>
            </w:pPr>
            <w:bookmarkStart w:id="168" w:name="_Toc216077854"/>
            <w:bookmarkStart w:id="169" w:name="_Toc216079523"/>
            <w:bookmarkStart w:id="170" w:name="_Toc216079591"/>
            <w:bookmarkStart w:id="171" w:name="_Toc216079653"/>
            <w:bookmarkStart w:id="172" w:name="_Toc216079709"/>
            <w:bookmarkStart w:id="173" w:name="_Toc216079765"/>
            <w:bookmarkStart w:id="174" w:name="_Toc216079821"/>
            <w:r w:rsidRPr="00F32283">
              <w:rPr>
                <w:sz w:val="18"/>
                <w:szCs w:val="18"/>
              </w:rPr>
              <w:t>Produkcijas fiziskā apjoma indekss, sezonāli neizlīdzināti dati, 2005=100</w:t>
            </w:r>
          </w:p>
        </w:tc>
        <w:tc>
          <w:tcPr>
            <w:tcW w:w="1632" w:type="pct"/>
            <w:vAlign w:val="bottom"/>
          </w:tcPr>
          <w:p w:rsidR="00B567BC" w:rsidRPr="00F32283" w:rsidRDefault="00B567BC" w:rsidP="005E33D6">
            <w:pPr>
              <w:spacing w:before="120" w:after="40"/>
              <w:ind w:left="142"/>
              <w:jc w:val="center"/>
              <w:rPr>
                <w:sz w:val="18"/>
                <w:szCs w:val="18"/>
              </w:rPr>
            </w:pPr>
            <w:r w:rsidRPr="00F32283">
              <w:rPr>
                <w:sz w:val="18"/>
                <w:szCs w:val="18"/>
              </w:rPr>
              <w:t>Produkcijas fiziskā apjoma indekss, sezonāli izlīdzināti dati, 200</w:t>
            </w:r>
            <w:r w:rsidR="005E33D6">
              <w:rPr>
                <w:sz w:val="18"/>
                <w:szCs w:val="18"/>
              </w:rPr>
              <w:t>7 XII</w:t>
            </w:r>
            <w:r w:rsidRPr="00F32283">
              <w:rPr>
                <w:sz w:val="18"/>
                <w:szCs w:val="18"/>
              </w:rPr>
              <w:t>=100</w:t>
            </w:r>
          </w:p>
        </w:tc>
        <w:tc>
          <w:tcPr>
            <w:tcW w:w="1736" w:type="pct"/>
            <w:vAlign w:val="bottom"/>
          </w:tcPr>
          <w:p w:rsidR="00B567BC" w:rsidRPr="00F32283" w:rsidRDefault="00B567BC" w:rsidP="00726024">
            <w:pPr>
              <w:spacing w:before="120" w:after="40"/>
              <w:ind w:left="142"/>
              <w:jc w:val="center"/>
              <w:rPr>
                <w:sz w:val="18"/>
                <w:szCs w:val="18"/>
              </w:rPr>
            </w:pPr>
            <w:r w:rsidRPr="00F32283">
              <w:rPr>
                <w:sz w:val="18"/>
                <w:szCs w:val="18"/>
              </w:rPr>
              <w:t>Produkcijas realizācija faktiskās cenās, milj. latu</w:t>
            </w:r>
          </w:p>
        </w:tc>
      </w:tr>
      <w:tr w:rsidR="00B567BC" w:rsidTr="00726024">
        <w:tc>
          <w:tcPr>
            <w:tcW w:w="1632" w:type="pct"/>
            <w:vAlign w:val="bottom"/>
          </w:tcPr>
          <w:p w:rsidR="00B567BC" w:rsidRDefault="00B567BC" w:rsidP="00726024">
            <w:pPr>
              <w:ind w:left="-142" w:right="-193"/>
              <w:jc w:val="center"/>
            </w:pPr>
            <w:r w:rsidRPr="00ED5018">
              <w:rPr>
                <w:noProof/>
              </w:rPr>
              <w:drawing>
                <wp:inline distT="0" distB="0" distL="0" distR="0">
                  <wp:extent cx="2078182" cy="1728000"/>
                  <wp:effectExtent l="0" t="0" r="0" b="0"/>
                  <wp:docPr id="7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632" w:type="pct"/>
            <w:vAlign w:val="bottom"/>
          </w:tcPr>
          <w:p w:rsidR="00B567BC" w:rsidRDefault="00B567BC" w:rsidP="00726024">
            <w:pPr>
              <w:ind w:left="-142" w:right="-193"/>
              <w:jc w:val="center"/>
            </w:pPr>
            <w:r w:rsidRPr="002C706C">
              <w:rPr>
                <w:noProof/>
              </w:rPr>
              <w:drawing>
                <wp:inline distT="0" distB="0" distL="0" distR="0">
                  <wp:extent cx="2078181" cy="1728000"/>
                  <wp:effectExtent l="0" t="0" r="0" b="0"/>
                  <wp:docPr id="8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736" w:type="pct"/>
            <w:vAlign w:val="bottom"/>
          </w:tcPr>
          <w:p w:rsidR="00B567BC" w:rsidRDefault="00B567BC" w:rsidP="00726024">
            <w:pPr>
              <w:ind w:left="-142" w:right="-193"/>
              <w:jc w:val="center"/>
            </w:pPr>
            <w:r w:rsidRPr="00522BE0">
              <w:rPr>
                <w:noProof/>
              </w:rPr>
              <w:drawing>
                <wp:inline distT="0" distB="0" distL="0" distR="0">
                  <wp:extent cx="2161309" cy="1728000"/>
                  <wp:effectExtent l="0" t="0" r="0" b="0"/>
                  <wp:docPr id="8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B567BC" w:rsidRPr="00F32283" w:rsidTr="00726024">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B567BC" w:rsidRPr="00F32283" w:rsidRDefault="00B567BC"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B567BC" w:rsidRPr="00F32283" w:rsidRDefault="00547173" w:rsidP="00F44AB3">
            <w:pPr>
              <w:spacing w:before="40" w:after="40"/>
              <w:ind w:left="142"/>
              <w:jc w:val="center"/>
              <w:rPr>
                <w:sz w:val="18"/>
                <w:szCs w:val="18"/>
              </w:rPr>
            </w:pPr>
            <w:r>
              <w:rPr>
                <w:sz w:val="18"/>
                <w:szCs w:val="18"/>
              </w:rPr>
              <w:t>Nozares konfidences rādītājs</w:t>
            </w:r>
          </w:p>
        </w:tc>
      </w:tr>
      <w:tr w:rsidR="00B567BC" w:rsidTr="00726024">
        <w:tc>
          <w:tcPr>
            <w:tcW w:w="1632" w:type="pct"/>
            <w:vAlign w:val="bottom"/>
          </w:tcPr>
          <w:p w:rsidR="00B567BC" w:rsidRDefault="00B567BC" w:rsidP="00726024">
            <w:pPr>
              <w:ind w:left="-142" w:right="-192"/>
              <w:jc w:val="center"/>
            </w:pPr>
            <w:r w:rsidRPr="00372C02">
              <w:rPr>
                <w:noProof/>
              </w:rPr>
              <w:drawing>
                <wp:inline distT="0" distB="0" distL="0" distR="0">
                  <wp:extent cx="2078182" cy="1728000"/>
                  <wp:effectExtent l="0" t="0" r="0" b="0"/>
                  <wp:docPr id="8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632" w:type="pct"/>
            <w:vAlign w:val="bottom"/>
          </w:tcPr>
          <w:p w:rsidR="00B567BC" w:rsidRDefault="00B567BC" w:rsidP="00726024">
            <w:pPr>
              <w:ind w:left="-142" w:right="-192"/>
              <w:jc w:val="center"/>
            </w:pPr>
            <w:r w:rsidRPr="00BB3A4B">
              <w:rPr>
                <w:noProof/>
              </w:rPr>
              <w:drawing>
                <wp:inline distT="0" distB="0" distL="0" distR="0">
                  <wp:extent cx="2082883" cy="1728000"/>
                  <wp:effectExtent l="19050" t="0" r="0" b="0"/>
                  <wp:docPr id="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736" w:type="pct"/>
            <w:vAlign w:val="bottom"/>
          </w:tcPr>
          <w:p w:rsidR="00B567BC" w:rsidRDefault="00547173" w:rsidP="00726024">
            <w:pPr>
              <w:ind w:left="-142" w:right="-192"/>
              <w:jc w:val="center"/>
            </w:pPr>
            <w:r w:rsidRPr="00547173">
              <w:rPr>
                <w:noProof/>
              </w:rPr>
              <w:drawing>
                <wp:inline distT="0" distB="0" distL="0" distR="0">
                  <wp:extent cx="2078181" cy="1728000"/>
                  <wp:effectExtent l="0" t="0" r="0" b="0"/>
                  <wp:docPr id="5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B567BC" w:rsidRDefault="00B567BC" w:rsidP="00F158C6">
      <w:pPr>
        <w:pStyle w:val="Heading2"/>
        <w:rPr>
          <w:b w:val="0"/>
        </w:rPr>
      </w:pPr>
    </w:p>
    <w:p w:rsidR="00F158C6" w:rsidRPr="009F6E8E" w:rsidRDefault="00F158C6" w:rsidP="00F158C6">
      <w:pPr>
        <w:pStyle w:val="Heading2"/>
      </w:pPr>
      <w:bookmarkStart w:id="175" w:name="_Toc305421427"/>
      <w:r>
        <w:rPr>
          <w:b w:val="0"/>
        </w:rPr>
        <w:t>2</w:t>
      </w:r>
      <w:r w:rsidRPr="009F6E8E">
        <w:rPr>
          <w:b w:val="0"/>
        </w:rPr>
        <w:t>.1</w:t>
      </w:r>
      <w:r w:rsidR="00B10C02">
        <w:rPr>
          <w:b w:val="0"/>
        </w:rPr>
        <w:t>5</w:t>
      </w:r>
      <w:r w:rsidRPr="009F6E8E">
        <w:rPr>
          <w:b w:val="0"/>
        </w:rPr>
        <w:t>.attēls.</w:t>
      </w:r>
      <w:r w:rsidRPr="009F6E8E">
        <w:t xml:space="preserve"> Ķīmisk</w:t>
      </w:r>
      <w:r w:rsidR="001737BE">
        <w:t>o</w:t>
      </w:r>
      <w:r w:rsidR="00562485">
        <w:t xml:space="preserve"> rūpniecīb</w:t>
      </w:r>
      <w:r w:rsidR="001737BE">
        <w:t>u</w:t>
      </w:r>
      <w:r w:rsidR="00562485">
        <w:t xml:space="preserve"> un tās saskarnozares </w:t>
      </w:r>
      <w:r w:rsidRPr="009F6E8E">
        <w:t>raksturojoši rādītāji</w:t>
      </w:r>
      <w:bookmarkEnd w:id="168"/>
      <w:bookmarkEnd w:id="169"/>
      <w:bookmarkEnd w:id="170"/>
      <w:bookmarkEnd w:id="171"/>
      <w:bookmarkEnd w:id="172"/>
      <w:bookmarkEnd w:id="173"/>
      <w:bookmarkEnd w:id="174"/>
      <w:bookmarkEnd w:id="1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1737BE" w:rsidRPr="00F32283" w:rsidTr="00726024">
        <w:tc>
          <w:tcPr>
            <w:tcW w:w="1632" w:type="pct"/>
            <w:vAlign w:val="bottom"/>
          </w:tcPr>
          <w:p w:rsidR="001737BE" w:rsidRPr="00F32283" w:rsidRDefault="001737BE" w:rsidP="00726024">
            <w:pPr>
              <w:spacing w:before="120" w:after="40"/>
              <w:ind w:left="142"/>
              <w:jc w:val="center"/>
              <w:rPr>
                <w:sz w:val="18"/>
                <w:szCs w:val="18"/>
              </w:rPr>
            </w:pPr>
            <w:bookmarkStart w:id="176" w:name="_Toc216077855"/>
            <w:bookmarkStart w:id="177" w:name="_Toc216079524"/>
            <w:bookmarkStart w:id="178" w:name="_Toc216079592"/>
            <w:bookmarkStart w:id="179" w:name="_Toc216079654"/>
            <w:bookmarkStart w:id="180" w:name="_Toc216079710"/>
            <w:bookmarkStart w:id="181" w:name="_Toc216079766"/>
            <w:bookmarkStart w:id="182" w:name="_Toc216079822"/>
            <w:r w:rsidRPr="00F32283">
              <w:rPr>
                <w:sz w:val="18"/>
                <w:szCs w:val="18"/>
              </w:rPr>
              <w:t>Produkcijas fiziskā apjoma indekss, sezonāli neizlīdzināti dati, 2005=100</w:t>
            </w:r>
          </w:p>
        </w:tc>
        <w:tc>
          <w:tcPr>
            <w:tcW w:w="1632" w:type="pct"/>
            <w:vAlign w:val="bottom"/>
          </w:tcPr>
          <w:p w:rsidR="001737BE" w:rsidRPr="00F32283" w:rsidRDefault="001737BE" w:rsidP="0063749E">
            <w:pPr>
              <w:spacing w:before="120" w:after="40"/>
              <w:ind w:left="142"/>
              <w:jc w:val="center"/>
              <w:rPr>
                <w:sz w:val="18"/>
                <w:szCs w:val="18"/>
              </w:rPr>
            </w:pPr>
            <w:r w:rsidRPr="00F32283">
              <w:rPr>
                <w:sz w:val="18"/>
                <w:szCs w:val="18"/>
              </w:rPr>
              <w:t>Produkcijas fiziskā apjoma indekss, sezonāli izlīdzināti dati, 200</w:t>
            </w:r>
            <w:r w:rsidR="0063749E">
              <w:rPr>
                <w:sz w:val="18"/>
                <w:szCs w:val="18"/>
              </w:rPr>
              <w:t>7 XI</w:t>
            </w:r>
            <w:r w:rsidR="000768A3">
              <w:rPr>
                <w:sz w:val="18"/>
                <w:szCs w:val="18"/>
              </w:rPr>
              <w:t>I</w:t>
            </w:r>
            <w:r w:rsidRPr="00F32283">
              <w:rPr>
                <w:sz w:val="18"/>
                <w:szCs w:val="18"/>
              </w:rPr>
              <w:t>=100</w:t>
            </w:r>
          </w:p>
        </w:tc>
        <w:tc>
          <w:tcPr>
            <w:tcW w:w="1736" w:type="pct"/>
            <w:vAlign w:val="bottom"/>
          </w:tcPr>
          <w:p w:rsidR="001737BE" w:rsidRPr="00F32283" w:rsidRDefault="001737BE" w:rsidP="00726024">
            <w:pPr>
              <w:spacing w:before="120" w:after="40"/>
              <w:ind w:left="142"/>
              <w:jc w:val="center"/>
              <w:rPr>
                <w:sz w:val="18"/>
                <w:szCs w:val="18"/>
              </w:rPr>
            </w:pPr>
            <w:r w:rsidRPr="00F32283">
              <w:rPr>
                <w:sz w:val="18"/>
                <w:szCs w:val="18"/>
              </w:rPr>
              <w:t>Produkcijas realizācija faktiskās cenās, milj. latu</w:t>
            </w:r>
          </w:p>
        </w:tc>
      </w:tr>
      <w:tr w:rsidR="001737BE" w:rsidTr="00726024">
        <w:tc>
          <w:tcPr>
            <w:tcW w:w="1632" w:type="pct"/>
            <w:vAlign w:val="bottom"/>
          </w:tcPr>
          <w:p w:rsidR="001737BE" w:rsidRDefault="001737BE" w:rsidP="00726024">
            <w:pPr>
              <w:ind w:left="-142" w:right="-193"/>
              <w:jc w:val="center"/>
            </w:pPr>
            <w:r w:rsidRPr="00ED5018">
              <w:rPr>
                <w:noProof/>
              </w:rPr>
              <w:drawing>
                <wp:inline distT="0" distB="0" distL="0" distR="0">
                  <wp:extent cx="2078182" cy="1728000"/>
                  <wp:effectExtent l="0" t="0" r="0" b="0"/>
                  <wp:docPr id="29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632" w:type="pct"/>
            <w:vAlign w:val="bottom"/>
          </w:tcPr>
          <w:p w:rsidR="001737BE" w:rsidRDefault="001737BE" w:rsidP="00726024">
            <w:pPr>
              <w:ind w:left="-142" w:right="-193"/>
              <w:jc w:val="center"/>
            </w:pPr>
            <w:r w:rsidRPr="002C706C">
              <w:rPr>
                <w:noProof/>
              </w:rPr>
              <w:drawing>
                <wp:inline distT="0" distB="0" distL="0" distR="0">
                  <wp:extent cx="2078181" cy="1728000"/>
                  <wp:effectExtent l="0" t="0" r="0" b="0"/>
                  <wp:docPr id="29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1736" w:type="pct"/>
            <w:vAlign w:val="bottom"/>
          </w:tcPr>
          <w:p w:rsidR="001737BE" w:rsidRDefault="001737BE" w:rsidP="00726024">
            <w:pPr>
              <w:ind w:left="-142" w:right="-193"/>
              <w:jc w:val="center"/>
            </w:pPr>
            <w:r w:rsidRPr="00522BE0">
              <w:rPr>
                <w:noProof/>
              </w:rPr>
              <w:drawing>
                <wp:inline distT="0" distB="0" distL="0" distR="0">
                  <wp:extent cx="2161309" cy="1728000"/>
                  <wp:effectExtent l="0" t="0" r="0" b="0"/>
                  <wp:docPr id="2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1737BE" w:rsidRPr="00F32283" w:rsidTr="00726024">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1737BE" w:rsidRPr="00F32283" w:rsidRDefault="001737BE"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1737BE" w:rsidRPr="00F32283" w:rsidRDefault="00547173" w:rsidP="00726024">
            <w:pPr>
              <w:spacing w:before="40" w:after="40"/>
              <w:ind w:left="142"/>
              <w:jc w:val="center"/>
              <w:rPr>
                <w:sz w:val="18"/>
                <w:szCs w:val="18"/>
              </w:rPr>
            </w:pPr>
            <w:r>
              <w:rPr>
                <w:sz w:val="18"/>
                <w:szCs w:val="18"/>
              </w:rPr>
              <w:t>Nozares konfidences rādītājs</w:t>
            </w:r>
          </w:p>
        </w:tc>
      </w:tr>
      <w:tr w:rsidR="001737BE" w:rsidTr="00726024">
        <w:tc>
          <w:tcPr>
            <w:tcW w:w="1632" w:type="pct"/>
            <w:vAlign w:val="bottom"/>
          </w:tcPr>
          <w:p w:rsidR="001737BE" w:rsidRDefault="001737BE" w:rsidP="00726024">
            <w:pPr>
              <w:ind w:left="-142" w:right="-192"/>
              <w:jc w:val="center"/>
            </w:pPr>
            <w:r w:rsidRPr="00372C02">
              <w:rPr>
                <w:noProof/>
              </w:rPr>
              <w:drawing>
                <wp:inline distT="0" distB="0" distL="0" distR="0">
                  <wp:extent cx="2078182" cy="1728000"/>
                  <wp:effectExtent l="0" t="0" r="0" b="0"/>
                  <wp:docPr id="2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32" w:type="pct"/>
            <w:vAlign w:val="bottom"/>
          </w:tcPr>
          <w:p w:rsidR="001737BE" w:rsidRDefault="001737BE" w:rsidP="00726024">
            <w:pPr>
              <w:ind w:left="-142" w:right="-192"/>
              <w:jc w:val="center"/>
            </w:pPr>
            <w:r w:rsidRPr="00BB3A4B">
              <w:rPr>
                <w:noProof/>
              </w:rPr>
              <w:drawing>
                <wp:inline distT="0" distB="0" distL="0" distR="0">
                  <wp:extent cx="2082883" cy="1728000"/>
                  <wp:effectExtent l="19050" t="0" r="0" b="0"/>
                  <wp:docPr id="30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1736" w:type="pct"/>
            <w:vAlign w:val="bottom"/>
          </w:tcPr>
          <w:p w:rsidR="001737BE" w:rsidRDefault="00547173" w:rsidP="00726024">
            <w:pPr>
              <w:ind w:left="-142" w:right="-192"/>
              <w:jc w:val="center"/>
            </w:pPr>
            <w:r w:rsidRPr="00547173">
              <w:rPr>
                <w:noProof/>
              </w:rPr>
              <w:drawing>
                <wp:inline distT="0" distB="0" distL="0" distR="0">
                  <wp:extent cx="2078181" cy="1728000"/>
                  <wp:effectExtent l="0" t="0" r="0" b="0"/>
                  <wp:docPr id="5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B567BC" w:rsidRDefault="00B567BC">
      <w:pPr>
        <w:rPr>
          <w:rFonts w:eastAsiaTheme="majorEastAsia" w:cstheme="majorBidi"/>
          <w:bCs/>
          <w:color w:val="000000"/>
          <w:sz w:val="28"/>
          <w:szCs w:val="26"/>
        </w:rPr>
      </w:pPr>
      <w:r>
        <w:rPr>
          <w:b/>
          <w:color w:val="000000"/>
        </w:rPr>
        <w:br w:type="page"/>
      </w:r>
    </w:p>
    <w:p w:rsidR="00F158C6" w:rsidRDefault="00F158C6" w:rsidP="00F158C6">
      <w:pPr>
        <w:pStyle w:val="Heading2"/>
      </w:pPr>
      <w:bookmarkStart w:id="183" w:name="_Toc305421428"/>
      <w:r w:rsidRPr="00CD3CE6">
        <w:rPr>
          <w:b w:val="0"/>
          <w:color w:val="000000"/>
        </w:rPr>
        <w:lastRenderedPageBreak/>
        <w:t>2</w:t>
      </w:r>
      <w:r w:rsidRPr="00CD3CE6">
        <w:rPr>
          <w:b w:val="0"/>
        </w:rPr>
        <w:t>.1</w:t>
      </w:r>
      <w:r w:rsidR="00B10C02">
        <w:rPr>
          <w:b w:val="0"/>
        </w:rPr>
        <w:t>6</w:t>
      </w:r>
      <w:r w:rsidRPr="009F6E8E">
        <w:rPr>
          <w:b w:val="0"/>
        </w:rPr>
        <w:t xml:space="preserve">.attēls. </w:t>
      </w:r>
      <w:r w:rsidRPr="009F6E8E">
        <w:t>Nemetālisko minerālu izstrādājumu ražošanu raksturojoši rādītāji</w:t>
      </w:r>
      <w:bookmarkEnd w:id="176"/>
      <w:bookmarkEnd w:id="177"/>
      <w:bookmarkEnd w:id="178"/>
      <w:bookmarkEnd w:id="179"/>
      <w:bookmarkEnd w:id="180"/>
      <w:bookmarkEnd w:id="181"/>
      <w:bookmarkEnd w:id="182"/>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CE7359" w:rsidRPr="00F32283" w:rsidRDefault="00CE7359" w:rsidP="00726024">
            <w:pPr>
              <w:spacing w:before="120" w:after="40"/>
              <w:ind w:left="142"/>
              <w:jc w:val="center"/>
              <w:rPr>
                <w:sz w:val="18"/>
                <w:szCs w:val="18"/>
              </w:rPr>
            </w:pPr>
            <w:r w:rsidRPr="00F32283">
              <w:rPr>
                <w:sz w:val="18"/>
                <w:szCs w:val="18"/>
              </w:rPr>
              <w:t>Produkcijas fiziskā apjoma indekss,</w:t>
            </w:r>
            <w:r w:rsidR="0063749E">
              <w:rPr>
                <w:sz w:val="18"/>
                <w:szCs w:val="18"/>
              </w:rPr>
              <w:t xml:space="preserve"> sezonāli izlīdzināti dati, 2007 XII</w:t>
            </w:r>
            <w:r w:rsidRPr="00F32283">
              <w:rPr>
                <w:sz w:val="18"/>
                <w:szCs w:val="18"/>
              </w:rPr>
              <w:t>=100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0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547173" w:rsidP="00F44AB3">
            <w:pPr>
              <w:spacing w:before="40" w:after="40"/>
              <w:ind w:left="142"/>
              <w:jc w:val="center"/>
              <w:rPr>
                <w:sz w:val="18"/>
                <w:szCs w:val="18"/>
              </w:rPr>
            </w:pPr>
            <w:r>
              <w:rPr>
                <w:sz w:val="18"/>
                <w:szCs w:val="18"/>
              </w:rPr>
              <w:t>Nozares konfidences rādītājs</w:t>
            </w: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0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0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1736" w:type="pct"/>
            <w:vAlign w:val="bottom"/>
          </w:tcPr>
          <w:p w:rsidR="00CE7359" w:rsidRDefault="00547173" w:rsidP="00726024">
            <w:pPr>
              <w:ind w:left="-142" w:right="-192"/>
              <w:jc w:val="center"/>
            </w:pPr>
            <w:r w:rsidRPr="00547173">
              <w:rPr>
                <w:noProof/>
              </w:rPr>
              <w:drawing>
                <wp:inline distT="0" distB="0" distL="0" distR="0">
                  <wp:extent cx="2078181" cy="1728000"/>
                  <wp:effectExtent l="0" t="0" r="0" b="0"/>
                  <wp:docPr id="6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rsidR="005D4E6F" w:rsidRDefault="005D4E6F" w:rsidP="00F158C6">
      <w:pPr>
        <w:pStyle w:val="Heading2"/>
        <w:rPr>
          <w:b w:val="0"/>
        </w:rPr>
      </w:pPr>
    </w:p>
    <w:p w:rsidR="00F158C6" w:rsidRPr="009F6E8E" w:rsidRDefault="00F158C6" w:rsidP="00F158C6">
      <w:pPr>
        <w:pStyle w:val="Heading2"/>
      </w:pPr>
      <w:bookmarkStart w:id="184" w:name="_Toc305421429"/>
      <w:r>
        <w:rPr>
          <w:b w:val="0"/>
        </w:rPr>
        <w:t>2</w:t>
      </w:r>
      <w:r w:rsidRPr="009F6E8E">
        <w:rPr>
          <w:b w:val="0"/>
        </w:rPr>
        <w:t>.1</w:t>
      </w:r>
      <w:r w:rsidR="00B10C02">
        <w:rPr>
          <w:b w:val="0"/>
        </w:rPr>
        <w:t>7</w:t>
      </w:r>
      <w:r w:rsidRPr="009F6E8E">
        <w:rPr>
          <w:b w:val="0"/>
        </w:rPr>
        <w:t xml:space="preserve">.attēls. </w:t>
      </w:r>
      <w:r w:rsidRPr="009F6E8E">
        <w:t>Metāla un gatavo metāla izstrādājumu ražošanu raksturojoši rādītāji</w:t>
      </w:r>
      <w:bookmarkEnd w:id="18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CE7359" w:rsidRPr="00F32283" w:rsidTr="00726024">
        <w:tc>
          <w:tcPr>
            <w:tcW w:w="1632" w:type="pct"/>
            <w:vAlign w:val="bottom"/>
          </w:tcPr>
          <w:p w:rsidR="00CE7359" w:rsidRPr="00F32283" w:rsidRDefault="00CE7359" w:rsidP="00726024">
            <w:pPr>
              <w:spacing w:before="120" w:after="40"/>
              <w:ind w:left="142"/>
              <w:jc w:val="center"/>
              <w:rPr>
                <w:sz w:val="18"/>
                <w:szCs w:val="18"/>
              </w:rPr>
            </w:pPr>
            <w:bookmarkStart w:id="185" w:name="_Toc216077858"/>
            <w:bookmarkStart w:id="186" w:name="_Toc216079527"/>
            <w:bookmarkStart w:id="187" w:name="_Toc216079595"/>
            <w:bookmarkStart w:id="188" w:name="_Toc216079657"/>
            <w:bookmarkStart w:id="189" w:name="_Toc216079713"/>
            <w:bookmarkStart w:id="190" w:name="_Toc216079769"/>
            <w:bookmarkStart w:id="191" w:name="_Toc216079825"/>
            <w:r w:rsidRPr="00F32283">
              <w:rPr>
                <w:sz w:val="18"/>
                <w:szCs w:val="18"/>
              </w:rPr>
              <w:t>Produkcijas fiziskā apjoma indekss, sezonāli neizlīdzināti dati, 2005=100</w:t>
            </w:r>
          </w:p>
        </w:tc>
        <w:tc>
          <w:tcPr>
            <w:tcW w:w="1632" w:type="pct"/>
            <w:vAlign w:val="bottom"/>
          </w:tcPr>
          <w:p w:rsidR="00CE7359" w:rsidRPr="00F32283" w:rsidRDefault="00CE7359" w:rsidP="009900C5">
            <w:pPr>
              <w:spacing w:before="120" w:after="40"/>
              <w:ind w:left="142"/>
              <w:jc w:val="center"/>
              <w:rPr>
                <w:sz w:val="18"/>
                <w:szCs w:val="18"/>
              </w:rPr>
            </w:pPr>
            <w:r w:rsidRPr="00F32283">
              <w:rPr>
                <w:sz w:val="18"/>
                <w:szCs w:val="18"/>
              </w:rPr>
              <w:t>Produkcijas fiziskā apjoma indekss, sezonāli izlīdzināti dati, 200</w:t>
            </w:r>
            <w:r w:rsidR="009900C5">
              <w:rPr>
                <w:sz w:val="18"/>
                <w:szCs w:val="18"/>
              </w:rPr>
              <w:t>7 XII</w:t>
            </w:r>
            <w:r w:rsidRPr="00F32283">
              <w:rPr>
                <w:sz w:val="18"/>
                <w:szCs w:val="18"/>
              </w:rPr>
              <w:t>=100</w:t>
            </w:r>
          </w:p>
        </w:tc>
        <w:tc>
          <w:tcPr>
            <w:tcW w:w="1736" w:type="pct"/>
            <w:vAlign w:val="bottom"/>
          </w:tcPr>
          <w:p w:rsidR="00CE7359" w:rsidRPr="00F32283" w:rsidRDefault="00CE7359" w:rsidP="00726024">
            <w:pPr>
              <w:spacing w:before="120" w:after="40"/>
              <w:ind w:left="142"/>
              <w:jc w:val="center"/>
              <w:rPr>
                <w:sz w:val="18"/>
                <w:szCs w:val="18"/>
              </w:rPr>
            </w:pPr>
            <w:r w:rsidRPr="00F32283">
              <w:rPr>
                <w:sz w:val="18"/>
                <w:szCs w:val="18"/>
              </w:rPr>
              <w:t>Produkcijas realizācija faktiskās cenās, milj. latu</w:t>
            </w:r>
          </w:p>
        </w:tc>
      </w:tr>
      <w:tr w:rsidR="00CE7359" w:rsidTr="00726024">
        <w:tc>
          <w:tcPr>
            <w:tcW w:w="1632" w:type="pct"/>
            <w:vAlign w:val="bottom"/>
          </w:tcPr>
          <w:p w:rsidR="00CE7359" w:rsidRDefault="00CE7359" w:rsidP="00726024">
            <w:pPr>
              <w:ind w:left="-142" w:right="-193"/>
              <w:jc w:val="center"/>
            </w:pPr>
            <w:r w:rsidRPr="00ED5018">
              <w:rPr>
                <w:noProof/>
              </w:rPr>
              <w:drawing>
                <wp:inline distT="0" distB="0" distL="0" distR="0">
                  <wp:extent cx="2078182" cy="1728000"/>
                  <wp:effectExtent l="0" t="0" r="0" b="0"/>
                  <wp:docPr id="30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1632" w:type="pct"/>
            <w:vAlign w:val="bottom"/>
          </w:tcPr>
          <w:p w:rsidR="00CE7359" w:rsidRDefault="00CE7359" w:rsidP="00726024">
            <w:pPr>
              <w:ind w:left="-142" w:right="-193"/>
              <w:jc w:val="center"/>
            </w:pPr>
            <w:r w:rsidRPr="002C706C">
              <w:rPr>
                <w:noProof/>
              </w:rPr>
              <w:drawing>
                <wp:inline distT="0" distB="0" distL="0" distR="0">
                  <wp:extent cx="2078181" cy="1728000"/>
                  <wp:effectExtent l="0" t="0" r="0" b="0"/>
                  <wp:docPr id="30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1736" w:type="pct"/>
            <w:vAlign w:val="bottom"/>
          </w:tcPr>
          <w:p w:rsidR="00CE7359" w:rsidRDefault="00CE7359" w:rsidP="00726024">
            <w:pPr>
              <w:ind w:left="-142" w:right="-193"/>
              <w:jc w:val="center"/>
            </w:pPr>
            <w:r w:rsidRPr="00522BE0">
              <w:rPr>
                <w:noProof/>
              </w:rPr>
              <w:drawing>
                <wp:inline distT="0" distB="0" distL="0" distR="0">
                  <wp:extent cx="2161309" cy="1728000"/>
                  <wp:effectExtent l="0" t="0" r="0" b="0"/>
                  <wp:docPr id="3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E7359" w:rsidRPr="00F32283" w:rsidTr="00726024">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CE7359" w:rsidRPr="00F32283" w:rsidRDefault="00CE7359"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CE7359" w:rsidRPr="00F32283" w:rsidRDefault="00547173" w:rsidP="00F44AB3">
            <w:pPr>
              <w:spacing w:before="40" w:after="40"/>
              <w:ind w:left="142"/>
              <w:jc w:val="center"/>
              <w:rPr>
                <w:sz w:val="18"/>
                <w:szCs w:val="18"/>
              </w:rPr>
            </w:pPr>
            <w:r>
              <w:rPr>
                <w:sz w:val="18"/>
                <w:szCs w:val="18"/>
              </w:rPr>
              <w:t>Nozares konfidences rādītājs</w:t>
            </w:r>
          </w:p>
        </w:tc>
      </w:tr>
      <w:tr w:rsidR="00CE7359" w:rsidTr="00726024">
        <w:tc>
          <w:tcPr>
            <w:tcW w:w="1632" w:type="pct"/>
            <w:vAlign w:val="bottom"/>
          </w:tcPr>
          <w:p w:rsidR="00CE7359" w:rsidRDefault="00CE7359" w:rsidP="00726024">
            <w:pPr>
              <w:ind w:left="-142" w:right="-192"/>
              <w:jc w:val="center"/>
            </w:pPr>
            <w:r w:rsidRPr="00372C02">
              <w:rPr>
                <w:noProof/>
              </w:rPr>
              <w:drawing>
                <wp:inline distT="0" distB="0" distL="0" distR="0">
                  <wp:extent cx="2078182" cy="1728000"/>
                  <wp:effectExtent l="0" t="0" r="0" b="0"/>
                  <wp:docPr id="3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1632" w:type="pct"/>
            <w:vAlign w:val="bottom"/>
          </w:tcPr>
          <w:p w:rsidR="00CE7359" w:rsidRDefault="00CE7359" w:rsidP="00726024">
            <w:pPr>
              <w:ind w:left="-142" w:right="-192"/>
              <w:jc w:val="center"/>
            </w:pPr>
            <w:r w:rsidRPr="00BB3A4B">
              <w:rPr>
                <w:noProof/>
              </w:rPr>
              <w:drawing>
                <wp:inline distT="0" distB="0" distL="0" distR="0">
                  <wp:extent cx="2082883" cy="1728000"/>
                  <wp:effectExtent l="19050" t="0" r="0" b="0"/>
                  <wp:docPr id="31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1736" w:type="pct"/>
            <w:vAlign w:val="bottom"/>
          </w:tcPr>
          <w:p w:rsidR="00CE7359" w:rsidRDefault="00547173" w:rsidP="00726024">
            <w:pPr>
              <w:ind w:left="-142" w:right="-192"/>
              <w:jc w:val="center"/>
            </w:pPr>
            <w:r w:rsidRPr="00547173">
              <w:rPr>
                <w:noProof/>
              </w:rPr>
              <w:drawing>
                <wp:inline distT="0" distB="0" distL="0" distR="0">
                  <wp:extent cx="2078181" cy="1728000"/>
                  <wp:effectExtent l="0" t="0" r="0" b="0"/>
                  <wp:docPr id="7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rsidR="00B567BC" w:rsidRDefault="00B567BC">
      <w:pPr>
        <w:rPr>
          <w:rFonts w:eastAsiaTheme="majorEastAsia" w:cstheme="majorBidi"/>
          <w:bCs/>
          <w:sz w:val="28"/>
          <w:szCs w:val="26"/>
        </w:rPr>
      </w:pPr>
      <w:r>
        <w:rPr>
          <w:b/>
        </w:rPr>
        <w:br w:type="page"/>
      </w:r>
    </w:p>
    <w:p w:rsidR="00F158C6" w:rsidRDefault="00F158C6" w:rsidP="00F158C6">
      <w:pPr>
        <w:pStyle w:val="Heading2"/>
      </w:pPr>
      <w:bookmarkStart w:id="192" w:name="_Toc305421430"/>
      <w:r>
        <w:rPr>
          <w:b w:val="0"/>
        </w:rPr>
        <w:lastRenderedPageBreak/>
        <w:t>2</w:t>
      </w:r>
      <w:r w:rsidRPr="009F6E8E">
        <w:rPr>
          <w:b w:val="0"/>
        </w:rPr>
        <w:t>.</w:t>
      </w:r>
      <w:r>
        <w:rPr>
          <w:b w:val="0"/>
        </w:rPr>
        <w:t>1</w:t>
      </w:r>
      <w:r w:rsidR="00B10C02">
        <w:rPr>
          <w:b w:val="0"/>
        </w:rPr>
        <w:t>8</w:t>
      </w:r>
      <w:r w:rsidRPr="009F6E8E">
        <w:rPr>
          <w:b w:val="0"/>
        </w:rPr>
        <w:t>.attēls.</w:t>
      </w:r>
      <w:r w:rsidRPr="009F6E8E">
        <w:t xml:space="preserve"> Elektrisko un optisko iekārtu ražošanu raksturojoši rādītāji</w:t>
      </w:r>
      <w:bookmarkEnd w:id="185"/>
      <w:bookmarkEnd w:id="186"/>
      <w:bookmarkEnd w:id="187"/>
      <w:bookmarkEnd w:id="188"/>
      <w:bookmarkEnd w:id="189"/>
      <w:bookmarkEnd w:id="190"/>
      <w:bookmarkEnd w:id="191"/>
      <w:bookmarkEnd w:id="1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193" w:name="_Toc216077857"/>
            <w:bookmarkStart w:id="194" w:name="_Toc216079526"/>
            <w:bookmarkStart w:id="195" w:name="_Toc216079594"/>
            <w:bookmarkStart w:id="196" w:name="_Toc216079656"/>
            <w:bookmarkStart w:id="197" w:name="_Toc216079712"/>
            <w:bookmarkStart w:id="198" w:name="_Toc216079768"/>
            <w:bookmarkStart w:id="199" w:name="_Toc216079824"/>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w:t>
            </w:r>
            <w:r w:rsidR="0074181C">
              <w:rPr>
                <w:sz w:val="18"/>
                <w:szCs w:val="18"/>
              </w:rPr>
              <w:t xml:space="preserve"> sezonāli izlīdzināti dati, 2007 XII</w:t>
            </w:r>
            <w:r w:rsidRPr="00F32283">
              <w:rPr>
                <w:sz w:val="18"/>
                <w:szCs w:val="18"/>
              </w:rPr>
              <w:t>=100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1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547173" w:rsidP="00726024">
            <w:pPr>
              <w:spacing w:before="40" w:after="40"/>
              <w:ind w:left="142"/>
              <w:jc w:val="center"/>
              <w:rPr>
                <w:sz w:val="18"/>
                <w:szCs w:val="18"/>
              </w:rPr>
            </w:pPr>
            <w:r>
              <w:rPr>
                <w:sz w:val="18"/>
                <w:szCs w:val="18"/>
              </w:rPr>
              <w:t>Nozares konfidences rādītājs</w:t>
            </w: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3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1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1736" w:type="pct"/>
            <w:vAlign w:val="bottom"/>
          </w:tcPr>
          <w:p w:rsidR="00F44AB3" w:rsidRDefault="00547173" w:rsidP="00726024">
            <w:pPr>
              <w:ind w:left="-142" w:right="-192"/>
              <w:jc w:val="center"/>
            </w:pPr>
            <w:r w:rsidRPr="00547173">
              <w:rPr>
                <w:noProof/>
              </w:rPr>
              <w:drawing>
                <wp:inline distT="0" distB="0" distL="0" distR="0">
                  <wp:extent cx="2078181" cy="1728000"/>
                  <wp:effectExtent l="0" t="0" r="0" b="0"/>
                  <wp:docPr id="10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rsidR="005D4E6F" w:rsidRDefault="005D4E6F" w:rsidP="00BE41C7">
      <w:pPr>
        <w:pStyle w:val="Heading2"/>
        <w:rPr>
          <w:b w:val="0"/>
        </w:rPr>
      </w:pPr>
    </w:p>
    <w:p w:rsidR="00BE41C7" w:rsidRPr="009F6E8E" w:rsidRDefault="00CD3CE6" w:rsidP="00BE41C7">
      <w:pPr>
        <w:pStyle w:val="Heading2"/>
      </w:pPr>
      <w:bookmarkStart w:id="200" w:name="_Toc305421431"/>
      <w:r>
        <w:rPr>
          <w:b w:val="0"/>
        </w:rPr>
        <w:t>2</w:t>
      </w:r>
      <w:r w:rsidR="00BE41C7" w:rsidRPr="009F6E8E">
        <w:rPr>
          <w:b w:val="0"/>
        </w:rPr>
        <w:t>.</w:t>
      </w:r>
      <w:r w:rsidR="00B10C02">
        <w:rPr>
          <w:b w:val="0"/>
        </w:rPr>
        <w:t>19</w:t>
      </w:r>
      <w:r w:rsidR="00BE41C7" w:rsidRPr="009F6E8E">
        <w:rPr>
          <w:b w:val="0"/>
        </w:rPr>
        <w:t>.attēls.</w:t>
      </w:r>
      <w:r w:rsidR="00BE41C7" w:rsidRPr="009F6E8E">
        <w:t xml:space="preserve"> Mašīnu un iekārtu ražošanu raksturojoši rādītāji</w:t>
      </w:r>
      <w:bookmarkEnd w:id="193"/>
      <w:bookmarkEnd w:id="194"/>
      <w:bookmarkEnd w:id="195"/>
      <w:bookmarkEnd w:id="196"/>
      <w:bookmarkEnd w:id="197"/>
      <w:bookmarkEnd w:id="198"/>
      <w:bookmarkEnd w:id="199"/>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 xml:space="preserve">Produkcijas fiziskā apjoma indekss, sezonāli izlīdzināti dati, </w:t>
            </w:r>
            <w:r w:rsidR="000768A3" w:rsidRPr="00F32283">
              <w:rPr>
                <w:sz w:val="18"/>
                <w:szCs w:val="18"/>
              </w:rPr>
              <w:t>200</w:t>
            </w:r>
            <w:r w:rsidR="000768A3">
              <w:rPr>
                <w:sz w:val="18"/>
                <w:szCs w:val="18"/>
              </w:rPr>
              <w:t>7 XII</w:t>
            </w:r>
            <w:r w:rsidR="000768A3" w:rsidRPr="00F32283">
              <w:rPr>
                <w:sz w:val="18"/>
                <w:szCs w:val="18"/>
              </w:rPr>
              <w:t>=100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9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9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9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547173" w:rsidP="00726024">
            <w:pPr>
              <w:spacing w:before="40" w:after="40"/>
              <w:ind w:left="142"/>
              <w:jc w:val="center"/>
              <w:rPr>
                <w:sz w:val="18"/>
                <w:szCs w:val="18"/>
              </w:rPr>
            </w:pPr>
            <w:r>
              <w:rPr>
                <w:sz w:val="18"/>
                <w:szCs w:val="18"/>
              </w:rPr>
              <w:t>Nozares konfidences rādītājs</w:t>
            </w: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99"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12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1736" w:type="pct"/>
            <w:vAlign w:val="bottom"/>
          </w:tcPr>
          <w:p w:rsidR="00F44AB3" w:rsidRDefault="00547173" w:rsidP="00726024">
            <w:pPr>
              <w:ind w:left="-142" w:right="-192"/>
              <w:jc w:val="center"/>
            </w:pPr>
            <w:r w:rsidRPr="00547173">
              <w:rPr>
                <w:noProof/>
              </w:rPr>
              <w:drawing>
                <wp:inline distT="0" distB="0" distL="0" distR="0">
                  <wp:extent cx="2078181" cy="1728000"/>
                  <wp:effectExtent l="0" t="0" r="0" b="0"/>
                  <wp:docPr id="10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E36D71" w:rsidRPr="009F6E8E" w:rsidRDefault="00E36D71" w:rsidP="00BE41C7">
      <w:pPr>
        <w:jc w:val="center"/>
        <w:rPr>
          <w:b/>
          <w:sz w:val="16"/>
        </w:rPr>
      </w:pPr>
    </w:p>
    <w:p w:rsidR="00BE41C7" w:rsidRPr="009F6E8E" w:rsidRDefault="00CD3CE6" w:rsidP="00BE41C7">
      <w:pPr>
        <w:pStyle w:val="Heading2"/>
      </w:pPr>
      <w:bookmarkStart w:id="201" w:name="_Toc216077859"/>
      <w:bookmarkStart w:id="202" w:name="_Toc216079528"/>
      <w:bookmarkStart w:id="203" w:name="_Toc216079596"/>
      <w:bookmarkStart w:id="204" w:name="_Toc216079658"/>
      <w:bookmarkStart w:id="205" w:name="_Toc216079714"/>
      <w:bookmarkStart w:id="206" w:name="_Toc216079770"/>
      <w:bookmarkStart w:id="207" w:name="_Toc216079826"/>
      <w:bookmarkStart w:id="208" w:name="_Toc305421432"/>
      <w:r>
        <w:rPr>
          <w:b w:val="0"/>
        </w:rPr>
        <w:lastRenderedPageBreak/>
        <w:t>2</w:t>
      </w:r>
      <w:r w:rsidR="00BE41C7" w:rsidRPr="009F6E8E">
        <w:rPr>
          <w:b w:val="0"/>
        </w:rPr>
        <w:t>.2</w:t>
      </w:r>
      <w:r w:rsidR="00B10C02">
        <w:rPr>
          <w:b w:val="0"/>
        </w:rPr>
        <w:t>0</w:t>
      </w:r>
      <w:r w:rsidR="00BE41C7" w:rsidRPr="009F6E8E">
        <w:rPr>
          <w:b w:val="0"/>
        </w:rPr>
        <w:t>.attēls.</w:t>
      </w:r>
      <w:r w:rsidR="00BE41C7" w:rsidRPr="009F6E8E">
        <w:t xml:space="preserve"> Transporta līdzekļu ražošanu raksturojoši rādītāji</w:t>
      </w:r>
      <w:bookmarkEnd w:id="201"/>
      <w:bookmarkEnd w:id="202"/>
      <w:bookmarkEnd w:id="203"/>
      <w:bookmarkEnd w:id="204"/>
      <w:bookmarkEnd w:id="205"/>
      <w:bookmarkEnd w:id="206"/>
      <w:bookmarkEnd w:id="207"/>
      <w:bookmarkEnd w:id="20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3217"/>
        <w:gridCol w:w="3422"/>
      </w:tblGrid>
      <w:tr w:rsidR="00F44AB3" w:rsidRPr="00F32283" w:rsidTr="00726024">
        <w:tc>
          <w:tcPr>
            <w:tcW w:w="1632" w:type="pct"/>
            <w:vAlign w:val="bottom"/>
          </w:tcPr>
          <w:p w:rsidR="00F44AB3" w:rsidRPr="00F32283" w:rsidRDefault="00F44AB3" w:rsidP="00726024">
            <w:pPr>
              <w:spacing w:before="120" w:after="40"/>
              <w:ind w:left="142"/>
              <w:jc w:val="center"/>
              <w:rPr>
                <w:sz w:val="18"/>
                <w:szCs w:val="18"/>
              </w:rPr>
            </w:pPr>
            <w:bookmarkStart w:id="209" w:name="_Toc215389344"/>
            <w:bookmarkStart w:id="210" w:name="_Toc216077860"/>
            <w:bookmarkStart w:id="211" w:name="_Toc216079529"/>
            <w:bookmarkStart w:id="212" w:name="_Toc216079597"/>
            <w:bookmarkStart w:id="213" w:name="_Toc216079659"/>
            <w:bookmarkStart w:id="214" w:name="_Toc216079715"/>
            <w:bookmarkStart w:id="215" w:name="_Toc216079771"/>
            <w:bookmarkStart w:id="216" w:name="_Toc216079827"/>
            <w:r w:rsidRPr="00F32283">
              <w:rPr>
                <w:sz w:val="18"/>
                <w:szCs w:val="18"/>
              </w:rPr>
              <w:t>Produkcijas fiziskā apjoma indekss, sezonāli neizlīdzināti dati, 2005=100</w:t>
            </w:r>
          </w:p>
        </w:tc>
        <w:tc>
          <w:tcPr>
            <w:tcW w:w="1632" w:type="pct"/>
            <w:vAlign w:val="bottom"/>
          </w:tcPr>
          <w:p w:rsidR="00F44AB3" w:rsidRPr="00F32283" w:rsidRDefault="00F44AB3" w:rsidP="00726024">
            <w:pPr>
              <w:spacing w:before="120" w:after="40"/>
              <w:ind w:left="142"/>
              <w:jc w:val="center"/>
              <w:rPr>
                <w:sz w:val="18"/>
                <w:szCs w:val="18"/>
              </w:rPr>
            </w:pPr>
            <w:r w:rsidRPr="00F32283">
              <w:rPr>
                <w:sz w:val="18"/>
                <w:szCs w:val="18"/>
              </w:rPr>
              <w:t>Produkcijas fiziskā apjoma indekss,</w:t>
            </w:r>
            <w:r w:rsidR="0074181C">
              <w:rPr>
                <w:sz w:val="18"/>
                <w:szCs w:val="18"/>
              </w:rPr>
              <w:t xml:space="preserve"> sezonāli izlīdzināti dati, 2007 XII</w:t>
            </w:r>
            <w:r w:rsidRPr="00F32283">
              <w:rPr>
                <w:sz w:val="18"/>
                <w:szCs w:val="18"/>
              </w:rPr>
              <w:t>=100</w:t>
            </w:r>
          </w:p>
        </w:tc>
        <w:tc>
          <w:tcPr>
            <w:tcW w:w="1736" w:type="pct"/>
            <w:vAlign w:val="bottom"/>
          </w:tcPr>
          <w:p w:rsidR="00F44AB3" w:rsidRPr="00F32283" w:rsidRDefault="00F44AB3" w:rsidP="00726024">
            <w:pPr>
              <w:spacing w:before="120" w:after="40"/>
              <w:ind w:left="142"/>
              <w:jc w:val="center"/>
              <w:rPr>
                <w:sz w:val="18"/>
                <w:szCs w:val="18"/>
              </w:rPr>
            </w:pPr>
            <w:r w:rsidRPr="00F32283">
              <w:rPr>
                <w:sz w:val="18"/>
                <w:szCs w:val="18"/>
              </w:rPr>
              <w:t>Produkcijas realizācija faktiskās cenās, milj. latu</w:t>
            </w:r>
          </w:p>
        </w:tc>
      </w:tr>
      <w:tr w:rsidR="00F44AB3" w:rsidTr="00726024">
        <w:tc>
          <w:tcPr>
            <w:tcW w:w="1632" w:type="pct"/>
            <w:vAlign w:val="bottom"/>
          </w:tcPr>
          <w:p w:rsidR="00F44AB3" w:rsidRDefault="00F44AB3" w:rsidP="00726024">
            <w:pPr>
              <w:ind w:left="-142" w:right="-193"/>
              <w:jc w:val="center"/>
            </w:pPr>
            <w:r w:rsidRPr="00ED5018">
              <w:rPr>
                <w:noProof/>
              </w:rPr>
              <w:drawing>
                <wp:inline distT="0" distB="0" distL="0" distR="0">
                  <wp:extent cx="2078182" cy="1728000"/>
                  <wp:effectExtent l="0" t="0" r="0" b="0"/>
                  <wp:docPr id="3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1632" w:type="pct"/>
            <w:vAlign w:val="bottom"/>
          </w:tcPr>
          <w:p w:rsidR="00F44AB3" w:rsidRDefault="00F44AB3" w:rsidP="00726024">
            <w:pPr>
              <w:ind w:left="-142" w:right="-193"/>
              <w:jc w:val="center"/>
            </w:pPr>
            <w:r w:rsidRPr="002C706C">
              <w:rPr>
                <w:noProof/>
              </w:rPr>
              <w:drawing>
                <wp:inline distT="0" distB="0" distL="0" distR="0">
                  <wp:extent cx="2078181" cy="1728000"/>
                  <wp:effectExtent l="0" t="0" r="0" b="0"/>
                  <wp:docPr id="3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1736" w:type="pct"/>
            <w:vAlign w:val="bottom"/>
          </w:tcPr>
          <w:p w:rsidR="00F44AB3" w:rsidRDefault="00F44AB3" w:rsidP="00726024">
            <w:pPr>
              <w:ind w:left="-142" w:right="-193"/>
              <w:jc w:val="center"/>
            </w:pPr>
            <w:r w:rsidRPr="00522BE0">
              <w:rPr>
                <w:noProof/>
              </w:rPr>
              <w:drawing>
                <wp:inline distT="0" distB="0" distL="0" distR="0">
                  <wp:extent cx="2161309" cy="1728000"/>
                  <wp:effectExtent l="0" t="0" r="0" b="0"/>
                  <wp:docPr id="32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F44AB3" w:rsidRPr="00F32283" w:rsidTr="00726024">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Produkcijas realizācija, izmaiņas % pret iepriekšējā gada atbilstošo periodu</w:t>
            </w:r>
          </w:p>
        </w:tc>
        <w:tc>
          <w:tcPr>
            <w:tcW w:w="1632" w:type="pct"/>
            <w:vAlign w:val="bottom"/>
          </w:tcPr>
          <w:p w:rsidR="00F44AB3" w:rsidRPr="00F32283" w:rsidRDefault="00F44AB3" w:rsidP="00726024">
            <w:pPr>
              <w:spacing w:before="40" w:after="40"/>
              <w:ind w:left="142"/>
              <w:jc w:val="center"/>
              <w:rPr>
                <w:sz w:val="18"/>
                <w:szCs w:val="18"/>
              </w:rPr>
            </w:pPr>
            <w:r w:rsidRPr="00F32283">
              <w:rPr>
                <w:sz w:val="18"/>
                <w:szCs w:val="18"/>
              </w:rPr>
              <w:t>Ražotāju cenu izmaiņas, 2007.gada decembris =100</w:t>
            </w:r>
          </w:p>
        </w:tc>
        <w:tc>
          <w:tcPr>
            <w:tcW w:w="1736" w:type="pct"/>
            <w:vAlign w:val="bottom"/>
          </w:tcPr>
          <w:p w:rsidR="00F44AB3" w:rsidRPr="00F32283" w:rsidRDefault="00547173" w:rsidP="00726024">
            <w:pPr>
              <w:spacing w:before="40" w:after="40"/>
              <w:ind w:left="142"/>
              <w:jc w:val="center"/>
              <w:rPr>
                <w:sz w:val="18"/>
                <w:szCs w:val="18"/>
              </w:rPr>
            </w:pPr>
            <w:r>
              <w:rPr>
                <w:sz w:val="18"/>
                <w:szCs w:val="18"/>
              </w:rPr>
              <w:t>Nozares konfidences rādītājs</w:t>
            </w:r>
          </w:p>
        </w:tc>
      </w:tr>
      <w:tr w:rsidR="00F44AB3" w:rsidTr="00726024">
        <w:tc>
          <w:tcPr>
            <w:tcW w:w="1632" w:type="pct"/>
            <w:vAlign w:val="bottom"/>
          </w:tcPr>
          <w:p w:rsidR="00F44AB3" w:rsidRDefault="00F44AB3" w:rsidP="00726024">
            <w:pPr>
              <w:ind w:left="-142" w:right="-192"/>
              <w:jc w:val="center"/>
            </w:pPr>
            <w:r w:rsidRPr="00372C02">
              <w:rPr>
                <w:noProof/>
              </w:rPr>
              <w:drawing>
                <wp:inline distT="0" distB="0" distL="0" distR="0">
                  <wp:extent cx="2078182" cy="1728000"/>
                  <wp:effectExtent l="0" t="0" r="0" b="0"/>
                  <wp:docPr id="32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1632" w:type="pct"/>
            <w:vAlign w:val="bottom"/>
          </w:tcPr>
          <w:p w:rsidR="00F44AB3" w:rsidRDefault="00F44AB3" w:rsidP="00726024">
            <w:pPr>
              <w:ind w:left="-142" w:right="-192"/>
              <w:jc w:val="center"/>
            </w:pPr>
            <w:r w:rsidRPr="00BB3A4B">
              <w:rPr>
                <w:noProof/>
              </w:rPr>
              <w:drawing>
                <wp:inline distT="0" distB="0" distL="0" distR="0">
                  <wp:extent cx="2082883" cy="1728000"/>
                  <wp:effectExtent l="19050" t="0" r="0" b="0"/>
                  <wp:docPr id="3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1736" w:type="pct"/>
            <w:vAlign w:val="bottom"/>
          </w:tcPr>
          <w:p w:rsidR="00F44AB3" w:rsidRDefault="00547173" w:rsidP="00726024">
            <w:pPr>
              <w:ind w:left="-142" w:right="-192"/>
              <w:jc w:val="center"/>
            </w:pPr>
            <w:r w:rsidRPr="00547173">
              <w:rPr>
                <w:noProof/>
              </w:rPr>
              <w:drawing>
                <wp:inline distT="0" distB="0" distL="0" distR="0">
                  <wp:extent cx="2078181" cy="1728000"/>
                  <wp:effectExtent l="0" t="0" r="0" b="0"/>
                  <wp:docPr id="10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5D4E6F" w:rsidRDefault="005D4E6F">
      <w:pPr>
        <w:rPr>
          <w:rFonts w:eastAsiaTheme="majorEastAsia" w:cstheme="majorBidi"/>
          <w:b/>
          <w:bCs/>
          <w:sz w:val="32"/>
        </w:rPr>
      </w:pPr>
      <w:r>
        <w:br w:type="page"/>
      </w:r>
    </w:p>
    <w:p w:rsidR="00BE41C7" w:rsidRPr="009F6E8E" w:rsidRDefault="00CD3CE6" w:rsidP="00BE41C7">
      <w:pPr>
        <w:pStyle w:val="Heading1"/>
      </w:pPr>
      <w:bookmarkStart w:id="217" w:name="_Toc305069152"/>
      <w:bookmarkStart w:id="218" w:name="_Toc305421433"/>
      <w:r>
        <w:lastRenderedPageBreak/>
        <w:t>3</w:t>
      </w:r>
      <w:r w:rsidR="00BE41C7" w:rsidRPr="009F6E8E">
        <w:t xml:space="preserve">. </w:t>
      </w:r>
      <w:bookmarkEnd w:id="209"/>
      <w:r w:rsidR="00BE41C7" w:rsidRPr="009F6E8E">
        <w:t>Pieprasījums</w:t>
      </w:r>
      <w:bookmarkEnd w:id="210"/>
      <w:bookmarkEnd w:id="211"/>
      <w:bookmarkEnd w:id="212"/>
      <w:bookmarkEnd w:id="213"/>
      <w:bookmarkEnd w:id="214"/>
      <w:bookmarkEnd w:id="215"/>
      <w:bookmarkEnd w:id="216"/>
      <w:bookmarkEnd w:id="217"/>
      <w:bookmarkEnd w:id="218"/>
    </w:p>
    <w:p w:rsidR="00BE41C7" w:rsidRDefault="00BE41C7" w:rsidP="00BE41C7">
      <w:pPr>
        <w:ind w:right="283" w:firstLine="567"/>
        <w:jc w:val="both"/>
        <w:rPr>
          <w:sz w:val="28"/>
        </w:rPr>
      </w:pPr>
    </w:p>
    <w:p w:rsidR="000E2EB8" w:rsidRPr="006346EE" w:rsidRDefault="000E2EB8" w:rsidP="00CC480C">
      <w:pPr>
        <w:spacing w:after="60"/>
        <w:ind w:firstLine="425"/>
        <w:jc w:val="both"/>
        <w:rPr>
          <w:sz w:val="28"/>
        </w:rPr>
      </w:pPr>
      <w:bookmarkStart w:id="219" w:name="_Toc216077861"/>
      <w:bookmarkStart w:id="220" w:name="_Toc216079530"/>
      <w:bookmarkStart w:id="221" w:name="_Toc216079598"/>
      <w:bookmarkStart w:id="222" w:name="_Toc216079660"/>
      <w:bookmarkStart w:id="223" w:name="_Toc216079716"/>
      <w:bookmarkStart w:id="224" w:name="_Toc216079772"/>
      <w:bookmarkStart w:id="225" w:name="_Toc216079828"/>
      <w:r w:rsidRPr="006346EE">
        <w:rPr>
          <w:sz w:val="28"/>
        </w:rPr>
        <w:t xml:space="preserve">2011.gadā </w:t>
      </w:r>
      <w:r w:rsidR="00CC480C">
        <w:rPr>
          <w:sz w:val="28"/>
        </w:rPr>
        <w:t xml:space="preserve">turpina palielināties </w:t>
      </w:r>
      <w:r w:rsidRPr="00CC480C">
        <w:rPr>
          <w:b/>
          <w:sz w:val="28"/>
        </w:rPr>
        <w:t>iekšzemes pieprasījum</w:t>
      </w:r>
      <w:r w:rsidR="00CC480C" w:rsidRPr="00CC480C">
        <w:rPr>
          <w:b/>
          <w:sz w:val="28"/>
        </w:rPr>
        <w:t>s</w:t>
      </w:r>
      <w:r w:rsidRPr="006346EE">
        <w:rPr>
          <w:sz w:val="28"/>
        </w:rPr>
        <w:t>. 2011.gada 2.ceturksnī iekšzemes pieprasījums pieauga par 2,3%</w:t>
      </w:r>
      <w:r w:rsidR="00CC480C">
        <w:rPr>
          <w:sz w:val="28"/>
        </w:rPr>
        <w:t xml:space="preserve"> </w:t>
      </w:r>
      <w:r w:rsidR="00CC480C" w:rsidRPr="006346EE">
        <w:rPr>
          <w:sz w:val="28"/>
        </w:rPr>
        <w:t>(pēc s</w:t>
      </w:r>
      <w:r w:rsidR="00CC480C">
        <w:rPr>
          <w:sz w:val="28"/>
        </w:rPr>
        <w:t>ezonāli izlīdzinātajiem datiem)</w:t>
      </w:r>
      <w:r w:rsidRPr="006346EE">
        <w:rPr>
          <w:sz w:val="28"/>
        </w:rPr>
        <w:t xml:space="preserve">. Salīdzinot ar iekšzemes pieprasījuma </w:t>
      </w:r>
      <w:r w:rsidR="00CC480C" w:rsidRPr="006346EE">
        <w:rPr>
          <w:sz w:val="28"/>
        </w:rPr>
        <w:t xml:space="preserve">zemāko </w:t>
      </w:r>
      <w:r w:rsidRPr="006346EE">
        <w:rPr>
          <w:sz w:val="28"/>
        </w:rPr>
        <w:t xml:space="preserve">līmeni krīzes laikā (2009.gada 4.ceturksni), tas ir palielinājies par 11,9%. </w:t>
      </w:r>
      <w:r w:rsidRPr="00CC480C">
        <w:rPr>
          <w:sz w:val="28"/>
        </w:rPr>
        <w:t>Iekšzemes pieprasījuma</w:t>
      </w:r>
      <w:r w:rsidRPr="006346EE">
        <w:rPr>
          <w:sz w:val="28"/>
        </w:rPr>
        <w:t xml:space="preserve"> pieaugum</w:t>
      </w:r>
      <w:r w:rsidR="00CC480C">
        <w:rPr>
          <w:sz w:val="28"/>
        </w:rPr>
        <w:t>s</w:t>
      </w:r>
      <w:r w:rsidRPr="006346EE">
        <w:rPr>
          <w:sz w:val="28"/>
        </w:rPr>
        <w:t xml:space="preserve"> 2011.gada 1.pusgadā lielā mērā saistīts ar investīciju un privātā patēriņa p</w:t>
      </w:r>
      <w:r w:rsidR="001534EF">
        <w:rPr>
          <w:sz w:val="28"/>
        </w:rPr>
        <w:t>alielinājumu</w:t>
      </w:r>
      <w:r w:rsidRPr="006346EE">
        <w:rPr>
          <w:sz w:val="28"/>
        </w:rPr>
        <w:t xml:space="preserve">. </w:t>
      </w:r>
    </w:p>
    <w:p w:rsidR="000E2EB8" w:rsidRPr="006346EE" w:rsidRDefault="000E2EB8" w:rsidP="00CC480C">
      <w:pPr>
        <w:spacing w:after="60"/>
        <w:ind w:firstLine="284"/>
        <w:jc w:val="both"/>
        <w:rPr>
          <w:sz w:val="28"/>
        </w:rPr>
      </w:pPr>
      <w:r w:rsidRPr="006346EE">
        <w:rPr>
          <w:sz w:val="28"/>
        </w:rPr>
        <w:t>Kopš 2011.gada sākuma turpina palielināties privātais patēriņš, ko nosaka situācijas uzlabošanās darba tirgū – pieaug nodarbinātība un darba samaksa. 2011.gada 2.</w:t>
      </w:r>
      <w:r w:rsidR="005D599D">
        <w:rPr>
          <w:sz w:val="28"/>
        </w:rPr>
        <w:t xml:space="preserve">ceturkšņa laikā </w:t>
      </w:r>
      <w:r w:rsidRPr="006346EE">
        <w:rPr>
          <w:sz w:val="28"/>
        </w:rPr>
        <w:t xml:space="preserve">privātais patēriņš </w:t>
      </w:r>
      <w:r w:rsidRPr="006346EE">
        <w:rPr>
          <w:rFonts w:eastAsia="Times New Roman"/>
          <w:sz w:val="28"/>
          <w:lang w:eastAsia="lv-LV"/>
        </w:rPr>
        <w:t>pieauga par 0,4</w:t>
      </w:r>
      <w:r w:rsidRPr="006346EE">
        <w:rPr>
          <w:sz w:val="28"/>
        </w:rPr>
        <w:t xml:space="preserve">% (pēc sezonāli izlīdzinātiem datiem) un bija par 4,4% lielāks nekā 2010.gada 2.ceturksnī. </w:t>
      </w:r>
      <w:r w:rsidR="00EF7A63">
        <w:rPr>
          <w:sz w:val="28"/>
        </w:rPr>
        <w:t>Tomēr</w:t>
      </w:r>
      <w:r w:rsidRPr="006346EE">
        <w:rPr>
          <w:sz w:val="28"/>
        </w:rPr>
        <w:t xml:space="preserve"> privātā patēriņa atjaunošanās noriet samērā lēni</w:t>
      </w:r>
      <w:r w:rsidR="00EF7A63">
        <w:rPr>
          <w:sz w:val="28"/>
        </w:rPr>
        <w:t xml:space="preserve">. </w:t>
      </w:r>
      <w:r w:rsidRPr="006346EE">
        <w:rPr>
          <w:sz w:val="28"/>
        </w:rPr>
        <w:t>2011.gada 2.ceturksnī privātais patēriņš bija</w:t>
      </w:r>
      <w:r w:rsidR="00EF7A63">
        <w:rPr>
          <w:sz w:val="28"/>
        </w:rPr>
        <w:t xml:space="preserve"> tikai</w:t>
      </w:r>
      <w:r w:rsidRPr="006346EE">
        <w:rPr>
          <w:sz w:val="28"/>
        </w:rPr>
        <w:t xml:space="preserve"> 75% no 2008.gada</w:t>
      </w:r>
      <w:r w:rsidR="00EF7A63">
        <w:rPr>
          <w:sz w:val="28"/>
        </w:rPr>
        <w:t xml:space="preserve"> 1.ceturkšņa līmeņa</w:t>
      </w:r>
      <w:r w:rsidRPr="006346EE">
        <w:rPr>
          <w:sz w:val="28"/>
        </w:rPr>
        <w:t xml:space="preserve">, kad </w:t>
      </w:r>
      <w:r w:rsidR="00EF7A63">
        <w:rPr>
          <w:sz w:val="28"/>
        </w:rPr>
        <w:t>aiz</w:t>
      </w:r>
      <w:r w:rsidRPr="006346EE">
        <w:rPr>
          <w:sz w:val="28"/>
        </w:rPr>
        <w:t xml:space="preserve">sākās tā samazinājums. Privātā patēriņa straujāku atjaunošanos ierobežo liels mājsaimniecību parādu slogs, augošās cenas, īpaši pārtikai un degvielai, kā arī pirktspēju mazinošā nodokļu likmju palielināšana. </w:t>
      </w:r>
    </w:p>
    <w:p w:rsidR="000E2EB8" w:rsidRPr="006346EE" w:rsidRDefault="000E2EB8" w:rsidP="00CC480C">
      <w:pPr>
        <w:spacing w:after="60"/>
        <w:ind w:firstLine="284"/>
        <w:jc w:val="both"/>
        <w:rPr>
          <w:sz w:val="28"/>
        </w:rPr>
      </w:pPr>
      <w:r w:rsidRPr="006346EE">
        <w:rPr>
          <w:sz w:val="28"/>
        </w:rPr>
        <w:t xml:space="preserve">Valsts patēriņa apjomi ir saistīti ar valsts budžeta konsolidācijas pasākumu īstenošanu. Tāpēc arī </w:t>
      </w:r>
      <w:r w:rsidR="00EF7A63">
        <w:rPr>
          <w:sz w:val="28"/>
        </w:rPr>
        <w:t xml:space="preserve">krīzes laikā </w:t>
      </w:r>
      <w:r w:rsidRPr="006346EE">
        <w:rPr>
          <w:sz w:val="28"/>
        </w:rPr>
        <w:t>valsts patēriņš samazinā</w:t>
      </w:r>
      <w:r w:rsidR="00EF7A63">
        <w:rPr>
          <w:sz w:val="28"/>
        </w:rPr>
        <w:t>jās</w:t>
      </w:r>
      <w:r w:rsidRPr="006346EE">
        <w:rPr>
          <w:sz w:val="28"/>
        </w:rPr>
        <w:t xml:space="preserve"> un tā īpatsvars IKP struktūrā </w:t>
      </w:r>
      <w:r w:rsidR="00EF7A63" w:rsidRPr="006346EE">
        <w:rPr>
          <w:sz w:val="28"/>
        </w:rPr>
        <w:t xml:space="preserve">2010.gadā </w:t>
      </w:r>
      <w:r w:rsidR="00EF7A63">
        <w:rPr>
          <w:sz w:val="28"/>
        </w:rPr>
        <w:t>bija 17,2% no IKP. 2011.gadā</w:t>
      </w:r>
      <w:r w:rsidRPr="006346EE">
        <w:rPr>
          <w:sz w:val="28"/>
        </w:rPr>
        <w:t xml:space="preserve"> sabiedrisko pakalpojumu apjoms </w:t>
      </w:r>
      <w:r w:rsidR="00DB45A3">
        <w:rPr>
          <w:sz w:val="28"/>
        </w:rPr>
        <w:t xml:space="preserve">nedaudz </w:t>
      </w:r>
      <w:r w:rsidRPr="006346EE">
        <w:rPr>
          <w:sz w:val="28"/>
        </w:rPr>
        <w:t>palielinās – 2011.gada 1. un 2.ceturks</w:t>
      </w:r>
      <w:r w:rsidR="00F115C7">
        <w:rPr>
          <w:sz w:val="28"/>
        </w:rPr>
        <w:t>n</w:t>
      </w:r>
      <w:r w:rsidRPr="006346EE">
        <w:rPr>
          <w:sz w:val="28"/>
        </w:rPr>
        <w:t>ī tie bija tikai attiecīgi par 0,6% un 1,3% lielāki nekā gadu iepriekš.</w:t>
      </w:r>
    </w:p>
    <w:p w:rsidR="000E2EB8" w:rsidRPr="006346EE" w:rsidRDefault="000E2EB8" w:rsidP="00CC480C">
      <w:pPr>
        <w:spacing w:after="60"/>
        <w:ind w:firstLine="425"/>
        <w:jc w:val="both"/>
        <w:rPr>
          <w:sz w:val="28"/>
        </w:rPr>
      </w:pPr>
      <w:r w:rsidRPr="006346EE">
        <w:rPr>
          <w:sz w:val="28"/>
          <w:lang w:eastAsia="lv-LV"/>
        </w:rPr>
        <w:t>Investīciju aktivitātes Latvijā kopš 2010.gada beigām pakāpeniski pieaug. 2011.gada 1. pusgadā investīciju apjomi Latvijas tautsaimniecī</w:t>
      </w:r>
      <w:r w:rsidR="00F115C7">
        <w:rPr>
          <w:sz w:val="28"/>
          <w:lang w:eastAsia="lv-LV"/>
        </w:rPr>
        <w:t>bā bija gandrīz par 25% lielāki</w:t>
      </w:r>
      <w:r w:rsidRPr="006346EE">
        <w:rPr>
          <w:sz w:val="28"/>
          <w:lang w:eastAsia="lv-LV"/>
        </w:rPr>
        <w:t xml:space="preserve"> nekā 2010.gada atbilstošajā periodā. Lielā mērā to ietekmēja ieguldījumi tādās nozarēs, kā enerģētika, kokapstrāde, kā arī transporta un uzglabāšanas nozarē. Neraugoties uz būtisko pieaugumu 1.pusgadā, investīcijas joprojām ir ļoti zemā līmenī, pie tam investīciju apjomu ceturkšņu dinamika ir </w:t>
      </w:r>
      <w:r w:rsidR="00EF7A63">
        <w:rPr>
          <w:sz w:val="28"/>
          <w:lang w:eastAsia="lv-LV"/>
        </w:rPr>
        <w:t>ļoti</w:t>
      </w:r>
      <w:r w:rsidRPr="006346EE">
        <w:rPr>
          <w:sz w:val="28"/>
          <w:lang w:eastAsia="lv-LV"/>
        </w:rPr>
        <w:t xml:space="preserve"> svārstīga. </w:t>
      </w:r>
      <w:r w:rsidRPr="006346EE">
        <w:rPr>
          <w:sz w:val="28"/>
        </w:rPr>
        <w:t xml:space="preserve">Kā nozīmīgāko investīcijas ierobežojošo faktoru Latvijas uzņēmēji </w:t>
      </w:r>
      <w:r w:rsidR="00EF7A63">
        <w:rPr>
          <w:sz w:val="28"/>
        </w:rPr>
        <w:t xml:space="preserve">joprojām </w:t>
      </w:r>
      <w:r w:rsidRPr="006346EE">
        <w:rPr>
          <w:sz w:val="28"/>
        </w:rPr>
        <w:t>atzīmē zemo piepr</w:t>
      </w:r>
      <w:r w:rsidR="003A4B34">
        <w:rPr>
          <w:sz w:val="28"/>
        </w:rPr>
        <w:t>asījumu un finansiālās grūtības, lai gan š</w:t>
      </w:r>
      <w:r w:rsidR="00EF7A63">
        <w:rPr>
          <w:sz w:val="28"/>
        </w:rPr>
        <w:t>o</w:t>
      </w:r>
      <w:r w:rsidRPr="006346EE">
        <w:rPr>
          <w:sz w:val="28"/>
        </w:rPr>
        <w:t xml:space="preserve"> faktoru ietekme nedaudz </w:t>
      </w:r>
      <w:r w:rsidR="00EF7A63">
        <w:rPr>
          <w:sz w:val="28"/>
        </w:rPr>
        <w:t>mazin</w:t>
      </w:r>
      <w:r w:rsidRPr="006346EE">
        <w:rPr>
          <w:sz w:val="28"/>
        </w:rPr>
        <w:t>ās</w:t>
      </w:r>
      <w:r w:rsidR="003A4B34">
        <w:rPr>
          <w:sz w:val="28"/>
        </w:rPr>
        <w:t xml:space="preserve">. </w:t>
      </w:r>
      <w:r w:rsidR="00DB45A3">
        <w:rPr>
          <w:sz w:val="28"/>
        </w:rPr>
        <w:t>I</w:t>
      </w:r>
      <w:r w:rsidR="003A4B34">
        <w:rPr>
          <w:sz w:val="28"/>
        </w:rPr>
        <w:t xml:space="preserve">nvestīciju straujāku kāpumu ierobežo </w:t>
      </w:r>
      <w:r w:rsidRPr="006346EE">
        <w:rPr>
          <w:sz w:val="28"/>
        </w:rPr>
        <w:t xml:space="preserve">privātā sektora </w:t>
      </w:r>
      <w:r w:rsidR="003A4B34">
        <w:rPr>
          <w:sz w:val="28"/>
        </w:rPr>
        <w:t xml:space="preserve">lēnā </w:t>
      </w:r>
      <w:r w:rsidRPr="006346EE">
        <w:rPr>
          <w:sz w:val="28"/>
        </w:rPr>
        <w:t>kreditēšanas atjaunošanās</w:t>
      </w:r>
      <w:r w:rsidR="003A4B34">
        <w:rPr>
          <w:sz w:val="28"/>
        </w:rPr>
        <w:t xml:space="preserve"> un nepietiekamie</w:t>
      </w:r>
      <w:r w:rsidRPr="006346EE">
        <w:rPr>
          <w:sz w:val="28"/>
        </w:rPr>
        <w:t xml:space="preserve"> </w:t>
      </w:r>
      <w:r w:rsidR="003A4B34">
        <w:rPr>
          <w:sz w:val="28"/>
        </w:rPr>
        <w:t xml:space="preserve">pašu līdzekļi </w:t>
      </w:r>
      <w:r w:rsidRPr="006346EE">
        <w:rPr>
          <w:sz w:val="28"/>
        </w:rPr>
        <w:t>investīciju finan</w:t>
      </w:r>
      <w:r w:rsidR="003A4B34">
        <w:rPr>
          <w:sz w:val="28"/>
        </w:rPr>
        <w:t>sēšanai</w:t>
      </w:r>
      <w:r w:rsidRPr="006346EE">
        <w:rPr>
          <w:sz w:val="28"/>
        </w:rPr>
        <w:t>. Kopš 2010.gada sākuma pakāpeniski pieaug jaudu noslodzes līmenis apstrādes rūpniecībā. 2011.gada septembrī tas sasniedza 6</w:t>
      </w:r>
      <w:r w:rsidR="003A4B34">
        <w:rPr>
          <w:sz w:val="28"/>
        </w:rPr>
        <w:t>9</w:t>
      </w:r>
      <w:r w:rsidRPr="006346EE">
        <w:rPr>
          <w:sz w:val="28"/>
        </w:rPr>
        <w:t>,</w:t>
      </w:r>
      <w:r w:rsidR="003A4B34">
        <w:rPr>
          <w:sz w:val="28"/>
        </w:rPr>
        <w:t>4</w:t>
      </w:r>
      <w:r w:rsidRPr="006346EE">
        <w:rPr>
          <w:sz w:val="28"/>
        </w:rPr>
        <w:t>%, kas liecina, ka esošais ražošanas apjoms tuvinās potenciāl</w:t>
      </w:r>
      <w:r w:rsidR="003A4B34">
        <w:rPr>
          <w:sz w:val="28"/>
        </w:rPr>
        <w:t>a</w:t>
      </w:r>
      <w:r w:rsidRPr="006346EE">
        <w:rPr>
          <w:sz w:val="28"/>
        </w:rPr>
        <w:t>m un kopējā pieprasījuma pieaugums, kā arī uzņēmēju pozitīvais nākotnes redzējums var s</w:t>
      </w:r>
      <w:r w:rsidR="003A4B34">
        <w:rPr>
          <w:sz w:val="28"/>
        </w:rPr>
        <w:t xml:space="preserve">timulēt </w:t>
      </w:r>
      <w:r w:rsidRPr="006346EE">
        <w:rPr>
          <w:sz w:val="28"/>
        </w:rPr>
        <w:t>investīciju pieaugumu.</w:t>
      </w:r>
    </w:p>
    <w:p w:rsidR="00D865BC" w:rsidRDefault="00D865BC" w:rsidP="00CC480C">
      <w:pPr>
        <w:spacing w:after="60"/>
        <w:ind w:firstLine="425"/>
        <w:jc w:val="both"/>
        <w:rPr>
          <w:sz w:val="28"/>
        </w:rPr>
      </w:pPr>
    </w:p>
    <w:p w:rsidR="000E2EB8" w:rsidRPr="00D838A2" w:rsidRDefault="00D865BC" w:rsidP="00CC480C">
      <w:pPr>
        <w:spacing w:after="60"/>
        <w:ind w:firstLine="425"/>
        <w:jc w:val="both"/>
        <w:rPr>
          <w:sz w:val="28"/>
        </w:rPr>
      </w:pPr>
      <w:r>
        <w:rPr>
          <w:sz w:val="28"/>
        </w:rPr>
        <w:t xml:space="preserve">Preču un pakalpojumu </w:t>
      </w:r>
      <w:r w:rsidRPr="001D062A">
        <w:rPr>
          <w:b/>
          <w:sz w:val="28"/>
        </w:rPr>
        <w:t>eksporta</w:t>
      </w:r>
      <w:r>
        <w:rPr>
          <w:sz w:val="28"/>
        </w:rPr>
        <w:t xml:space="preserve"> apjomi pieaug jau devīto ceturksni pēc kārtas. </w:t>
      </w:r>
      <w:r w:rsidR="000E2EB8" w:rsidRPr="00D838A2">
        <w:rPr>
          <w:sz w:val="28"/>
        </w:rPr>
        <w:t xml:space="preserve">2011.gada </w:t>
      </w:r>
      <w:r>
        <w:rPr>
          <w:sz w:val="28"/>
        </w:rPr>
        <w:t>2</w:t>
      </w:r>
      <w:r w:rsidR="000E2EB8">
        <w:rPr>
          <w:sz w:val="28"/>
        </w:rPr>
        <w:t>.</w:t>
      </w:r>
      <w:r w:rsidR="000E2EB8" w:rsidRPr="00D838A2">
        <w:rPr>
          <w:sz w:val="28"/>
        </w:rPr>
        <w:t xml:space="preserve">ceturksnī, salīdzinot ar iepriekšējo ceturksni, eksporta apjomi salīdzināmās cenās pieauga par </w:t>
      </w:r>
      <w:r w:rsidR="000E2EB8">
        <w:rPr>
          <w:sz w:val="28"/>
        </w:rPr>
        <w:t>3</w:t>
      </w:r>
      <w:r w:rsidR="000E2EB8" w:rsidRPr="00D838A2">
        <w:rPr>
          <w:sz w:val="28"/>
        </w:rPr>
        <w:t>,</w:t>
      </w:r>
      <w:r w:rsidR="000E2EB8">
        <w:rPr>
          <w:sz w:val="28"/>
        </w:rPr>
        <w:t>7</w:t>
      </w:r>
      <w:r w:rsidR="000E2EB8" w:rsidRPr="00D838A2">
        <w:rPr>
          <w:sz w:val="28"/>
        </w:rPr>
        <w:t>%</w:t>
      </w:r>
      <w:r w:rsidR="000E2EB8">
        <w:rPr>
          <w:sz w:val="28"/>
        </w:rPr>
        <w:t xml:space="preserve">, </w:t>
      </w:r>
      <w:r w:rsidR="000E2EB8" w:rsidRPr="00D838A2">
        <w:rPr>
          <w:sz w:val="28"/>
        </w:rPr>
        <w:t xml:space="preserve">(pēc sezonāli izlīdzinātiem datiem), bet, salīdzinot ar 2010.gada atbilstošo periodu, eksporta apjomi ir auguši par </w:t>
      </w:r>
      <w:r w:rsidR="000E2EB8">
        <w:rPr>
          <w:sz w:val="28"/>
        </w:rPr>
        <w:t>15</w:t>
      </w:r>
      <w:r>
        <w:rPr>
          <w:sz w:val="28"/>
        </w:rPr>
        <w:t> </w:t>
      </w:r>
      <w:r w:rsidR="000E2EB8" w:rsidRPr="00D838A2">
        <w:rPr>
          <w:sz w:val="28"/>
        </w:rPr>
        <w:t>procentiem.</w:t>
      </w:r>
    </w:p>
    <w:p w:rsidR="000E2EB8" w:rsidRPr="00D838A2" w:rsidRDefault="000E2EB8" w:rsidP="001D062A">
      <w:pPr>
        <w:spacing w:after="60"/>
        <w:ind w:firstLine="425"/>
        <w:jc w:val="both"/>
        <w:rPr>
          <w:sz w:val="28"/>
        </w:rPr>
      </w:pPr>
      <w:r w:rsidRPr="00D838A2">
        <w:rPr>
          <w:sz w:val="28"/>
        </w:rPr>
        <w:lastRenderedPageBreak/>
        <w:t>Eksport</w:t>
      </w:r>
      <w:r>
        <w:rPr>
          <w:sz w:val="28"/>
        </w:rPr>
        <w:t xml:space="preserve">s ir viens no svarīgākajiem </w:t>
      </w:r>
      <w:r w:rsidRPr="00D838A2">
        <w:rPr>
          <w:sz w:val="28"/>
        </w:rPr>
        <w:t>Latvijas tautsa</w:t>
      </w:r>
      <w:r>
        <w:rPr>
          <w:sz w:val="28"/>
        </w:rPr>
        <w:t>imniecības atveseļošanās procesa virzītājiem. E</w:t>
      </w:r>
      <w:r w:rsidRPr="00D838A2">
        <w:rPr>
          <w:sz w:val="28"/>
        </w:rPr>
        <w:t>ksporta pieaugumu nosaka ne tikai situācijas uzlabošanās ārvalstu tirgos un pieprasījuma pieaugums, bet arī Latvijas ražotāju preču konkurētspējas palielināšanās.</w:t>
      </w:r>
    </w:p>
    <w:p w:rsidR="00D865BC" w:rsidRPr="00D865BC" w:rsidRDefault="00D865BC" w:rsidP="001D062A">
      <w:pPr>
        <w:spacing w:after="60"/>
        <w:ind w:firstLine="425"/>
        <w:jc w:val="both"/>
        <w:rPr>
          <w:sz w:val="16"/>
          <w:szCs w:val="16"/>
        </w:rPr>
      </w:pPr>
    </w:p>
    <w:p w:rsidR="00D865BC" w:rsidRDefault="000E2EB8" w:rsidP="001D062A">
      <w:pPr>
        <w:spacing w:after="60"/>
        <w:ind w:firstLine="425"/>
        <w:jc w:val="both"/>
        <w:rPr>
          <w:sz w:val="28"/>
        </w:rPr>
      </w:pPr>
      <w:r w:rsidRPr="00D838A2">
        <w:rPr>
          <w:sz w:val="28"/>
        </w:rPr>
        <w:t xml:space="preserve">Gan eksporta apjomu palielināšanās (starppatēriņa preču pieprasījuma pieaugums apstrādes rūpniecībā), gan situācijas </w:t>
      </w:r>
      <w:r w:rsidR="00D865BC">
        <w:rPr>
          <w:sz w:val="28"/>
        </w:rPr>
        <w:t>uzlabo</w:t>
      </w:r>
      <w:r w:rsidRPr="00D838A2">
        <w:rPr>
          <w:sz w:val="28"/>
        </w:rPr>
        <w:t xml:space="preserve">šanās iekšējā tirgū </w:t>
      </w:r>
      <w:r w:rsidR="00D865BC">
        <w:rPr>
          <w:sz w:val="28"/>
        </w:rPr>
        <w:t>(privātā patēriņa un investīciju palielinājums</w:t>
      </w:r>
      <w:r w:rsidRPr="00D838A2">
        <w:rPr>
          <w:sz w:val="28"/>
        </w:rPr>
        <w:t xml:space="preserve">) veicina </w:t>
      </w:r>
      <w:r w:rsidRPr="00D838A2">
        <w:rPr>
          <w:b/>
          <w:sz w:val="28"/>
        </w:rPr>
        <w:t>importa</w:t>
      </w:r>
      <w:r w:rsidRPr="00D838A2">
        <w:rPr>
          <w:sz w:val="28"/>
        </w:rPr>
        <w:t xml:space="preserve"> pieaugumu. 2011.gada </w:t>
      </w:r>
      <w:r w:rsidR="00D865BC">
        <w:rPr>
          <w:sz w:val="28"/>
        </w:rPr>
        <w:t>pirmajā pusē</w:t>
      </w:r>
      <w:r w:rsidRPr="00D838A2">
        <w:rPr>
          <w:sz w:val="28"/>
        </w:rPr>
        <w:t xml:space="preserve"> importa pieauguma tempi apsteidza eksporta pieaugumu</w:t>
      </w:r>
      <w:r w:rsidR="00D865BC">
        <w:rPr>
          <w:sz w:val="28"/>
        </w:rPr>
        <w:t>. 2011.gada 2.ceturkšņa laikā preču un pakalpojumu imports pieauga par 4,3% (</w:t>
      </w:r>
      <w:r w:rsidR="00D865BC" w:rsidRPr="00D838A2">
        <w:rPr>
          <w:sz w:val="28"/>
        </w:rPr>
        <w:t>pēc sezonāli izlīdzinātiem datiem</w:t>
      </w:r>
      <w:r w:rsidR="00D865BC">
        <w:rPr>
          <w:sz w:val="28"/>
        </w:rPr>
        <w:t xml:space="preserve">) un par 22,1% pārsniedza 2010.gada 2.ceturkšņa līmeni. </w:t>
      </w:r>
    </w:p>
    <w:p w:rsidR="000E2EB8" w:rsidRDefault="000E2EB8" w:rsidP="001D062A">
      <w:pPr>
        <w:spacing w:after="60"/>
        <w:ind w:firstLine="425"/>
        <w:jc w:val="both"/>
        <w:rPr>
          <w:sz w:val="28"/>
        </w:rPr>
      </w:pPr>
      <w:r w:rsidRPr="00D838A2">
        <w:rPr>
          <w:sz w:val="28"/>
        </w:rPr>
        <w:t xml:space="preserve"> </w:t>
      </w:r>
      <w:r w:rsidR="00D865BC">
        <w:rPr>
          <w:sz w:val="28"/>
        </w:rPr>
        <w:t xml:space="preserve">Jāatzīmē, ka krīzes </w:t>
      </w:r>
      <w:r w:rsidR="00A101D3">
        <w:rPr>
          <w:sz w:val="28"/>
        </w:rPr>
        <w:t xml:space="preserve">ietekmē </w:t>
      </w:r>
      <w:r w:rsidRPr="00D838A2">
        <w:rPr>
          <w:sz w:val="28"/>
        </w:rPr>
        <w:t>Latvijas eksporta</w:t>
      </w:r>
      <w:r>
        <w:rPr>
          <w:sz w:val="28"/>
        </w:rPr>
        <w:t>-</w:t>
      </w:r>
      <w:r w:rsidRPr="00D838A2">
        <w:rPr>
          <w:sz w:val="28"/>
        </w:rPr>
        <w:t>importa bilance ir krietni u</w:t>
      </w:r>
      <w:r>
        <w:rPr>
          <w:sz w:val="28"/>
        </w:rPr>
        <w:t>zlabojusies. 2010.gadā eksporta</w:t>
      </w:r>
      <w:r w:rsidRPr="00D838A2">
        <w:rPr>
          <w:sz w:val="28"/>
        </w:rPr>
        <w:t>-importa saldo bija -</w:t>
      </w:r>
      <w:r>
        <w:rPr>
          <w:sz w:val="28"/>
        </w:rPr>
        <w:t>1</w:t>
      </w:r>
      <w:r w:rsidRPr="00D838A2">
        <w:rPr>
          <w:sz w:val="28"/>
        </w:rPr>
        <w:t>,</w:t>
      </w:r>
      <w:r>
        <w:rPr>
          <w:sz w:val="28"/>
        </w:rPr>
        <w:t>4</w:t>
      </w:r>
      <w:r w:rsidRPr="00D838A2">
        <w:rPr>
          <w:sz w:val="28"/>
        </w:rPr>
        <w:t>% no IKP. Salīdzinājumam st</w:t>
      </w:r>
      <w:r>
        <w:rPr>
          <w:sz w:val="28"/>
        </w:rPr>
        <w:t>raujās izaugsmes gados eksporta</w:t>
      </w:r>
      <w:r w:rsidRPr="00D838A2">
        <w:rPr>
          <w:sz w:val="28"/>
        </w:rPr>
        <w:t xml:space="preserve">-importa bilances negatīvais saldo bija 20% līmenī no IKP. </w:t>
      </w:r>
      <w:r>
        <w:rPr>
          <w:sz w:val="28"/>
        </w:rPr>
        <w:t xml:space="preserve">Sakarā ar importa straujāku, nekā eksporta apjomu pieaugumu </w:t>
      </w:r>
      <w:r w:rsidRPr="00D838A2">
        <w:rPr>
          <w:sz w:val="28"/>
        </w:rPr>
        <w:t>2011.gada 1.</w:t>
      </w:r>
      <w:r>
        <w:rPr>
          <w:sz w:val="28"/>
        </w:rPr>
        <w:t>pusgadā</w:t>
      </w:r>
      <w:r w:rsidRPr="00D838A2">
        <w:rPr>
          <w:sz w:val="28"/>
        </w:rPr>
        <w:t xml:space="preserve"> eksporta-importa </w:t>
      </w:r>
      <w:r>
        <w:rPr>
          <w:sz w:val="28"/>
        </w:rPr>
        <w:t xml:space="preserve">negatīvais </w:t>
      </w:r>
      <w:r w:rsidRPr="00D838A2">
        <w:rPr>
          <w:sz w:val="28"/>
        </w:rPr>
        <w:t>saldo bija -1,</w:t>
      </w:r>
      <w:r>
        <w:rPr>
          <w:sz w:val="28"/>
        </w:rPr>
        <w:t>8</w:t>
      </w:r>
      <w:r w:rsidRPr="00D838A2">
        <w:rPr>
          <w:sz w:val="28"/>
        </w:rPr>
        <w:t>%</w:t>
      </w:r>
      <w:r w:rsidR="00A101D3">
        <w:rPr>
          <w:sz w:val="28"/>
        </w:rPr>
        <w:t xml:space="preserve"> no IKP</w:t>
      </w:r>
      <w:r>
        <w:rPr>
          <w:sz w:val="28"/>
        </w:rPr>
        <w:t>.</w:t>
      </w:r>
    </w:p>
    <w:p w:rsidR="000E2EB8" w:rsidRDefault="000E2EB8" w:rsidP="001D062A">
      <w:pPr>
        <w:ind w:firstLine="425"/>
        <w:jc w:val="both"/>
        <w:rPr>
          <w:sz w:val="28"/>
        </w:rPr>
      </w:pPr>
    </w:p>
    <w:p w:rsidR="000E2EB8" w:rsidRPr="00D838A2" w:rsidRDefault="000E2EB8" w:rsidP="001D062A">
      <w:pPr>
        <w:ind w:firstLine="425"/>
        <w:jc w:val="both"/>
        <w:rPr>
          <w:sz w:val="28"/>
        </w:rPr>
      </w:pPr>
      <w:r w:rsidRPr="00D838A2">
        <w:rPr>
          <w:sz w:val="28"/>
        </w:rPr>
        <w:t>Nodaļas turpinājumā ir atspoguļota statistiskā informācija par IKP komponentēm no izlietojuma puses, t.i., privātā un sabiedriskā patēriņa, bruto pamatkapitāla veidošanas, kā arī eksporta un importa dinamiku, struktūru un devumu iekšzemes kopproduktā.</w:t>
      </w:r>
    </w:p>
    <w:p w:rsidR="00006E30" w:rsidRDefault="00006E30" w:rsidP="001D062A">
      <w:pPr>
        <w:spacing w:after="40"/>
        <w:ind w:firstLine="425"/>
        <w:jc w:val="both"/>
        <w:rPr>
          <w:rFonts w:eastAsiaTheme="majorEastAsia" w:cstheme="majorBidi"/>
          <w:bCs/>
          <w:sz w:val="28"/>
          <w:szCs w:val="26"/>
        </w:rPr>
      </w:pPr>
      <w:r>
        <w:rPr>
          <w:b/>
        </w:rPr>
        <w:br w:type="page"/>
      </w:r>
    </w:p>
    <w:p w:rsidR="00006E30" w:rsidRDefault="00006E30" w:rsidP="00BE41C7">
      <w:pPr>
        <w:pStyle w:val="Heading2"/>
        <w:rPr>
          <w:b w:val="0"/>
        </w:rPr>
      </w:pPr>
    </w:p>
    <w:p w:rsidR="00BE41C7" w:rsidRDefault="00CD3CE6" w:rsidP="00BE41C7">
      <w:pPr>
        <w:pStyle w:val="Heading2"/>
      </w:pPr>
      <w:bookmarkStart w:id="226" w:name="_Toc305421434"/>
      <w:r>
        <w:rPr>
          <w:b w:val="0"/>
        </w:rPr>
        <w:t>3</w:t>
      </w:r>
      <w:r w:rsidR="00BE41C7" w:rsidRPr="009F6E8E">
        <w:rPr>
          <w:b w:val="0"/>
        </w:rPr>
        <w:t>.1.tabula.</w:t>
      </w:r>
      <w:r w:rsidR="00BE41C7" w:rsidRPr="009F6E8E">
        <w:t xml:space="preserve"> IKP no izlietojuma puses</w:t>
      </w:r>
      <w:bookmarkEnd w:id="219"/>
      <w:bookmarkEnd w:id="220"/>
      <w:bookmarkEnd w:id="221"/>
      <w:bookmarkEnd w:id="222"/>
      <w:bookmarkEnd w:id="223"/>
      <w:bookmarkEnd w:id="224"/>
      <w:bookmarkEnd w:id="225"/>
      <w:bookmarkEnd w:id="226"/>
    </w:p>
    <w:p w:rsidR="00BE41C7" w:rsidRDefault="00BE41C7" w:rsidP="00BE41C7"/>
    <w:tbl>
      <w:tblPr>
        <w:tblStyle w:val="LightShading2"/>
        <w:tblW w:w="4874" w:type="pct"/>
        <w:tblLook w:val="04A0"/>
      </w:tblPr>
      <w:tblGrid>
        <w:gridCol w:w="1912"/>
        <w:gridCol w:w="707"/>
        <w:gridCol w:w="691"/>
        <w:gridCol w:w="693"/>
        <w:gridCol w:w="363"/>
        <w:gridCol w:w="644"/>
        <w:gridCol w:w="647"/>
        <w:gridCol w:w="648"/>
        <w:gridCol w:w="648"/>
        <w:gridCol w:w="663"/>
        <w:gridCol w:w="9"/>
        <w:gridCol w:w="655"/>
        <w:gridCol w:w="11"/>
        <w:gridCol w:w="653"/>
        <w:gridCol w:w="663"/>
      </w:tblGrid>
      <w:tr w:rsidR="00CF4038" w:rsidRPr="009E43F2" w:rsidTr="00372FEC">
        <w:trPr>
          <w:cnfStyle w:val="100000000000"/>
        </w:trPr>
        <w:tc>
          <w:tcPr>
            <w:cnfStyle w:val="001000000000"/>
            <w:tcW w:w="4318" w:type="pct"/>
            <w:gridSpan w:val="12"/>
            <w:tcBorders>
              <w:top w:val="single" w:sz="4" w:space="0" w:color="FF0000"/>
              <w:bottom w:val="single" w:sz="4" w:space="0" w:color="FF0000"/>
            </w:tcBorders>
          </w:tcPr>
          <w:p w:rsidR="00CF4038" w:rsidRPr="00E75F96" w:rsidRDefault="00CF4038" w:rsidP="00A101D3">
            <w:pPr>
              <w:pStyle w:val="ListParagraph"/>
              <w:spacing w:before="40" w:after="40"/>
              <w:ind w:left="0"/>
              <w:contextualSpacing w:val="0"/>
              <w:rPr>
                <w:sz w:val="18"/>
                <w:szCs w:val="18"/>
              </w:rPr>
            </w:pPr>
            <w:r w:rsidRPr="00E75F96">
              <w:rPr>
                <w:color w:val="auto"/>
                <w:sz w:val="18"/>
                <w:szCs w:val="18"/>
              </w:rPr>
              <w:t xml:space="preserve">Pieauguma tempi, </w:t>
            </w:r>
            <w:r w:rsidRPr="00E75F96">
              <w:rPr>
                <w:b w:val="0"/>
                <w:color w:val="auto"/>
                <w:sz w:val="18"/>
                <w:szCs w:val="18"/>
              </w:rPr>
              <w:t>% pret iepriekšējā gada atbilstošo periodu</w:t>
            </w:r>
            <w:r>
              <w:rPr>
                <w:b w:val="0"/>
                <w:color w:val="auto"/>
                <w:sz w:val="18"/>
                <w:szCs w:val="18"/>
              </w:rPr>
              <w:t>, sezonāli neizlīdzināti dati</w:t>
            </w:r>
          </w:p>
        </w:tc>
        <w:tc>
          <w:tcPr>
            <w:tcW w:w="682" w:type="pct"/>
            <w:gridSpan w:val="3"/>
            <w:tcBorders>
              <w:top w:val="single" w:sz="4" w:space="0" w:color="FF0000"/>
              <w:bottom w:val="single" w:sz="4" w:space="0" w:color="FF0000"/>
            </w:tcBorders>
          </w:tcPr>
          <w:p w:rsidR="00CF4038" w:rsidRPr="00E75F96" w:rsidRDefault="00CF4038" w:rsidP="007377A4">
            <w:pPr>
              <w:pStyle w:val="ListParagraph"/>
              <w:spacing w:before="40" w:after="40"/>
              <w:ind w:left="0"/>
              <w:contextualSpacing w:val="0"/>
              <w:jc w:val="center"/>
              <w:cnfStyle w:val="100000000000"/>
              <w:rPr>
                <w:sz w:val="18"/>
                <w:szCs w:val="18"/>
              </w:rPr>
            </w:pPr>
          </w:p>
        </w:tc>
      </w:tr>
      <w:tr w:rsidR="000E09C7" w:rsidRPr="009E43F2" w:rsidTr="00372FEC">
        <w:trPr>
          <w:cnfStyle w:val="000000100000"/>
        </w:trPr>
        <w:tc>
          <w:tcPr>
            <w:cnfStyle w:val="001000000000"/>
            <w:tcW w:w="998" w:type="pct"/>
            <w:tcBorders>
              <w:top w:val="single" w:sz="4" w:space="0" w:color="FF0000"/>
            </w:tcBorders>
          </w:tcPr>
          <w:p w:rsidR="000E09C7" w:rsidRPr="009E43F2" w:rsidRDefault="000E09C7" w:rsidP="007377A4">
            <w:pPr>
              <w:pStyle w:val="ListParagraph"/>
              <w:spacing w:before="40" w:after="40"/>
              <w:ind w:left="0"/>
              <w:contextualSpacing w:val="0"/>
              <w:jc w:val="center"/>
              <w:rPr>
                <w:b w:val="0"/>
                <w:color w:val="auto"/>
                <w:sz w:val="18"/>
              </w:rPr>
            </w:pPr>
          </w:p>
        </w:tc>
        <w:tc>
          <w:tcPr>
            <w:tcW w:w="371" w:type="pct"/>
            <w:tcBorders>
              <w:top w:val="single" w:sz="4" w:space="0" w:color="FF0000"/>
            </w:tcBorders>
          </w:tcPr>
          <w:p w:rsidR="000E09C7" w:rsidRPr="009E43F2" w:rsidRDefault="000E09C7" w:rsidP="007377A4">
            <w:pPr>
              <w:pStyle w:val="ListParagraph"/>
              <w:spacing w:before="40" w:after="40"/>
              <w:ind w:left="0"/>
              <w:contextualSpacing w:val="0"/>
              <w:jc w:val="center"/>
              <w:cnfStyle w:val="000000100000"/>
              <w:rPr>
                <w:bCs/>
                <w:sz w:val="18"/>
              </w:rPr>
            </w:pPr>
          </w:p>
        </w:tc>
        <w:tc>
          <w:tcPr>
            <w:tcW w:w="363" w:type="pct"/>
            <w:tcBorders>
              <w:top w:val="single" w:sz="4" w:space="0" w:color="FF0000"/>
            </w:tcBorders>
          </w:tcPr>
          <w:p w:rsidR="000E09C7" w:rsidRPr="009E43F2" w:rsidRDefault="000E09C7"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2009</w:t>
            </w:r>
          </w:p>
        </w:tc>
        <w:tc>
          <w:tcPr>
            <w:tcW w:w="364" w:type="pct"/>
            <w:tcBorders>
              <w:top w:val="single" w:sz="4" w:space="0" w:color="FF0000"/>
            </w:tcBorders>
          </w:tcPr>
          <w:p w:rsidR="000E09C7" w:rsidRPr="009E43F2" w:rsidRDefault="000E09C7"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w:t>
            </w:r>
            <w:r>
              <w:rPr>
                <w:b/>
                <w:color w:val="auto"/>
                <w:sz w:val="18"/>
                <w:szCs w:val="20"/>
              </w:rPr>
              <w:t>10</w:t>
            </w:r>
          </w:p>
        </w:tc>
        <w:tc>
          <w:tcPr>
            <w:tcW w:w="192" w:type="pct"/>
            <w:tcBorders>
              <w:top w:val="single" w:sz="4" w:space="0" w:color="FF0000"/>
            </w:tcBorders>
          </w:tcPr>
          <w:p w:rsidR="000E09C7" w:rsidRPr="009E43F2" w:rsidRDefault="000E09C7" w:rsidP="007377A4">
            <w:pPr>
              <w:pStyle w:val="ListParagraph"/>
              <w:spacing w:before="40" w:after="40"/>
              <w:ind w:left="0"/>
              <w:contextualSpacing w:val="0"/>
              <w:jc w:val="center"/>
              <w:cnfStyle w:val="000000100000"/>
              <w:rPr>
                <w:b/>
                <w:color w:val="auto"/>
                <w:sz w:val="18"/>
                <w:szCs w:val="20"/>
              </w:rPr>
            </w:pPr>
          </w:p>
        </w:tc>
        <w:tc>
          <w:tcPr>
            <w:tcW w:w="338" w:type="pct"/>
            <w:tcBorders>
              <w:top w:val="single" w:sz="4" w:space="0" w:color="FF0000"/>
            </w:tcBorders>
          </w:tcPr>
          <w:p w:rsidR="000E09C7" w:rsidRPr="009E43F2" w:rsidRDefault="000E09C7" w:rsidP="007377A4">
            <w:pPr>
              <w:pStyle w:val="ListParagraph"/>
              <w:spacing w:before="40" w:after="40"/>
              <w:ind w:left="0"/>
              <w:contextualSpacing w:val="0"/>
              <w:cnfStyle w:val="000000100000"/>
              <w:rPr>
                <w:b/>
                <w:color w:val="auto"/>
                <w:sz w:val="18"/>
                <w:szCs w:val="20"/>
              </w:rPr>
            </w:pPr>
            <w:r w:rsidRPr="009E43F2">
              <w:rPr>
                <w:b/>
                <w:color w:val="auto"/>
                <w:sz w:val="18"/>
                <w:szCs w:val="20"/>
              </w:rPr>
              <w:t>2009</w:t>
            </w:r>
          </w:p>
        </w:tc>
        <w:tc>
          <w:tcPr>
            <w:tcW w:w="339" w:type="pct"/>
            <w:tcBorders>
              <w:top w:val="single" w:sz="4" w:space="0" w:color="FF0000"/>
            </w:tcBorders>
          </w:tcPr>
          <w:p w:rsidR="000E09C7" w:rsidRPr="009E43F2" w:rsidRDefault="000E09C7" w:rsidP="007377A4">
            <w:pPr>
              <w:pStyle w:val="ListParagraph"/>
              <w:spacing w:before="40" w:after="40"/>
              <w:ind w:left="0"/>
              <w:contextualSpacing w:val="0"/>
              <w:cnfStyle w:val="000000100000"/>
              <w:rPr>
                <w:b/>
                <w:sz w:val="18"/>
                <w:szCs w:val="20"/>
              </w:rPr>
            </w:pPr>
          </w:p>
        </w:tc>
        <w:tc>
          <w:tcPr>
            <w:tcW w:w="339" w:type="pct"/>
            <w:tcBorders>
              <w:top w:val="single" w:sz="4" w:space="0" w:color="FF0000"/>
            </w:tcBorders>
          </w:tcPr>
          <w:p w:rsidR="000E09C7" w:rsidRPr="009E43F2" w:rsidRDefault="00256EBC" w:rsidP="007377A4">
            <w:pPr>
              <w:pStyle w:val="ListParagraph"/>
              <w:spacing w:before="40" w:after="40"/>
              <w:ind w:left="0"/>
              <w:contextualSpacing w:val="0"/>
              <w:cnfStyle w:val="000000100000"/>
              <w:rPr>
                <w:b/>
                <w:sz w:val="18"/>
                <w:szCs w:val="20"/>
              </w:rPr>
            </w:pPr>
            <w:r w:rsidRPr="00726024">
              <w:rPr>
                <w:b/>
                <w:color w:val="auto"/>
                <w:sz w:val="18"/>
                <w:szCs w:val="20"/>
              </w:rPr>
              <w:t>2010</w:t>
            </w:r>
          </w:p>
        </w:tc>
        <w:tc>
          <w:tcPr>
            <w:tcW w:w="338" w:type="pct"/>
            <w:tcBorders>
              <w:top w:val="single" w:sz="4" w:space="0" w:color="FF0000"/>
            </w:tcBorders>
          </w:tcPr>
          <w:p w:rsidR="000E09C7" w:rsidRPr="009E43F2" w:rsidRDefault="000E09C7" w:rsidP="007377A4">
            <w:pPr>
              <w:pStyle w:val="ListParagraph"/>
              <w:spacing w:before="40" w:after="40"/>
              <w:ind w:left="0"/>
              <w:contextualSpacing w:val="0"/>
              <w:cnfStyle w:val="000000100000"/>
              <w:rPr>
                <w:b/>
                <w:sz w:val="18"/>
                <w:szCs w:val="20"/>
              </w:rPr>
            </w:pPr>
          </w:p>
        </w:tc>
        <w:tc>
          <w:tcPr>
            <w:tcW w:w="341" w:type="pct"/>
            <w:gridSpan w:val="2"/>
            <w:tcBorders>
              <w:top w:val="single" w:sz="4" w:space="0" w:color="FF0000"/>
              <w:bottom w:val="nil"/>
            </w:tcBorders>
          </w:tcPr>
          <w:p w:rsidR="000E09C7" w:rsidRPr="00726024" w:rsidRDefault="000E09C7" w:rsidP="007377A4">
            <w:pPr>
              <w:pStyle w:val="ListParagraph"/>
              <w:spacing w:before="40" w:after="40"/>
              <w:ind w:left="0"/>
              <w:contextualSpacing w:val="0"/>
              <w:cnfStyle w:val="000000100000"/>
              <w:rPr>
                <w:b/>
                <w:sz w:val="18"/>
                <w:szCs w:val="20"/>
              </w:rPr>
            </w:pPr>
          </w:p>
        </w:tc>
        <w:tc>
          <w:tcPr>
            <w:tcW w:w="340" w:type="pct"/>
            <w:gridSpan w:val="2"/>
            <w:tcBorders>
              <w:top w:val="single" w:sz="4" w:space="0" w:color="FF0000"/>
              <w:bottom w:val="nil"/>
            </w:tcBorders>
          </w:tcPr>
          <w:p w:rsidR="000E09C7" w:rsidRPr="00726024" w:rsidRDefault="000E09C7" w:rsidP="007377A4">
            <w:pPr>
              <w:pStyle w:val="ListParagraph"/>
              <w:spacing w:before="40" w:after="40"/>
              <w:ind w:left="0"/>
              <w:contextualSpacing w:val="0"/>
              <w:cnfStyle w:val="000000100000"/>
              <w:rPr>
                <w:b/>
                <w:sz w:val="18"/>
                <w:szCs w:val="20"/>
              </w:rPr>
            </w:pPr>
          </w:p>
        </w:tc>
        <w:tc>
          <w:tcPr>
            <w:tcW w:w="341" w:type="pct"/>
            <w:tcBorders>
              <w:top w:val="single" w:sz="4" w:space="0" w:color="FF0000"/>
              <w:bottom w:val="nil"/>
            </w:tcBorders>
          </w:tcPr>
          <w:p w:rsidR="000E09C7" w:rsidRPr="00726024" w:rsidRDefault="00256EBC" w:rsidP="007377A4">
            <w:pPr>
              <w:pStyle w:val="ListParagraph"/>
              <w:spacing w:before="40" w:after="40"/>
              <w:ind w:left="0"/>
              <w:contextualSpacing w:val="0"/>
              <w:cnfStyle w:val="000000100000"/>
              <w:rPr>
                <w:b/>
                <w:sz w:val="18"/>
                <w:szCs w:val="20"/>
              </w:rPr>
            </w:pPr>
            <w:r>
              <w:rPr>
                <w:b/>
                <w:sz w:val="18"/>
                <w:szCs w:val="20"/>
              </w:rPr>
              <w:t>2011</w:t>
            </w:r>
          </w:p>
        </w:tc>
        <w:tc>
          <w:tcPr>
            <w:tcW w:w="336" w:type="pct"/>
            <w:tcBorders>
              <w:top w:val="single" w:sz="4" w:space="0" w:color="FF0000"/>
            </w:tcBorders>
          </w:tcPr>
          <w:p w:rsidR="000E09C7" w:rsidRPr="00726024" w:rsidRDefault="000E09C7" w:rsidP="007377A4">
            <w:pPr>
              <w:pStyle w:val="ListParagraph"/>
              <w:spacing w:before="40" w:after="40"/>
              <w:ind w:left="0"/>
              <w:contextualSpacing w:val="0"/>
              <w:cnfStyle w:val="000000100000"/>
              <w:rPr>
                <w:b/>
                <w:sz w:val="18"/>
                <w:szCs w:val="20"/>
              </w:rPr>
            </w:pPr>
          </w:p>
        </w:tc>
      </w:tr>
      <w:tr w:rsidR="00256EBC" w:rsidRPr="009E43F2" w:rsidTr="00256EBC">
        <w:tc>
          <w:tcPr>
            <w:cnfStyle w:val="001000000000"/>
            <w:tcW w:w="998" w:type="pct"/>
          </w:tcPr>
          <w:p w:rsidR="00256EBC" w:rsidRPr="009E43F2" w:rsidRDefault="00256EBC" w:rsidP="007377A4">
            <w:pPr>
              <w:pStyle w:val="ListParagraph"/>
              <w:spacing w:before="40" w:after="40"/>
              <w:ind w:left="0"/>
              <w:contextualSpacing w:val="0"/>
              <w:jc w:val="center"/>
              <w:rPr>
                <w:b w:val="0"/>
                <w:color w:val="auto"/>
                <w:sz w:val="18"/>
              </w:rPr>
            </w:pPr>
          </w:p>
        </w:tc>
        <w:tc>
          <w:tcPr>
            <w:tcW w:w="371" w:type="pct"/>
          </w:tcPr>
          <w:p w:rsidR="00256EBC" w:rsidRPr="009E43F2" w:rsidRDefault="00256EBC" w:rsidP="007377A4">
            <w:pPr>
              <w:pStyle w:val="ListParagraph"/>
              <w:spacing w:before="40" w:after="40"/>
              <w:ind w:left="0"/>
              <w:contextualSpacing w:val="0"/>
              <w:jc w:val="center"/>
              <w:cnfStyle w:val="000000000000"/>
              <w:rPr>
                <w:bCs/>
                <w:sz w:val="18"/>
              </w:rPr>
            </w:pPr>
          </w:p>
        </w:tc>
        <w:tc>
          <w:tcPr>
            <w:tcW w:w="363"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364"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192"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338" w:type="pct"/>
          </w:tcPr>
          <w:p w:rsidR="00256EBC" w:rsidRPr="009E43F2" w:rsidRDefault="00256EBC" w:rsidP="00256EBC">
            <w:pPr>
              <w:spacing w:before="40" w:after="40"/>
              <w:jc w:val="center"/>
              <w:cnfStyle w:val="000000000000"/>
              <w:rPr>
                <w:b/>
                <w:color w:val="auto"/>
                <w:sz w:val="18"/>
                <w:szCs w:val="20"/>
              </w:rPr>
            </w:pPr>
            <w:r w:rsidRPr="009E43F2">
              <w:rPr>
                <w:b/>
                <w:color w:val="auto"/>
                <w:sz w:val="18"/>
                <w:szCs w:val="20"/>
              </w:rPr>
              <w:t>III</w:t>
            </w:r>
          </w:p>
        </w:tc>
        <w:tc>
          <w:tcPr>
            <w:tcW w:w="339" w:type="pct"/>
          </w:tcPr>
          <w:p w:rsidR="00256EBC" w:rsidRPr="009E43F2" w:rsidRDefault="00256EBC" w:rsidP="00256EBC">
            <w:pPr>
              <w:spacing w:before="40" w:after="40"/>
              <w:jc w:val="center"/>
              <w:cnfStyle w:val="000000000000"/>
              <w:rPr>
                <w:b/>
                <w:color w:val="auto"/>
                <w:sz w:val="18"/>
                <w:szCs w:val="20"/>
              </w:rPr>
            </w:pPr>
            <w:r w:rsidRPr="009E43F2">
              <w:rPr>
                <w:b/>
                <w:color w:val="auto"/>
                <w:sz w:val="18"/>
                <w:szCs w:val="20"/>
              </w:rPr>
              <w:t>IV</w:t>
            </w:r>
          </w:p>
        </w:tc>
        <w:tc>
          <w:tcPr>
            <w:tcW w:w="339" w:type="pct"/>
          </w:tcPr>
          <w:p w:rsidR="00256EBC" w:rsidRPr="00726024" w:rsidRDefault="00256EBC" w:rsidP="00256EBC">
            <w:pPr>
              <w:spacing w:before="40" w:after="40"/>
              <w:jc w:val="center"/>
              <w:cnfStyle w:val="000000000000"/>
              <w:rPr>
                <w:b/>
                <w:sz w:val="18"/>
                <w:szCs w:val="20"/>
              </w:rPr>
            </w:pPr>
            <w:r>
              <w:rPr>
                <w:b/>
                <w:sz w:val="18"/>
                <w:szCs w:val="20"/>
              </w:rPr>
              <w:t>I</w:t>
            </w:r>
          </w:p>
        </w:tc>
        <w:tc>
          <w:tcPr>
            <w:tcW w:w="338" w:type="pct"/>
          </w:tcPr>
          <w:p w:rsidR="00256EBC" w:rsidRPr="00726024" w:rsidRDefault="00256EBC" w:rsidP="00256EBC">
            <w:pPr>
              <w:spacing w:before="40" w:after="40"/>
              <w:jc w:val="center"/>
              <w:cnfStyle w:val="000000000000"/>
              <w:rPr>
                <w:b/>
                <w:color w:val="auto"/>
                <w:sz w:val="18"/>
                <w:szCs w:val="20"/>
              </w:rPr>
            </w:pPr>
            <w:r>
              <w:rPr>
                <w:b/>
                <w:color w:val="auto"/>
                <w:sz w:val="18"/>
                <w:szCs w:val="20"/>
              </w:rPr>
              <w:t>II</w:t>
            </w:r>
          </w:p>
        </w:tc>
        <w:tc>
          <w:tcPr>
            <w:tcW w:w="337" w:type="pct"/>
          </w:tcPr>
          <w:p w:rsidR="00256EBC" w:rsidRDefault="00256EBC" w:rsidP="00256EBC">
            <w:pPr>
              <w:spacing w:before="40" w:after="40"/>
              <w:jc w:val="center"/>
              <w:cnfStyle w:val="000000000000"/>
              <w:rPr>
                <w:b/>
                <w:sz w:val="18"/>
                <w:szCs w:val="20"/>
              </w:rPr>
            </w:pPr>
            <w:r>
              <w:rPr>
                <w:b/>
                <w:sz w:val="18"/>
                <w:szCs w:val="20"/>
              </w:rPr>
              <w:t>III</w:t>
            </w:r>
          </w:p>
        </w:tc>
        <w:tc>
          <w:tcPr>
            <w:tcW w:w="339" w:type="pct"/>
            <w:gridSpan w:val="2"/>
          </w:tcPr>
          <w:p w:rsidR="00256EBC" w:rsidRDefault="00256EBC" w:rsidP="00256EBC">
            <w:pPr>
              <w:spacing w:before="40" w:after="40"/>
              <w:jc w:val="center"/>
              <w:cnfStyle w:val="000000000000"/>
              <w:rPr>
                <w:b/>
                <w:sz w:val="18"/>
                <w:szCs w:val="20"/>
              </w:rPr>
            </w:pPr>
            <w:r>
              <w:rPr>
                <w:b/>
                <w:sz w:val="18"/>
                <w:szCs w:val="20"/>
              </w:rPr>
              <w:t>IV</w:t>
            </w:r>
          </w:p>
        </w:tc>
        <w:tc>
          <w:tcPr>
            <w:tcW w:w="346" w:type="pct"/>
            <w:gridSpan w:val="2"/>
            <w:tcBorders>
              <w:top w:val="nil"/>
              <w:bottom w:val="nil"/>
              <w:right w:val="nil"/>
            </w:tcBorders>
          </w:tcPr>
          <w:p w:rsidR="00256EBC" w:rsidRDefault="00256EBC" w:rsidP="00256EBC">
            <w:pPr>
              <w:spacing w:before="40" w:after="40"/>
              <w:jc w:val="center"/>
              <w:cnfStyle w:val="000000000000"/>
              <w:rPr>
                <w:b/>
                <w:sz w:val="18"/>
                <w:szCs w:val="20"/>
              </w:rPr>
            </w:pPr>
            <w:r>
              <w:rPr>
                <w:b/>
                <w:sz w:val="18"/>
                <w:szCs w:val="20"/>
              </w:rPr>
              <w:t>I</w:t>
            </w:r>
          </w:p>
        </w:tc>
        <w:tc>
          <w:tcPr>
            <w:tcW w:w="336" w:type="pct"/>
            <w:tcBorders>
              <w:left w:val="nil"/>
            </w:tcBorders>
          </w:tcPr>
          <w:p w:rsidR="00256EBC" w:rsidRDefault="00256EBC" w:rsidP="000E09C7">
            <w:pPr>
              <w:spacing w:before="40" w:after="40"/>
              <w:jc w:val="center"/>
              <w:cnfStyle w:val="000000000000"/>
              <w:rPr>
                <w:b/>
                <w:sz w:val="18"/>
                <w:szCs w:val="20"/>
              </w:rPr>
            </w:pPr>
            <w:r>
              <w:rPr>
                <w:b/>
                <w:sz w:val="18"/>
                <w:szCs w:val="20"/>
              </w:rPr>
              <w:t>II</w:t>
            </w:r>
          </w:p>
        </w:tc>
      </w:tr>
      <w:tr w:rsidR="00256EBC" w:rsidRPr="009E43F2" w:rsidTr="00256EBC">
        <w:trPr>
          <w:cnfStyle w:val="000000100000"/>
        </w:trPr>
        <w:tc>
          <w:tcPr>
            <w:cnfStyle w:val="001000000000"/>
            <w:tcW w:w="1369"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Privātais patēriņš</w:t>
            </w:r>
          </w:p>
        </w:tc>
        <w:tc>
          <w:tcPr>
            <w:tcW w:w="363" w:type="pct"/>
            <w:vAlign w:val="bottom"/>
          </w:tcPr>
          <w:p w:rsidR="00256EBC" w:rsidRPr="00117663" w:rsidRDefault="00256EBC" w:rsidP="0089464A">
            <w:pPr>
              <w:tabs>
                <w:tab w:val="decimal" w:pos="296"/>
              </w:tabs>
              <w:spacing w:before="40" w:after="40"/>
              <w:jc w:val="center"/>
              <w:cnfStyle w:val="000000100000"/>
              <w:rPr>
                <w:color w:val="auto"/>
                <w:sz w:val="18"/>
                <w:szCs w:val="18"/>
              </w:rPr>
            </w:pPr>
            <w:r w:rsidRPr="00117663">
              <w:rPr>
                <w:color w:val="auto"/>
                <w:sz w:val="18"/>
                <w:szCs w:val="18"/>
              </w:rPr>
              <w:t>-2</w:t>
            </w:r>
            <w:r>
              <w:rPr>
                <w:color w:val="auto"/>
                <w:sz w:val="18"/>
                <w:szCs w:val="18"/>
              </w:rPr>
              <w:t>2</w:t>
            </w:r>
            <w:r w:rsidRPr="00117663">
              <w:rPr>
                <w:color w:val="auto"/>
                <w:sz w:val="18"/>
                <w:szCs w:val="18"/>
              </w:rPr>
              <w:t>,</w:t>
            </w:r>
            <w:r>
              <w:rPr>
                <w:color w:val="auto"/>
                <w:sz w:val="18"/>
                <w:szCs w:val="18"/>
              </w:rPr>
              <w:t>6</w:t>
            </w:r>
          </w:p>
        </w:tc>
        <w:tc>
          <w:tcPr>
            <w:tcW w:w="364" w:type="pct"/>
            <w:vAlign w:val="bottom"/>
          </w:tcPr>
          <w:p w:rsidR="00256EBC" w:rsidRPr="00117663" w:rsidRDefault="00256EBC" w:rsidP="00AD310F">
            <w:pPr>
              <w:tabs>
                <w:tab w:val="decimal" w:pos="296"/>
              </w:tabs>
              <w:spacing w:before="40" w:after="40"/>
              <w:jc w:val="center"/>
              <w:cnfStyle w:val="000000100000"/>
              <w:rPr>
                <w:color w:val="auto"/>
                <w:sz w:val="18"/>
                <w:szCs w:val="18"/>
              </w:rPr>
            </w:pPr>
            <w:r>
              <w:rPr>
                <w:color w:val="auto"/>
                <w:sz w:val="18"/>
                <w:szCs w:val="18"/>
              </w:rPr>
              <w:t>0,4</w:t>
            </w:r>
          </w:p>
        </w:tc>
        <w:tc>
          <w:tcPr>
            <w:tcW w:w="192" w:type="pct"/>
          </w:tcPr>
          <w:p w:rsidR="00256EBC" w:rsidRPr="00B12C8D" w:rsidRDefault="00256EBC" w:rsidP="00AD310F">
            <w:pPr>
              <w:pStyle w:val="ListParagraph"/>
              <w:tabs>
                <w:tab w:val="decimal" w:pos="296"/>
              </w:tabs>
              <w:spacing w:before="40" w:after="40"/>
              <w:ind w:left="0"/>
              <w:contextualSpacing w:val="0"/>
              <w:jc w:val="center"/>
              <w:cnfStyle w:val="000000100000"/>
              <w:rPr>
                <w:color w:val="auto"/>
                <w:sz w:val="18"/>
                <w:szCs w:val="18"/>
              </w:rPr>
            </w:pPr>
          </w:p>
        </w:tc>
        <w:tc>
          <w:tcPr>
            <w:tcW w:w="338"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-24,5</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-18,1</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-5,7</w:t>
            </w:r>
          </w:p>
        </w:tc>
        <w:tc>
          <w:tcPr>
            <w:tcW w:w="338"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-1,9</w:t>
            </w:r>
          </w:p>
        </w:tc>
        <w:tc>
          <w:tcPr>
            <w:tcW w:w="337"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3,4</w:t>
            </w:r>
          </w:p>
        </w:tc>
        <w:tc>
          <w:tcPr>
            <w:tcW w:w="339" w:type="pct"/>
            <w:gridSpan w:val="2"/>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5,7</w:t>
            </w:r>
          </w:p>
        </w:tc>
        <w:tc>
          <w:tcPr>
            <w:tcW w:w="346" w:type="pct"/>
            <w:gridSpan w:val="2"/>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3,6</w:t>
            </w:r>
          </w:p>
        </w:tc>
        <w:tc>
          <w:tcPr>
            <w:tcW w:w="336"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4,4</w:t>
            </w:r>
          </w:p>
        </w:tc>
      </w:tr>
      <w:tr w:rsidR="00256EBC" w:rsidRPr="009E43F2" w:rsidTr="00256EBC">
        <w:tc>
          <w:tcPr>
            <w:cnfStyle w:val="001000000000"/>
            <w:tcW w:w="1369"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Valsts patēriņš</w:t>
            </w:r>
          </w:p>
        </w:tc>
        <w:tc>
          <w:tcPr>
            <w:tcW w:w="363" w:type="pct"/>
            <w:vAlign w:val="bottom"/>
          </w:tcPr>
          <w:p w:rsidR="00256EBC" w:rsidRPr="00117663" w:rsidRDefault="00256EBC" w:rsidP="0089464A">
            <w:pPr>
              <w:tabs>
                <w:tab w:val="decimal" w:pos="296"/>
              </w:tabs>
              <w:spacing w:before="40" w:after="40"/>
              <w:jc w:val="center"/>
              <w:cnfStyle w:val="000000000000"/>
              <w:rPr>
                <w:color w:val="auto"/>
                <w:sz w:val="18"/>
                <w:szCs w:val="18"/>
              </w:rPr>
            </w:pPr>
            <w:r w:rsidRPr="00117663">
              <w:rPr>
                <w:color w:val="auto"/>
                <w:sz w:val="18"/>
                <w:szCs w:val="18"/>
              </w:rPr>
              <w:t>-9,</w:t>
            </w:r>
            <w:r>
              <w:rPr>
                <w:color w:val="auto"/>
                <w:sz w:val="18"/>
                <w:szCs w:val="18"/>
              </w:rPr>
              <w:t>5</w:t>
            </w:r>
          </w:p>
        </w:tc>
        <w:tc>
          <w:tcPr>
            <w:tcW w:w="364" w:type="pct"/>
            <w:vAlign w:val="bottom"/>
          </w:tcPr>
          <w:p w:rsidR="00256EBC" w:rsidRPr="00117663" w:rsidRDefault="00256EBC" w:rsidP="00AD310F">
            <w:pPr>
              <w:tabs>
                <w:tab w:val="decimal" w:pos="296"/>
              </w:tabs>
              <w:spacing w:before="40" w:after="40"/>
              <w:jc w:val="center"/>
              <w:cnfStyle w:val="000000000000"/>
              <w:rPr>
                <w:color w:val="auto"/>
                <w:sz w:val="18"/>
                <w:szCs w:val="18"/>
              </w:rPr>
            </w:pPr>
            <w:r w:rsidRPr="00117663">
              <w:rPr>
                <w:color w:val="auto"/>
                <w:sz w:val="18"/>
                <w:szCs w:val="18"/>
              </w:rPr>
              <w:t>-</w:t>
            </w:r>
            <w:r>
              <w:rPr>
                <w:color w:val="auto"/>
                <w:sz w:val="18"/>
                <w:szCs w:val="18"/>
              </w:rPr>
              <w:t>9,7</w:t>
            </w:r>
          </w:p>
        </w:tc>
        <w:tc>
          <w:tcPr>
            <w:tcW w:w="192" w:type="pct"/>
          </w:tcPr>
          <w:p w:rsidR="00256EBC" w:rsidRPr="00B12C8D" w:rsidRDefault="00256EBC" w:rsidP="00AD310F">
            <w:pPr>
              <w:pStyle w:val="ListParagraph"/>
              <w:tabs>
                <w:tab w:val="decimal" w:pos="296"/>
              </w:tabs>
              <w:spacing w:before="40" w:after="40"/>
              <w:ind w:left="0"/>
              <w:contextualSpacing w:val="0"/>
              <w:jc w:val="center"/>
              <w:cnfStyle w:val="000000000000"/>
              <w:rPr>
                <w:color w:val="auto"/>
                <w:sz w:val="18"/>
                <w:szCs w:val="18"/>
              </w:rPr>
            </w:pPr>
          </w:p>
        </w:tc>
        <w:tc>
          <w:tcPr>
            <w:tcW w:w="338"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-12,7</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-14,5</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-13,3</w:t>
            </w:r>
          </w:p>
        </w:tc>
        <w:tc>
          <w:tcPr>
            <w:tcW w:w="338"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-12,6</w:t>
            </w:r>
          </w:p>
        </w:tc>
        <w:tc>
          <w:tcPr>
            <w:tcW w:w="337"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-4,7</w:t>
            </w:r>
          </w:p>
        </w:tc>
        <w:tc>
          <w:tcPr>
            <w:tcW w:w="339" w:type="pct"/>
            <w:gridSpan w:val="2"/>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-7,9</w:t>
            </w:r>
          </w:p>
        </w:tc>
        <w:tc>
          <w:tcPr>
            <w:tcW w:w="346" w:type="pct"/>
            <w:gridSpan w:val="2"/>
            <w:tcBorders>
              <w:top w:val="nil"/>
              <w:bottom w:val="nil"/>
              <w:righ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0,6</w:t>
            </w:r>
          </w:p>
        </w:tc>
        <w:tc>
          <w:tcPr>
            <w:tcW w:w="336" w:type="pct"/>
            <w:tcBorders>
              <w:lef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1,3</w:t>
            </w:r>
          </w:p>
        </w:tc>
      </w:tr>
      <w:tr w:rsidR="00256EBC" w:rsidRPr="009E43F2" w:rsidTr="00256EBC">
        <w:trPr>
          <w:cnfStyle w:val="000000100000"/>
        </w:trPr>
        <w:tc>
          <w:tcPr>
            <w:cnfStyle w:val="001000000000"/>
            <w:tcW w:w="1369" w:type="pct"/>
            <w:gridSpan w:val="2"/>
          </w:tcPr>
          <w:p w:rsidR="00256EBC" w:rsidRPr="00E75F96" w:rsidRDefault="00256EBC" w:rsidP="007377A4">
            <w:pPr>
              <w:spacing w:before="40" w:after="40"/>
              <w:rPr>
                <w:b w:val="0"/>
                <w:color w:val="auto"/>
                <w:spacing w:val="-10"/>
                <w:sz w:val="18"/>
                <w:szCs w:val="18"/>
              </w:rPr>
            </w:pPr>
            <w:r w:rsidRPr="00E75F96">
              <w:rPr>
                <w:b w:val="0"/>
                <w:color w:val="auto"/>
                <w:sz w:val="18"/>
                <w:szCs w:val="18"/>
              </w:rPr>
              <w:t>Kopējā pamatkapitāla veidošana</w:t>
            </w:r>
          </w:p>
        </w:tc>
        <w:tc>
          <w:tcPr>
            <w:tcW w:w="363" w:type="pct"/>
            <w:vAlign w:val="bottom"/>
          </w:tcPr>
          <w:p w:rsidR="00256EBC" w:rsidRPr="00117663" w:rsidRDefault="00256EBC" w:rsidP="00AD310F">
            <w:pPr>
              <w:tabs>
                <w:tab w:val="decimal" w:pos="296"/>
              </w:tabs>
              <w:spacing w:before="40" w:after="40"/>
              <w:jc w:val="center"/>
              <w:cnfStyle w:val="000000100000"/>
              <w:rPr>
                <w:color w:val="auto"/>
                <w:sz w:val="18"/>
                <w:szCs w:val="18"/>
              </w:rPr>
            </w:pPr>
            <w:r w:rsidRPr="00117663">
              <w:rPr>
                <w:color w:val="auto"/>
                <w:sz w:val="18"/>
                <w:szCs w:val="18"/>
              </w:rPr>
              <w:t>-37,</w:t>
            </w:r>
            <w:r>
              <w:rPr>
                <w:color w:val="auto"/>
                <w:sz w:val="18"/>
                <w:szCs w:val="18"/>
              </w:rPr>
              <w:t>4</w:t>
            </w:r>
          </w:p>
        </w:tc>
        <w:tc>
          <w:tcPr>
            <w:tcW w:w="364" w:type="pct"/>
            <w:vAlign w:val="bottom"/>
          </w:tcPr>
          <w:p w:rsidR="00256EBC" w:rsidRPr="00117663" w:rsidRDefault="00256EBC" w:rsidP="00AD310F">
            <w:pPr>
              <w:tabs>
                <w:tab w:val="decimal" w:pos="296"/>
              </w:tabs>
              <w:spacing w:before="40" w:after="40"/>
              <w:jc w:val="center"/>
              <w:cnfStyle w:val="000000100000"/>
              <w:rPr>
                <w:color w:val="auto"/>
                <w:sz w:val="18"/>
                <w:szCs w:val="18"/>
              </w:rPr>
            </w:pPr>
            <w:r w:rsidRPr="00117663">
              <w:rPr>
                <w:color w:val="auto"/>
                <w:sz w:val="18"/>
                <w:szCs w:val="18"/>
              </w:rPr>
              <w:t>-</w:t>
            </w:r>
            <w:r>
              <w:rPr>
                <w:color w:val="auto"/>
                <w:sz w:val="18"/>
                <w:szCs w:val="18"/>
              </w:rPr>
              <w:t>19,2</w:t>
            </w:r>
          </w:p>
        </w:tc>
        <w:tc>
          <w:tcPr>
            <w:tcW w:w="192" w:type="pct"/>
          </w:tcPr>
          <w:p w:rsidR="00256EBC" w:rsidRPr="00B12C8D" w:rsidRDefault="00256EBC" w:rsidP="00AD310F">
            <w:pPr>
              <w:pStyle w:val="ListParagraph"/>
              <w:tabs>
                <w:tab w:val="decimal" w:pos="296"/>
              </w:tabs>
              <w:spacing w:before="40" w:after="40"/>
              <w:ind w:left="0"/>
              <w:contextualSpacing w:val="0"/>
              <w:jc w:val="center"/>
              <w:cnfStyle w:val="000000100000"/>
              <w:rPr>
                <w:color w:val="auto"/>
                <w:sz w:val="18"/>
                <w:szCs w:val="18"/>
              </w:rPr>
            </w:pPr>
          </w:p>
        </w:tc>
        <w:tc>
          <w:tcPr>
            <w:tcW w:w="338"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-39,5</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-38,4</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-44,1</w:t>
            </w:r>
          </w:p>
        </w:tc>
        <w:tc>
          <w:tcPr>
            <w:tcW w:w="338"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-36,1</w:t>
            </w:r>
          </w:p>
        </w:tc>
        <w:tc>
          <w:tcPr>
            <w:tcW w:w="337"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0,7</w:t>
            </w:r>
          </w:p>
        </w:tc>
        <w:tc>
          <w:tcPr>
            <w:tcW w:w="339" w:type="pct"/>
            <w:gridSpan w:val="2"/>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-0,8</w:t>
            </w:r>
          </w:p>
        </w:tc>
        <w:tc>
          <w:tcPr>
            <w:tcW w:w="346" w:type="pct"/>
            <w:gridSpan w:val="2"/>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28,6</w:t>
            </w:r>
          </w:p>
        </w:tc>
        <w:tc>
          <w:tcPr>
            <w:tcW w:w="336"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21,7</w:t>
            </w:r>
          </w:p>
        </w:tc>
      </w:tr>
      <w:tr w:rsidR="00256EBC" w:rsidRPr="009E43F2" w:rsidTr="00256EBC">
        <w:tc>
          <w:tcPr>
            <w:cnfStyle w:val="001000000000"/>
            <w:tcW w:w="1369"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Eksports</w:t>
            </w:r>
          </w:p>
        </w:tc>
        <w:tc>
          <w:tcPr>
            <w:tcW w:w="363" w:type="pct"/>
            <w:vAlign w:val="bottom"/>
          </w:tcPr>
          <w:p w:rsidR="00256EBC" w:rsidRPr="00117663" w:rsidRDefault="00256EBC" w:rsidP="00AD310F">
            <w:pPr>
              <w:tabs>
                <w:tab w:val="decimal" w:pos="296"/>
              </w:tabs>
              <w:spacing w:before="40" w:after="40"/>
              <w:jc w:val="center"/>
              <w:cnfStyle w:val="000000000000"/>
              <w:rPr>
                <w:color w:val="auto"/>
                <w:sz w:val="18"/>
                <w:szCs w:val="18"/>
              </w:rPr>
            </w:pPr>
            <w:r w:rsidRPr="00117663">
              <w:rPr>
                <w:color w:val="auto"/>
                <w:sz w:val="18"/>
                <w:szCs w:val="18"/>
              </w:rPr>
              <w:t>-14,1</w:t>
            </w:r>
          </w:p>
        </w:tc>
        <w:tc>
          <w:tcPr>
            <w:tcW w:w="364" w:type="pct"/>
            <w:vAlign w:val="bottom"/>
          </w:tcPr>
          <w:p w:rsidR="00256EBC" w:rsidRPr="00117663" w:rsidRDefault="00256EBC" w:rsidP="00AD310F">
            <w:pPr>
              <w:tabs>
                <w:tab w:val="decimal" w:pos="296"/>
              </w:tabs>
              <w:spacing w:before="40" w:after="40"/>
              <w:jc w:val="center"/>
              <w:cnfStyle w:val="000000000000"/>
              <w:rPr>
                <w:color w:val="auto"/>
                <w:sz w:val="18"/>
                <w:szCs w:val="18"/>
              </w:rPr>
            </w:pPr>
            <w:r>
              <w:rPr>
                <w:color w:val="auto"/>
                <w:sz w:val="18"/>
                <w:szCs w:val="18"/>
              </w:rPr>
              <w:t>11,5</w:t>
            </w:r>
          </w:p>
        </w:tc>
        <w:tc>
          <w:tcPr>
            <w:tcW w:w="192" w:type="pct"/>
          </w:tcPr>
          <w:p w:rsidR="00256EBC" w:rsidRPr="00B12C8D" w:rsidRDefault="00256EBC" w:rsidP="00AD310F">
            <w:pPr>
              <w:pStyle w:val="ListParagraph"/>
              <w:tabs>
                <w:tab w:val="decimal" w:pos="296"/>
              </w:tabs>
              <w:spacing w:before="40" w:after="40"/>
              <w:ind w:left="0"/>
              <w:contextualSpacing w:val="0"/>
              <w:jc w:val="center"/>
              <w:cnfStyle w:val="000000000000"/>
              <w:rPr>
                <w:color w:val="auto"/>
                <w:sz w:val="18"/>
                <w:szCs w:val="18"/>
              </w:rPr>
            </w:pPr>
          </w:p>
        </w:tc>
        <w:tc>
          <w:tcPr>
            <w:tcW w:w="338"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-13,8</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-3,9</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4,5</w:t>
            </w:r>
          </w:p>
        </w:tc>
        <w:tc>
          <w:tcPr>
            <w:tcW w:w="338"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8,0</w:t>
            </w:r>
          </w:p>
        </w:tc>
        <w:tc>
          <w:tcPr>
            <w:tcW w:w="337"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17,0</w:t>
            </w:r>
          </w:p>
        </w:tc>
        <w:tc>
          <w:tcPr>
            <w:tcW w:w="339" w:type="pct"/>
            <w:gridSpan w:val="2"/>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15,6</w:t>
            </w:r>
          </w:p>
        </w:tc>
        <w:tc>
          <w:tcPr>
            <w:tcW w:w="346" w:type="pct"/>
            <w:gridSpan w:val="2"/>
            <w:tcBorders>
              <w:top w:val="nil"/>
              <w:bottom w:val="nil"/>
              <w:righ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14,7</w:t>
            </w:r>
          </w:p>
        </w:tc>
        <w:tc>
          <w:tcPr>
            <w:tcW w:w="336" w:type="pct"/>
            <w:tcBorders>
              <w:lef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15,0</w:t>
            </w:r>
          </w:p>
        </w:tc>
      </w:tr>
      <w:tr w:rsidR="00256EBC" w:rsidRPr="009E43F2" w:rsidTr="00372FEC">
        <w:trPr>
          <w:cnfStyle w:val="000000100000"/>
        </w:trPr>
        <w:tc>
          <w:tcPr>
            <w:cnfStyle w:val="001000000000"/>
            <w:tcW w:w="1369" w:type="pct"/>
            <w:gridSpan w:val="2"/>
            <w:tcBorders>
              <w:bottom w:val="nil"/>
            </w:tcBorders>
          </w:tcPr>
          <w:p w:rsidR="00256EBC" w:rsidRPr="00E75F96" w:rsidRDefault="00256EBC" w:rsidP="007377A4">
            <w:pPr>
              <w:spacing w:before="40" w:after="40"/>
              <w:rPr>
                <w:b w:val="0"/>
                <w:color w:val="auto"/>
                <w:sz w:val="18"/>
                <w:szCs w:val="18"/>
              </w:rPr>
            </w:pPr>
            <w:r w:rsidRPr="00E75F96">
              <w:rPr>
                <w:b w:val="0"/>
                <w:color w:val="auto"/>
                <w:sz w:val="18"/>
                <w:szCs w:val="18"/>
              </w:rPr>
              <w:t>Imports</w:t>
            </w:r>
          </w:p>
        </w:tc>
        <w:tc>
          <w:tcPr>
            <w:tcW w:w="363" w:type="pct"/>
            <w:tcBorders>
              <w:bottom w:val="nil"/>
            </w:tcBorders>
            <w:vAlign w:val="bottom"/>
          </w:tcPr>
          <w:p w:rsidR="00256EBC" w:rsidRPr="00117663" w:rsidRDefault="00256EBC" w:rsidP="00AD310F">
            <w:pPr>
              <w:tabs>
                <w:tab w:val="decimal" w:pos="296"/>
              </w:tabs>
              <w:spacing w:before="40" w:after="40"/>
              <w:jc w:val="center"/>
              <w:cnfStyle w:val="000000100000"/>
              <w:rPr>
                <w:color w:val="auto"/>
                <w:sz w:val="18"/>
                <w:szCs w:val="18"/>
              </w:rPr>
            </w:pPr>
            <w:r w:rsidRPr="00117663">
              <w:rPr>
                <w:color w:val="auto"/>
                <w:sz w:val="18"/>
                <w:szCs w:val="18"/>
              </w:rPr>
              <w:t>-33,</w:t>
            </w:r>
            <w:r>
              <w:rPr>
                <w:color w:val="auto"/>
                <w:sz w:val="18"/>
                <w:szCs w:val="18"/>
              </w:rPr>
              <w:t>3</w:t>
            </w:r>
          </w:p>
        </w:tc>
        <w:tc>
          <w:tcPr>
            <w:tcW w:w="364" w:type="pct"/>
            <w:tcBorders>
              <w:bottom w:val="nil"/>
            </w:tcBorders>
            <w:vAlign w:val="bottom"/>
          </w:tcPr>
          <w:p w:rsidR="00256EBC" w:rsidRPr="00117663" w:rsidRDefault="00256EBC" w:rsidP="00AD310F">
            <w:pPr>
              <w:tabs>
                <w:tab w:val="decimal" w:pos="296"/>
              </w:tabs>
              <w:spacing w:before="40" w:after="40"/>
              <w:jc w:val="center"/>
              <w:cnfStyle w:val="000000100000"/>
              <w:rPr>
                <w:color w:val="auto"/>
                <w:sz w:val="18"/>
                <w:szCs w:val="18"/>
              </w:rPr>
            </w:pPr>
            <w:r>
              <w:rPr>
                <w:color w:val="auto"/>
                <w:sz w:val="18"/>
                <w:szCs w:val="18"/>
              </w:rPr>
              <w:t>11,5</w:t>
            </w:r>
          </w:p>
        </w:tc>
        <w:tc>
          <w:tcPr>
            <w:tcW w:w="192" w:type="pct"/>
            <w:tcBorders>
              <w:bottom w:val="nil"/>
            </w:tcBorders>
          </w:tcPr>
          <w:p w:rsidR="00256EBC" w:rsidRPr="00B12C8D" w:rsidRDefault="00256EBC" w:rsidP="00AD310F">
            <w:pPr>
              <w:pStyle w:val="ListParagraph"/>
              <w:tabs>
                <w:tab w:val="decimal" w:pos="296"/>
              </w:tabs>
              <w:spacing w:before="40" w:after="40"/>
              <w:ind w:left="0"/>
              <w:contextualSpacing w:val="0"/>
              <w:jc w:val="center"/>
              <w:cnfStyle w:val="000000100000"/>
              <w:rPr>
                <w:color w:val="auto"/>
                <w:sz w:val="18"/>
                <w:szCs w:val="18"/>
              </w:rPr>
            </w:pPr>
          </w:p>
        </w:tc>
        <w:tc>
          <w:tcPr>
            <w:tcW w:w="338"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-33,5</w:t>
            </w:r>
          </w:p>
        </w:tc>
        <w:tc>
          <w:tcPr>
            <w:tcW w:w="339"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-26,3</w:t>
            </w:r>
          </w:p>
        </w:tc>
        <w:tc>
          <w:tcPr>
            <w:tcW w:w="339"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-2,0</w:t>
            </w:r>
          </w:p>
        </w:tc>
        <w:tc>
          <w:tcPr>
            <w:tcW w:w="338"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10,0</w:t>
            </w:r>
          </w:p>
        </w:tc>
        <w:tc>
          <w:tcPr>
            <w:tcW w:w="337"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16,6</w:t>
            </w:r>
          </w:p>
        </w:tc>
        <w:tc>
          <w:tcPr>
            <w:tcW w:w="339" w:type="pct"/>
            <w:gridSpan w:val="2"/>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20,7</w:t>
            </w:r>
          </w:p>
        </w:tc>
        <w:tc>
          <w:tcPr>
            <w:tcW w:w="346" w:type="pct"/>
            <w:gridSpan w:val="2"/>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22,6</w:t>
            </w:r>
          </w:p>
        </w:tc>
        <w:tc>
          <w:tcPr>
            <w:tcW w:w="336" w:type="pct"/>
            <w:tcBorders>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22,1</w:t>
            </w:r>
          </w:p>
        </w:tc>
      </w:tr>
      <w:tr w:rsidR="00256EBC" w:rsidRPr="00726024" w:rsidTr="00372FEC">
        <w:tc>
          <w:tcPr>
            <w:cnfStyle w:val="001000000000"/>
            <w:tcW w:w="1369" w:type="pct"/>
            <w:gridSpan w:val="2"/>
            <w:tcBorders>
              <w:top w:val="nil"/>
              <w:bottom w:val="single" w:sz="4" w:space="0" w:color="FF0000"/>
            </w:tcBorders>
          </w:tcPr>
          <w:p w:rsidR="00256EBC" w:rsidRPr="00726024" w:rsidRDefault="00256EBC" w:rsidP="007377A4">
            <w:pPr>
              <w:spacing w:before="40" w:after="40"/>
              <w:rPr>
                <w:color w:val="auto"/>
                <w:sz w:val="20"/>
                <w:szCs w:val="20"/>
              </w:rPr>
            </w:pPr>
            <w:r w:rsidRPr="00726024">
              <w:rPr>
                <w:color w:val="auto"/>
                <w:sz w:val="20"/>
                <w:szCs w:val="20"/>
              </w:rPr>
              <w:t>IKP</w:t>
            </w:r>
          </w:p>
        </w:tc>
        <w:tc>
          <w:tcPr>
            <w:tcW w:w="363" w:type="pct"/>
            <w:tcBorders>
              <w:top w:val="nil"/>
              <w:bottom w:val="single" w:sz="4" w:space="0" w:color="FF0000"/>
            </w:tcBorders>
            <w:vAlign w:val="center"/>
          </w:tcPr>
          <w:p w:rsidR="00256EBC" w:rsidRPr="00117663" w:rsidRDefault="00256EBC" w:rsidP="0089464A">
            <w:pPr>
              <w:tabs>
                <w:tab w:val="decimal" w:pos="296"/>
              </w:tabs>
              <w:spacing w:before="40" w:after="40"/>
              <w:jc w:val="center"/>
              <w:cnfStyle w:val="000000000000"/>
              <w:rPr>
                <w:b/>
                <w:color w:val="auto"/>
                <w:sz w:val="20"/>
                <w:szCs w:val="20"/>
              </w:rPr>
            </w:pPr>
            <w:r w:rsidRPr="00117663">
              <w:rPr>
                <w:b/>
                <w:color w:val="auto"/>
                <w:sz w:val="20"/>
                <w:szCs w:val="20"/>
              </w:rPr>
              <w:t>-1</w:t>
            </w:r>
            <w:r>
              <w:rPr>
                <w:b/>
                <w:color w:val="auto"/>
                <w:sz w:val="20"/>
                <w:szCs w:val="20"/>
              </w:rPr>
              <w:t>7</w:t>
            </w:r>
            <w:r w:rsidRPr="00117663">
              <w:rPr>
                <w:b/>
                <w:color w:val="auto"/>
                <w:sz w:val="20"/>
                <w:szCs w:val="20"/>
              </w:rPr>
              <w:t>,</w:t>
            </w:r>
            <w:r>
              <w:rPr>
                <w:b/>
                <w:color w:val="auto"/>
                <w:sz w:val="20"/>
                <w:szCs w:val="20"/>
              </w:rPr>
              <w:t>7</w:t>
            </w:r>
          </w:p>
        </w:tc>
        <w:tc>
          <w:tcPr>
            <w:tcW w:w="364" w:type="pct"/>
            <w:tcBorders>
              <w:top w:val="nil"/>
              <w:bottom w:val="single" w:sz="4" w:space="0" w:color="FF0000"/>
            </w:tcBorders>
            <w:vAlign w:val="center"/>
          </w:tcPr>
          <w:p w:rsidR="00256EBC" w:rsidRPr="00117663" w:rsidRDefault="00256EBC" w:rsidP="00AD310F">
            <w:pPr>
              <w:tabs>
                <w:tab w:val="decimal" w:pos="296"/>
              </w:tabs>
              <w:spacing w:before="40" w:after="40"/>
              <w:jc w:val="center"/>
              <w:cnfStyle w:val="000000000000"/>
              <w:rPr>
                <w:b/>
                <w:color w:val="auto"/>
                <w:sz w:val="20"/>
                <w:szCs w:val="20"/>
              </w:rPr>
            </w:pPr>
            <w:r w:rsidRPr="00117663">
              <w:rPr>
                <w:b/>
                <w:color w:val="auto"/>
                <w:sz w:val="20"/>
                <w:szCs w:val="20"/>
              </w:rPr>
              <w:t>-</w:t>
            </w:r>
            <w:r>
              <w:rPr>
                <w:b/>
                <w:color w:val="auto"/>
                <w:sz w:val="20"/>
                <w:szCs w:val="20"/>
              </w:rPr>
              <w:t>0,3</w:t>
            </w:r>
          </w:p>
        </w:tc>
        <w:tc>
          <w:tcPr>
            <w:tcW w:w="192" w:type="pct"/>
            <w:tcBorders>
              <w:top w:val="nil"/>
              <w:bottom w:val="single" w:sz="4" w:space="0" w:color="FF0000"/>
            </w:tcBorders>
            <w:vAlign w:val="center"/>
          </w:tcPr>
          <w:p w:rsidR="00256EBC" w:rsidRPr="00117663" w:rsidRDefault="00256EBC" w:rsidP="00AD310F">
            <w:pPr>
              <w:pStyle w:val="ListParagraph"/>
              <w:tabs>
                <w:tab w:val="decimal" w:pos="296"/>
              </w:tabs>
              <w:spacing w:before="40" w:after="40"/>
              <w:ind w:left="0"/>
              <w:contextualSpacing w:val="0"/>
              <w:jc w:val="center"/>
              <w:cnfStyle w:val="000000000000"/>
              <w:rPr>
                <w:b/>
                <w:color w:val="auto"/>
                <w:sz w:val="20"/>
                <w:szCs w:val="20"/>
              </w:rPr>
            </w:pPr>
          </w:p>
        </w:tc>
        <w:tc>
          <w:tcPr>
            <w:tcW w:w="338"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-18,0</w:t>
            </w:r>
          </w:p>
        </w:tc>
        <w:tc>
          <w:tcPr>
            <w:tcW w:w="339"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-16,0</w:t>
            </w:r>
          </w:p>
        </w:tc>
        <w:tc>
          <w:tcPr>
            <w:tcW w:w="339"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-5,5</w:t>
            </w:r>
          </w:p>
        </w:tc>
        <w:tc>
          <w:tcPr>
            <w:tcW w:w="338"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-3,5</w:t>
            </w:r>
          </w:p>
        </w:tc>
        <w:tc>
          <w:tcPr>
            <w:tcW w:w="337"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3,5</w:t>
            </w:r>
          </w:p>
        </w:tc>
        <w:tc>
          <w:tcPr>
            <w:tcW w:w="339" w:type="pct"/>
            <w:gridSpan w:val="2"/>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3,6</w:t>
            </w:r>
          </w:p>
        </w:tc>
        <w:tc>
          <w:tcPr>
            <w:tcW w:w="346" w:type="pct"/>
            <w:gridSpan w:val="2"/>
            <w:tcBorders>
              <w:top w:val="nil"/>
              <w:bottom w:val="single" w:sz="4" w:space="0" w:color="FF0000"/>
              <w:right w:val="nil"/>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3,5</w:t>
            </w:r>
          </w:p>
        </w:tc>
        <w:tc>
          <w:tcPr>
            <w:tcW w:w="336" w:type="pct"/>
            <w:tcBorders>
              <w:top w:val="nil"/>
              <w:left w:val="nil"/>
              <w:bottom w:val="single" w:sz="4" w:space="0" w:color="FF0000"/>
            </w:tcBorders>
            <w:vAlign w:val="bottom"/>
          </w:tcPr>
          <w:p w:rsidR="00256EBC" w:rsidRPr="00256EBC" w:rsidRDefault="00256EBC" w:rsidP="00256EBC">
            <w:pPr>
              <w:tabs>
                <w:tab w:val="decimal" w:pos="296"/>
              </w:tabs>
              <w:spacing w:before="40" w:after="40"/>
              <w:jc w:val="center"/>
              <w:cnfStyle w:val="000000000000"/>
              <w:rPr>
                <w:b/>
                <w:color w:val="auto"/>
                <w:sz w:val="20"/>
                <w:szCs w:val="18"/>
              </w:rPr>
            </w:pPr>
            <w:r w:rsidRPr="00256EBC">
              <w:rPr>
                <w:b/>
                <w:color w:val="auto"/>
                <w:sz w:val="20"/>
                <w:szCs w:val="18"/>
              </w:rPr>
              <w:t>5,6</w:t>
            </w:r>
          </w:p>
        </w:tc>
      </w:tr>
    </w:tbl>
    <w:p w:rsidR="00E75F96" w:rsidRPr="007377A4" w:rsidRDefault="00E75F96" w:rsidP="00E75F96">
      <w:pPr>
        <w:pStyle w:val="ListParagraph"/>
        <w:ind w:left="0"/>
        <w:rPr>
          <w:szCs w:val="16"/>
        </w:rPr>
      </w:pPr>
    </w:p>
    <w:p w:rsidR="007377A4" w:rsidRPr="007377A4" w:rsidRDefault="007377A4" w:rsidP="00E75F96">
      <w:pPr>
        <w:pStyle w:val="ListParagraph"/>
        <w:ind w:left="0"/>
        <w:rPr>
          <w:szCs w:val="16"/>
        </w:rPr>
      </w:pPr>
    </w:p>
    <w:tbl>
      <w:tblPr>
        <w:tblStyle w:val="LightShading2"/>
        <w:tblW w:w="4856" w:type="pct"/>
        <w:tblLook w:val="04A0"/>
      </w:tblPr>
      <w:tblGrid>
        <w:gridCol w:w="1881"/>
        <w:gridCol w:w="679"/>
        <w:gridCol w:w="661"/>
        <w:gridCol w:w="663"/>
        <w:gridCol w:w="338"/>
        <w:gridCol w:w="649"/>
        <w:gridCol w:w="649"/>
        <w:gridCol w:w="649"/>
        <w:gridCol w:w="649"/>
        <w:gridCol w:w="649"/>
        <w:gridCol w:w="218"/>
        <w:gridCol w:w="576"/>
        <w:gridCol w:w="13"/>
        <w:gridCol w:w="649"/>
        <w:gridCol w:w="72"/>
        <w:gridCol w:w="576"/>
      </w:tblGrid>
      <w:tr w:rsidR="00CF4038" w:rsidRPr="009E43F2" w:rsidTr="00372FEC">
        <w:trPr>
          <w:cnfStyle w:val="100000000000"/>
        </w:trPr>
        <w:tc>
          <w:tcPr>
            <w:cnfStyle w:val="001000000000"/>
            <w:tcW w:w="4324" w:type="pct"/>
            <w:gridSpan w:val="13"/>
            <w:tcBorders>
              <w:top w:val="single" w:sz="4" w:space="0" w:color="FF0000"/>
              <w:bottom w:val="single" w:sz="4" w:space="0" w:color="FF0000"/>
            </w:tcBorders>
          </w:tcPr>
          <w:p w:rsidR="00CF4038" w:rsidRPr="00E75F96" w:rsidRDefault="00CF4038" w:rsidP="00A101D3">
            <w:pPr>
              <w:pStyle w:val="ListParagraph"/>
              <w:spacing w:before="40" w:after="40"/>
              <w:ind w:left="0"/>
              <w:contextualSpacing w:val="0"/>
              <w:rPr>
                <w:sz w:val="18"/>
                <w:szCs w:val="18"/>
              </w:rPr>
            </w:pPr>
            <w:r w:rsidRPr="00E75F96">
              <w:rPr>
                <w:color w:val="auto"/>
                <w:sz w:val="18"/>
                <w:szCs w:val="18"/>
              </w:rPr>
              <w:t>Struktūra,</w:t>
            </w:r>
            <w:r w:rsidRPr="00056EA9">
              <w:rPr>
                <w:b w:val="0"/>
                <w:color w:val="auto"/>
                <w:sz w:val="18"/>
                <w:szCs w:val="18"/>
              </w:rPr>
              <w:t xml:space="preserve"> % no IKP</w:t>
            </w:r>
          </w:p>
        </w:tc>
        <w:tc>
          <w:tcPr>
            <w:tcW w:w="676" w:type="pct"/>
            <w:gridSpan w:val="3"/>
            <w:tcBorders>
              <w:top w:val="single" w:sz="4" w:space="0" w:color="FF0000"/>
              <w:bottom w:val="single" w:sz="4" w:space="0" w:color="FF0000"/>
            </w:tcBorders>
          </w:tcPr>
          <w:p w:rsidR="00CF4038" w:rsidRPr="00E75F96" w:rsidRDefault="00CF4038" w:rsidP="007377A4">
            <w:pPr>
              <w:pStyle w:val="ListParagraph"/>
              <w:spacing w:before="40" w:after="40"/>
              <w:ind w:left="0"/>
              <w:contextualSpacing w:val="0"/>
              <w:jc w:val="center"/>
              <w:cnfStyle w:val="100000000000"/>
              <w:rPr>
                <w:sz w:val="18"/>
                <w:szCs w:val="18"/>
              </w:rPr>
            </w:pPr>
          </w:p>
        </w:tc>
      </w:tr>
      <w:tr w:rsidR="00256EBC" w:rsidRPr="003D3B2B" w:rsidTr="00372FEC">
        <w:trPr>
          <w:cnfStyle w:val="000000100000"/>
        </w:trPr>
        <w:tc>
          <w:tcPr>
            <w:cnfStyle w:val="001000000000"/>
            <w:tcW w:w="983" w:type="pct"/>
            <w:tcBorders>
              <w:top w:val="single" w:sz="4" w:space="0" w:color="FF0000"/>
            </w:tcBorders>
          </w:tcPr>
          <w:p w:rsidR="00256EBC" w:rsidRPr="003D3B2B" w:rsidRDefault="00256EBC" w:rsidP="007377A4">
            <w:pPr>
              <w:pStyle w:val="ListParagraph"/>
              <w:spacing w:before="40" w:after="40"/>
              <w:ind w:left="0"/>
              <w:contextualSpacing w:val="0"/>
              <w:jc w:val="center"/>
              <w:rPr>
                <w:b w:val="0"/>
                <w:color w:val="auto"/>
                <w:sz w:val="18"/>
                <w:szCs w:val="18"/>
              </w:rPr>
            </w:pPr>
          </w:p>
        </w:tc>
        <w:tc>
          <w:tcPr>
            <w:tcW w:w="355" w:type="pct"/>
            <w:tcBorders>
              <w:top w:val="single" w:sz="4" w:space="0" w:color="FF0000"/>
            </w:tcBorders>
          </w:tcPr>
          <w:p w:rsidR="00256EBC" w:rsidRPr="003D3B2B" w:rsidRDefault="00256EBC" w:rsidP="007377A4">
            <w:pPr>
              <w:pStyle w:val="ListParagraph"/>
              <w:spacing w:before="40" w:after="40"/>
              <w:ind w:left="0"/>
              <w:contextualSpacing w:val="0"/>
              <w:jc w:val="center"/>
              <w:cnfStyle w:val="000000100000"/>
              <w:rPr>
                <w:bCs/>
                <w:sz w:val="18"/>
                <w:szCs w:val="18"/>
              </w:rPr>
            </w:pPr>
          </w:p>
        </w:tc>
        <w:tc>
          <w:tcPr>
            <w:tcW w:w="346" w:type="pct"/>
            <w:tcBorders>
              <w:top w:val="single" w:sz="4" w:space="0" w:color="FF0000"/>
            </w:tcBorders>
          </w:tcPr>
          <w:p w:rsidR="00256EBC" w:rsidRPr="003D3B2B" w:rsidRDefault="00256EBC" w:rsidP="007377A4">
            <w:pPr>
              <w:pStyle w:val="ListParagraph"/>
              <w:spacing w:before="40" w:after="40"/>
              <w:ind w:left="0"/>
              <w:contextualSpacing w:val="0"/>
              <w:jc w:val="center"/>
              <w:cnfStyle w:val="000000100000"/>
              <w:rPr>
                <w:b/>
                <w:color w:val="auto"/>
                <w:sz w:val="18"/>
                <w:szCs w:val="18"/>
              </w:rPr>
            </w:pPr>
            <w:r w:rsidRPr="003D3B2B">
              <w:rPr>
                <w:b/>
                <w:color w:val="auto"/>
                <w:sz w:val="18"/>
                <w:szCs w:val="18"/>
              </w:rPr>
              <w:t>2009</w:t>
            </w:r>
          </w:p>
        </w:tc>
        <w:tc>
          <w:tcPr>
            <w:tcW w:w="347" w:type="pct"/>
            <w:tcBorders>
              <w:top w:val="single" w:sz="4" w:space="0" w:color="FF0000"/>
            </w:tcBorders>
          </w:tcPr>
          <w:p w:rsidR="00256EBC" w:rsidRPr="003D3B2B" w:rsidRDefault="00256EBC" w:rsidP="007377A4">
            <w:pPr>
              <w:pStyle w:val="ListParagraph"/>
              <w:spacing w:before="40" w:after="40"/>
              <w:ind w:left="0"/>
              <w:contextualSpacing w:val="0"/>
              <w:jc w:val="center"/>
              <w:cnfStyle w:val="000000100000"/>
              <w:rPr>
                <w:b/>
                <w:color w:val="auto"/>
                <w:sz w:val="18"/>
                <w:szCs w:val="18"/>
              </w:rPr>
            </w:pPr>
            <w:r w:rsidRPr="003D3B2B">
              <w:rPr>
                <w:b/>
                <w:color w:val="auto"/>
                <w:sz w:val="18"/>
                <w:szCs w:val="18"/>
              </w:rPr>
              <w:t>2010</w:t>
            </w:r>
          </w:p>
        </w:tc>
        <w:tc>
          <w:tcPr>
            <w:tcW w:w="177" w:type="pct"/>
            <w:tcBorders>
              <w:top w:val="single" w:sz="4" w:space="0" w:color="FF0000"/>
            </w:tcBorders>
          </w:tcPr>
          <w:p w:rsidR="00256EBC" w:rsidRPr="003D3B2B" w:rsidRDefault="00256EBC" w:rsidP="007377A4">
            <w:pPr>
              <w:pStyle w:val="ListParagraph"/>
              <w:spacing w:before="40" w:after="40"/>
              <w:ind w:left="0"/>
              <w:contextualSpacing w:val="0"/>
              <w:jc w:val="center"/>
              <w:cnfStyle w:val="000000100000"/>
              <w:rPr>
                <w:b/>
                <w:color w:val="auto"/>
                <w:sz w:val="18"/>
                <w:szCs w:val="18"/>
              </w:rPr>
            </w:pPr>
          </w:p>
        </w:tc>
        <w:tc>
          <w:tcPr>
            <w:tcW w:w="339" w:type="pct"/>
            <w:tcBorders>
              <w:top w:val="single" w:sz="4" w:space="0" w:color="FF0000"/>
            </w:tcBorders>
          </w:tcPr>
          <w:p w:rsidR="00256EBC" w:rsidRPr="003D3B2B" w:rsidRDefault="00256EBC" w:rsidP="007377A4">
            <w:pPr>
              <w:pStyle w:val="ListParagraph"/>
              <w:spacing w:before="40" w:after="40"/>
              <w:ind w:left="0"/>
              <w:contextualSpacing w:val="0"/>
              <w:cnfStyle w:val="000000100000"/>
              <w:rPr>
                <w:b/>
                <w:color w:val="auto"/>
                <w:sz w:val="18"/>
                <w:szCs w:val="18"/>
              </w:rPr>
            </w:pPr>
            <w:r w:rsidRPr="003D3B2B">
              <w:rPr>
                <w:b/>
                <w:color w:val="auto"/>
                <w:sz w:val="18"/>
                <w:szCs w:val="18"/>
              </w:rPr>
              <w:t>2009</w:t>
            </w:r>
          </w:p>
        </w:tc>
        <w:tc>
          <w:tcPr>
            <w:tcW w:w="339" w:type="pct"/>
            <w:tcBorders>
              <w:top w:val="single" w:sz="4" w:space="0" w:color="FF0000"/>
            </w:tcBorders>
          </w:tcPr>
          <w:p w:rsidR="00256EBC" w:rsidRPr="003D3B2B" w:rsidRDefault="00256EBC" w:rsidP="007377A4">
            <w:pPr>
              <w:pStyle w:val="ListParagraph"/>
              <w:spacing w:before="40" w:after="40"/>
              <w:ind w:left="0"/>
              <w:contextualSpacing w:val="0"/>
              <w:cnfStyle w:val="000000100000"/>
              <w:rPr>
                <w:b/>
                <w:sz w:val="18"/>
                <w:szCs w:val="18"/>
              </w:rPr>
            </w:pPr>
          </w:p>
        </w:tc>
        <w:tc>
          <w:tcPr>
            <w:tcW w:w="339" w:type="pct"/>
            <w:tcBorders>
              <w:top w:val="single" w:sz="4" w:space="0" w:color="FF0000"/>
            </w:tcBorders>
          </w:tcPr>
          <w:p w:rsidR="00256EBC" w:rsidRPr="003D3B2B" w:rsidRDefault="00256EBC" w:rsidP="007377A4">
            <w:pPr>
              <w:pStyle w:val="ListParagraph"/>
              <w:spacing w:before="40" w:after="40"/>
              <w:ind w:left="0"/>
              <w:contextualSpacing w:val="0"/>
              <w:cnfStyle w:val="000000100000"/>
              <w:rPr>
                <w:b/>
                <w:sz w:val="18"/>
                <w:szCs w:val="18"/>
              </w:rPr>
            </w:pPr>
            <w:r w:rsidRPr="003D3B2B">
              <w:rPr>
                <w:b/>
                <w:color w:val="auto"/>
                <w:sz w:val="18"/>
                <w:szCs w:val="18"/>
              </w:rPr>
              <w:t>2010</w:t>
            </w:r>
          </w:p>
        </w:tc>
        <w:tc>
          <w:tcPr>
            <w:tcW w:w="339" w:type="pct"/>
            <w:tcBorders>
              <w:top w:val="single" w:sz="4" w:space="0" w:color="FF0000"/>
            </w:tcBorders>
          </w:tcPr>
          <w:p w:rsidR="00256EBC" w:rsidRPr="003D3B2B" w:rsidRDefault="00256EBC" w:rsidP="007377A4">
            <w:pPr>
              <w:pStyle w:val="ListParagraph"/>
              <w:spacing w:before="40" w:after="40"/>
              <w:ind w:left="0"/>
              <w:contextualSpacing w:val="0"/>
              <w:cnfStyle w:val="000000100000"/>
              <w:rPr>
                <w:b/>
                <w:sz w:val="18"/>
                <w:szCs w:val="18"/>
              </w:rPr>
            </w:pPr>
          </w:p>
        </w:tc>
        <w:tc>
          <w:tcPr>
            <w:tcW w:w="453" w:type="pct"/>
            <w:gridSpan w:val="2"/>
            <w:tcBorders>
              <w:top w:val="single" w:sz="4" w:space="0" w:color="FF0000"/>
            </w:tcBorders>
          </w:tcPr>
          <w:p w:rsidR="00256EBC" w:rsidRPr="003D3B2B" w:rsidRDefault="00256EBC" w:rsidP="003D3B2B">
            <w:pPr>
              <w:pStyle w:val="ListParagraph"/>
              <w:spacing w:before="40" w:after="40"/>
              <w:ind w:left="0"/>
              <w:contextualSpacing w:val="0"/>
              <w:cnfStyle w:val="000000100000"/>
              <w:rPr>
                <w:b/>
                <w:sz w:val="18"/>
                <w:szCs w:val="18"/>
              </w:rPr>
            </w:pPr>
          </w:p>
        </w:tc>
        <w:tc>
          <w:tcPr>
            <w:tcW w:w="301" w:type="pct"/>
            <w:tcBorders>
              <w:top w:val="single" w:sz="4" w:space="0" w:color="FF0000"/>
              <w:bottom w:val="nil"/>
            </w:tcBorders>
          </w:tcPr>
          <w:p w:rsidR="00256EBC" w:rsidRPr="003D3B2B" w:rsidRDefault="00256EBC" w:rsidP="003D3B2B">
            <w:pPr>
              <w:pStyle w:val="ListParagraph"/>
              <w:spacing w:before="40" w:after="40"/>
              <w:ind w:left="0"/>
              <w:contextualSpacing w:val="0"/>
              <w:cnfStyle w:val="000000100000"/>
              <w:rPr>
                <w:b/>
                <w:sz w:val="18"/>
                <w:szCs w:val="18"/>
              </w:rPr>
            </w:pPr>
          </w:p>
        </w:tc>
        <w:tc>
          <w:tcPr>
            <w:tcW w:w="383" w:type="pct"/>
            <w:gridSpan w:val="3"/>
            <w:tcBorders>
              <w:top w:val="single" w:sz="4" w:space="0" w:color="FF0000"/>
            </w:tcBorders>
          </w:tcPr>
          <w:p w:rsidR="00256EBC" w:rsidRPr="003D3B2B" w:rsidRDefault="00256EBC" w:rsidP="003D3B2B">
            <w:pPr>
              <w:pStyle w:val="ListParagraph"/>
              <w:spacing w:before="40" w:after="40"/>
              <w:ind w:left="0"/>
              <w:contextualSpacing w:val="0"/>
              <w:cnfStyle w:val="000000100000"/>
              <w:rPr>
                <w:b/>
                <w:sz w:val="18"/>
                <w:szCs w:val="18"/>
              </w:rPr>
            </w:pPr>
            <w:r>
              <w:rPr>
                <w:b/>
                <w:sz w:val="18"/>
                <w:szCs w:val="18"/>
              </w:rPr>
              <w:t>2011</w:t>
            </w:r>
          </w:p>
        </w:tc>
        <w:tc>
          <w:tcPr>
            <w:tcW w:w="300" w:type="pct"/>
            <w:tcBorders>
              <w:top w:val="single" w:sz="4" w:space="0" w:color="FF0000"/>
            </w:tcBorders>
          </w:tcPr>
          <w:p w:rsidR="00256EBC" w:rsidRPr="003D3B2B" w:rsidRDefault="00256EBC" w:rsidP="000E09C7">
            <w:pPr>
              <w:pStyle w:val="ListParagraph"/>
              <w:spacing w:before="40" w:after="40"/>
              <w:ind w:left="0"/>
              <w:contextualSpacing w:val="0"/>
              <w:jc w:val="center"/>
              <w:cnfStyle w:val="000000100000"/>
              <w:rPr>
                <w:b/>
                <w:sz w:val="18"/>
                <w:szCs w:val="18"/>
              </w:rPr>
            </w:pPr>
          </w:p>
        </w:tc>
      </w:tr>
      <w:tr w:rsidR="00256EBC" w:rsidRPr="00CF4038" w:rsidTr="00256EBC">
        <w:tc>
          <w:tcPr>
            <w:cnfStyle w:val="001000000000"/>
            <w:tcW w:w="983" w:type="pct"/>
          </w:tcPr>
          <w:p w:rsidR="00256EBC" w:rsidRPr="00CF4038" w:rsidRDefault="00256EBC" w:rsidP="007377A4">
            <w:pPr>
              <w:pStyle w:val="ListParagraph"/>
              <w:spacing w:before="40" w:after="40"/>
              <w:ind w:left="0"/>
              <w:contextualSpacing w:val="0"/>
              <w:jc w:val="center"/>
              <w:rPr>
                <w:b w:val="0"/>
                <w:color w:val="auto"/>
                <w:sz w:val="18"/>
                <w:szCs w:val="18"/>
              </w:rPr>
            </w:pPr>
          </w:p>
        </w:tc>
        <w:tc>
          <w:tcPr>
            <w:tcW w:w="355" w:type="pct"/>
          </w:tcPr>
          <w:p w:rsidR="00256EBC" w:rsidRPr="00CF4038" w:rsidRDefault="00256EBC" w:rsidP="007377A4">
            <w:pPr>
              <w:pStyle w:val="ListParagraph"/>
              <w:spacing w:before="40" w:after="40"/>
              <w:ind w:left="0"/>
              <w:contextualSpacing w:val="0"/>
              <w:jc w:val="center"/>
              <w:cnfStyle w:val="000000000000"/>
              <w:rPr>
                <w:bCs/>
                <w:sz w:val="18"/>
                <w:szCs w:val="18"/>
              </w:rPr>
            </w:pPr>
          </w:p>
        </w:tc>
        <w:tc>
          <w:tcPr>
            <w:tcW w:w="346" w:type="pct"/>
          </w:tcPr>
          <w:p w:rsidR="00256EBC" w:rsidRPr="00CF4038" w:rsidRDefault="00256EBC" w:rsidP="007377A4">
            <w:pPr>
              <w:pStyle w:val="ListParagraph"/>
              <w:spacing w:before="40" w:after="40"/>
              <w:ind w:left="0"/>
              <w:contextualSpacing w:val="0"/>
              <w:jc w:val="center"/>
              <w:cnfStyle w:val="000000000000"/>
              <w:rPr>
                <w:b/>
                <w:color w:val="auto"/>
                <w:sz w:val="18"/>
                <w:szCs w:val="18"/>
              </w:rPr>
            </w:pPr>
          </w:p>
        </w:tc>
        <w:tc>
          <w:tcPr>
            <w:tcW w:w="347" w:type="pct"/>
          </w:tcPr>
          <w:p w:rsidR="00256EBC" w:rsidRPr="00CF4038" w:rsidRDefault="00256EBC" w:rsidP="007377A4">
            <w:pPr>
              <w:pStyle w:val="ListParagraph"/>
              <w:spacing w:before="40" w:after="40"/>
              <w:ind w:left="0"/>
              <w:contextualSpacing w:val="0"/>
              <w:jc w:val="center"/>
              <w:cnfStyle w:val="000000000000"/>
              <w:rPr>
                <w:b/>
                <w:color w:val="auto"/>
                <w:sz w:val="18"/>
                <w:szCs w:val="18"/>
              </w:rPr>
            </w:pPr>
          </w:p>
        </w:tc>
        <w:tc>
          <w:tcPr>
            <w:tcW w:w="177" w:type="pct"/>
          </w:tcPr>
          <w:p w:rsidR="00256EBC" w:rsidRPr="00CF4038" w:rsidRDefault="00256EBC" w:rsidP="007377A4">
            <w:pPr>
              <w:pStyle w:val="ListParagraph"/>
              <w:spacing w:before="40" w:after="40"/>
              <w:ind w:left="0"/>
              <w:contextualSpacing w:val="0"/>
              <w:jc w:val="center"/>
              <w:cnfStyle w:val="000000000000"/>
              <w:rPr>
                <w:b/>
                <w:color w:val="auto"/>
                <w:sz w:val="18"/>
                <w:szCs w:val="18"/>
              </w:rPr>
            </w:pPr>
          </w:p>
        </w:tc>
        <w:tc>
          <w:tcPr>
            <w:tcW w:w="339" w:type="pct"/>
          </w:tcPr>
          <w:p w:rsidR="00256EBC" w:rsidRPr="00CF4038" w:rsidRDefault="00256EBC" w:rsidP="00256EBC">
            <w:pPr>
              <w:spacing w:before="40" w:after="40"/>
              <w:jc w:val="center"/>
              <w:cnfStyle w:val="000000000000"/>
              <w:rPr>
                <w:b/>
                <w:color w:val="auto"/>
                <w:sz w:val="18"/>
                <w:szCs w:val="18"/>
              </w:rPr>
            </w:pPr>
            <w:r w:rsidRPr="00CF4038">
              <w:rPr>
                <w:b/>
                <w:color w:val="auto"/>
                <w:sz w:val="18"/>
                <w:szCs w:val="18"/>
              </w:rPr>
              <w:t>III</w:t>
            </w:r>
          </w:p>
        </w:tc>
        <w:tc>
          <w:tcPr>
            <w:tcW w:w="339" w:type="pct"/>
          </w:tcPr>
          <w:p w:rsidR="00256EBC" w:rsidRPr="00CF4038" w:rsidRDefault="00256EBC" w:rsidP="00256EBC">
            <w:pPr>
              <w:spacing w:before="40" w:after="40"/>
              <w:jc w:val="center"/>
              <w:cnfStyle w:val="000000000000"/>
              <w:rPr>
                <w:b/>
                <w:color w:val="auto"/>
                <w:sz w:val="18"/>
                <w:szCs w:val="18"/>
              </w:rPr>
            </w:pPr>
            <w:r w:rsidRPr="00CF4038">
              <w:rPr>
                <w:b/>
                <w:color w:val="auto"/>
                <w:sz w:val="18"/>
                <w:szCs w:val="18"/>
              </w:rPr>
              <w:t>IV</w:t>
            </w:r>
          </w:p>
        </w:tc>
        <w:tc>
          <w:tcPr>
            <w:tcW w:w="339" w:type="pct"/>
          </w:tcPr>
          <w:p w:rsidR="00256EBC" w:rsidRPr="00CF4038" w:rsidRDefault="00256EBC" w:rsidP="00256EBC">
            <w:pPr>
              <w:spacing w:before="40" w:after="40"/>
              <w:jc w:val="center"/>
              <w:cnfStyle w:val="000000000000"/>
              <w:rPr>
                <w:b/>
                <w:sz w:val="18"/>
                <w:szCs w:val="18"/>
              </w:rPr>
            </w:pPr>
            <w:r w:rsidRPr="00CF4038">
              <w:rPr>
                <w:b/>
                <w:color w:val="auto"/>
                <w:sz w:val="18"/>
                <w:szCs w:val="18"/>
              </w:rPr>
              <w:t>I</w:t>
            </w:r>
          </w:p>
        </w:tc>
        <w:tc>
          <w:tcPr>
            <w:tcW w:w="339" w:type="pct"/>
          </w:tcPr>
          <w:p w:rsidR="00256EBC" w:rsidRPr="00CF4038" w:rsidRDefault="00256EBC" w:rsidP="00256EBC">
            <w:pPr>
              <w:spacing w:before="40" w:after="40"/>
              <w:jc w:val="center"/>
              <w:cnfStyle w:val="000000000000"/>
              <w:rPr>
                <w:b/>
                <w:color w:val="auto"/>
                <w:sz w:val="18"/>
                <w:szCs w:val="18"/>
              </w:rPr>
            </w:pPr>
            <w:r w:rsidRPr="00CF4038">
              <w:rPr>
                <w:b/>
                <w:color w:val="auto"/>
                <w:sz w:val="18"/>
                <w:szCs w:val="18"/>
              </w:rPr>
              <w:t>II</w:t>
            </w:r>
          </w:p>
        </w:tc>
        <w:tc>
          <w:tcPr>
            <w:tcW w:w="339" w:type="pct"/>
          </w:tcPr>
          <w:p w:rsidR="00256EBC" w:rsidRPr="00CF4038" w:rsidRDefault="00256EBC" w:rsidP="00256EBC">
            <w:pPr>
              <w:spacing w:before="40" w:after="40"/>
              <w:jc w:val="center"/>
              <w:cnfStyle w:val="000000000000"/>
              <w:rPr>
                <w:b/>
                <w:sz w:val="18"/>
                <w:szCs w:val="18"/>
              </w:rPr>
            </w:pPr>
            <w:r w:rsidRPr="00CF4038">
              <w:rPr>
                <w:b/>
                <w:sz w:val="18"/>
                <w:szCs w:val="18"/>
              </w:rPr>
              <w:t>III</w:t>
            </w:r>
          </w:p>
        </w:tc>
        <w:tc>
          <w:tcPr>
            <w:tcW w:w="422" w:type="pct"/>
            <w:gridSpan w:val="3"/>
          </w:tcPr>
          <w:p w:rsidR="00256EBC" w:rsidRPr="00CF4038" w:rsidRDefault="00256EBC" w:rsidP="00256EBC">
            <w:pPr>
              <w:spacing w:before="40" w:after="40"/>
              <w:jc w:val="center"/>
              <w:cnfStyle w:val="000000000000"/>
              <w:rPr>
                <w:b/>
                <w:sz w:val="18"/>
                <w:szCs w:val="18"/>
              </w:rPr>
            </w:pPr>
            <w:r>
              <w:rPr>
                <w:b/>
                <w:sz w:val="18"/>
                <w:szCs w:val="18"/>
              </w:rPr>
              <w:t>IV</w:t>
            </w:r>
          </w:p>
        </w:tc>
        <w:tc>
          <w:tcPr>
            <w:tcW w:w="339" w:type="pct"/>
            <w:tcBorders>
              <w:top w:val="nil"/>
              <w:bottom w:val="nil"/>
              <w:right w:val="nil"/>
            </w:tcBorders>
          </w:tcPr>
          <w:p w:rsidR="00256EBC" w:rsidRPr="00CF4038" w:rsidRDefault="00256EBC" w:rsidP="00256EBC">
            <w:pPr>
              <w:spacing w:before="40" w:after="40"/>
              <w:jc w:val="center"/>
              <w:cnfStyle w:val="000000000000"/>
              <w:rPr>
                <w:b/>
                <w:sz w:val="18"/>
                <w:szCs w:val="18"/>
              </w:rPr>
            </w:pPr>
            <w:r>
              <w:rPr>
                <w:b/>
                <w:sz w:val="18"/>
                <w:szCs w:val="18"/>
              </w:rPr>
              <w:t>I</w:t>
            </w:r>
          </w:p>
        </w:tc>
        <w:tc>
          <w:tcPr>
            <w:tcW w:w="337" w:type="pct"/>
            <w:gridSpan w:val="2"/>
            <w:tcBorders>
              <w:left w:val="nil"/>
            </w:tcBorders>
          </w:tcPr>
          <w:p w:rsidR="00256EBC" w:rsidRPr="00CF4038" w:rsidRDefault="00256EBC" w:rsidP="007377A4">
            <w:pPr>
              <w:spacing w:before="40" w:after="40"/>
              <w:jc w:val="center"/>
              <w:cnfStyle w:val="000000000000"/>
              <w:rPr>
                <w:b/>
                <w:sz w:val="18"/>
                <w:szCs w:val="18"/>
              </w:rPr>
            </w:pPr>
            <w:r>
              <w:rPr>
                <w:b/>
                <w:sz w:val="18"/>
                <w:szCs w:val="18"/>
              </w:rPr>
              <w:t>II</w:t>
            </w:r>
          </w:p>
        </w:tc>
      </w:tr>
      <w:tr w:rsidR="00256EBC" w:rsidRPr="00B12C8D" w:rsidTr="00256EBC">
        <w:trPr>
          <w:cnfStyle w:val="000000100000"/>
        </w:trPr>
        <w:tc>
          <w:tcPr>
            <w:cnfStyle w:val="001000000000"/>
            <w:tcW w:w="1338"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Privātais patēriņš</w:t>
            </w:r>
          </w:p>
        </w:tc>
        <w:tc>
          <w:tcPr>
            <w:tcW w:w="346" w:type="pct"/>
            <w:vAlign w:val="bottom"/>
          </w:tcPr>
          <w:p w:rsidR="00256EBC" w:rsidRPr="00200473" w:rsidRDefault="00256EBC" w:rsidP="0089464A">
            <w:pPr>
              <w:tabs>
                <w:tab w:val="decimal" w:pos="296"/>
              </w:tabs>
              <w:spacing w:before="40" w:after="40"/>
              <w:jc w:val="center"/>
              <w:cnfStyle w:val="000000100000"/>
              <w:rPr>
                <w:color w:val="auto"/>
                <w:sz w:val="18"/>
                <w:szCs w:val="18"/>
              </w:rPr>
            </w:pPr>
            <w:r w:rsidRPr="00200473">
              <w:rPr>
                <w:color w:val="auto"/>
                <w:sz w:val="18"/>
                <w:szCs w:val="18"/>
              </w:rPr>
              <w:t>61,</w:t>
            </w:r>
            <w:r>
              <w:rPr>
                <w:color w:val="auto"/>
                <w:sz w:val="18"/>
                <w:szCs w:val="18"/>
              </w:rPr>
              <w:t>4</w:t>
            </w:r>
          </w:p>
        </w:tc>
        <w:tc>
          <w:tcPr>
            <w:tcW w:w="347" w:type="pct"/>
            <w:vAlign w:val="bottom"/>
          </w:tcPr>
          <w:p w:rsidR="00256EBC" w:rsidRPr="00200473" w:rsidRDefault="00256EBC" w:rsidP="00AD310F">
            <w:pPr>
              <w:tabs>
                <w:tab w:val="decimal" w:pos="296"/>
              </w:tabs>
              <w:spacing w:before="40" w:after="40"/>
              <w:jc w:val="center"/>
              <w:cnfStyle w:val="000000100000"/>
              <w:rPr>
                <w:color w:val="auto"/>
                <w:sz w:val="18"/>
                <w:szCs w:val="18"/>
              </w:rPr>
            </w:pPr>
            <w:r>
              <w:rPr>
                <w:color w:val="auto"/>
                <w:sz w:val="18"/>
                <w:szCs w:val="18"/>
              </w:rPr>
              <w:t>63,0</w:t>
            </w:r>
          </w:p>
        </w:tc>
        <w:tc>
          <w:tcPr>
            <w:tcW w:w="177" w:type="pct"/>
          </w:tcPr>
          <w:p w:rsidR="00256EBC" w:rsidRPr="00B12C8D" w:rsidRDefault="00256EBC" w:rsidP="00AD310F">
            <w:pPr>
              <w:tabs>
                <w:tab w:val="decimal" w:pos="296"/>
              </w:tabs>
              <w:spacing w:before="40" w:after="40"/>
              <w:jc w:val="center"/>
              <w:cnfStyle w:val="0000001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62,8</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60,9</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65,7</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62,8</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62,0</w:t>
            </w:r>
          </w:p>
        </w:tc>
        <w:tc>
          <w:tcPr>
            <w:tcW w:w="422" w:type="pct"/>
            <w:gridSpan w:val="3"/>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61,8</w:t>
            </w:r>
          </w:p>
        </w:tc>
        <w:tc>
          <w:tcPr>
            <w:tcW w:w="339" w:type="pct"/>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66,3</w:t>
            </w:r>
          </w:p>
        </w:tc>
        <w:tc>
          <w:tcPr>
            <w:tcW w:w="337" w:type="pct"/>
            <w:gridSpan w:val="2"/>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62,0</w:t>
            </w:r>
          </w:p>
        </w:tc>
      </w:tr>
      <w:tr w:rsidR="00256EBC" w:rsidRPr="00B12C8D" w:rsidTr="00256EBC">
        <w:tc>
          <w:tcPr>
            <w:cnfStyle w:val="001000000000"/>
            <w:tcW w:w="1338"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Valsts patēriņš</w:t>
            </w:r>
          </w:p>
        </w:tc>
        <w:tc>
          <w:tcPr>
            <w:tcW w:w="346" w:type="pct"/>
            <w:vAlign w:val="bottom"/>
          </w:tcPr>
          <w:p w:rsidR="00256EBC" w:rsidRPr="00200473" w:rsidRDefault="00256EBC" w:rsidP="00AD310F">
            <w:pPr>
              <w:tabs>
                <w:tab w:val="decimal" w:pos="296"/>
              </w:tabs>
              <w:spacing w:before="40" w:after="40"/>
              <w:jc w:val="center"/>
              <w:cnfStyle w:val="000000000000"/>
              <w:rPr>
                <w:color w:val="auto"/>
                <w:sz w:val="18"/>
                <w:szCs w:val="18"/>
              </w:rPr>
            </w:pPr>
            <w:r w:rsidRPr="00200473">
              <w:rPr>
                <w:color w:val="auto"/>
                <w:sz w:val="18"/>
                <w:szCs w:val="18"/>
              </w:rPr>
              <w:t>19,</w:t>
            </w:r>
            <w:r>
              <w:rPr>
                <w:color w:val="auto"/>
                <w:sz w:val="18"/>
                <w:szCs w:val="18"/>
              </w:rPr>
              <w:t>4</w:t>
            </w:r>
          </w:p>
        </w:tc>
        <w:tc>
          <w:tcPr>
            <w:tcW w:w="347" w:type="pct"/>
            <w:vAlign w:val="bottom"/>
          </w:tcPr>
          <w:p w:rsidR="00256EBC" w:rsidRPr="00200473" w:rsidRDefault="00256EBC" w:rsidP="00AD310F">
            <w:pPr>
              <w:tabs>
                <w:tab w:val="decimal" w:pos="296"/>
              </w:tabs>
              <w:spacing w:before="40" w:after="40"/>
              <w:jc w:val="center"/>
              <w:cnfStyle w:val="000000000000"/>
              <w:rPr>
                <w:color w:val="auto"/>
                <w:sz w:val="18"/>
                <w:szCs w:val="18"/>
              </w:rPr>
            </w:pPr>
            <w:r>
              <w:rPr>
                <w:color w:val="auto"/>
                <w:sz w:val="18"/>
                <w:szCs w:val="18"/>
              </w:rPr>
              <w:t>17,2</w:t>
            </w:r>
          </w:p>
        </w:tc>
        <w:tc>
          <w:tcPr>
            <w:tcW w:w="177" w:type="pct"/>
          </w:tcPr>
          <w:p w:rsidR="00256EBC" w:rsidRPr="00B12C8D" w:rsidRDefault="00256EBC" w:rsidP="00AD310F">
            <w:pPr>
              <w:tabs>
                <w:tab w:val="decimal" w:pos="296"/>
              </w:tabs>
              <w:spacing w:before="40" w:after="40"/>
              <w:jc w:val="center"/>
              <w:cnfStyle w:val="0000000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16,7</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18,5</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17,6</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17,8</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14,6</w:t>
            </w:r>
          </w:p>
        </w:tc>
        <w:tc>
          <w:tcPr>
            <w:tcW w:w="422" w:type="pct"/>
            <w:gridSpan w:val="3"/>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18,7</w:t>
            </w:r>
          </w:p>
        </w:tc>
        <w:tc>
          <w:tcPr>
            <w:tcW w:w="339" w:type="pct"/>
            <w:tcBorders>
              <w:top w:val="nil"/>
              <w:bottom w:val="nil"/>
              <w:righ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16,4</w:t>
            </w:r>
          </w:p>
        </w:tc>
        <w:tc>
          <w:tcPr>
            <w:tcW w:w="337" w:type="pct"/>
            <w:gridSpan w:val="2"/>
            <w:tcBorders>
              <w:lef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16,2</w:t>
            </w:r>
          </w:p>
        </w:tc>
      </w:tr>
      <w:tr w:rsidR="00256EBC" w:rsidRPr="00B12C8D" w:rsidTr="00256EBC">
        <w:trPr>
          <w:cnfStyle w:val="000000100000"/>
        </w:trPr>
        <w:tc>
          <w:tcPr>
            <w:cnfStyle w:val="001000000000"/>
            <w:tcW w:w="1338" w:type="pct"/>
            <w:gridSpan w:val="2"/>
          </w:tcPr>
          <w:p w:rsidR="00256EBC" w:rsidRPr="00B12C8D" w:rsidRDefault="00256EBC" w:rsidP="007377A4">
            <w:pPr>
              <w:spacing w:before="40" w:after="40"/>
              <w:rPr>
                <w:b w:val="0"/>
                <w:color w:val="auto"/>
                <w:sz w:val="18"/>
                <w:szCs w:val="18"/>
              </w:rPr>
            </w:pPr>
            <w:r w:rsidRPr="00E75F96">
              <w:rPr>
                <w:b w:val="0"/>
                <w:color w:val="auto"/>
                <w:sz w:val="18"/>
                <w:szCs w:val="18"/>
              </w:rPr>
              <w:t>Kopējā pamatkapitāla veidošana</w:t>
            </w:r>
          </w:p>
        </w:tc>
        <w:tc>
          <w:tcPr>
            <w:tcW w:w="346" w:type="pct"/>
            <w:vAlign w:val="bottom"/>
          </w:tcPr>
          <w:p w:rsidR="00256EBC" w:rsidRPr="00200473" w:rsidRDefault="00256EBC" w:rsidP="00AD310F">
            <w:pPr>
              <w:tabs>
                <w:tab w:val="decimal" w:pos="296"/>
              </w:tabs>
              <w:spacing w:before="40" w:after="40"/>
              <w:jc w:val="center"/>
              <w:cnfStyle w:val="000000100000"/>
              <w:rPr>
                <w:color w:val="auto"/>
                <w:sz w:val="18"/>
                <w:szCs w:val="18"/>
              </w:rPr>
            </w:pPr>
            <w:r w:rsidRPr="00200473">
              <w:rPr>
                <w:color w:val="auto"/>
                <w:sz w:val="18"/>
                <w:szCs w:val="18"/>
              </w:rPr>
              <w:t>21,</w:t>
            </w:r>
            <w:r>
              <w:rPr>
                <w:color w:val="auto"/>
                <w:sz w:val="18"/>
                <w:szCs w:val="18"/>
              </w:rPr>
              <w:t>6</w:t>
            </w:r>
          </w:p>
        </w:tc>
        <w:tc>
          <w:tcPr>
            <w:tcW w:w="347" w:type="pct"/>
            <w:vAlign w:val="bottom"/>
          </w:tcPr>
          <w:p w:rsidR="00256EBC" w:rsidRPr="00200473" w:rsidRDefault="00256EBC" w:rsidP="00AD310F">
            <w:pPr>
              <w:tabs>
                <w:tab w:val="decimal" w:pos="296"/>
              </w:tabs>
              <w:spacing w:before="40" w:after="40"/>
              <w:jc w:val="center"/>
              <w:cnfStyle w:val="000000100000"/>
              <w:rPr>
                <w:color w:val="auto"/>
                <w:sz w:val="18"/>
                <w:szCs w:val="18"/>
              </w:rPr>
            </w:pPr>
            <w:r>
              <w:rPr>
                <w:color w:val="auto"/>
                <w:sz w:val="18"/>
                <w:szCs w:val="18"/>
              </w:rPr>
              <w:t>18,0</w:t>
            </w:r>
          </w:p>
        </w:tc>
        <w:tc>
          <w:tcPr>
            <w:tcW w:w="177" w:type="pct"/>
          </w:tcPr>
          <w:p w:rsidR="00256EBC" w:rsidRPr="00B12C8D" w:rsidRDefault="00256EBC" w:rsidP="00AD310F">
            <w:pPr>
              <w:tabs>
                <w:tab w:val="decimal" w:pos="296"/>
              </w:tabs>
              <w:spacing w:before="40" w:after="40"/>
              <w:jc w:val="center"/>
              <w:cnfStyle w:val="0000001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22,5</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22,3</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12,0</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15,1</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21,8</w:t>
            </w:r>
          </w:p>
        </w:tc>
        <w:tc>
          <w:tcPr>
            <w:tcW w:w="422" w:type="pct"/>
            <w:gridSpan w:val="3"/>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22,0</w:t>
            </w:r>
          </w:p>
        </w:tc>
        <w:tc>
          <w:tcPr>
            <w:tcW w:w="339" w:type="pct"/>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14,8</w:t>
            </w:r>
          </w:p>
        </w:tc>
        <w:tc>
          <w:tcPr>
            <w:tcW w:w="337" w:type="pct"/>
            <w:gridSpan w:val="2"/>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16,5</w:t>
            </w:r>
          </w:p>
        </w:tc>
      </w:tr>
      <w:tr w:rsidR="00256EBC" w:rsidRPr="00B12C8D" w:rsidTr="00256EBC">
        <w:tc>
          <w:tcPr>
            <w:cnfStyle w:val="001000000000"/>
            <w:tcW w:w="1338"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Izmaiņas krājumos</w:t>
            </w:r>
          </w:p>
        </w:tc>
        <w:tc>
          <w:tcPr>
            <w:tcW w:w="346" w:type="pct"/>
            <w:vAlign w:val="bottom"/>
          </w:tcPr>
          <w:p w:rsidR="00256EBC" w:rsidRPr="00200473" w:rsidRDefault="00256EBC"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0,9</w:t>
            </w:r>
          </w:p>
        </w:tc>
        <w:tc>
          <w:tcPr>
            <w:tcW w:w="347" w:type="pct"/>
            <w:vAlign w:val="bottom"/>
          </w:tcPr>
          <w:p w:rsidR="00256EBC" w:rsidRPr="00200473" w:rsidRDefault="00256EBC" w:rsidP="00AD310F">
            <w:pPr>
              <w:tabs>
                <w:tab w:val="decimal" w:pos="296"/>
              </w:tabs>
              <w:spacing w:before="40" w:after="40"/>
              <w:jc w:val="center"/>
              <w:cnfStyle w:val="000000000000"/>
              <w:rPr>
                <w:color w:val="auto"/>
                <w:sz w:val="18"/>
                <w:szCs w:val="18"/>
              </w:rPr>
            </w:pPr>
            <w:r>
              <w:rPr>
                <w:color w:val="auto"/>
                <w:sz w:val="18"/>
                <w:szCs w:val="18"/>
              </w:rPr>
              <w:t>3,3</w:t>
            </w:r>
          </w:p>
        </w:tc>
        <w:tc>
          <w:tcPr>
            <w:tcW w:w="177" w:type="pct"/>
          </w:tcPr>
          <w:p w:rsidR="00256EBC" w:rsidRPr="00B12C8D" w:rsidRDefault="00256EBC" w:rsidP="00AD310F">
            <w:pPr>
              <w:tabs>
                <w:tab w:val="decimal" w:pos="296"/>
              </w:tabs>
              <w:spacing w:before="40" w:after="40"/>
              <w:jc w:val="center"/>
              <w:cnfStyle w:val="0000000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-0,2</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-2,7</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5,4</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4,4</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4,2</w:t>
            </w:r>
          </w:p>
        </w:tc>
        <w:tc>
          <w:tcPr>
            <w:tcW w:w="422" w:type="pct"/>
            <w:gridSpan w:val="3"/>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-0,4</w:t>
            </w:r>
          </w:p>
        </w:tc>
        <w:tc>
          <w:tcPr>
            <w:tcW w:w="339" w:type="pct"/>
            <w:tcBorders>
              <w:top w:val="nil"/>
              <w:bottom w:val="nil"/>
              <w:righ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4,8</w:t>
            </w:r>
          </w:p>
        </w:tc>
        <w:tc>
          <w:tcPr>
            <w:tcW w:w="337" w:type="pct"/>
            <w:gridSpan w:val="2"/>
            <w:tcBorders>
              <w:lef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6,7</w:t>
            </w:r>
          </w:p>
        </w:tc>
      </w:tr>
      <w:tr w:rsidR="00256EBC" w:rsidRPr="00B12C8D" w:rsidTr="00256EBC">
        <w:trPr>
          <w:cnfStyle w:val="000000100000"/>
        </w:trPr>
        <w:tc>
          <w:tcPr>
            <w:cnfStyle w:val="001000000000"/>
            <w:tcW w:w="1338"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Eksports</w:t>
            </w:r>
          </w:p>
        </w:tc>
        <w:tc>
          <w:tcPr>
            <w:tcW w:w="346" w:type="pct"/>
            <w:vAlign w:val="bottom"/>
          </w:tcPr>
          <w:p w:rsidR="00256EBC" w:rsidRPr="00200473" w:rsidRDefault="00256EBC" w:rsidP="00AD310F">
            <w:pPr>
              <w:tabs>
                <w:tab w:val="decimal" w:pos="296"/>
              </w:tabs>
              <w:spacing w:before="40" w:after="40"/>
              <w:jc w:val="center"/>
              <w:cnfStyle w:val="000000100000"/>
              <w:rPr>
                <w:color w:val="auto"/>
                <w:sz w:val="18"/>
                <w:szCs w:val="18"/>
              </w:rPr>
            </w:pPr>
            <w:r w:rsidRPr="00200473">
              <w:rPr>
                <w:color w:val="auto"/>
                <w:sz w:val="18"/>
                <w:szCs w:val="18"/>
              </w:rPr>
              <w:t>43,9</w:t>
            </w:r>
          </w:p>
        </w:tc>
        <w:tc>
          <w:tcPr>
            <w:tcW w:w="347" w:type="pct"/>
            <w:vAlign w:val="bottom"/>
          </w:tcPr>
          <w:p w:rsidR="00256EBC" w:rsidRPr="00200473" w:rsidRDefault="00256EBC" w:rsidP="00AD310F">
            <w:pPr>
              <w:tabs>
                <w:tab w:val="decimal" w:pos="296"/>
              </w:tabs>
              <w:spacing w:before="40" w:after="40"/>
              <w:jc w:val="center"/>
              <w:cnfStyle w:val="000000100000"/>
              <w:rPr>
                <w:color w:val="auto"/>
                <w:sz w:val="18"/>
                <w:szCs w:val="18"/>
              </w:rPr>
            </w:pPr>
            <w:r>
              <w:rPr>
                <w:color w:val="auto"/>
                <w:sz w:val="18"/>
                <w:szCs w:val="18"/>
              </w:rPr>
              <w:t>53,8</w:t>
            </w:r>
          </w:p>
        </w:tc>
        <w:tc>
          <w:tcPr>
            <w:tcW w:w="177" w:type="pct"/>
          </w:tcPr>
          <w:p w:rsidR="00256EBC" w:rsidRPr="00B12C8D" w:rsidRDefault="00256EBC" w:rsidP="00AD310F">
            <w:pPr>
              <w:tabs>
                <w:tab w:val="decimal" w:pos="296"/>
              </w:tabs>
              <w:spacing w:before="40" w:after="40"/>
              <w:jc w:val="center"/>
              <w:cnfStyle w:val="0000001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46,2</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47,8</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49,6</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52,3</w:t>
            </w:r>
          </w:p>
        </w:tc>
        <w:tc>
          <w:tcPr>
            <w:tcW w:w="339" w:type="pct"/>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56,4</w:t>
            </w:r>
          </w:p>
        </w:tc>
        <w:tc>
          <w:tcPr>
            <w:tcW w:w="422" w:type="pct"/>
            <w:gridSpan w:val="3"/>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56,1</w:t>
            </w:r>
          </w:p>
        </w:tc>
        <w:tc>
          <w:tcPr>
            <w:tcW w:w="339" w:type="pct"/>
            <w:tcBorders>
              <w:top w:val="nil"/>
              <w:bottom w:val="nil"/>
            </w:tcBorders>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60,7</w:t>
            </w:r>
          </w:p>
        </w:tc>
        <w:tc>
          <w:tcPr>
            <w:tcW w:w="337" w:type="pct"/>
            <w:gridSpan w:val="2"/>
            <w:vAlign w:val="bottom"/>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59,3</w:t>
            </w:r>
          </w:p>
        </w:tc>
      </w:tr>
      <w:tr w:rsidR="00256EBC" w:rsidRPr="00B12C8D" w:rsidTr="00256EBC">
        <w:tc>
          <w:tcPr>
            <w:cnfStyle w:val="001000000000"/>
            <w:tcW w:w="1338" w:type="pct"/>
            <w:gridSpan w:val="2"/>
          </w:tcPr>
          <w:p w:rsidR="00256EBC" w:rsidRPr="00E75F96" w:rsidRDefault="00256EBC" w:rsidP="007377A4">
            <w:pPr>
              <w:spacing w:before="40" w:after="40"/>
              <w:rPr>
                <w:b w:val="0"/>
                <w:color w:val="auto"/>
                <w:sz w:val="18"/>
                <w:szCs w:val="18"/>
              </w:rPr>
            </w:pPr>
            <w:r w:rsidRPr="00E75F96">
              <w:rPr>
                <w:b w:val="0"/>
                <w:color w:val="auto"/>
                <w:sz w:val="18"/>
                <w:szCs w:val="18"/>
              </w:rPr>
              <w:t>Imports</w:t>
            </w:r>
          </w:p>
        </w:tc>
        <w:tc>
          <w:tcPr>
            <w:tcW w:w="346" w:type="pct"/>
            <w:vAlign w:val="bottom"/>
          </w:tcPr>
          <w:p w:rsidR="00256EBC" w:rsidRPr="00200473" w:rsidRDefault="00256EBC" w:rsidP="00AD310F">
            <w:pPr>
              <w:tabs>
                <w:tab w:val="decimal" w:pos="296"/>
              </w:tabs>
              <w:spacing w:before="40" w:after="40"/>
              <w:jc w:val="center"/>
              <w:cnfStyle w:val="000000000000"/>
              <w:rPr>
                <w:color w:val="auto"/>
                <w:sz w:val="18"/>
                <w:szCs w:val="18"/>
              </w:rPr>
            </w:pPr>
            <w:r w:rsidRPr="00200473">
              <w:rPr>
                <w:color w:val="auto"/>
                <w:sz w:val="18"/>
                <w:szCs w:val="18"/>
              </w:rPr>
              <w:t>45,4</w:t>
            </w:r>
          </w:p>
        </w:tc>
        <w:tc>
          <w:tcPr>
            <w:tcW w:w="347" w:type="pct"/>
            <w:vAlign w:val="bottom"/>
          </w:tcPr>
          <w:p w:rsidR="00256EBC" w:rsidRPr="00200473" w:rsidRDefault="00256EBC" w:rsidP="00AD310F">
            <w:pPr>
              <w:tabs>
                <w:tab w:val="decimal" w:pos="296"/>
              </w:tabs>
              <w:spacing w:before="40" w:after="40"/>
              <w:jc w:val="center"/>
              <w:cnfStyle w:val="000000000000"/>
              <w:rPr>
                <w:color w:val="auto"/>
                <w:sz w:val="18"/>
                <w:szCs w:val="18"/>
              </w:rPr>
            </w:pPr>
            <w:r>
              <w:rPr>
                <w:color w:val="auto"/>
                <w:sz w:val="18"/>
                <w:szCs w:val="18"/>
              </w:rPr>
              <w:t>55,2</w:t>
            </w:r>
          </w:p>
        </w:tc>
        <w:tc>
          <w:tcPr>
            <w:tcW w:w="177" w:type="pct"/>
          </w:tcPr>
          <w:p w:rsidR="00256EBC" w:rsidRPr="00B12C8D" w:rsidRDefault="00256EBC" w:rsidP="00AD310F">
            <w:pPr>
              <w:tabs>
                <w:tab w:val="decimal" w:pos="296"/>
              </w:tabs>
              <w:spacing w:before="40" w:after="40"/>
              <w:jc w:val="center"/>
              <w:cnfStyle w:val="000000000000"/>
              <w:rPr>
                <w:color w:val="auto"/>
                <w:sz w:val="18"/>
                <w:szCs w:val="18"/>
              </w:rPr>
            </w:pP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48,0</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46,8</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50,3</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52,4</w:t>
            </w:r>
          </w:p>
        </w:tc>
        <w:tc>
          <w:tcPr>
            <w:tcW w:w="339" w:type="pct"/>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59,0</w:t>
            </w:r>
          </w:p>
        </w:tc>
        <w:tc>
          <w:tcPr>
            <w:tcW w:w="422" w:type="pct"/>
            <w:gridSpan w:val="3"/>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58,2</w:t>
            </w:r>
          </w:p>
        </w:tc>
        <w:tc>
          <w:tcPr>
            <w:tcW w:w="339" w:type="pct"/>
            <w:tcBorders>
              <w:top w:val="nil"/>
              <w:bottom w:val="nil"/>
              <w:righ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63,0</w:t>
            </w:r>
          </w:p>
        </w:tc>
        <w:tc>
          <w:tcPr>
            <w:tcW w:w="337" w:type="pct"/>
            <w:gridSpan w:val="2"/>
            <w:tcBorders>
              <w:left w:val="nil"/>
            </w:tcBorders>
            <w:vAlign w:val="bottom"/>
          </w:tcPr>
          <w:p w:rsidR="00256EBC" w:rsidRPr="00256EBC" w:rsidRDefault="00256EBC" w:rsidP="00256EBC">
            <w:pPr>
              <w:tabs>
                <w:tab w:val="decimal" w:pos="296"/>
              </w:tabs>
              <w:spacing w:before="40" w:after="40"/>
              <w:jc w:val="center"/>
              <w:cnfStyle w:val="000000000000"/>
              <w:rPr>
                <w:color w:val="auto"/>
                <w:sz w:val="18"/>
                <w:szCs w:val="18"/>
              </w:rPr>
            </w:pPr>
            <w:r w:rsidRPr="00256EBC">
              <w:rPr>
                <w:color w:val="auto"/>
                <w:sz w:val="18"/>
                <w:szCs w:val="18"/>
              </w:rPr>
              <w:t>60,6</w:t>
            </w:r>
          </w:p>
        </w:tc>
      </w:tr>
      <w:tr w:rsidR="00256EBC" w:rsidRPr="00B12C8D" w:rsidTr="00372FEC">
        <w:trPr>
          <w:cnfStyle w:val="000000100000"/>
        </w:trPr>
        <w:tc>
          <w:tcPr>
            <w:cnfStyle w:val="001000000000"/>
            <w:tcW w:w="1338" w:type="pct"/>
            <w:gridSpan w:val="2"/>
            <w:tcBorders>
              <w:bottom w:val="nil"/>
            </w:tcBorders>
          </w:tcPr>
          <w:p w:rsidR="00256EBC" w:rsidRPr="00E75F96" w:rsidRDefault="00256EBC" w:rsidP="007377A4">
            <w:pPr>
              <w:spacing w:before="40" w:after="40"/>
              <w:rPr>
                <w:b w:val="0"/>
                <w:color w:val="auto"/>
                <w:sz w:val="18"/>
                <w:szCs w:val="18"/>
              </w:rPr>
            </w:pPr>
            <w:r w:rsidRPr="00E75F96">
              <w:rPr>
                <w:b w:val="0"/>
                <w:color w:val="auto"/>
                <w:sz w:val="18"/>
                <w:szCs w:val="18"/>
              </w:rPr>
              <w:t>Eksporta-importa saldo</w:t>
            </w:r>
          </w:p>
        </w:tc>
        <w:tc>
          <w:tcPr>
            <w:tcW w:w="346" w:type="pct"/>
            <w:tcBorders>
              <w:bottom w:val="nil"/>
            </w:tcBorders>
            <w:vAlign w:val="bottom"/>
          </w:tcPr>
          <w:p w:rsidR="00256EBC" w:rsidRPr="00200473" w:rsidRDefault="00256EBC" w:rsidP="00AD310F">
            <w:pPr>
              <w:tabs>
                <w:tab w:val="decimal" w:pos="296"/>
              </w:tabs>
              <w:spacing w:before="40" w:after="40"/>
              <w:jc w:val="center"/>
              <w:cnfStyle w:val="000000100000"/>
              <w:rPr>
                <w:color w:val="auto"/>
                <w:sz w:val="18"/>
                <w:szCs w:val="18"/>
              </w:rPr>
            </w:pPr>
            <w:r w:rsidRPr="00200473">
              <w:rPr>
                <w:color w:val="auto"/>
                <w:sz w:val="18"/>
                <w:szCs w:val="18"/>
              </w:rPr>
              <w:t>-1,5</w:t>
            </w:r>
          </w:p>
        </w:tc>
        <w:tc>
          <w:tcPr>
            <w:tcW w:w="347" w:type="pct"/>
            <w:tcBorders>
              <w:bottom w:val="nil"/>
            </w:tcBorders>
            <w:vAlign w:val="bottom"/>
          </w:tcPr>
          <w:p w:rsidR="00256EBC" w:rsidRPr="00200473" w:rsidRDefault="00256EBC"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1,4</w:t>
            </w:r>
          </w:p>
        </w:tc>
        <w:tc>
          <w:tcPr>
            <w:tcW w:w="177" w:type="pct"/>
            <w:tcBorders>
              <w:bottom w:val="nil"/>
            </w:tcBorders>
          </w:tcPr>
          <w:p w:rsidR="00256EBC" w:rsidRPr="00B12C8D" w:rsidRDefault="00256EBC" w:rsidP="00AD310F">
            <w:pPr>
              <w:tabs>
                <w:tab w:val="decimal" w:pos="296"/>
              </w:tabs>
              <w:spacing w:before="40" w:after="40"/>
              <w:jc w:val="center"/>
              <w:cnfStyle w:val="000000100000"/>
              <w:rPr>
                <w:color w:val="auto"/>
                <w:sz w:val="18"/>
                <w:szCs w:val="18"/>
              </w:rPr>
            </w:pPr>
          </w:p>
        </w:tc>
        <w:tc>
          <w:tcPr>
            <w:tcW w:w="339" w:type="pct"/>
            <w:tcBorders>
              <w:bottom w:val="nil"/>
            </w:tcBorders>
            <w:vAlign w:val="bottom"/>
          </w:tcPr>
          <w:p w:rsidR="00256EBC" w:rsidRPr="00200473" w:rsidRDefault="00256EBC" w:rsidP="00256EBC">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8</w:t>
            </w:r>
          </w:p>
        </w:tc>
        <w:tc>
          <w:tcPr>
            <w:tcW w:w="339" w:type="pct"/>
            <w:tcBorders>
              <w:bottom w:val="nil"/>
            </w:tcBorders>
            <w:vAlign w:val="bottom"/>
          </w:tcPr>
          <w:p w:rsidR="00256EBC" w:rsidRPr="00200473" w:rsidRDefault="00256EBC" w:rsidP="00256EBC">
            <w:pPr>
              <w:tabs>
                <w:tab w:val="decimal" w:pos="296"/>
              </w:tabs>
              <w:spacing w:before="40" w:after="40"/>
              <w:jc w:val="center"/>
              <w:cnfStyle w:val="000000100000"/>
              <w:rPr>
                <w:color w:val="auto"/>
                <w:sz w:val="18"/>
                <w:szCs w:val="18"/>
              </w:rPr>
            </w:pPr>
            <w:r w:rsidRPr="00200473">
              <w:rPr>
                <w:color w:val="auto"/>
                <w:sz w:val="18"/>
                <w:szCs w:val="18"/>
              </w:rPr>
              <w:t>1,0</w:t>
            </w:r>
          </w:p>
        </w:tc>
        <w:tc>
          <w:tcPr>
            <w:tcW w:w="339" w:type="pct"/>
            <w:tcBorders>
              <w:bottom w:val="nil"/>
            </w:tcBorders>
            <w:vAlign w:val="bottom"/>
          </w:tcPr>
          <w:p w:rsidR="00256EBC" w:rsidRPr="00200473" w:rsidRDefault="00256EBC" w:rsidP="00256EBC">
            <w:pPr>
              <w:tabs>
                <w:tab w:val="decimal" w:pos="296"/>
              </w:tabs>
              <w:spacing w:before="40" w:after="40"/>
              <w:jc w:val="center"/>
              <w:cnfStyle w:val="000000100000"/>
              <w:rPr>
                <w:color w:val="auto"/>
                <w:sz w:val="18"/>
                <w:szCs w:val="18"/>
              </w:rPr>
            </w:pPr>
            <w:r w:rsidRPr="00200473">
              <w:rPr>
                <w:color w:val="auto"/>
                <w:sz w:val="18"/>
                <w:szCs w:val="18"/>
              </w:rPr>
              <w:t>-0,</w:t>
            </w:r>
            <w:r>
              <w:rPr>
                <w:color w:val="auto"/>
                <w:sz w:val="18"/>
                <w:szCs w:val="18"/>
              </w:rPr>
              <w:t>7</w:t>
            </w:r>
          </w:p>
        </w:tc>
        <w:tc>
          <w:tcPr>
            <w:tcW w:w="339" w:type="pct"/>
            <w:tcBorders>
              <w:bottom w:val="nil"/>
            </w:tcBorders>
            <w:vAlign w:val="bottom"/>
          </w:tcPr>
          <w:p w:rsidR="00256EBC" w:rsidRPr="00200473" w:rsidRDefault="00256EBC" w:rsidP="00256EBC">
            <w:pPr>
              <w:tabs>
                <w:tab w:val="decimal" w:pos="296"/>
              </w:tabs>
              <w:spacing w:before="40" w:after="40"/>
              <w:jc w:val="center"/>
              <w:cnfStyle w:val="000000100000"/>
              <w:rPr>
                <w:color w:val="auto"/>
                <w:sz w:val="18"/>
                <w:szCs w:val="18"/>
              </w:rPr>
            </w:pPr>
            <w:r>
              <w:rPr>
                <w:color w:val="auto"/>
                <w:sz w:val="18"/>
                <w:szCs w:val="18"/>
              </w:rPr>
              <w:t>-</w:t>
            </w:r>
            <w:r w:rsidRPr="00200473">
              <w:rPr>
                <w:color w:val="auto"/>
                <w:sz w:val="18"/>
                <w:szCs w:val="18"/>
              </w:rPr>
              <w:t>0,</w:t>
            </w:r>
            <w:r>
              <w:rPr>
                <w:color w:val="auto"/>
                <w:sz w:val="18"/>
                <w:szCs w:val="18"/>
              </w:rPr>
              <w:t>1</w:t>
            </w:r>
          </w:p>
        </w:tc>
        <w:tc>
          <w:tcPr>
            <w:tcW w:w="339" w:type="pct"/>
            <w:tcBorders>
              <w:bottom w:val="nil"/>
            </w:tcBorders>
            <w:vAlign w:val="bottom"/>
          </w:tcPr>
          <w:p w:rsidR="00256EBC" w:rsidRPr="00200473" w:rsidRDefault="00256EBC" w:rsidP="00256EBC">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2</w:t>
            </w:r>
            <w:r w:rsidRPr="00200473">
              <w:rPr>
                <w:color w:val="auto"/>
                <w:sz w:val="18"/>
                <w:szCs w:val="18"/>
              </w:rPr>
              <w:t>,</w:t>
            </w:r>
            <w:r>
              <w:rPr>
                <w:color w:val="auto"/>
                <w:sz w:val="18"/>
                <w:szCs w:val="18"/>
              </w:rPr>
              <w:t>6</w:t>
            </w:r>
          </w:p>
        </w:tc>
        <w:tc>
          <w:tcPr>
            <w:tcW w:w="422" w:type="pct"/>
            <w:gridSpan w:val="3"/>
            <w:tcBorders>
              <w:bottom w:val="nil"/>
            </w:tcBorders>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-2,1</w:t>
            </w:r>
          </w:p>
        </w:tc>
        <w:tc>
          <w:tcPr>
            <w:tcW w:w="339" w:type="pct"/>
            <w:tcBorders>
              <w:top w:val="nil"/>
              <w:bottom w:val="nil"/>
            </w:tcBorders>
          </w:tcPr>
          <w:p w:rsidR="00256EBC" w:rsidRPr="00256EBC" w:rsidRDefault="00256EBC" w:rsidP="00256EBC">
            <w:pPr>
              <w:tabs>
                <w:tab w:val="decimal" w:pos="296"/>
              </w:tabs>
              <w:spacing w:before="40" w:after="40"/>
              <w:jc w:val="center"/>
              <w:cnfStyle w:val="000000100000"/>
              <w:rPr>
                <w:color w:val="auto"/>
                <w:sz w:val="18"/>
                <w:szCs w:val="18"/>
              </w:rPr>
            </w:pPr>
            <w:r w:rsidRPr="00256EBC">
              <w:rPr>
                <w:color w:val="auto"/>
                <w:sz w:val="18"/>
                <w:szCs w:val="18"/>
              </w:rPr>
              <w:t>-2,3</w:t>
            </w:r>
          </w:p>
        </w:tc>
        <w:tc>
          <w:tcPr>
            <w:tcW w:w="337" w:type="pct"/>
            <w:gridSpan w:val="2"/>
            <w:tcBorders>
              <w:bottom w:val="nil"/>
            </w:tcBorders>
          </w:tcPr>
          <w:p w:rsidR="00256EBC" w:rsidRPr="00256EBC" w:rsidRDefault="00256EBC" w:rsidP="000E09C7">
            <w:pPr>
              <w:tabs>
                <w:tab w:val="decimal" w:pos="296"/>
              </w:tabs>
              <w:spacing w:before="40" w:after="40"/>
              <w:jc w:val="center"/>
              <w:cnfStyle w:val="000000100000"/>
              <w:rPr>
                <w:color w:val="auto"/>
                <w:sz w:val="18"/>
                <w:szCs w:val="18"/>
              </w:rPr>
            </w:pPr>
            <w:r w:rsidRPr="00256EBC">
              <w:rPr>
                <w:color w:val="auto"/>
                <w:sz w:val="18"/>
                <w:szCs w:val="18"/>
              </w:rPr>
              <w:t>-1,3</w:t>
            </w:r>
          </w:p>
        </w:tc>
      </w:tr>
      <w:tr w:rsidR="00256EBC" w:rsidRPr="00726024" w:rsidTr="00372FEC">
        <w:tc>
          <w:tcPr>
            <w:cnfStyle w:val="001000000000"/>
            <w:tcW w:w="1338" w:type="pct"/>
            <w:gridSpan w:val="2"/>
            <w:tcBorders>
              <w:top w:val="nil"/>
              <w:bottom w:val="single" w:sz="4" w:space="0" w:color="FF0000"/>
            </w:tcBorders>
          </w:tcPr>
          <w:p w:rsidR="00256EBC" w:rsidRPr="00726024" w:rsidRDefault="00256EBC" w:rsidP="007377A4">
            <w:pPr>
              <w:spacing w:before="40" w:after="40"/>
              <w:rPr>
                <w:color w:val="auto"/>
                <w:sz w:val="20"/>
                <w:szCs w:val="20"/>
              </w:rPr>
            </w:pPr>
            <w:r w:rsidRPr="00726024">
              <w:rPr>
                <w:color w:val="auto"/>
                <w:sz w:val="20"/>
                <w:szCs w:val="20"/>
              </w:rPr>
              <w:t>IKP</w:t>
            </w:r>
          </w:p>
        </w:tc>
        <w:tc>
          <w:tcPr>
            <w:tcW w:w="346" w:type="pct"/>
            <w:tcBorders>
              <w:top w:val="nil"/>
              <w:bottom w:val="single" w:sz="4" w:space="0" w:color="FF0000"/>
            </w:tcBorders>
          </w:tcPr>
          <w:p w:rsidR="00256EBC" w:rsidRPr="00726024" w:rsidRDefault="00256EBC"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47" w:type="pct"/>
            <w:tcBorders>
              <w:top w:val="nil"/>
              <w:bottom w:val="single" w:sz="4" w:space="0" w:color="FF0000"/>
            </w:tcBorders>
          </w:tcPr>
          <w:p w:rsidR="00256EBC" w:rsidRPr="00726024" w:rsidRDefault="00256EBC" w:rsidP="00AD310F">
            <w:pPr>
              <w:tabs>
                <w:tab w:val="decimal" w:pos="296"/>
              </w:tabs>
              <w:spacing w:before="40" w:after="40"/>
              <w:jc w:val="center"/>
              <w:cnfStyle w:val="000000000000"/>
              <w:rPr>
                <w:b/>
                <w:color w:val="auto"/>
                <w:sz w:val="20"/>
                <w:szCs w:val="20"/>
              </w:rPr>
            </w:pPr>
            <w:r w:rsidRPr="00726024">
              <w:rPr>
                <w:b/>
                <w:color w:val="auto"/>
                <w:sz w:val="20"/>
                <w:szCs w:val="20"/>
              </w:rPr>
              <w:t>100</w:t>
            </w:r>
          </w:p>
        </w:tc>
        <w:tc>
          <w:tcPr>
            <w:tcW w:w="177" w:type="pct"/>
            <w:tcBorders>
              <w:top w:val="nil"/>
              <w:bottom w:val="single" w:sz="4" w:space="0" w:color="FF0000"/>
            </w:tcBorders>
          </w:tcPr>
          <w:p w:rsidR="00256EBC" w:rsidRPr="00726024" w:rsidRDefault="00256EBC" w:rsidP="00AD310F">
            <w:pPr>
              <w:tabs>
                <w:tab w:val="decimal" w:pos="296"/>
              </w:tabs>
              <w:spacing w:before="40" w:after="40"/>
              <w:jc w:val="center"/>
              <w:cnfStyle w:val="000000000000"/>
              <w:rPr>
                <w:b/>
                <w:color w:val="auto"/>
                <w:sz w:val="20"/>
                <w:szCs w:val="20"/>
              </w:rPr>
            </w:pPr>
          </w:p>
        </w:tc>
        <w:tc>
          <w:tcPr>
            <w:tcW w:w="339" w:type="pct"/>
            <w:tcBorders>
              <w:top w:val="nil"/>
              <w:bottom w:val="single" w:sz="4" w:space="0" w:color="FF0000"/>
            </w:tcBorders>
          </w:tcPr>
          <w:p w:rsidR="00256EBC" w:rsidRPr="00726024" w:rsidRDefault="00256EBC" w:rsidP="00256EBC">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4" w:space="0" w:color="FF0000"/>
            </w:tcBorders>
          </w:tcPr>
          <w:p w:rsidR="00256EBC" w:rsidRPr="00726024" w:rsidRDefault="00256EBC" w:rsidP="00256EBC">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4" w:space="0" w:color="FF0000"/>
            </w:tcBorders>
          </w:tcPr>
          <w:p w:rsidR="00256EBC" w:rsidRPr="00726024" w:rsidRDefault="00256EBC" w:rsidP="00256EBC">
            <w:pPr>
              <w:tabs>
                <w:tab w:val="decimal" w:pos="296"/>
              </w:tabs>
              <w:spacing w:before="40" w:after="40"/>
              <w:jc w:val="center"/>
              <w:cnfStyle w:val="000000000000"/>
              <w:rPr>
                <w:b/>
                <w:color w:val="auto"/>
                <w:sz w:val="20"/>
                <w:szCs w:val="20"/>
              </w:rPr>
            </w:pPr>
            <w:r w:rsidRPr="00726024">
              <w:rPr>
                <w:b/>
                <w:color w:val="auto"/>
                <w:sz w:val="20"/>
                <w:szCs w:val="20"/>
              </w:rPr>
              <w:t>100</w:t>
            </w:r>
          </w:p>
        </w:tc>
        <w:tc>
          <w:tcPr>
            <w:tcW w:w="339" w:type="pct"/>
            <w:tcBorders>
              <w:top w:val="nil"/>
              <w:bottom w:val="single" w:sz="4" w:space="0" w:color="FF0000"/>
            </w:tcBorders>
          </w:tcPr>
          <w:p w:rsidR="00256EBC" w:rsidRPr="00726024" w:rsidRDefault="00256EBC" w:rsidP="00256EBC">
            <w:pPr>
              <w:tabs>
                <w:tab w:val="decimal" w:pos="296"/>
              </w:tabs>
              <w:spacing w:before="40" w:after="40"/>
              <w:jc w:val="center"/>
              <w:cnfStyle w:val="000000000000"/>
              <w:rPr>
                <w:b/>
                <w:color w:val="auto"/>
                <w:sz w:val="20"/>
                <w:szCs w:val="20"/>
              </w:rPr>
            </w:pPr>
            <w:r>
              <w:rPr>
                <w:b/>
                <w:color w:val="auto"/>
                <w:sz w:val="20"/>
                <w:szCs w:val="20"/>
              </w:rPr>
              <w:t>100</w:t>
            </w:r>
          </w:p>
        </w:tc>
        <w:tc>
          <w:tcPr>
            <w:tcW w:w="339" w:type="pct"/>
            <w:tcBorders>
              <w:top w:val="nil"/>
              <w:bottom w:val="single" w:sz="4" w:space="0" w:color="FF0000"/>
            </w:tcBorders>
          </w:tcPr>
          <w:p w:rsidR="00256EBC" w:rsidRDefault="00256EBC" w:rsidP="00256EBC">
            <w:pPr>
              <w:tabs>
                <w:tab w:val="decimal" w:pos="296"/>
              </w:tabs>
              <w:spacing w:before="40" w:after="40"/>
              <w:jc w:val="center"/>
              <w:cnfStyle w:val="000000000000"/>
              <w:rPr>
                <w:b/>
                <w:sz w:val="20"/>
                <w:szCs w:val="20"/>
              </w:rPr>
            </w:pPr>
            <w:r>
              <w:rPr>
                <w:b/>
                <w:sz w:val="20"/>
                <w:szCs w:val="20"/>
              </w:rPr>
              <w:t>100</w:t>
            </w:r>
          </w:p>
        </w:tc>
        <w:tc>
          <w:tcPr>
            <w:tcW w:w="422" w:type="pct"/>
            <w:gridSpan w:val="3"/>
            <w:tcBorders>
              <w:top w:val="nil"/>
              <w:bottom w:val="single" w:sz="4" w:space="0" w:color="FF0000"/>
            </w:tcBorders>
          </w:tcPr>
          <w:p w:rsidR="00256EBC" w:rsidRDefault="00256EBC" w:rsidP="00256EBC">
            <w:pPr>
              <w:tabs>
                <w:tab w:val="decimal" w:pos="296"/>
              </w:tabs>
              <w:spacing w:before="40" w:after="40"/>
              <w:jc w:val="center"/>
              <w:cnfStyle w:val="000000000000"/>
              <w:rPr>
                <w:b/>
                <w:sz w:val="20"/>
                <w:szCs w:val="20"/>
              </w:rPr>
            </w:pPr>
            <w:r>
              <w:rPr>
                <w:b/>
                <w:sz w:val="20"/>
                <w:szCs w:val="20"/>
              </w:rPr>
              <w:t>100</w:t>
            </w:r>
          </w:p>
        </w:tc>
        <w:tc>
          <w:tcPr>
            <w:tcW w:w="339" w:type="pct"/>
            <w:tcBorders>
              <w:top w:val="nil"/>
              <w:bottom w:val="single" w:sz="4" w:space="0" w:color="FF0000"/>
              <w:right w:val="nil"/>
            </w:tcBorders>
          </w:tcPr>
          <w:p w:rsidR="00256EBC" w:rsidRDefault="00256EBC" w:rsidP="00256EBC">
            <w:pPr>
              <w:tabs>
                <w:tab w:val="decimal" w:pos="296"/>
              </w:tabs>
              <w:spacing w:before="40" w:after="40"/>
              <w:jc w:val="center"/>
              <w:cnfStyle w:val="000000000000"/>
              <w:rPr>
                <w:b/>
                <w:sz w:val="20"/>
                <w:szCs w:val="20"/>
              </w:rPr>
            </w:pPr>
            <w:r>
              <w:rPr>
                <w:b/>
                <w:sz w:val="20"/>
                <w:szCs w:val="20"/>
              </w:rPr>
              <w:t>100</w:t>
            </w:r>
          </w:p>
        </w:tc>
        <w:tc>
          <w:tcPr>
            <w:tcW w:w="337" w:type="pct"/>
            <w:gridSpan w:val="2"/>
            <w:tcBorders>
              <w:top w:val="nil"/>
              <w:left w:val="nil"/>
              <w:bottom w:val="single" w:sz="4" w:space="0" w:color="FF0000"/>
            </w:tcBorders>
          </w:tcPr>
          <w:p w:rsidR="00256EBC" w:rsidRDefault="00256EBC" w:rsidP="000E09C7">
            <w:pPr>
              <w:tabs>
                <w:tab w:val="decimal" w:pos="296"/>
              </w:tabs>
              <w:spacing w:before="40" w:after="40"/>
              <w:jc w:val="center"/>
              <w:cnfStyle w:val="000000000000"/>
              <w:rPr>
                <w:b/>
                <w:sz w:val="20"/>
                <w:szCs w:val="20"/>
              </w:rPr>
            </w:pPr>
            <w:r>
              <w:rPr>
                <w:b/>
                <w:sz w:val="20"/>
                <w:szCs w:val="20"/>
              </w:rPr>
              <w:t>100</w:t>
            </w:r>
          </w:p>
        </w:tc>
      </w:tr>
    </w:tbl>
    <w:p w:rsidR="00E75F96" w:rsidRPr="007377A4" w:rsidRDefault="00E75F96" w:rsidP="00BE41C7">
      <w:pPr>
        <w:rPr>
          <w:szCs w:val="16"/>
        </w:rPr>
      </w:pPr>
    </w:p>
    <w:p w:rsidR="007377A4" w:rsidRPr="007377A4" w:rsidRDefault="007377A4" w:rsidP="00BE41C7">
      <w:pPr>
        <w:rPr>
          <w:szCs w:val="16"/>
        </w:rPr>
      </w:pPr>
    </w:p>
    <w:tbl>
      <w:tblPr>
        <w:tblStyle w:val="LightShading2"/>
        <w:tblW w:w="4874" w:type="pct"/>
        <w:tblLook w:val="04A0"/>
      </w:tblPr>
      <w:tblGrid>
        <w:gridCol w:w="1905"/>
        <w:gridCol w:w="714"/>
        <w:gridCol w:w="689"/>
        <w:gridCol w:w="689"/>
        <w:gridCol w:w="353"/>
        <w:gridCol w:w="648"/>
        <w:gridCol w:w="648"/>
        <w:gridCol w:w="648"/>
        <w:gridCol w:w="648"/>
        <w:gridCol w:w="663"/>
        <w:gridCol w:w="16"/>
        <w:gridCol w:w="653"/>
        <w:gridCol w:w="15"/>
        <w:gridCol w:w="655"/>
        <w:gridCol w:w="663"/>
      </w:tblGrid>
      <w:tr w:rsidR="00CF4038" w:rsidRPr="009E43F2" w:rsidTr="00A101D3">
        <w:trPr>
          <w:cnfStyle w:val="100000000000"/>
        </w:trPr>
        <w:tc>
          <w:tcPr>
            <w:cnfStyle w:val="001000000000"/>
            <w:tcW w:w="4307" w:type="pct"/>
            <w:gridSpan w:val="12"/>
            <w:tcBorders>
              <w:top w:val="single" w:sz="4" w:space="0" w:color="FF0000"/>
              <w:bottom w:val="single" w:sz="4" w:space="0" w:color="FF0000"/>
            </w:tcBorders>
          </w:tcPr>
          <w:p w:rsidR="00CF4038" w:rsidRDefault="00727473" w:rsidP="00A101D3">
            <w:pPr>
              <w:pStyle w:val="ListParagraph"/>
              <w:spacing w:before="40" w:after="40"/>
              <w:ind w:left="0"/>
              <w:contextualSpacing w:val="0"/>
              <w:rPr>
                <w:sz w:val="18"/>
                <w:szCs w:val="18"/>
              </w:rPr>
            </w:pPr>
            <w:r>
              <w:rPr>
                <w:color w:val="000000"/>
                <w:sz w:val="18"/>
                <w:szCs w:val="18"/>
              </w:rPr>
              <w:t>Ieguldījums pieaugumā</w:t>
            </w:r>
            <w:r w:rsidR="00CF4038">
              <w:rPr>
                <w:b w:val="0"/>
                <w:color w:val="auto"/>
                <w:sz w:val="18"/>
                <w:szCs w:val="18"/>
              </w:rPr>
              <w:t>, %</w:t>
            </w:r>
          </w:p>
        </w:tc>
        <w:tc>
          <w:tcPr>
            <w:tcW w:w="693" w:type="pct"/>
            <w:gridSpan w:val="3"/>
            <w:tcBorders>
              <w:top w:val="single" w:sz="4" w:space="0" w:color="FF0000"/>
              <w:bottom w:val="single" w:sz="4" w:space="0" w:color="FF0000"/>
            </w:tcBorders>
          </w:tcPr>
          <w:p w:rsidR="00CF4038" w:rsidRDefault="00CF4038" w:rsidP="007377A4">
            <w:pPr>
              <w:pStyle w:val="ListParagraph"/>
              <w:spacing w:before="40" w:after="40"/>
              <w:ind w:left="0"/>
              <w:contextualSpacing w:val="0"/>
              <w:jc w:val="center"/>
              <w:cnfStyle w:val="100000000000"/>
              <w:rPr>
                <w:sz w:val="18"/>
                <w:szCs w:val="18"/>
              </w:rPr>
            </w:pPr>
          </w:p>
        </w:tc>
      </w:tr>
      <w:tr w:rsidR="002F108E" w:rsidRPr="009E43F2" w:rsidTr="00A101D3">
        <w:trPr>
          <w:cnfStyle w:val="000000100000"/>
        </w:trPr>
        <w:tc>
          <w:tcPr>
            <w:cnfStyle w:val="001000000000"/>
            <w:tcW w:w="992" w:type="pct"/>
            <w:tcBorders>
              <w:top w:val="single" w:sz="4" w:space="0" w:color="FF0000"/>
            </w:tcBorders>
          </w:tcPr>
          <w:p w:rsidR="002F108E" w:rsidRPr="009E43F2" w:rsidRDefault="002F108E" w:rsidP="007377A4">
            <w:pPr>
              <w:pStyle w:val="ListParagraph"/>
              <w:spacing w:before="40" w:after="40"/>
              <w:ind w:left="0"/>
              <w:contextualSpacing w:val="0"/>
              <w:jc w:val="center"/>
              <w:rPr>
                <w:b w:val="0"/>
                <w:color w:val="auto"/>
                <w:sz w:val="18"/>
              </w:rPr>
            </w:pPr>
          </w:p>
        </w:tc>
        <w:tc>
          <w:tcPr>
            <w:tcW w:w="372" w:type="pct"/>
            <w:tcBorders>
              <w:top w:val="single" w:sz="4" w:space="0" w:color="FF0000"/>
            </w:tcBorders>
          </w:tcPr>
          <w:p w:rsidR="002F108E" w:rsidRPr="009E43F2" w:rsidRDefault="002F108E" w:rsidP="007377A4">
            <w:pPr>
              <w:pStyle w:val="ListParagraph"/>
              <w:spacing w:before="40" w:after="40"/>
              <w:ind w:left="0"/>
              <w:contextualSpacing w:val="0"/>
              <w:jc w:val="center"/>
              <w:cnfStyle w:val="000000100000"/>
              <w:rPr>
                <w:bCs/>
                <w:sz w:val="18"/>
              </w:rPr>
            </w:pPr>
          </w:p>
        </w:tc>
        <w:tc>
          <w:tcPr>
            <w:tcW w:w="359" w:type="pct"/>
            <w:tcBorders>
              <w:top w:val="single" w:sz="4" w:space="0" w:color="FF0000"/>
            </w:tcBorders>
          </w:tcPr>
          <w:p w:rsidR="002F108E" w:rsidRPr="009E43F2" w:rsidRDefault="002F108E" w:rsidP="007377A4">
            <w:pPr>
              <w:pStyle w:val="ListParagraph"/>
              <w:spacing w:before="40" w:after="40"/>
              <w:ind w:left="0"/>
              <w:contextualSpacing w:val="0"/>
              <w:jc w:val="center"/>
              <w:cnfStyle w:val="000000100000"/>
              <w:rPr>
                <w:b/>
                <w:color w:val="auto"/>
                <w:sz w:val="18"/>
                <w:szCs w:val="20"/>
              </w:rPr>
            </w:pPr>
            <w:r w:rsidRPr="009E43F2">
              <w:rPr>
                <w:b/>
                <w:color w:val="auto"/>
                <w:sz w:val="18"/>
                <w:szCs w:val="20"/>
              </w:rPr>
              <w:t>2009</w:t>
            </w:r>
          </w:p>
        </w:tc>
        <w:tc>
          <w:tcPr>
            <w:tcW w:w="359" w:type="pct"/>
            <w:tcBorders>
              <w:top w:val="single" w:sz="4" w:space="0" w:color="FF0000"/>
            </w:tcBorders>
          </w:tcPr>
          <w:p w:rsidR="002F108E" w:rsidRPr="009E43F2" w:rsidRDefault="002F108E" w:rsidP="007377A4">
            <w:pPr>
              <w:pStyle w:val="ListParagraph"/>
              <w:spacing w:before="40" w:after="40"/>
              <w:ind w:left="0"/>
              <w:contextualSpacing w:val="0"/>
              <w:jc w:val="center"/>
              <w:cnfStyle w:val="000000100000"/>
              <w:rPr>
                <w:b/>
                <w:color w:val="auto"/>
                <w:sz w:val="18"/>
                <w:szCs w:val="20"/>
              </w:rPr>
            </w:pPr>
            <w:r>
              <w:rPr>
                <w:b/>
                <w:color w:val="auto"/>
                <w:sz w:val="18"/>
                <w:szCs w:val="20"/>
              </w:rPr>
              <w:t>2010</w:t>
            </w:r>
          </w:p>
        </w:tc>
        <w:tc>
          <w:tcPr>
            <w:tcW w:w="184" w:type="pct"/>
            <w:tcBorders>
              <w:top w:val="single" w:sz="4" w:space="0" w:color="FF0000"/>
            </w:tcBorders>
          </w:tcPr>
          <w:p w:rsidR="002F108E" w:rsidRPr="009E43F2" w:rsidRDefault="002F108E" w:rsidP="007377A4">
            <w:pPr>
              <w:pStyle w:val="ListParagraph"/>
              <w:spacing w:before="40" w:after="40"/>
              <w:ind w:left="0"/>
              <w:contextualSpacing w:val="0"/>
              <w:jc w:val="center"/>
              <w:cnfStyle w:val="000000100000"/>
              <w:rPr>
                <w:b/>
                <w:color w:val="auto"/>
                <w:sz w:val="18"/>
                <w:szCs w:val="20"/>
              </w:rPr>
            </w:pPr>
          </w:p>
        </w:tc>
        <w:tc>
          <w:tcPr>
            <w:tcW w:w="337" w:type="pct"/>
            <w:tcBorders>
              <w:top w:val="single" w:sz="4" w:space="0" w:color="FF0000"/>
            </w:tcBorders>
          </w:tcPr>
          <w:p w:rsidR="002F108E" w:rsidRPr="009E43F2" w:rsidRDefault="002F108E" w:rsidP="007377A4">
            <w:pPr>
              <w:pStyle w:val="ListParagraph"/>
              <w:spacing w:before="40" w:after="40"/>
              <w:ind w:left="0"/>
              <w:contextualSpacing w:val="0"/>
              <w:cnfStyle w:val="000000100000"/>
              <w:rPr>
                <w:b/>
                <w:color w:val="auto"/>
                <w:sz w:val="18"/>
                <w:szCs w:val="20"/>
              </w:rPr>
            </w:pPr>
            <w:r w:rsidRPr="009E43F2">
              <w:rPr>
                <w:b/>
                <w:color w:val="auto"/>
                <w:sz w:val="18"/>
                <w:szCs w:val="20"/>
              </w:rPr>
              <w:t>2009</w:t>
            </w:r>
          </w:p>
        </w:tc>
        <w:tc>
          <w:tcPr>
            <w:tcW w:w="337" w:type="pct"/>
            <w:tcBorders>
              <w:top w:val="single" w:sz="4" w:space="0" w:color="FF0000"/>
            </w:tcBorders>
          </w:tcPr>
          <w:p w:rsidR="002F108E" w:rsidRPr="009E43F2" w:rsidRDefault="002F108E" w:rsidP="007377A4">
            <w:pPr>
              <w:pStyle w:val="ListParagraph"/>
              <w:spacing w:before="40" w:after="40"/>
              <w:ind w:left="0"/>
              <w:contextualSpacing w:val="0"/>
              <w:cnfStyle w:val="000000100000"/>
              <w:rPr>
                <w:b/>
                <w:sz w:val="18"/>
                <w:szCs w:val="20"/>
              </w:rPr>
            </w:pPr>
          </w:p>
        </w:tc>
        <w:tc>
          <w:tcPr>
            <w:tcW w:w="337" w:type="pct"/>
            <w:tcBorders>
              <w:top w:val="single" w:sz="4" w:space="0" w:color="FF0000"/>
            </w:tcBorders>
          </w:tcPr>
          <w:p w:rsidR="002F108E" w:rsidRPr="009E43F2" w:rsidRDefault="00256EBC" w:rsidP="007377A4">
            <w:pPr>
              <w:pStyle w:val="ListParagraph"/>
              <w:spacing w:before="40" w:after="40"/>
              <w:ind w:left="0"/>
              <w:contextualSpacing w:val="0"/>
              <w:cnfStyle w:val="000000100000"/>
              <w:rPr>
                <w:b/>
                <w:sz w:val="18"/>
                <w:szCs w:val="20"/>
              </w:rPr>
            </w:pPr>
            <w:r w:rsidRPr="00726024">
              <w:rPr>
                <w:b/>
                <w:color w:val="auto"/>
                <w:sz w:val="18"/>
                <w:szCs w:val="20"/>
              </w:rPr>
              <w:t>2010</w:t>
            </w:r>
          </w:p>
        </w:tc>
        <w:tc>
          <w:tcPr>
            <w:tcW w:w="337" w:type="pct"/>
            <w:tcBorders>
              <w:top w:val="single" w:sz="4" w:space="0" w:color="FF0000"/>
            </w:tcBorders>
          </w:tcPr>
          <w:p w:rsidR="002F108E" w:rsidRPr="009E43F2" w:rsidRDefault="002F108E" w:rsidP="007377A4">
            <w:pPr>
              <w:pStyle w:val="ListParagraph"/>
              <w:spacing w:before="40" w:after="40"/>
              <w:ind w:left="0"/>
              <w:contextualSpacing w:val="0"/>
              <w:cnfStyle w:val="000000100000"/>
              <w:rPr>
                <w:b/>
                <w:sz w:val="18"/>
                <w:szCs w:val="20"/>
              </w:rPr>
            </w:pPr>
          </w:p>
        </w:tc>
        <w:tc>
          <w:tcPr>
            <w:tcW w:w="353" w:type="pct"/>
            <w:gridSpan w:val="2"/>
            <w:tcBorders>
              <w:top w:val="single" w:sz="4" w:space="0" w:color="FF0000"/>
              <w:bottom w:val="nil"/>
            </w:tcBorders>
          </w:tcPr>
          <w:p w:rsidR="002F108E" w:rsidRPr="00726024" w:rsidRDefault="002F108E" w:rsidP="007377A4">
            <w:pPr>
              <w:pStyle w:val="ListParagraph"/>
              <w:spacing w:before="40" w:after="40"/>
              <w:ind w:left="0"/>
              <w:contextualSpacing w:val="0"/>
              <w:cnfStyle w:val="000000100000"/>
              <w:rPr>
                <w:b/>
                <w:sz w:val="18"/>
                <w:szCs w:val="20"/>
              </w:rPr>
            </w:pPr>
          </w:p>
        </w:tc>
        <w:tc>
          <w:tcPr>
            <w:tcW w:w="347" w:type="pct"/>
            <w:gridSpan w:val="2"/>
            <w:tcBorders>
              <w:top w:val="single" w:sz="4" w:space="0" w:color="FF0000"/>
              <w:bottom w:val="nil"/>
            </w:tcBorders>
          </w:tcPr>
          <w:p w:rsidR="002F108E" w:rsidRPr="00726024" w:rsidRDefault="002F108E" w:rsidP="007377A4">
            <w:pPr>
              <w:pStyle w:val="ListParagraph"/>
              <w:spacing w:before="40" w:after="40"/>
              <w:ind w:left="0"/>
              <w:contextualSpacing w:val="0"/>
              <w:cnfStyle w:val="000000100000"/>
              <w:rPr>
                <w:b/>
                <w:sz w:val="18"/>
                <w:szCs w:val="20"/>
              </w:rPr>
            </w:pPr>
          </w:p>
        </w:tc>
        <w:tc>
          <w:tcPr>
            <w:tcW w:w="341" w:type="pct"/>
            <w:tcBorders>
              <w:top w:val="single" w:sz="4" w:space="0" w:color="FF0000"/>
              <w:bottom w:val="nil"/>
            </w:tcBorders>
          </w:tcPr>
          <w:p w:rsidR="002F108E" w:rsidRPr="00726024" w:rsidRDefault="00256EBC" w:rsidP="007377A4">
            <w:pPr>
              <w:pStyle w:val="ListParagraph"/>
              <w:spacing w:before="40" w:after="40"/>
              <w:ind w:left="0"/>
              <w:contextualSpacing w:val="0"/>
              <w:cnfStyle w:val="000000100000"/>
              <w:rPr>
                <w:b/>
                <w:sz w:val="18"/>
                <w:szCs w:val="20"/>
              </w:rPr>
            </w:pPr>
            <w:r>
              <w:rPr>
                <w:b/>
                <w:sz w:val="18"/>
                <w:szCs w:val="20"/>
              </w:rPr>
              <w:t>2011</w:t>
            </w:r>
          </w:p>
        </w:tc>
        <w:tc>
          <w:tcPr>
            <w:tcW w:w="345" w:type="pct"/>
            <w:tcBorders>
              <w:top w:val="single" w:sz="4" w:space="0" w:color="FF0000"/>
            </w:tcBorders>
          </w:tcPr>
          <w:p w:rsidR="002F108E" w:rsidRPr="00726024" w:rsidRDefault="002F108E" w:rsidP="003D3B2B">
            <w:pPr>
              <w:pStyle w:val="ListParagraph"/>
              <w:spacing w:before="40" w:after="40"/>
              <w:ind w:left="0"/>
              <w:contextualSpacing w:val="0"/>
              <w:cnfStyle w:val="000000100000"/>
              <w:rPr>
                <w:b/>
                <w:sz w:val="18"/>
                <w:szCs w:val="20"/>
              </w:rPr>
            </w:pPr>
          </w:p>
        </w:tc>
      </w:tr>
      <w:tr w:rsidR="00256EBC" w:rsidRPr="009E43F2" w:rsidTr="00A101D3">
        <w:tc>
          <w:tcPr>
            <w:cnfStyle w:val="001000000000"/>
            <w:tcW w:w="992" w:type="pct"/>
          </w:tcPr>
          <w:p w:rsidR="00256EBC" w:rsidRPr="009E43F2" w:rsidRDefault="00256EBC" w:rsidP="007377A4">
            <w:pPr>
              <w:pStyle w:val="ListParagraph"/>
              <w:spacing w:before="40" w:after="40"/>
              <w:ind w:left="0"/>
              <w:contextualSpacing w:val="0"/>
              <w:jc w:val="center"/>
              <w:rPr>
                <w:b w:val="0"/>
                <w:color w:val="auto"/>
                <w:sz w:val="18"/>
              </w:rPr>
            </w:pPr>
          </w:p>
        </w:tc>
        <w:tc>
          <w:tcPr>
            <w:tcW w:w="372" w:type="pct"/>
          </w:tcPr>
          <w:p w:rsidR="00256EBC" w:rsidRPr="009E43F2" w:rsidRDefault="00256EBC" w:rsidP="007377A4">
            <w:pPr>
              <w:pStyle w:val="ListParagraph"/>
              <w:spacing w:before="40" w:after="40"/>
              <w:ind w:left="0"/>
              <w:contextualSpacing w:val="0"/>
              <w:jc w:val="center"/>
              <w:cnfStyle w:val="000000000000"/>
              <w:rPr>
                <w:bCs/>
                <w:sz w:val="18"/>
              </w:rPr>
            </w:pPr>
          </w:p>
        </w:tc>
        <w:tc>
          <w:tcPr>
            <w:tcW w:w="359"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359"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184" w:type="pct"/>
          </w:tcPr>
          <w:p w:rsidR="00256EBC" w:rsidRPr="009E43F2" w:rsidRDefault="00256EBC" w:rsidP="007377A4">
            <w:pPr>
              <w:pStyle w:val="ListParagraph"/>
              <w:spacing w:before="40" w:after="40"/>
              <w:ind w:left="0"/>
              <w:contextualSpacing w:val="0"/>
              <w:jc w:val="center"/>
              <w:cnfStyle w:val="000000000000"/>
              <w:rPr>
                <w:b/>
                <w:color w:val="auto"/>
                <w:sz w:val="18"/>
                <w:szCs w:val="20"/>
              </w:rPr>
            </w:pPr>
          </w:p>
        </w:tc>
        <w:tc>
          <w:tcPr>
            <w:tcW w:w="337" w:type="pct"/>
          </w:tcPr>
          <w:p w:rsidR="00256EBC" w:rsidRPr="009E43F2" w:rsidRDefault="00256EBC" w:rsidP="00256EBC">
            <w:pPr>
              <w:spacing w:before="40" w:after="40"/>
              <w:jc w:val="center"/>
              <w:cnfStyle w:val="000000000000"/>
              <w:rPr>
                <w:b/>
                <w:color w:val="auto"/>
                <w:sz w:val="18"/>
                <w:szCs w:val="20"/>
              </w:rPr>
            </w:pPr>
            <w:r w:rsidRPr="009E43F2">
              <w:rPr>
                <w:b/>
                <w:color w:val="auto"/>
                <w:sz w:val="18"/>
                <w:szCs w:val="20"/>
              </w:rPr>
              <w:t>III</w:t>
            </w:r>
          </w:p>
        </w:tc>
        <w:tc>
          <w:tcPr>
            <w:tcW w:w="337" w:type="pct"/>
          </w:tcPr>
          <w:p w:rsidR="00256EBC" w:rsidRPr="009E43F2" w:rsidRDefault="00256EBC" w:rsidP="00256EBC">
            <w:pPr>
              <w:spacing w:before="40" w:after="40"/>
              <w:jc w:val="center"/>
              <w:cnfStyle w:val="000000000000"/>
              <w:rPr>
                <w:b/>
                <w:color w:val="auto"/>
                <w:sz w:val="18"/>
                <w:szCs w:val="20"/>
              </w:rPr>
            </w:pPr>
            <w:r w:rsidRPr="009E43F2">
              <w:rPr>
                <w:b/>
                <w:color w:val="auto"/>
                <w:sz w:val="18"/>
                <w:szCs w:val="20"/>
              </w:rPr>
              <w:t>IV</w:t>
            </w:r>
          </w:p>
        </w:tc>
        <w:tc>
          <w:tcPr>
            <w:tcW w:w="337" w:type="pct"/>
          </w:tcPr>
          <w:p w:rsidR="00256EBC" w:rsidRPr="00726024" w:rsidRDefault="00256EBC" w:rsidP="00256EBC">
            <w:pPr>
              <w:spacing w:before="40" w:after="40"/>
              <w:jc w:val="center"/>
              <w:cnfStyle w:val="000000000000"/>
              <w:rPr>
                <w:b/>
                <w:sz w:val="18"/>
                <w:szCs w:val="20"/>
              </w:rPr>
            </w:pPr>
            <w:r>
              <w:rPr>
                <w:b/>
                <w:sz w:val="18"/>
                <w:szCs w:val="20"/>
              </w:rPr>
              <w:t>I</w:t>
            </w:r>
          </w:p>
        </w:tc>
        <w:tc>
          <w:tcPr>
            <w:tcW w:w="337" w:type="pct"/>
          </w:tcPr>
          <w:p w:rsidR="00256EBC" w:rsidRPr="00726024" w:rsidRDefault="00256EBC" w:rsidP="00256EBC">
            <w:pPr>
              <w:spacing w:before="40" w:after="40"/>
              <w:jc w:val="center"/>
              <w:cnfStyle w:val="000000000000"/>
              <w:rPr>
                <w:b/>
                <w:color w:val="auto"/>
                <w:sz w:val="18"/>
                <w:szCs w:val="20"/>
              </w:rPr>
            </w:pPr>
            <w:r>
              <w:rPr>
                <w:b/>
                <w:color w:val="auto"/>
                <w:sz w:val="18"/>
                <w:szCs w:val="20"/>
              </w:rPr>
              <w:t>I</w:t>
            </w:r>
            <w:r w:rsidRPr="00726024">
              <w:rPr>
                <w:b/>
                <w:color w:val="auto"/>
                <w:sz w:val="18"/>
                <w:szCs w:val="20"/>
              </w:rPr>
              <w:t>I</w:t>
            </w:r>
          </w:p>
        </w:tc>
        <w:tc>
          <w:tcPr>
            <w:tcW w:w="345" w:type="pct"/>
          </w:tcPr>
          <w:p w:rsidR="00256EBC" w:rsidRDefault="00256EBC" w:rsidP="00256EBC">
            <w:pPr>
              <w:spacing w:before="40" w:after="40"/>
              <w:jc w:val="center"/>
              <w:cnfStyle w:val="000000000000"/>
              <w:rPr>
                <w:b/>
                <w:sz w:val="18"/>
                <w:szCs w:val="20"/>
              </w:rPr>
            </w:pPr>
            <w:r>
              <w:rPr>
                <w:b/>
                <w:sz w:val="18"/>
                <w:szCs w:val="20"/>
              </w:rPr>
              <w:t>III</w:t>
            </w:r>
          </w:p>
        </w:tc>
        <w:tc>
          <w:tcPr>
            <w:tcW w:w="348" w:type="pct"/>
            <w:gridSpan w:val="2"/>
          </w:tcPr>
          <w:p w:rsidR="00256EBC" w:rsidRDefault="00256EBC" w:rsidP="00256EBC">
            <w:pPr>
              <w:spacing w:before="40" w:after="40"/>
              <w:jc w:val="center"/>
              <w:cnfStyle w:val="000000000000"/>
              <w:rPr>
                <w:b/>
                <w:sz w:val="18"/>
                <w:szCs w:val="20"/>
              </w:rPr>
            </w:pPr>
            <w:r>
              <w:rPr>
                <w:b/>
                <w:sz w:val="18"/>
                <w:szCs w:val="20"/>
              </w:rPr>
              <w:t>IV</w:t>
            </w:r>
          </w:p>
        </w:tc>
        <w:tc>
          <w:tcPr>
            <w:tcW w:w="348" w:type="pct"/>
            <w:gridSpan w:val="2"/>
            <w:tcBorders>
              <w:top w:val="nil"/>
              <w:bottom w:val="nil"/>
              <w:right w:val="nil"/>
            </w:tcBorders>
          </w:tcPr>
          <w:p w:rsidR="00256EBC" w:rsidRDefault="00256EBC" w:rsidP="00256EBC">
            <w:pPr>
              <w:spacing w:before="40" w:after="40"/>
              <w:jc w:val="center"/>
              <w:cnfStyle w:val="000000000000"/>
              <w:rPr>
                <w:b/>
                <w:sz w:val="18"/>
                <w:szCs w:val="20"/>
              </w:rPr>
            </w:pPr>
            <w:r>
              <w:rPr>
                <w:b/>
                <w:sz w:val="18"/>
                <w:szCs w:val="20"/>
              </w:rPr>
              <w:t>I</w:t>
            </w:r>
          </w:p>
        </w:tc>
        <w:tc>
          <w:tcPr>
            <w:tcW w:w="345" w:type="pct"/>
            <w:tcBorders>
              <w:left w:val="nil"/>
            </w:tcBorders>
          </w:tcPr>
          <w:p w:rsidR="00256EBC" w:rsidRDefault="00256EBC" w:rsidP="003D3B2B">
            <w:pPr>
              <w:spacing w:before="40" w:after="40"/>
              <w:jc w:val="center"/>
              <w:cnfStyle w:val="000000000000"/>
              <w:rPr>
                <w:b/>
                <w:sz w:val="18"/>
                <w:szCs w:val="20"/>
              </w:rPr>
            </w:pPr>
            <w:r>
              <w:rPr>
                <w:b/>
                <w:sz w:val="18"/>
                <w:szCs w:val="20"/>
              </w:rPr>
              <w:t>II</w:t>
            </w:r>
          </w:p>
        </w:tc>
      </w:tr>
      <w:tr w:rsidR="00A101D3" w:rsidRPr="00B12C8D" w:rsidTr="00A101D3">
        <w:trPr>
          <w:cnfStyle w:val="000000100000"/>
        </w:trPr>
        <w:tc>
          <w:tcPr>
            <w:cnfStyle w:val="001000000000"/>
            <w:tcW w:w="1364" w:type="pct"/>
            <w:gridSpan w:val="2"/>
          </w:tcPr>
          <w:p w:rsidR="00A101D3" w:rsidRPr="00E75F96" w:rsidRDefault="00A101D3" w:rsidP="007377A4">
            <w:pPr>
              <w:spacing w:before="40" w:after="40"/>
              <w:rPr>
                <w:b w:val="0"/>
                <w:color w:val="auto"/>
                <w:sz w:val="18"/>
                <w:szCs w:val="18"/>
              </w:rPr>
            </w:pPr>
            <w:r w:rsidRPr="00E75F96">
              <w:rPr>
                <w:b w:val="0"/>
                <w:color w:val="auto"/>
                <w:sz w:val="18"/>
                <w:szCs w:val="18"/>
              </w:rPr>
              <w:t>Privātais patēriņš</w:t>
            </w:r>
          </w:p>
        </w:tc>
        <w:tc>
          <w:tcPr>
            <w:tcW w:w="359" w:type="pct"/>
            <w:vAlign w:val="bottom"/>
          </w:tcPr>
          <w:p w:rsidR="00A101D3" w:rsidRPr="00200473" w:rsidRDefault="00A101D3" w:rsidP="0089464A">
            <w:pPr>
              <w:tabs>
                <w:tab w:val="decimal" w:pos="296"/>
              </w:tabs>
              <w:spacing w:before="40" w:after="40"/>
              <w:jc w:val="center"/>
              <w:cnfStyle w:val="000000100000"/>
              <w:rPr>
                <w:color w:val="auto"/>
                <w:sz w:val="18"/>
                <w:szCs w:val="18"/>
              </w:rPr>
            </w:pPr>
            <w:r w:rsidRPr="00200473">
              <w:rPr>
                <w:color w:val="auto"/>
                <w:sz w:val="18"/>
                <w:szCs w:val="18"/>
              </w:rPr>
              <w:t>-1</w:t>
            </w:r>
            <w:r>
              <w:rPr>
                <w:color w:val="auto"/>
                <w:sz w:val="18"/>
                <w:szCs w:val="18"/>
              </w:rPr>
              <w:t>6,2</w:t>
            </w:r>
          </w:p>
        </w:tc>
        <w:tc>
          <w:tcPr>
            <w:tcW w:w="359" w:type="pct"/>
            <w:vAlign w:val="bottom"/>
          </w:tcPr>
          <w:p w:rsidR="00A101D3" w:rsidRPr="00200473" w:rsidRDefault="00A101D3" w:rsidP="0089464A">
            <w:pPr>
              <w:tabs>
                <w:tab w:val="decimal" w:pos="296"/>
              </w:tabs>
              <w:spacing w:before="40" w:after="40"/>
              <w:jc w:val="center"/>
              <w:cnfStyle w:val="000000100000"/>
              <w:rPr>
                <w:color w:val="auto"/>
                <w:sz w:val="18"/>
                <w:szCs w:val="18"/>
              </w:rPr>
            </w:pPr>
            <w:r>
              <w:rPr>
                <w:color w:val="auto"/>
                <w:sz w:val="18"/>
                <w:szCs w:val="18"/>
              </w:rPr>
              <w:t>0,3</w:t>
            </w:r>
          </w:p>
        </w:tc>
        <w:tc>
          <w:tcPr>
            <w:tcW w:w="184" w:type="pct"/>
          </w:tcPr>
          <w:p w:rsidR="00A101D3" w:rsidRPr="00B12C8D" w:rsidRDefault="00A101D3" w:rsidP="00AD310F">
            <w:pPr>
              <w:tabs>
                <w:tab w:val="decimal" w:pos="296"/>
              </w:tabs>
              <w:spacing w:before="40" w:after="40"/>
              <w:jc w:val="center"/>
              <w:cnfStyle w:val="000000100000"/>
              <w:rPr>
                <w:color w:val="auto"/>
                <w:sz w:val="18"/>
                <w:szCs w:val="18"/>
              </w:rPr>
            </w:pP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-17,5</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-12,1</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-4,1</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-1,2</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2,3</w:t>
            </w:r>
          </w:p>
        </w:tc>
        <w:tc>
          <w:tcPr>
            <w:tcW w:w="348" w:type="pct"/>
            <w:gridSpan w:val="2"/>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3,7</w:t>
            </w:r>
          </w:p>
        </w:tc>
        <w:tc>
          <w:tcPr>
            <w:tcW w:w="348" w:type="pct"/>
            <w:gridSpan w:val="2"/>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2,6</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3,0</w:t>
            </w:r>
          </w:p>
        </w:tc>
      </w:tr>
      <w:tr w:rsidR="00A101D3" w:rsidRPr="00B12C8D" w:rsidTr="00A101D3">
        <w:tc>
          <w:tcPr>
            <w:cnfStyle w:val="001000000000"/>
            <w:tcW w:w="1364" w:type="pct"/>
            <w:gridSpan w:val="2"/>
          </w:tcPr>
          <w:p w:rsidR="00A101D3" w:rsidRPr="00E75F96" w:rsidRDefault="00A101D3" w:rsidP="007377A4">
            <w:pPr>
              <w:spacing w:before="40" w:after="40"/>
              <w:rPr>
                <w:b w:val="0"/>
                <w:color w:val="auto"/>
                <w:sz w:val="18"/>
                <w:szCs w:val="18"/>
              </w:rPr>
            </w:pPr>
            <w:r w:rsidRPr="00E75F96">
              <w:rPr>
                <w:b w:val="0"/>
                <w:color w:val="auto"/>
                <w:sz w:val="18"/>
                <w:szCs w:val="18"/>
              </w:rPr>
              <w:t>Valsts patēriņš</w:t>
            </w:r>
          </w:p>
        </w:tc>
        <w:tc>
          <w:tcPr>
            <w:tcW w:w="359" w:type="pct"/>
            <w:vAlign w:val="bottom"/>
          </w:tcPr>
          <w:p w:rsidR="00A101D3" w:rsidRPr="00200473" w:rsidRDefault="00A101D3" w:rsidP="00AD310F">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4</w:t>
            </w:r>
          </w:p>
        </w:tc>
        <w:tc>
          <w:tcPr>
            <w:tcW w:w="359" w:type="pct"/>
            <w:vAlign w:val="bottom"/>
          </w:tcPr>
          <w:p w:rsidR="00A101D3" w:rsidRPr="00200473" w:rsidRDefault="00A101D3" w:rsidP="00AD310F">
            <w:pPr>
              <w:tabs>
                <w:tab w:val="decimal" w:pos="296"/>
              </w:tabs>
              <w:spacing w:before="40" w:after="40"/>
              <w:jc w:val="center"/>
              <w:cnfStyle w:val="000000000000"/>
              <w:rPr>
                <w:color w:val="auto"/>
                <w:sz w:val="18"/>
                <w:szCs w:val="18"/>
              </w:rPr>
            </w:pPr>
            <w:r w:rsidRPr="00200473">
              <w:rPr>
                <w:color w:val="auto"/>
                <w:sz w:val="18"/>
                <w:szCs w:val="18"/>
              </w:rPr>
              <w:t>-1,</w:t>
            </w:r>
            <w:r>
              <w:rPr>
                <w:color w:val="auto"/>
                <w:sz w:val="18"/>
                <w:szCs w:val="18"/>
              </w:rPr>
              <w:t>6</w:t>
            </w:r>
          </w:p>
        </w:tc>
        <w:tc>
          <w:tcPr>
            <w:tcW w:w="184" w:type="pct"/>
          </w:tcPr>
          <w:p w:rsidR="00A101D3" w:rsidRPr="00B12C8D" w:rsidRDefault="00A101D3" w:rsidP="00AD310F">
            <w:pPr>
              <w:tabs>
                <w:tab w:val="decimal" w:pos="296"/>
              </w:tabs>
              <w:spacing w:before="40" w:after="40"/>
              <w:jc w:val="center"/>
              <w:cnfStyle w:val="000000000000"/>
              <w:rPr>
                <w:color w:val="auto"/>
                <w:sz w:val="18"/>
                <w:szCs w:val="18"/>
              </w:rPr>
            </w:pP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-1,7</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-2,6</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-2,3</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-2,1</w:t>
            </w:r>
          </w:p>
        </w:tc>
        <w:tc>
          <w:tcPr>
            <w:tcW w:w="345"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-0,7</w:t>
            </w:r>
          </w:p>
        </w:tc>
        <w:tc>
          <w:tcPr>
            <w:tcW w:w="348" w:type="pct"/>
            <w:gridSpan w:val="2"/>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-1,4</w:t>
            </w:r>
          </w:p>
        </w:tc>
        <w:tc>
          <w:tcPr>
            <w:tcW w:w="348" w:type="pct"/>
            <w:gridSpan w:val="2"/>
            <w:tcBorders>
              <w:top w:val="nil"/>
              <w:bottom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0,1</w:t>
            </w:r>
          </w:p>
        </w:tc>
        <w:tc>
          <w:tcPr>
            <w:tcW w:w="345" w:type="pct"/>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0,2</w:t>
            </w:r>
          </w:p>
        </w:tc>
      </w:tr>
      <w:tr w:rsidR="00A101D3" w:rsidRPr="00B12C8D" w:rsidTr="00A101D3">
        <w:trPr>
          <w:cnfStyle w:val="000000100000"/>
        </w:trPr>
        <w:tc>
          <w:tcPr>
            <w:cnfStyle w:val="001000000000"/>
            <w:tcW w:w="1364" w:type="pct"/>
            <w:gridSpan w:val="2"/>
          </w:tcPr>
          <w:p w:rsidR="00A101D3" w:rsidRPr="00B12C8D" w:rsidRDefault="00A101D3" w:rsidP="007377A4">
            <w:pPr>
              <w:spacing w:before="40" w:after="40"/>
              <w:rPr>
                <w:b w:val="0"/>
                <w:color w:val="auto"/>
                <w:sz w:val="18"/>
                <w:szCs w:val="18"/>
              </w:rPr>
            </w:pPr>
            <w:r w:rsidRPr="00E75F96">
              <w:rPr>
                <w:b w:val="0"/>
                <w:color w:val="auto"/>
                <w:sz w:val="18"/>
                <w:szCs w:val="18"/>
              </w:rPr>
              <w:t>Kopējā pamatkapitāla veidošana</w:t>
            </w:r>
          </w:p>
        </w:tc>
        <w:tc>
          <w:tcPr>
            <w:tcW w:w="359" w:type="pct"/>
            <w:vAlign w:val="bottom"/>
          </w:tcPr>
          <w:p w:rsidR="00A101D3" w:rsidRPr="00200473" w:rsidRDefault="00A101D3" w:rsidP="00AD310F">
            <w:pPr>
              <w:tabs>
                <w:tab w:val="decimal" w:pos="296"/>
              </w:tabs>
              <w:spacing w:before="40" w:after="40"/>
              <w:jc w:val="center"/>
              <w:cnfStyle w:val="000000100000"/>
              <w:rPr>
                <w:color w:val="auto"/>
                <w:sz w:val="18"/>
                <w:szCs w:val="18"/>
              </w:rPr>
            </w:pPr>
            <w:r w:rsidRPr="00200473">
              <w:rPr>
                <w:color w:val="auto"/>
                <w:sz w:val="18"/>
                <w:szCs w:val="18"/>
              </w:rPr>
              <w:t>-12,</w:t>
            </w:r>
            <w:r>
              <w:rPr>
                <w:color w:val="auto"/>
                <w:sz w:val="18"/>
                <w:szCs w:val="18"/>
              </w:rPr>
              <w:t>2</w:t>
            </w:r>
          </w:p>
        </w:tc>
        <w:tc>
          <w:tcPr>
            <w:tcW w:w="359" w:type="pct"/>
            <w:vAlign w:val="bottom"/>
          </w:tcPr>
          <w:p w:rsidR="00A101D3" w:rsidRPr="00200473" w:rsidRDefault="00A101D3" w:rsidP="00AD310F">
            <w:pPr>
              <w:tabs>
                <w:tab w:val="decimal" w:pos="296"/>
              </w:tabs>
              <w:spacing w:before="40" w:after="40"/>
              <w:jc w:val="center"/>
              <w:cnfStyle w:val="000000100000"/>
              <w:rPr>
                <w:color w:val="auto"/>
                <w:sz w:val="18"/>
                <w:szCs w:val="18"/>
              </w:rPr>
            </w:pPr>
            <w:r w:rsidRPr="00200473">
              <w:rPr>
                <w:color w:val="auto"/>
                <w:sz w:val="18"/>
                <w:szCs w:val="18"/>
              </w:rPr>
              <w:t>-</w:t>
            </w:r>
            <w:r>
              <w:rPr>
                <w:color w:val="auto"/>
                <w:sz w:val="18"/>
                <w:szCs w:val="18"/>
              </w:rPr>
              <w:t>4,8</w:t>
            </w:r>
          </w:p>
        </w:tc>
        <w:tc>
          <w:tcPr>
            <w:tcW w:w="184" w:type="pct"/>
          </w:tcPr>
          <w:p w:rsidR="00A101D3" w:rsidRPr="00B12C8D" w:rsidRDefault="00A101D3" w:rsidP="00AD310F">
            <w:pPr>
              <w:tabs>
                <w:tab w:val="decimal" w:pos="296"/>
              </w:tabs>
              <w:spacing w:before="40" w:after="40"/>
              <w:jc w:val="center"/>
              <w:cnfStyle w:val="000000100000"/>
              <w:rPr>
                <w:color w:val="auto"/>
                <w:sz w:val="18"/>
                <w:szCs w:val="18"/>
              </w:rPr>
            </w:pP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-13,2</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-13,4</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-10,5</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-9,3</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0,2</w:t>
            </w:r>
          </w:p>
        </w:tc>
        <w:tc>
          <w:tcPr>
            <w:tcW w:w="348" w:type="pct"/>
            <w:gridSpan w:val="2"/>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-0,2</w:t>
            </w:r>
          </w:p>
        </w:tc>
        <w:tc>
          <w:tcPr>
            <w:tcW w:w="348" w:type="pct"/>
            <w:gridSpan w:val="2"/>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4,0</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3,7</w:t>
            </w:r>
          </w:p>
        </w:tc>
      </w:tr>
      <w:tr w:rsidR="00A101D3" w:rsidRPr="00B12C8D" w:rsidTr="00A101D3">
        <w:tc>
          <w:tcPr>
            <w:cnfStyle w:val="001000000000"/>
            <w:tcW w:w="1364" w:type="pct"/>
            <w:gridSpan w:val="2"/>
          </w:tcPr>
          <w:p w:rsidR="00A101D3" w:rsidRPr="00E75F96" w:rsidRDefault="00A101D3" w:rsidP="007377A4">
            <w:pPr>
              <w:spacing w:before="40" w:after="40"/>
              <w:rPr>
                <w:b w:val="0"/>
                <w:color w:val="auto"/>
                <w:sz w:val="18"/>
                <w:szCs w:val="18"/>
              </w:rPr>
            </w:pPr>
            <w:r w:rsidRPr="00E75F96">
              <w:rPr>
                <w:b w:val="0"/>
                <w:color w:val="auto"/>
                <w:sz w:val="18"/>
                <w:szCs w:val="18"/>
              </w:rPr>
              <w:t>Izmaiņas krājumos</w:t>
            </w:r>
          </w:p>
        </w:tc>
        <w:tc>
          <w:tcPr>
            <w:tcW w:w="359" w:type="pct"/>
            <w:vAlign w:val="bottom"/>
          </w:tcPr>
          <w:p w:rsidR="00A101D3" w:rsidRPr="00200473" w:rsidRDefault="00A101D3" w:rsidP="00AD310F">
            <w:pPr>
              <w:tabs>
                <w:tab w:val="decimal" w:pos="296"/>
              </w:tabs>
              <w:spacing w:before="40" w:after="40"/>
              <w:jc w:val="center"/>
              <w:cnfStyle w:val="000000000000"/>
              <w:rPr>
                <w:color w:val="auto"/>
                <w:sz w:val="18"/>
                <w:szCs w:val="18"/>
              </w:rPr>
            </w:pPr>
            <w:r w:rsidRPr="00200473">
              <w:rPr>
                <w:color w:val="auto"/>
                <w:sz w:val="18"/>
                <w:szCs w:val="18"/>
              </w:rPr>
              <w:t>-</w:t>
            </w:r>
            <w:r>
              <w:rPr>
                <w:color w:val="auto"/>
                <w:sz w:val="18"/>
                <w:szCs w:val="18"/>
              </w:rPr>
              <w:t>2,5</w:t>
            </w:r>
          </w:p>
        </w:tc>
        <w:tc>
          <w:tcPr>
            <w:tcW w:w="359" w:type="pct"/>
            <w:vAlign w:val="bottom"/>
          </w:tcPr>
          <w:p w:rsidR="00A101D3" w:rsidRPr="00200473" w:rsidRDefault="00A101D3" w:rsidP="00AD310F">
            <w:pPr>
              <w:tabs>
                <w:tab w:val="decimal" w:pos="296"/>
              </w:tabs>
              <w:spacing w:before="40" w:after="40"/>
              <w:jc w:val="center"/>
              <w:cnfStyle w:val="000000000000"/>
              <w:rPr>
                <w:color w:val="auto"/>
                <w:sz w:val="18"/>
                <w:szCs w:val="18"/>
              </w:rPr>
            </w:pPr>
            <w:r>
              <w:rPr>
                <w:color w:val="auto"/>
                <w:sz w:val="18"/>
                <w:szCs w:val="18"/>
              </w:rPr>
              <w:t>6,2</w:t>
            </w:r>
          </w:p>
        </w:tc>
        <w:tc>
          <w:tcPr>
            <w:tcW w:w="184" w:type="pct"/>
          </w:tcPr>
          <w:p w:rsidR="00A101D3" w:rsidRPr="00B12C8D" w:rsidRDefault="00A101D3" w:rsidP="00AD310F">
            <w:pPr>
              <w:tabs>
                <w:tab w:val="decimal" w:pos="296"/>
              </w:tabs>
              <w:spacing w:before="40" w:after="40"/>
              <w:jc w:val="center"/>
              <w:cnfStyle w:val="000000000000"/>
              <w:rPr>
                <w:color w:val="auto"/>
                <w:sz w:val="18"/>
                <w:szCs w:val="18"/>
              </w:rPr>
            </w:pP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-0,9</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-1,4</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8,1</w:t>
            </w:r>
          </w:p>
        </w:tc>
        <w:tc>
          <w:tcPr>
            <w:tcW w:w="337"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10,2</w:t>
            </w:r>
          </w:p>
        </w:tc>
        <w:tc>
          <w:tcPr>
            <w:tcW w:w="345"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2,4</w:t>
            </w:r>
          </w:p>
        </w:tc>
        <w:tc>
          <w:tcPr>
            <w:tcW w:w="348" w:type="pct"/>
            <w:gridSpan w:val="2"/>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4,4</w:t>
            </w:r>
          </w:p>
        </w:tc>
        <w:tc>
          <w:tcPr>
            <w:tcW w:w="348" w:type="pct"/>
            <w:gridSpan w:val="2"/>
            <w:tcBorders>
              <w:top w:val="nil"/>
              <w:bottom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1,8</w:t>
            </w:r>
          </w:p>
        </w:tc>
        <w:tc>
          <w:tcPr>
            <w:tcW w:w="345" w:type="pct"/>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3,0</w:t>
            </w:r>
          </w:p>
        </w:tc>
      </w:tr>
      <w:tr w:rsidR="00A101D3" w:rsidRPr="00B12C8D" w:rsidTr="00A101D3">
        <w:trPr>
          <w:cnfStyle w:val="000000100000"/>
        </w:trPr>
        <w:tc>
          <w:tcPr>
            <w:cnfStyle w:val="001000000000"/>
            <w:tcW w:w="1364" w:type="pct"/>
            <w:gridSpan w:val="2"/>
          </w:tcPr>
          <w:p w:rsidR="00A101D3" w:rsidRPr="00E75F96" w:rsidRDefault="00A101D3" w:rsidP="007377A4">
            <w:pPr>
              <w:spacing w:before="40" w:after="40"/>
              <w:rPr>
                <w:b w:val="0"/>
                <w:color w:val="auto"/>
                <w:sz w:val="18"/>
                <w:szCs w:val="18"/>
              </w:rPr>
            </w:pPr>
            <w:r w:rsidRPr="00E75F96">
              <w:rPr>
                <w:b w:val="0"/>
                <w:color w:val="auto"/>
                <w:sz w:val="18"/>
                <w:szCs w:val="18"/>
              </w:rPr>
              <w:t>Eksports</w:t>
            </w:r>
          </w:p>
        </w:tc>
        <w:tc>
          <w:tcPr>
            <w:tcW w:w="359" w:type="pct"/>
            <w:vAlign w:val="bottom"/>
          </w:tcPr>
          <w:p w:rsidR="00A101D3" w:rsidRPr="00200473" w:rsidRDefault="00A101D3" w:rsidP="00AD310F">
            <w:pPr>
              <w:tabs>
                <w:tab w:val="decimal" w:pos="296"/>
              </w:tabs>
              <w:spacing w:before="40" w:after="40"/>
              <w:jc w:val="center"/>
              <w:cnfStyle w:val="000000100000"/>
              <w:rPr>
                <w:color w:val="auto"/>
                <w:sz w:val="18"/>
                <w:szCs w:val="18"/>
              </w:rPr>
            </w:pPr>
            <w:r w:rsidRPr="00200473">
              <w:rPr>
                <w:color w:val="auto"/>
                <w:sz w:val="18"/>
                <w:szCs w:val="18"/>
              </w:rPr>
              <w:t>-6,3</w:t>
            </w:r>
          </w:p>
        </w:tc>
        <w:tc>
          <w:tcPr>
            <w:tcW w:w="359" w:type="pct"/>
            <w:vAlign w:val="bottom"/>
          </w:tcPr>
          <w:p w:rsidR="00A101D3" w:rsidRPr="00200473" w:rsidRDefault="00A101D3" w:rsidP="00AD310F">
            <w:pPr>
              <w:tabs>
                <w:tab w:val="decimal" w:pos="296"/>
              </w:tabs>
              <w:spacing w:before="40" w:after="40"/>
              <w:jc w:val="center"/>
              <w:cnfStyle w:val="000000100000"/>
              <w:rPr>
                <w:color w:val="auto"/>
                <w:sz w:val="18"/>
                <w:szCs w:val="18"/>
              </w:rPr>
            </w:pPr>
            <w:r>
              <w:rPr>
                <w:color w:val="auto"/>
                <w:sz w:val="18"/>
                <w:szCs w:val="18"/>
              </w:rPr>
              <w:t>5,4</w:t>
            </w:r>
          </w:p>
        </w:tc>
        <w:tc>
          <w:tcPr>
            <w:tcW w:w="184" w:type="pct"/>
          </w:tcPr>
          <w:p w:rsidR="00A101D3" w:rsidRPr="00B12C8D" w:rsidRDefault="00A101D3" w:rsidP="00AD310F">
            <w:pPr>
              <w:tabs>
                <w:tab w:val="decimal" w:pos="296"/>
              </w:tabs>
              <w:spacing w:before="40" w:after="40"/>
              <w:jc w:val="center"/>
              <w:cnfStyle w:val="000000100000"/>
              <w:rPr>
                <w:color w:val="auto"/>
                <w:sz w:val="18"/>
                <w:szCs w:val="18"/>
              </w:rPr>
            </w:pP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-6,2</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-1,6</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2,1</w:t>
            </w:r>
          </w:p>
        </w:tc>
        <w:tc>
          <w:tcPr>
            <w:tcW w:w="337"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3,7</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8,0</w:t>
            </w:r>
          </w:p>
        </w:tc>
        <w:tc>
          <w:tcPr>
            <w:tcW w:w="348" w:type="pct"/>
            <w:gridSpan w:val="2"/>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7,4</w:t>
            </w:r>
          </w:p>
        </w:tc>
        <w:tc>
          <w:tcPr>
            <w:tcW w:w="348" w:type="pct"/>
            <w:gridSpan w:val="2"/>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7,7</w:t>
            </w:r>
          </w:p>
        </w:tc>
        <w:tc>
          <w:tcPr>
            <w:tcW w:w="345"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7,7</w:t>
            </w:r>
          </w:p>
        </w:tc>
      </w:tr>
      <w:tr w:rsidR="00A101D3" w:rsidRPr="00B12C8D" w:rsidTr="00A101D3">
        <w:tc>
          <w:tcPr>
            <w:cnfStyle w:val="001000000000"/>
            <w:tcW w:w="1364" w:type="pct"/>
            <w:gridSpan w:val="2"/>
            <w:tcBorders>
              <w:bottom w:val="nil"/>
            </w:tcBorders>
          </w:tcPr>
          <w:p w:rsidR="00A101D3" w:rsidRPr="00E75F96" w:rsidRDefault="00A101D3" w:rsidP="007377A4">
            <w:pPr>
              <w:spacing w:before="40" w:after="40"/>
              <w:rPr>
                <w:b w:val="0"/>
                <w:color w:val="auto"/>
                <w:sz w:val="18"/>
                <w:szCs w:val="18"/>
              </w:rPr>
            </w:pPr>
            <w:r w:rsidRPr="00E75F96">
              <w:rPr>
                <w:b w:val="0"/>
                <w:color w:val="auto"/>
                <w:sz w:val="18"/>
                <w:szCs w:val="18"/>
              </w:rPr>
              <w:t>Imports</w:t>
            </w:r>
          </w:p>
        </w:tc>
        <w:tc>
          <w:tcPr>
            <w:tcW w:w="359" w:type="pct"/>
            <w:tcBorders>
              <w:bottom w:val="nil"/>
            </w:tcBorders>
            <w:vAlign w:val="bottom"/>
          </w:tcPr>
          <w:p w:rsidR="00A101D3" w:rsidRPr="00200473" w:rsidRDefault="00A101D3" w:rsidP="00AD310F">
            <w:pPr>
              <w:tabs>
                <w:tab w:val="decimal" w:pos="296"/>
              </w:tabs>
              <w:spacing w:before="40" w:after="40"/>
              <w:jc w:val="center"/>
              <w:cnfStyle w:val="000000000000"/>
              <w:rPr>
                <w:color w:val="auto"/>
                <w:sz w:val="18"/>
                <w:szCs w:val="18"/>
              </w:rPr>
            </w:pPr>
            <w:r w:rsidRPr="00200473">
              <w:rPr>
                <w:color w:val="auto"/>
                <w:sz w:val="18"/>
                <w:szCs w:val="18"/>
              </w:rPr>
              <w:t>20,</w:t>
            </w:r>
            <w:r>
              <w:rPr>
                <w:color w:val="auto"/>
                <w:sz w:val="18"/>
                <w:szCs w:val="18"/>
              </w:rPr>
              <w:t>9</w:t>
            </w:r>
          </w:p>
        </w:tc>
        <w:tc>
          <w:tcPr>
            <w:tcW w:w="359" w:type="pct"/>
            <w:tcBorders>
              <w:bottom w:val="nil"/>
            </w:tcBorders>
            <w:vAlign w:val="bottom"/>
          </w:tcPr>
          <w:p w:rsidR="00A101D3" w:rsidRPr="00200473" w:rsidRDefault="00A101D3" w:rsidP="00AD310F">
            <w:pPr>
              <w:tabs>
                <w:tab w:val="decimal" w:pos="296"/>
              </w:tabs>
              <w:spacing w:before="40" w:after="40"/>
              <w:jc w:val="center"/>
              <w:cnfStyle w:val="000000000000"/>
              <w:rPr>
                <w:color w:val="auto"/>
                <w:sz w:val="18"/>
                <w:szCs w:val="18"/>
              </w:rPr>
            </w:pPr>
            <w:r>
              <w:rPr>
                <w:color w:val="auto"/>
                <w:sz w:val="18"/>
                <w:szCs w:val="18"/>
              </w:rPr>
              <w:t>5,9</w:t>
            </w:r>
          </w:p>
        </w:tc>
        <w:tc>
          <w:tcPr>
            <w:tcW w:w="184" w:type="pct"/>
            <w:tcBorders>
              <w:bottom w:val="nil"/>
            </w:tcBorders>
          </w:tcPr>
          <w:p w:rsidR="00A101D3" w:rsidRPr="00B12C8D" w:rsidRDefault="00A101D3" w:rsidP="00AD310F">
            <w:pPr>
              <w:tabs>
                <w:tab w:val="decimal" w:pos="296"/>
              </w:tabs>
              <w:spacing w:before="40" w:after="40"/>
              <w:jc w:val="center"/>
              <w:cnfStyle w:val="000000000000"/>
              <w:rPr>
                <w:color w:val="auto"/>
                <w:sz w:val="18"/>
                <w:szCs w:val="18"/>
              </w:rPr>
            </w:pPr>
          </w:p>
        </w:tc>
        <w:tc>
          <w:tcPr>
            <w:tcW w:w="337" w:type="pct"/>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21,6</w:t>
            </w:r>
          </w:p>
        </w:tc>
        <w:tc>
          <w:tcPr>
            <w:tcW w:w="337" w:type="pct"/>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15,0</w:t>
            </w:r>
          </w:p>
        </w:tc>
        <w:tc>
          <w:tcPr>
            <w:tcW w:w="337" w:type="pct"/>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1,1</w:t>
            </w:r>
          </w:p>
        </w:tc>
        <w:tc>
          <w:tcPr>
            <w:tcW w:w="337" w:type="pct"/>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-4,7</w:t>
            </w:r>
          </w:p>
        </w:tc>
        <w:tc>
          <w:tcPr>
            <w:tcW w:w="345" w:type="pct"/>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-8,7</w:t>
            </w:r>
          </w:p>
        </w:tc>
        <w:tc>
          <w:tcPr>
            <w:tcW w:w="348" w:type="pct"/>
            <w:gridSpan w:val="2"/>
            <w:tcBorders>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-10,3</w:t>
            </w:r>
          </w:p>
        </w:tc>
        <w:tc>
          <w:tcPr>
            <w:tcW w:w="348" w:type="pct"/>
            <w:gridSpan w:val="2"/>
            <w:tcBorders>
              <w:top w:val="nil"/>
              <w:bottom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-12,7</w:t>
            </w:r>
          </w:p>
        </w:tc>
        <w:tc>
          <w:tcPr>
            <w:tcW w:w="345" w:type="pct"/>
            <w:tcBorders>
              <w:left w:val="nil"/>
              <w:bottom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-12,0</w:t>
            </w:r>
          </w:p>
        </w:tc>
      </w:tr>
      <w:tr w:rsidR="00256EBC" w:rsidRPr="00726024" w:rsidTr="00A101D3">
        <w:trPr>
          <w:cnfStyle w:val="000000100000"/>
        </w:trPr>
        <w:tc>
          <w:tcPr>
            <w:cnfStyle w:val="001000000000"/>
            <w:tcW w:w="1364" w:type="pct"/>
            <w:gridSpan w:val="2"/>
            <w:tcBorders>
              <w:top w:val="nil"/>
              <w:bottom w:val="single" w:sz="4" w:space="0" w:color="FF0000"/>
            </w:tcBorders>
          </w:tcPr>
          <w:p w:rsidR="00256EBC" w:rsidRPr="00726024" w:rsidRDefault="00256EBC" w:rsidP="007377A4">
            <w:pPr>
              <w:spacing w:before="40" w:after="40"/>
              <w:rPr>
                <w:color w:val="auto"/>
                <w:sz w:val="20"/>
                <w:szCs w:val="20"/>
              </w:rPr>
            </w:pPr>
            <w:r w:rsidRPr="00726024">
              <w:rPr>
                <w:color w:val="auto"/>
                <w:sz w:val="20"/>
                <w:szCs w:val="20"/>
              </w:rPr>
              <w:t>IKP</w:t>
            </w:r>
          </w:p>
        </w:tc>
        <w:tc>
          <w:tcPr>
            <w:tcW w:w="359" w:type="pct"/>
            <w:tcBorders>
              <w:top w:val="nil"/>
              <w:bottom w:val="single" w:sz="4" w:space="0" w:color="FF0000"/>
            </w:tcBorders>
          </w:tcPr>
          <w:p w:rsidR="00256EBC" w:rsidRPr="00726024" w:rsidRDefault="00256EBC" w:rsidP="00AD310F">
            <w:pPr>
              <w:tabs>
                <w:tab w:val="decimal" w:pos="296"/>
              </w:tabs>
              <w:spacing w:before="40" w:after="40"/>
              <w:jc w:val="center"/>
              <w:cnfStyle w:val="000000100000"/>
              <w:rPr>
                <w:b/>
                <w:color w:val="auto"/>
                <w:sz w:val="20"/>
                <w:szCs w:val="20"/>
              </w:rPr>
            </w:pPr>
            <w:r w:rsidRPr="00726024">
              <w:rPr>
                <w:b/>
                <w:color w:val="auto"/>
                <w:sz w:val="20"/>
                <w:szCs w:val="20"/>
              </w:rPr>
              <w:t>-1</w:t>
            </w:r>
            <w:r>
              <w:rPr>
                <w:b/>
                <w:color w:val="auto"/>
                <w:sz w:val="20"/>
                <w:szCs w:val="20"/>
              </w:rPr>
              <w:t>7,7</w:t>
            </w:r>
          </w:p>
        </w:tc>
        <w:tc>
          <w:tcPr>
            <w:tcW w:w="359" w:type="pct"/>
            <w:tcBorders>
              <w:top w:val="nil"/>
              <w:bottom w:val="single" w:sz="4" w:space="0" w:color="FF0000"/>
            </w:tcBorders>
          </w:tcPr>
          <w:p w:rsidR="00256EBC" w:rsidRPr="00726024" w:rsidRDefault="00256EBC" w:rsidP="00AD310F">
            <w:pPr>
              <w:tabs>
                <w:tab w:val="decimal" w:pos="296"/>
              </w:tabs>
              <w:spacing w:before="40" w:after="40"/>
              <w:jc w:val="center"/>
              <w:cnfStyle w:val="000000100000"/>
              <w:rPr>
                <w:b/>
                <w:color w:val="auto"/>
                <w:sz w:val="20"/>
                <w:szCs w:val="20"/>
              </w:rPr>
            </w:pPr>
            <w:r w:rsidRPr="00726024">
              <w:rPr>
                <w:b/>
                <w:color w:val="auto"/>
                <w:sz w:val="20"/>
                <w:szCs w:val="20"/>
              </w:rPr>
              <w:t>-</w:t>
            </w:r>
            <w:r>
              <w:rPr>
                <w:b/>
                <w:color w:val="auto"/>
                <w:sz w:val="20"/>
                <w:szCs w:val="20"/>
              </w:rPr>
              <w:t>0,3</w:t>
            </w:r>
          </w:p>
        </w:tc>
        <w:tc>
          <w:tcPr>
            <w:tcW w:w="184" w:type="pct"/>
            <w:tcBorders>
              <w:top w:val="nil"/>
              <w:bottom w:val="single" w:sz="4" w:space="0" w:color="FF0000"/>
            </w:tcBorders>
          </w:tcPr>
          <w:p w:rsidR="00256EBC" w:rsidRPr="00726024" w:rsidRDefault="00256EBC" w:rsidP="00AD310F">
            <w:pPr>
              <w:tabs>
                <w:tab w:val="decimal" w:pos="296"/>
              </w:tabs>
              <w:spacing w:before="40" w:after="40"/>
              <w:jc w:val="center"/>
              <w:cnfStyle w:val="000000100000"/>
              <w:rPr>
                <w:b/>
                <w:color w:val="auto"/>
                <w:sz w:val="20"/>
                <w:szCs w:val="20"/>
              </w:rPr>
            </w:pPr>
          </w:p>
        </w:tc>
        <w:tc>
          <w:tcPr>
            <w:tcW w:w="337"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-18,0</w:t>
            </w:r>
          </w:p>
        </w:tc>
        <w:tc>
          <w:tcPr>
            <w:tcW w:w="337"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-16,0</w:t>
            </w:r>
          </w:p>
        </w:tc>
        <w:tc>
          <w:tcPr>
            <w:tcW w:w="337"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-5,5</w:t>
            </w:r>
          </w:p>
        </w:tc>
        <w:tc>
          <w:tcPr>
            <w:tcW w:w="337"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-3,5</w:t>
            </w:r>
          </w:p>
        </w:tc>
        <w:tc>
          <w:tcPr>
            <w:tcW w:w="345"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3,5</w:t>
            </w:r>
          </w:p>
        </w:tc>
        <w:tc>
          <w:tcPr>
            <w:tcW w:w="348" w:type="pct"/>
            <w:gridSpan w:val="2"/>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3,6</w:t>
            </w:r>
          </w:p>
        </w:tc>
        <w:tc>
          <w:tcPr>
            <w:tcW w:w="348" w:type="pct"/>
            <w:gridSpan w:val="2"/>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3,5</w:t>
            </w:r>
          </w:p>
        </w:tc>
        <w:tc>
          <w:tcPr>
            <w:tcW w:w="345" w:type="pct"/>
            <w:tcBorders>
              <w:top w:val="nil"/>
              <w:bottom w:val="single" w:sz="4" w:space="0" w:color="FF0000"/>
            </w:tcBorders>
            <w:vAlign w:val="bottom"/>
          </w:tcPr>
          <w:p w:rsidR="00256EBC" w:rsidRPr="00256EBC" w:rsidRDefault="00256EBC" w:rsidP="00256EBC">
            <w:pPr>
              <w:tabs>
                <w:tab w:val="decimal" w:pos="296"/>
              </w:tabs>
              <w:spacing w:before="40" w:after="40"/>
              <w:jc w:val="center"/>
              <w:cnfStyle w:val="000000100000"/>
              <w:rPr>
                <w:b/>
                <w:color w:val="auto"/>
                <w:sz w:val="20"/>
                <w:szCs w:val="18"/>
              </w:rPr>
            </w:pPr>
            <w:r w:rsidRPr="00256EBC">
              <w:rPr>
                <w:b/>
                <w:color w:val="auto"/>
                <w:sz w:val="20"/>
                <w:szCs w:val="18"/>
              </w:rPr>
              <w:t>5,6</w:t>
            </w:r>
          </w:p>
        </w:tc>
      </w:tr>
    </w:tbl>
    <w:p w:rsidR="00E75F96" w:rsidRDefault="00E75F96" w:rsidP="00BE41C7"/>
    <w:p w:rsidR="007377A4" w:rsidRDefault="007377A4" w:rsidP="00BE41C7"/>
    <w:tbl>
      <w:tblPr>
        <w:tblStyle w:val="LightShading2"/>
        <w:tblW w:w="5000" w:type="pct"/>
        <w:tblLayout w:type="fixed"/>
        <w:tblLook w:val="04A0"/>
      </w:tblPr>
      <w:tblGrid>
        <w:gridCol w:w="647"/>
        <w:gridCol w:w="2440"/>
        <w:gridCol w:w="676"/>
        <w:gridCol w:w="676"/>
        <w:gridCol w:w="676"/>
        <w:gridCol w:w="676"/>
        <w:gridCol w:w="676"/>
        <w:gridCol w:w="676"/>
        <w:gridCol w:w="676"/>
        <w:gridCol w:w="676"/>
        <w:gridCol w:w="676"/>
        <w:gridCol w:w="660"/>
        <w:gridCol w:w="24"/>
      </w:tblGrid>
      <w:tr w:rsidR="00256EBC" w:rsidRPr="009E43F2" w:rsidTr="00A101D3">
        <w:trPr>
          <w:gridAfter w:val="1"/>
          <w:cnfStyle w:val="100000000000"/>
          <w:wAfter w:w="12" w:type="pct"/>
        </w:trPr>
        <w:tc>
          <w:tcPr>
            <w:cnfStyle w:val="001000000000"/>
            <w:tcW w:w="328" w:type="pct"/>
            <w:tcBorders>
              <w:top w:val="single" w:sz="4" w:space="0" w:color="FF0000"/>
              <w:bottom w:val="single" w:sz="4" w:space="0" w:color="FF0000"/>
            </w:tcBorders>
          </w:tcPr>
          <w:p w:rsidR="00256EBC" w:rsidRPr="00E75F96" w:rsidRDefault="00256EBC" w:rsidP="007377A4">
            <w:pPr>
              <w:pStyle w:val="ListParagraph"/>
              <w:spacing w:before="40" w:after="40"/>
              <w:ind w:left="0"/>
              <w:contextualSpacing w:val="0"/>
              <w:jc w:val="center"/>
              <w:rPr>
                <w:sz w:val="18"/>
                <w:szCs w:val="18"/>
              </w:rPr>
            </w:pPr>
            <w:bookmarkStart w:id="227" w:name="_Toc216077862"/>
            <w:bookmarkStart w:id="228" w:name="_Toc216079531"/>
            <w:bookmarkStart w:id="229" w:name="_Toc216079599"/>
            <w:bookmarkStart w:id="230" w:name="_Toc216079661"/>
            <w:bookmarkStart w:id="231" w:name="_Toc216079717"/>
            <w:bookmarkStart w:id="232" w:name="_Toc216079773"/>
            <w:bookmarkStart w:id="233" w:name="_Toc216079829"/>
          </w:p>
        </w:tc>
        <w:tc>
          <w:tcPr>
            <w:tcW w:w="4660" w:type="pct"/>
            <w:gridSpan w:val="11"/>
            <w:tcBorders>
              <w:top w:val="single" w:sz="4" w:space="0" w:color="FF0000"/>
              <w:bottom w:val="single" w:sz="4" w:space="0" w:color="FF0000"/>
            </w:tcBorders>
          </w:tcPr>
          <w:p w:rsidR="00256EBC" w:rsidRPr="00E75F96" w:rsidRDefault="00256EBC" w:rsidP="007377A4">
            <w:pPr>
              <w:pStyle w:val="ListParagraph"/>
              <w:spacing w:before="40" w:after="40"/>
              <w:ind w:left="0"/>
              <w:contextualSpacing w:val="0"/>
              <w:jc w:val="center"/>
              <w:cnfStyle w:val="100000000000"/>
              <w:rPr>
                <w:sz w:val="18"/>
                <w:szCs w:val="18"/>
              </w:rPr>
            </w:pPr>
            <w:r w:rsidRPr="00E75F96">
              <w:rPr>
                <w:color w:val="auto"/>
                <w:sz w:val="18"/>
                <w:szCs w:val="18"/>
              </w:rPr>
              <w:t xml:space="preserve">Pieauguma tempi, </w:t>
            </w:r>
            <w:r w:rsidRPr="00E75F96">
              <w:rPr>
                <w:b w:val="0"/>
                <w:color w:val="auto"/>
                <w:sz w:val="18"/>
                <w:szCs w:val="18"/>
              </w:rPr>
              <w:t>% pret iepriekšēj</w:t>
            </w:r>
            <w:r>
              <w:rPr>
                <w:b w:val="0"/>
                <w:color w:val="auto"/>
                <w:sz w:val="18"/>
                <w:szCs w:val="18"/>
              </w:rPr>
              <w:t>o ceturksni, sezonāli izlīdzināti dati</w:t>
            </w:r>
          </w:p>
        </w:tc>
      </w:tr>
      <w:tr w:rsidR="00A101D3" w:rsidRPr="00D570AC" w:rsidTr="00A101D3">
        <w:trPr>
          <w:cnfStyle w:val="000000100000"/>
        </w:trPr>
        <w:tc>
          <w:tcPr>
            <w:cnfStyle w:val="001000000000"/>
            <w:tcW w:w="1566" w:type="pct"/>
            <w:gridSpan w:val="2"/>
            <w:tcBorders>
              <w:top w:val="single" w:sz="4" w:space="0" w:color="76923C" w:themeColor="accent3" w:themeShade="BF"/>
              <w:bottom w:val="nil"/>
            </w:tcBorders>
          </w:tcPr>
          <w:p w:rsidR="00A101D3" w:rsidRPr="00D570AC" w:rsidRDefault="00A101D3" w:rsidP="007377A4">
            <w:pPr>
              <w:pStyle w:val="ListParagraph"/>
              <w:spacing w:before="40" w:after="40"/>
              <w:ind w:left="0"/>
              <w:contextualSpacing w:val="0"/>
              <w:rPr>
                <w:b w:val="0"/>
                <w:sz w:val="18"/>
                <w:szCs w:val="20"/>
              </w:rPr>
            </w:pPr>
          </w:p>
        </w:tc>
        <w:tc>
          <w:tcPr>
            <w:tcW w:w="343" w:type="pct"/>
            <w:tcBorders>
              <w:top w:val="single" w:sz="4" w:space="0" w:color="76923C" w:themeColor="accent3" w:themeShade="BF"/>
              <w:bottom w:val="nil"/>
            </w:tcBorders>
          </w:tcPr>
          <w:p w:rsidR="00A101D3" w:rsidRPr="00D570AC" w:rsidRDefault="00A101D3" w:rsidP="007377A4">
            <w:pPr>
              <w:pStyle w:val="ListParagraph"/>
              <w:spacing w:before="40" w:after="40"/>
              <w:ind w:left="0"/>
              <w:contextualSpacing w:val="0"/>
              <w:cnfStyle w:val="000000100000"/>
              <w:rPr>
                <w:b/>
                <w:color w:val="auto"/>
                <w:sz w:val="18"/>
                <w:szCs w:val="20"/>
              </w:rPr>
            </w:pPr>
            <w:r w:rsidRPr="00D570AC">
              <w:rPr>
                <w:b/>
                <w:color w:val="auto"/>
                <w:sz w:val="18"/>
                <w:szCs w:val="20"/>
              </w:rPr>
              <w:t>2009</w:t>
            </w:r>
          </w:p>
        </w:tc>
        <w:tc>
          <w:tcPr>
            <w:tcW w:w="343" w:type="pct"/>
            <w:tcBorders>
              <w:top w:val="single" w:sz="4" w:space="0" w:color="76923C" w:themeColor="accent3" w:themeShade="BF"/>
              <w:bottom w:val="nil"/>
            </w:tcBorders>
          </w:tcPr>
          <w:p w:rsidR="00A101D3" w:rsidRPr="00D570AC"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D570AC"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D570AC"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726024" w:rsidRDefault="00A101D3" w:rsidP="007377A4">
            <w:pPr>
              <w:pStyle w:val="ListParagraph"/>
              <w:spacing w:before="40" w:after="40"/>
              <w:ind w:left="0"/>
              <w:contextualSpacing w:val="0"/>
              <w:cnfStyle w:val="000000100000"/>
              <w:rPr>
                <w:b/>
                <w:sz w:val="18"/>
                <w:szCs w:val="20"/>
              </w:rPr>
            </w:pPr>
            <w:r w:rsidRPr="00726024">
              <w:rPr>
                <w:b/>
                <w:color w:val="auto"/>
                <w:sz w:val="18"/>
                <w:szCs w:val="20"/>
              </w:rPr>
              <w:t>2010</w:t>
            </w:r>
          </w:p>
        </w:tc>
        <w:tc>
          <w:tcPr>
            <w:tcW w:w="343" w:type="pct"/>
            <w:tcBorders>
              <w:top w:val="single" w:sz="4" w:space="0" w:color="76923C" w:themeColor="accent3" w:themeShade="BF"/>
              <w:bottom w:val="nil"/>
            </w:tcBorders>
          </w:tcPr>
          <w:p w:rsidR="00A101D3" w:rsidRPr="00726024"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726024"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726024" w:rsidRDefault="00A101D3" w:rsidP="007377A4">
            <w:pPr>
              <w:pStyle w:val="ListParagraph"/>
              <w:spacing w:before="40" w:after="40"/>
              <w:ind w:left="0"/>
              <w:contextualSpacing w:val="0"/>
              <w:cnfStyle w:val="000000100000"/>
              <w:rPr>
                <w:b/>
                <w:sz w:val="18"/>
                <w:szCs w:val="20"/>
              </w:rPr>
            </w:pPr>
          </w:p>
        </w:tc>
        <w:tc>
          <w:tcPr>
            <w:tcW w:w="343" w:type="pct"/>
            <w:tcBorders>
              <w:top w:val="single" w:sz="4" w:space="0" w:color="76923C" w:themeColor="accent3" w:themeShade="BF"/>
              <w:bottom w:val="nil"/>
            </w:tcBorders>
          </w:tcPr>
          <w:p w:rsidR="00A101D3" w:rsidRPr="00726024" w:rsidRDefault="00A101D3" w:rsidP="00256EBC">
            <w:pPr>
              <w:pStyle w:val="ListParagraph"/>
              <w:spacing w:before="40" w:after="40"/>
              <w:ind w:left="0"/>
              <w:contextualSpacing w:val="0"/>
              <w:cnfStyle w:val="000000100000"/>
              <w:rPr>
                <w:b/>
                <w:sz w:val="18"/>
                <w:szCs w:val="20"/>
              </w:rPr>
            </w:pPr>
            <w:r>
              <w:rPr>
                <w:b/>
                <w:sz w:val="18"/>
                <w:szCs w:val="20"/>
              </w:rPr>
              <w:t>2011</w:t>
            </w:r>
          </w:p>
        </w:tc>
        <w:tc>
          <w:tcPr>
            <w:tcW w:w="347" w:type="pct"/>
            <w:gridSpan w:val="2"/>
            <w:tcBorders>
              <w:top w:val="single" w:sz="4" w:space="0" w:color="76923C" w:themeColor="accent3" w:themeShade="BF"/>
              <w:bottom w:val="nil"/>
            </w:tcBorders>
          </w:tcPr>
          <w:p w:rsidR="00A101D3" w:rsidRPr="00726024" w:rsidRDefault="00A101D3" w:rsidP="007377A4">
            <w:pPr>
              <w:pStyle w:val="ListParagraph"/>
              <w:spacing w:before="40" w:after="40"/>
              <w:ind w:left="0"/>
              <w:contextualSpacing w:val="0"/>
              <w:cnfStyle w:val="000000100000"/>
              <w:rPr>
                <w:b/>
                <w:sz w:val="18"/>
                <w:szCs w:val="20"/>
              </w:rPr>
            </w:pPr>
          </w:p>
        </w:tc>
      </w:tr>
      <w:tr w:rsidR="00A101D3" w:rsidRPr="00D570AC" w:rsidTr="00A101D3">
        <w:tc>
          <w:tcPr>
            <w:cnfStyle w:val="001000000000"/>
            <w:tcW w:w="1566" w:type="pct"/>
            <w:gridSpan w:val="2"/>
            <w:tcBorders>
              <w:top w:val="nil"/>
            </w:tcBorders>
          </w:tcPr>
          <w:p w:rsidR="00A101D3" w:rsidRPr="00D570AC" w:rsidRDefault="00A101D3" w:rsidP="007377A4">
            <w:pPr>
              <w:spacing w:before="40" w:after="40"/>
              <w:jc w:val="center"/>
              <w:rPr>
                <w:b w:val="0"/>
                <w:color w:val="auto"/>
                <w:sz w:val="18"/>
                <w:szCs w:val="20"/>
              </w:rPr>
            </w:pPr>
          </w:p>
        </w:tc>
        <w:tc>
          <w:tcPr>
            <w:tcW w:w="343" w:type="pct"/>
            <w:tcBorders>
              <w:top w:val="nil"/>
            </w:tcBorders>
          </w:tcPr>
          <w:p w:rsidR="00A101D3" w:rsidRPr="00D570AC" w:rsidRDefault="00A101D3" w:rsidP="007377A4">
            <w:pPr>
              <w:spacing w:before="40" w:after="40"/>
              <w:jc w:val="center"/>
              <w:cnfStyle w:val="000000000000"/>
              <w:rPr>
                <w:b/>
                <w:color w:val="auto"/>
                <w:sz w:val="18"/>
                <w:szCs w:val="20"/>
              </w:rPr>
            </w:pPr>
            <w:r w:rsidRPr="00D570AC">
              <w:rPr>
                <w:b/>
                <w:color w:val="auto"/>
                <w:sz w:val="18"/>
                <w:szCs w:val="20"/>
              </w:rPr>
              <w:t>I</w:t>
            </w:r>
          </w:p>
        </w:tc>
        <w:tc>
          <w:tcPr>
            <w:tcW w:w="343" w:type="pct"/>
            <w:tcBorders>
              <w:top w:val="nil"/>
            </w:tcBorders>
          </w:tcPr>
          <w:p w:rsidR="00A101D3" w:rsidRPr="00D570AC" w:rsidRDefault="00A101D3" w:rsidP="007377A4">
            <w:pPr>
              <w:spacing w:before="40" w:after="40"/>
              <w:jc w:val="center"/>
              <w:cnfStyle w:val="000000000000"/>
              <w:rPr>
                <w:b/>
                <w:color w:val="auto"/>
                <w:sz w:val="18"/>
                <w:szCs w:val="20"/>
              </w:rPr>
            </w:pPr>
            <w:r w:rsidRPr="00D570AC">
              <w:rPr>
                <w:b/>
                <w:color w:val="auto"/>
                <w:sz w:val="18"/>
                <w:szCs w:val="20"/>
              </w:rPr>
              <w:t>II</w:t>
            </w:r>
          </w:p>
        </w:tc>
        <w:tc>
          <w:tcPr>
            <w:tcW w:w="343" w:type="pct"/>
            <w:tcBorders>
              <w:top w:val="nil"/>
            </w:tcBorders>
          </w:tcPr>
          <w:p w:rsidR="00A101D3" w:rsidRPr="00D570AC" w:rsidRDefault="00A101D3" w:rsidP="007377A4">
            <w:pPr>
              <w:spacing w:before="40" w:after="40"/>
              <w:jc w:val="center"/>
              <w:cnfStyle w:val="000000000000"/>
              <w:rPr>
                <w:b/>
                <w:color w:val="auto"/>
                <w:sz w:val="18"/>
                <w:szCs w:val="20"/>
              </w:rPr>
            </w:pPr>
            <w:r w:rsidRPr="00D570AC">
              <w:rPr>
                <w:b/>
                <w:color w:val="auto"/>
                <w:sz w:val="18"/>
                <w:szCs w:val="20"/>
              </w:rPr>
              <w:t>III</w:t>
            </w:r>
          </w:p>
        </w:tc>
        <w:tc>
          <w:tcPr>
            <w:tcW w:w="343" w:type="pct"/>
            <w:tcBorders>
              <w:top w:val="nil"/>
            </w:tcBorders>
          </w:tcPr>
          <w:p w:rsidR="00A101D3" w:rsidRPr="00D570AC" w:rsidRDefault="00A101D3" w:rsidP="007377A4">
            <w:pPr>
              <w:spacing w:before="40" w:after="40"/>
              <w:jc w:val="center"/>
              <w:cnfStyle w:val="000000000000"/>
              <w:rPr>
                <w:b/>
                <w:color w:val="auto"/>
                <w:sz w:val="18"/>
                <w:szCs w:val="20"/>
              </w:rPr>
            </w:pPr>
            <w:r w:rsidRPr="00D570AC">
              <w:rPr>
                <w:b/>
                <w:color w:val="auto"/>
                <w:sz w:val="18"/>
                <w:szCs w:val="20"/>
              </w:rPr>
              <w:t>IV</w:t>
            </w:r>
          </w:p>
        </w:tc>
        <w:tc>
          <w:tcPr>
            <w:tcW w:w="343" w:type="pct"/>
            <w:tcBorders>
              <w:top w:val="nil"/>
            </w:tcBorders>
          </w:tcPr>
          <w:p w:rsidR="00A101D3" w:rsidRPr="00726024" w:rsidRDefault="00A101D3" w:rsidP="007377A4">
            <w:pPr>
              <w:spacing w:before="40" w:after="40"/>
              <w:jc w:val="center"/>
              <w:cnfStyle w:val="000000000000"/>
              <w:rPr>
                <w:b/>
                <w:color w:val="auto"/>
                <w:sz w:val="18"/>
                <w:szCs w:val="20"/>
              </w:rPr>
            </w:pPr>
            <w:r w:rsidRPr="00726024">
              <w:rPr>
                <w:b/>
                <w:color w:val="auto"/>
                <w:sz w:val="18"/>
                <w:szCs w:val="20"/>
              </w:rPr>
              <w:t>I</w:t>
            </w:r>
          </w:p>
        </w:tc>
        <w:tc>
          <w:tcPr>
            <w:tcW w:w="343" w:type="pct"/>
            <w:tcBorders>
              <w:top w:val="nil"/>
            </w:tcBorders>
          </w:tcPr>
          <w:p w:rsidR="00A101D3" w:rsidRPr="00726024" w:rsidRDefault="00A101D3" w:rsidP="007377A4">
            <w:pPr>
              <w:spacing w:before="40" w:after="40"/>
              <w:jc w:val="center"/>
              <w:cnfStyle w:val="000000000000"/>
              <w:rPr>
                <w:b/>
                <w:color w:val="auto"/>
                <w:sz w:val="18"/>
                <w:szCs w:val="20"/>
              </w:rPr>
            </w:pPr>
            <w:r>
              <w:rPr>
                <w:b/>
                <w:color w:val="auto"/>
                <w:sz w:val="18"/>
                <w:szCs w:val="20"/>
              </w:rPr>
              <w:t>II</w:t>
            </w:r>
          </w:p>
        </w:tc>
        <w:tc>
          <w:tcPr>
            <w:tcW w:w="343" w:type="pct"/>
            <w:tcBorders>
              <w:top w:val="nil"/>
              <w:bottom w:val="nil"/>
              <w:right w:val="nil"/>
            </w:tcBorders>
          </w:tcPr>
          <w:p w:rsidR="00A101D3" w:rsidRDefault="00A101D3" w:rsidP="007377A4">
            <w:pPr>
              <w:spacing w:before="40" w:after="40"/>
              <w:jc w:val="center"/>
              <w:cnfStyle w:val="000000000000"/>
              <w:rPr>
                <w:b/>
                <w:sz w:val="18"/>
                <w:szCs w:val="20"/>
              </w:rPr>
            </w:pPr>
            <w:r>
              <w:rPr>
                <w:b/>
                <w:sz w:val="18"/>
                <w:szCs w:val="20"/>
              </w:rPr>
              <w:t>III</w:t>
            </w:r>
          </w:p>
        </w:tc>
        <w:tc>
          <w:tcPr>
            <w:tcW w:w="343" w:type="pct"/>
            <w:tcBorders>
              <w:top w:val="nil"/>
              <w:left w:val="nil"/>
            </w:tcBorders>
          </w:tcPr>
          <w:p w:rsidR="00A101D3" w:rsidRDefault="00A101D3" w:rsidP="007377A4">
            <w:pPr>
              <w:spacing w:before="40" w:after="40"/>
              <w:jc w:val="center"/>
              <w:cnfStyle w:val="000000000000"/>
              <w:rPr>
                <w:b/>
                <w:sz w:val="18"/>
                <w:szCs w:val="20"/>
              </w:rPr>
            </w:pPr>
            <w:r>
              <w:rPr>
                <w:b/>
                <w:sz w:val="18"/>
                <w:szCs w:val="20"/>
              </w:rPr>
              <w:t>IV</w:t>
            </w:r>
          </w:p>
        </w:tc>
        <w:tc>
          <w:tcPr>
            <w:tcW w:w="343" w:type="pct"/>
            <w:tcBorders>
              <w:top w:val="nil"/>
              <w:left w:val="nil"/>
              <w:right w:val="nil"/>
            </w:tcBorders>
          </w:tcPr>
          <w:p w:rsidR="00A101D3" w:rsidRDefault="00A101D3" w:rsidP="007377A4">
            <w:pPr>
              <w:spacing w:before="40" w:after="40"/>
              <w:jc w:val="center"/>
              <w:cnfStyle w:val="000000000000"/>
              <w:rPr>
                <w:b/>
                <w:sz w:val="18"/>
                <w:szCs w:val="20"/>
              </w:rPr>
            </w:pPr>
            <w:r>
              <w:rPr>
                <w:b/>
                <w:sz w:val="18"/>
                <w:szCs w:val="20"/>
              </w:rPr>
              <w:t>I</w:t>
            </w:r>
          </w:p>
        </w:tc>
        <w:tc>
          <w:tcPr>
            <w:tcW w:w="347" w:type="pct"/>
            <w:gridSpan w:val="2"/>
            <w:tcBorders>
              <w:top w:val="nil"/>
              <w:left w:val="nil"/>
            </w:tcBorders>
          </w:tcPr>
          <w:p w:rsidR="00A101D3" w:rsidRDefault="00A101D3" w:rsidP="00256EBC">
            <w:pPr>
              <w:spacing w:before="40" w:after="40"/>
              <w:jc w:val="center"/>
              <w:cnfStyle w:val="000000000000"/>
              <w:rPr>
                <w:b/>
                <w:sz w:val="18"/>
                <w:szCs w:val="20"/>
              </w:rPr>
            </w:pPr>
            <w:r>
              <w:rPr>
                <w:b/>
                <w:sz w:val="18"/>
                <w:szCs w:val="20"/>
              </w:rPr>
              <w:t>II</w:t>
            </w:r>
          </w:p>
        </w:tc>
      </w:tr>
      <w:tr w:rsidR="00A101D3" w:rsidRPr="009E43F2" w:rsidTr="00A101D3">
        <w:trPr>
          <w:cnfStyle w:val="000000100000"/>
        </w:trPr>
        <w:tc>
          <w:tcPr>
            <w:cnfStyle w:val="001000000000"/>
            <w:tcW w:w="1566" w:type="pct"/>
            <w:gridSpan w:val="2"/>
          </w:tcPr>
          <w:p w:rsidR="00A101D3" w:rsidRPr="00256EBC" w:rsidRDefault="00A101D3" w:rsidP="00A101D3">
            <w:pPr>
              <w:tabs>
                <w:tab w:val="decimal" w:pos="296"/>
              </w:tabs>
              <w:spacing w:before="40" w:after="40"/>
              <w:rPr>
                <w:color w:val="auto"/>
                <w:sz w:val="18"/>
                <w:szCs w:val="18"/>
              </w:rPr>
            </w:pPr>
            <w:r w:rsidRPr="00E75F96">
              <w:rPr>
                <w:b w:val="0"/>
                <w:color w:val="auto"/>
                <w:sz w:val="18"/>
                <w:szCs w:val="18"/>
              </w:rPr>
              <w:t>Privātais patēriņš</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-11,2</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-5,5</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-2,8</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0,3</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1,8</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-0,8</w:t>
            </w:r>
          </w:p>
        </w:tc>
        <w:tc>
          <w:tcPr>
            <w:tcW w:w="343" w:type="pct"/>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2,2</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2,0</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0,1</w:t>
            </w:r>
          </w:p>
        </w:tc>
        <w:tc>
          <w:tcPr>
            <w:tcW w:w="347" w:type="pct"/>
            <w:gridSpan w:val="2"/>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0,4</w:t>
            </w:r>
          </w:p>
        </w:tc>
      </w:tr>
      <w:tr w:rsidR="00A101D3" w:rsidRPr="009E43F2" w:rsidTr="00A101D3">
        <w:tc>
          <w:tcPr>
            <w:cnfStyle w:val="001000000000"/>
            <w:tcW w:w="1566" w:type="pct"/>
            <w:gridSpan w:val="2"/>
          </w:tcPr>
          <w:p w:rsidR="00A101D3" w:rsidRPr="00256EBC" w:rsidRDefault="00A101D3" w:rsidP="00A101D3">
            <w:pPr>
              <w:tabs>
                <w:tab w:val="decimal" w:pos="296"/>
              </w:tabs>
              <w:spacing w:before="40" w:after="40"/>
              <w:rPr>
                <w:color w:val="auto"/>
                <w:sz w:val="18"/>
                <w:szCs w:val="18"/>
              </w:rPr>
            </w:pPr>
            <w:r w:rsidRPr="00E75F96">
              <w:rPr>
                <w:b w:val="0"/>
                <w:color w:val="auto"/>
                <w:sz w:val="18"/>
                <w:szCs w:val="18"/>
              </w:rPr>
              <w:t>Valsts patēriņš</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-2,6</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-3,0</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-7,6</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-3,1</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-0,5</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-0,8</w:t>
            </w:r>
          </w:p>
        </w:tc>
        <w:tc>
          <w:tcPr>
            <w:tcW w:w="343" w:type="pct"/>
            <w:tcBorders>
              <w:top w:val="nil"/>
              <w:bottom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-0,4</w:t>
            </w:r>
          </w:p>
        </w:tc>
        <w:tc>
          <w:tcPr>
            <w:tcW w:w="343" w:type="pct"/>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-7,2</w:t>
            </w:r>
          </w:p>
        </w:tc>
        <w:tc>
          <w:tcPr>
            <w:tcW w:w="343" w:type="pct"/>
            <w:tcBorders>
              <w:left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10,1</w:t>
            </w:r>
          </w:p>
        </w:tc>
        <w:tc>
          <w:tcPr>
            <w:tcW w:w="347" w:type="pct"/>
            <w:gridSpan w:val="2"/>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-0,5</w:t>
            </w:r>
          </w:p>
        </w:tc>
      </w:tr>
      <w:tr w:rsidR="00A101D3" w:rsidRPr="009E43F2" w:rsidTr="00A101D3">
        <w:trPr>
          <w:cnfStyle w:val="000000100000"/>
        </w:trPr>
        <w:tc>
          <w:tcPr>
            <w:cnfStyle w:val="001000000000"/>
            <w:tcW w:w="1566" w:type="pct"/>
            <w:gridSpan w:val="2"/>
          </w:tcPr>
          <w:p w:rsidR="00A101D3" w:rsidRPr="00256EBC" w:rsidRDefault="00A101D3" w:rsidP="00A101D3">
            <w:pPr>
              <w:tabs>
                <w:tab w:val="decimal" w:pos="296"/>
              </w:tabs>
              <w:spacing w:before="40" w:after="40"/>
              <w:rPr>
                <w:color w:val="auto"/>
                <w:sz w:val="18"/>
                <w:szCs w:val="18"/>
              </w:rPr>
            </w:pPr>
            <w:r w:rsidRPr="00E75F96">
              <w:rPr>
                <w:b w:val="0"/>
                <w:color w:val="auto"/>
                <w:sz w:val="18"/>
                <w:szCs w:val="18"/>
              </w:rPr>
              <w:t>Kopējā pamatkapitāla veidošana</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-11,0</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-17,7</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-10,3</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-10,0</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-12,5</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-11,1</w:t>
            </w:r>
          </w:p>
        </w:tc>
        <w:tc>
          <w:tcPr>
            <w:tcW w:w="343" w:type="pct"/>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43,9</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-11,7</w:t>
            </w:r>
          </w:p>
        </w:tc>
        <w:tc>
          <w:tcPr>
            <w:tcW w:w="343" w:type="pct"/>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15,9</w:t>
            </w:r>
          </w:p>
        </w:tc>
        <w:tc>
          <w:tcPr>
            <w:tcW w:w="347" w:type="pct"/>
            <w:gridSpan w:val="2"/>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-17,9</w:t>
            </w:r>
          </w:p>
        </w:tc>
      </w:tr>
      <w:tr w:rsidR="00A101D3" w:rsidRPr="009E43F2" w:rsidTr="00A101D3">
        <w:tc>
          <w:tcPr>
            <w:cnfStyle w:val="001000000000"/>
            <w:tcW w:w="1566" w:type="pct"/>
            <w:gridSpan w:val="2"/>
          </w:tcPr>
          <w:p w:rsidR="00A101D3" w:rsidRPr="00256EBC" w:rsidRDefault="00A101D3" w:rsidP="00A101D3">
            <w:pPr>
              <w:tabs>
                <w:tab w:val="decimal" w:pos="296"/>
              </w:tabs>
              <w:spacing w:before="40" w:after="40"/>
              <w:rPr>
                <w:color w:val="auto"/>
                <w:sz w:val="18"/>
                <w:szCs w:val="18"/>
              </w:rPr>
            </w:pPr>
            <w:r w:rsidRPr="00E75F96">
              <w:rPr>
                <w:b w:val="0"/>
                <w:color w:val="auto"/>
                <w:sz w:val="18"/>
                <w:szCs w:val="18"/>
              </w:rPr>
              <w:t>Eksports</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-13,9</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1,1</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1,5</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3,4</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1,9</w:t>
            </w:r>
          </w:p>
        </w:tc>
        <w:tc>
          <w:tcPr>
            <w:tcW w:w="343" w:type="pct"/>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3,6</w:t>
            </w:r>
          </w:p>
        </w:tc>
        <w:tc>
          <w:tcPr>
            <w:tcW w:w="343" w:type="pct"/>
            <w:tcBorders>
              <w:top w:val="nil"/>
              <w:bottom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4,3</w:t>
            </w:r>
          </w:p>
        </w:tc>
        <w:tc>
          <w:tcPr>
            <w:tcW w:w="343" w:type="pct"/>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3,4</w:t>
            </w:r>
          </w:p>
        </w:tc>
        <w:tc>
          <w:tcPr>
            <w:tcW w:w="343" w:type="pct"/>
            <w:tcBorders>
              <w:left w:val="nil"/>
              <w:righ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3,7</w:t>
            </w:r>
          </w:p>
        </w:tc>
        <w:tc>
          <w:tcPr>
            <w:tcW w:w="347" w:type="pct"/>
            <w:gridSpan w:val="2"/>
            <w:tcBorders>
              <w:left w:val="nil"/>
            </w:tcBorders>
            <w:vAlign w:val="bottom"/>
          </w:tcPr>
          <w:p w:rsidR="00A101D3" w:rsidRPr="00A101D3" w:rsidRDefault="00A101D3" w:rsidP="00A101D3">
            <w:pPr>
              <w:tabs>
                <w:tab w:val="decimal" w:pos="296"/>
              </w:tabs>
              <w:spacing w:before="40" w:after="40"/>
              <w:jc w:val="center"/>
              <w:cnfStyle w:val="000000000000"/>
              <w:rPr>
                <w:color w:val="auto"/>
                <w:sz w:val="18"/>
                <w:szCs w:val="18"/>
              </w:rPr>
            </w:pPr>
            <w:r w:rsidRPr="00A101D3">
              <w:rPr>
                <w:color w:val="auto"/>
                <w:sz w:val="18"/>
                <w:szCs w:val="18"/>
              </w:rPr>
              <w:t>3,7</w:t>
            </w:r>
          </w:p>
        </w:tc>
      </w:tr>
      <w:tr w:rsidR="00A101D3" w:rsidRPr="009E43F2" w:rsidTr="00A101D3">
        <w:trPr>
          <w:cnfStyle w:val="000000100000"/>
        </w:trPr>
        <w:tc>
          <w:tcPr>
            <w:cnfStyle w:val="001000000000"/>
            <w:tcW w:w="1566" w:type="pct"/>
            <w:gridSpan w:val="2"/>
            <w:tcBorders>
              <w:bottom w:val="nil"/>
            </w:tcBorders>
          </w:tcPr>
          <w:p w:rsidR="00A101D3" w:rsidRPr="00256EBC" w:rsidRDefault="00A101D3" w:rsidP="00A101D3">
            <w:pPr>
              <w:tabs>
                <w:tab w:val="decimal" w:pos="296"/>
              </w:tabs>
              <w:spacing w:before="40" w:after="40"/>
              <w:rPr>
                <w:color w:val="auto"/>
                <w:sz w:val="18"/>
                <w:szCs w:val="18"/>
              </w:rPr>
            </w:pPr>
            <w:r w:rsidRPr="00E75F96">
              <w:rPr>
                <w:b w:val="0"/>
                <w:color w:val="auto"/>
                <w:sz w:val="18"/>
                <w:szCs w:val="18"/>
              </w:rPr>
              <w:t>Imports</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-22,4</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-8,3</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1,3</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2,1</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3,1</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4,2</w:t>
            </w:r>
          </w:p>
        </w:tc>
        <w:tc>
          <w:tcPr>
            <w:tcW w:w="343" w:type="pct"/>
            <w:tcBorders>
              <w:top w:val="nil"/>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6,1</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5,4</w:t>
            </w:r>
          </w:p>
        </w:tc>
        <w:tc>
          <w:tcPr>
            <w:tcW w:w="343" w:type="pct"/>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5,0</w:t>
            </w:r>
          </w:p>
        </w:tc>
        <w:tc>
          <w:tcPr>
            <w:tcW w:w="347" w:type="pct"/>
            <w:gridSpan w:val="2"/>
            <w:tcBorders>
              <w:bottom w:val="nil"/>
            </w:tcBorders>
            <w:vAlign w:val="bottom"/>
          </w:tcPr>
          <w:p w:rsidR="00A101D3" w:rsidRPr="00A101D3" w:rsidRDefault="00A101D3" w:rsidP="00A101D3">
            <w:pPr>
              <w:tabs>
                <w:tab w:val="decimal" w:pos="296"/>
              </w:tabs>
              <w:spacing w:before="40" w:after="40"/>
              <w:jc w:val="center"/>
              <w:cnfStyle w:val="000000100000"/>
              <w:rPr>
                <w:color w:val="auto"/>
                <w:sz w:val="18"/>
                <w:szCs w:val="18"/>
              </w:rPr>
            </w:pPr>
            <w:r w:rsidRPr="00A101D3">
              <w:rPr>
                <w:color w:val="auto"/>
                <w:sz w:val="18"/>
                <w:szCs w:val="18"/>
              </w:rPr>
              <w:t>4,3</w:t>
            </w:r>
          </w:p>
        </w:tc>
      </w:tr>
      <w:tr w:rsidR="00A101D3" w:rsidRPr="00EC789E" w:rsidTr="00A101D3">
        <w:tc>
          <w:tcPr>
            <w:cnfStyle w:val="001000000000"/>
            <w:tcW w:w="1566" w:type="pct"/>
            <w:gridSpan w:val="2"/>
            <w:tcBorders>
              <w:top w:val="nil"/>
              <w:bottom w:val="single" w:sz="4" w:space="0" w:color="FF0000"/>
            </w:tcBorders>
          </w:tcPr>
          <w:p w:rsidR="00A101D3" w:rsidRPr="00256EBC" w:rsidRDefault="00A101D3" w:rsidP="00A101D3">
            <w:pPr>
              <w:tabs>
                <w:tab w:val="decimal" w:pos="296"/>
              </w:tabs>
              <w:spacing w:before="40" w:after="40"/>
              <w:ind w:left="-57" w:right="-57"/>
              <w:rPr>
                <w:b w:val="0"/>
                <w:color w:val="auto"/>
                <w:sz w:val="20"/>
                <w:szCs w:val="18"/>
              </w:rPr>
            </w:pPr>
            <w:r w:rsidRPr="00EC789E">
              <w:rPr>
                <w:color w:val="auto"/>
                <w:sz w:val="20"/>
                <w:szCs w:val="20"/>
              </w:rPr>
              <w:t>IKP</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-9,7</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-1,0</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-6,9</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1,2</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1,1</w:t>
            </w:r>
          </w:p>
        </w:tc>
        <w:tc>
          <w:tcPr>
            <w:tcW w:w="343" w:type="pct"/>
            <w:tcBorders>
              <w:top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0,0</w:t>
            </w:r>
          </w:p>
        </w:tc>
        <w:tc>
          <w:tcPr>
            <w:tcW w:w="343" w:type="pct"/>
            <w:tcBorders>
              <w:top w:val="nil"/>
              <w:bottom w:val="single" w:sz="4" w:space="0" w:color="FF0000"/>
              <w:right w:val="nil"/>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1,1</w:t>
            </w:r>
          </w:p>
        </w:tc>
        <w:tc>
          <w:tcPr>
            <w:tcW w:w="343" w:type="pct"/>
            <w:tcBorders>
              <w:top w:val="nil"/>
              <w:left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0,8</w:t>
            </w:r>
          </w:p>
        </w:tc>
        <w:tc>
          <w:tcPr>
            <w:tcW w:w="343" w:type="pct"/>
            <w:tcBorders>
              <w:top w:val="nil"/>
              <w:left w:val="nil"/>
              <w:bottom w:val="single" w:sz="4" w:space="0" w:color="FF0000"/>
              <w:right w:val="nil"/>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1,1</w:t>
            </w:r>
          </w:p>
        </w:tc>
        <w:tc>
          <w:tcPr>
            <w:tcW w:w="347" w:type="pct"/>
            <w:gridSpan w:val="2"/>
            <w:tcBorders>
              <w:top w:val="nil"/>
              <w:left w:val="nil"/>
              <w:bottom w:val="single" w:sz="4" w:space="0" w:color="FF0000"/>
            </w:tcBorders>
            <w:vAlign w:val="bottom"/>
          </w:tcPr>
          <w:p w:rsidR="00A101D3" w:rsidRPr="00A101D3" w:rsidRDefault="00A101D3" w:rsidP="00A101D3">
            <w:pPr>
              <w:tabs>
                <w:tab w:val="decimal" w:pos="296"/>
              </w:tabs>
              <w:spacing w:before="40" w:after="40"/>
              <w:jc w:val="center"/>
              <w:cnfStyle w:val="000000000000"/>
              <w:rPr>
                <w:b/>
                <w:color w:val="auto"/>
                <w:sz w:val="18"/>
                <w:szCs w:val="18"/>
              </w:rPr>
            </w:pPr>
            <w:r w:rsidRPr="00A101D3">
              <w:rPr>
                <w:b/>
                <w:color w:val="auto"/>
                <w:sz w:val="18"/>
                <w:szCs w:val="18"/>
              </w:rPr>
              <w:t>2,0</w:t>
            </w:r>
          </w:p>
        </w:tc>
      </w:tr>
    </w:tbl>
    <w:p w:rsidR="00BE41C7" w:rsidRPr="00D06CC9" w:rsidRDefault="00BE41C7" w:rsidP="00BE41C7">
      <w:pPr>
        <w:rPr>
          <w:rFonts w:eastAsiaTheme="majorEastAsia" w:cstheme="majorBidi"/>
          <w:bCs/>
          <w:sz w:val="8"/>
          <w:szCs w:val="26"/>
        </w:rPr>
      </w:pPr>
      <w:r w:rsidRPr="00D06CC9">
        <w:rPr>
          <w:b/>
          <w:sz w:val="8"/>
        </w:rPr>
        <w:br w:type="page"/>
      </w:r>
    </w:p>
    <w:p w:rsidR="00126B37" w:rsidRDefault="00126B37" w:rsidP="00126B37">
      <w:pPr>
        <w:pStyle w:val="Heading2"/>
      </w:pPr>
      <w:bookmarkStart w:id="234" w:name="_Toc305421435"/>
      <w:r>
        <w:rPr>
          <w:b w:val="0"/>
        </w:rPr>
        <w:lastRenderedPageBreak/>
        <w:t>3</w:t>
      </w:r>
      <w:r w:rsidRPr="009F6E8E">
        <w:rPr>
          <w:b w:val="0"/>
        </w:rPr>
        <w:t>.1.attēls.</w:t>
      </w:r>
      <w:r w:rsidRPr="009F6E8E">
        <w:t xml:space="preserve"> </w:t>
      </w:r>
      <w:r>
        <w:t>Iekšzemes pieprasījuma</w:t>
      </w:r>
      <w:r w:rsidRPr="009F6E8E">
        <w:t xml:space="preserve"> izmaiņas pa ceturkšņiem</w:t>
      </w:r>
      <w:bookmarkEnd w:id="234"/>
    </w:p>
    <w:tbl>
      <w:tblPr>
        <w:tblW w:w="0" w:type="auto"/>
        <w:tblLook w:val="01E0"/>
      </w:tblPr>
      <w:tblGrid>
        <w:gridCol w:w="5002"/>
        <w:gridCol w:w="4792"/>
      </w:tblGrid>
      <w:tr w:rsidR="00126B37" w:rsidRPr="009F6E8E" w:rsidTr="006E074D">
        <w:tc>
          <w:tcPr>
            <w:tcW w:w="5002" w:type="dxa"/>
            <w:vAlign w:val="center"/>
          </w:tcPr>
          <w:p w:rsidR="00126B37" w:rsidRPr="009F6E8E" w:rsidRDefault="00126B37" w:rsidP="006E074D">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126B37" w:rsidRPr="009F6E8E" w:rsidRDefault="00126B37" w:rsidP="006E074D">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126B37" w:rsidRPr="009F6E8E" w:rsidTr="006E074D">
        <w:tc>
          <w:tcPr>
            <w:tcW w:w="5002" w:type="dxa"/>
          </w:tcPr>
          <w:p w:rsidR="00126B37" w:rsidRPr="00B12C8D" w:rsidRDefault="00126B37" w:rsidP="006E074D">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12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792" w:type="dxa"/>
          </w:tcPr>
          <w:p w:rsidR="00126B37" w:rsidRPr="00B12C8D" w:rsidRDefault="00126B37" w:rsidP="006E074D">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19050" t="0" r="0" b="0"/>
                  <wp:docPr id="290"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rsidR="00126B37" w:rsidRDefault="00126B37" w:rsidP="00EA2823">
      <w:pPr>
        <w:pStyle w:val="Heading2"/>
        <w:rPr>
          <w:b w:val="0"/>
        </w:rPr>
      </w:pPr>
    </w:p>
    <w:p w:rsidR="00EA2823" w:rsidRDefault="00CD3CE6" w:rsidP="00EA2823">
      <w:pPr>
        <w:pStyle w:val="Heading2"/>
      </w:pPr>
      <w:bookmarkStart w:id="235" w:name="_Toc305421436"/>
      <w:r>
        <w:rPr>
          <w:b w:val="0"/>
        </w:rPr>
        <w:t>3</w:t>
      </w:r>
      <w:r w:rsidR="00BE41C7" w:rsidRPr="009F6E8E">
        <w:rPr>
          <w:b w:val="0"/>
        </w:rPr>
        <w:t>.</w:t>
      </w:r>
      <w:r w:rsidR="00126B37">
        <w:rPr>
          <w:b w:val="0"/>
        </w:rPr>
        <w:t>2</w:t>
      </w:r>
      <w:r w:rsidR="00BE41C7" w:rsidRPr="009F6E8E">
        <w:rPr>
          <w:b w:val="0"/>
        </w:rPr>
        <w:t>.attēls.</w:t>
      </w:r>
      <w:r w:rsidR="00BE41C7" w:rsidRPr="009F6E8E">
        <w:t xml:space="preserve"> Privātā patēriņa izmaiņas pa ceturkšņiem</w:t>
      </w:r>
      <w:bookmarkStart w:id="236" w:name="_Toc216077865"/>
      <w:bookmarkStart w:id="237" w:name="_Toc216079534"/>
      <w:bookmarkStart w:id="238" w:name="_Toc216079602"/>
      <w:bookmarkStart w:id="239" w:name="_Toc216079664"/>
      <w:bookmarkStart w:id="240" w:name="_Toc216079720"/>
      <w:bookmarkStart w:id="241" w:name="_Toc216079776"/>
      <w:bookmarkStart w:id="242" w:name="_Toc216079832"/>
      <w:bookmarkStart w:id="243" w:name="_Toc216077877"/>
      <w:bookmarkStart w:id="244" w:name="_Toc216079546"/>
      <w:bookmarkStart w:id="245" w:name="_Toc216079614"/>
      <w:bookmarkStart w:id="246" w:name="_Toc216079676"/>
      <w:bookmarkStart w:id="247" w:name="_Toc216079732"/>
      <w:bookmarkStart w:id="248" w:name="_Toc216079788"/>
      <w:bookmarkStart w:id="249" w:name="_Toc216079844"/>
      <w:bookmarkEnd w:id="227"/>
      <w:bookmarkEnd w:id="228"/>
      <w:bookmarkEnd w:id="229"/>
      <w:bookmarkEnd w:id="230"/>
      <w:bookmarkEnd w:id="231"/>
      <w:bookmarkEnd w:id="232"/>
      <w:bookmarkEnd w:id="233"/>
      <w:bookmarkEnd w:id="235"/>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B12C8D" w:rsidRDefault="00EA2823" w:rsidP="00350DE4">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924175" cy="1728000"/>
                  <wp:effectExtent l="0" t="0" r="0" b="0"/>
                  <wp:docPr id="2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792" w:type="dxa"/>
          </w:tcPr>
          <w:p w:rsidR="00EA2823" w:rsidRPr="00B12C8D" w:rsidRDefault="00EA2823" w:rsidP="00350DE4">
            <w:pPr>
              <w:rPr>
                <w:rFonts w:ascii="Arial" w:eastAsia="Times New Roman" w:hAnsi="Arial" w:cs="Arial"/>
              </w:rPr>
            </w:pPr>
            <w:r w:rsidRPr="00B12C8D">
              <w:rPr>
                <w:rFonts w:ascii="Arial" w:eastAsia="Times New Roman" w:hAnsi="Arial" w:cs="Arial"/>
                <w:noProof/>
                <w:sz w:val="20"/>
                <w:szCs w:val="20"/>
                <w:lang w:eastAsia="lv-LV"/>
              </w:rPr>
              <w:drawing>
                <wp:inline distT="0" distB="0" distL="0" distR="0">
                  <wp:extent cx="2886075" cy="1728000"/>
                  <wp:effectExtent l="0" t="0" r="0" b="0"/>
                  <wp:docPr id="2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rsidR="00EA2823" w:rsidRPr="009F6E8E" w:rsidRDefault="00EA2823" w:rsidP="00EA2823">
      <w:pPr>
        <w:ind w:firstLine="567"/>
        <w:jc w:val="right"/>
        <w:rPr>
          <w:color w:val="000000"/>
          <w:sz w:val="12"/>
          <w:szCs w:val="12"/>
        </w:rPr>
      </w:pPr>
    </w:p>
    <w:tbl>
      <w:tblPr>
        <w:tblW w:w="5000" w:type="pct"/>
        <w:tblLook w:val="01E0"/>
      </w:tblPr>
      <w:tblGrid>
        <w:gridCol w:w="9855"/>
      </w:tblGrid>
      <w:tr w:rsidR="00EA2823" w:rsidRPr="009F6E8E" w:rsidTr="00350DE4">
        <w:trPr>
          <w:trHeight w:val="181"/>
        </w:trPr>
        <w:tc>
          <w:tcPr>
            <w:tcW w:w="5000" w:type="pct"/>
            <w:vAlign w:val="center"/>
          </w:tcPr>
          <w:p w:rsidR="00EA2823" w:rsidRPr="009F6E8E" w:rsidRDefault="00EA2823" w:rsidP="00350DE4">
            <w:pPr>
              <w:tabs>
                <w:tab w:val="center" w:pos="2543"/>
              </w:tabs>
              <w:jc w:val="center"/>
              <w:rPr>
                <w:rFonts w:eastAsia="Times New Roman"/>
                <w:sz w:val="18"/>
                <w:szCs w:val="24"/>
              </w:rPr>
            </w:pPr>
            <w:r w:rsidRPr="009F6E8E">
              <w:rPr>
                <w:b/>
                <w:sz w:val="22"/>
              </w:rPr>
              <w:t>Patērētāju konfidences rādītājs</w:t>
            </w:r>
            <w:r w:rsidRPr="0049153A">
              <w:rPr>
                <w:sz w:val="18"/>
              </w:rPr>
              <w:t>*</w:t>
            </w:r>
          </w:p>
        </w:tc>
      </w:tr>
      <w:tr w:rsidR="00EA2823" w:rsidRPr="009F6E8E" w:rsidTr="00350DE4">
        <w:trPr>
          <w:trHeight w:val="2639"/>
        </w:trPr>
        <w:tc>
          <w:tcPr>
            <w:tcW w:w="5000" w:type="pct"/>
          </w:tcPr>
          <w:p w:rsidR="00EA2823" w:rsidRPr="009F6E8E" w:rsidRDefault="00EA2823" w:rsidP="00350DE4">
            <w:pPr>
              <w:jc w:val="center"/>
              <w:rPr>
                <w:rFonts w:eastAsia="Times New Roman"/>
              </w:rPr>
            </w:pPr>
            <w:r w:rsidRPr="009F6E8E">
              <w:rPr>
                <w:rFonts w:eastAsia="Times New Roman"/>
                <w:noProof/>
                <w:sz w:val="20"/>
                <w:szCs w:val="20"/>
                <w:lang w:eastAsia="lv-LV"/>
              </w:rPr>
              <w:drawing>
                <wp:inline distT="0" distB="0" distL="0" distR="0">
                  <wp:extent cx="5133975" cy="1828800"/>
                  <wp:effectExtent l="19050" t="0" r="0" b="0"/>
                  <wp:docPr id="25"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EA2823" w:rsidRPr="009F6E8E" w:rsidTr="00350DE4">
        <w:trPr>
          <w:trHeight w:val="354"/>
        </w:trPr>
        <w:tc>
          <w:tcPr>
            <w:tcW w:w="5000" w:type="pct"/>
          </w:tcPr>
          <w:p w:rsidR="00EA2823" w:rsidRPr="00F94A18" w:rsidRDefault="00EA2823" w:rsidP="00F768BB">
            <w:pPr>
              <w:spacing w:before="80"/>
              <w:ind w:left="51" w:hanging="142"/>
              <w:rPr>
                <w:rFonts w:eastAsia="Times New Roman"/>
                <w:sz w:val="18"/>
                <w:szCs w:val="18"/>
                <w:lang w:eastAsia="lv-LV"/>
              </w:rPr>
            </w:pPr>
            <w:r>
              <w:rPr>
                <w:sz w:val="16"/>
                <w:szCs w:val="18"/>
              </w:rPr>
              <w:t>*</w:t>
            </w:r>
            <w:r>
              <w:rPr>
                <w:sz w:val="16"/>
                <w:szCs w:val="18"/>
              </w:rPr>
              <w:tab/>
            </w:r>
            <w:r w:rsidRPr="00F94A18">
              <w:rPr>
                <w:sz w:val="16"/>
                <w:szCs w:val="18"/>
              </w:rPr>
              <w:t>Patērētāju konfidences rādītāju aprēķina kā atbilžu saldo vidējo lielumu uz 4 jautājumiem: par finansiālo situāciju, vispārējo ekonomisko situāciju, bezdarba novērtējumu un uzkrājumiem nākošos 12 mēnešos</w:t>
            </w:r>
            <w:r w:rsidR="00F768BB">
              <w:rPr>
                <w:sz w:val="16"/>
                <w:szCs w:val="18"/>
              </w:rPr>
              <w:t>.</w:t>
            </w:r>
          </w:p>
        </w:tc>
      </w:tr>
    </w:tbl>
    <w:p w:rsidR="00EA2823" w:rsidRPr="009F6E8E" w:rsidRDefault="00EA2823" w:rsidP="00EA2823">
      <w:pPr>
        <w:jc w:val="center"/>
        <w:rPr>
          <w:b/>
          <w:sz w:val="12"/>
          <w:szCs w:val="16"/>
        </w:rPr>
      </w:pPr>
    </w:p>
    <w:p w:rsidR="00EA2823" w:rsidRPr="009F6E8E" w:rsidRDefault="00EA2823" w:rsidP="00EA2823">
      <w:pPr>
        <w:pStyle w:val="Heading2"/>
      </w:pPr>
      <w:bookmarkStart w:id="250" w:name="_Toc216077863"/>
      <w:bookmarkStart w:id="251" w:name="_Toc216079532"/>
      <w:bookmarkStart w:id="252" w:name="_Toc216079600"/>
      <w:bookmarkStart w:id="253" w:name="_Toc216079662"/>
      <w:bookmarkStart w:id="254" w:name="_Toc216079718"/>
      <w:bookmarkStart w:id="255" w:name="_Toc216079774"/>
      <w:bookmarkStart w:id="256" w:name="_Toc216079830"/>
      <w:bookmarkStart w:id="257" w:name="_Toc305421437"/>
      <w:r>
        <w:rPr>
          <w:b w:val="0"/>
        </w:rPr>
        <w:t>3</w:t>
      </w:r>
      <w:r w:rsidRPr="009F6E8E">
        <w:rPr>
          <w:b w:val="0"/>
        </w:rPr>
        <w:t>.</w:t>
      </w:r>
      <w:r w:rsidR="00126B37">
        <w:rPr>
          <w:b w:val="0"/>
        </w:rPr>
        <w:t>3</w:t>
      </w:r>
      <w:r w:rsidRPr="009F6E8E">
        <w:rPr>
          <w:b w:val="0"/>
        </w:rPr>
        <w:t>.attēls.</w:t>
      </w:r>
      <w:r w:rsidRPr="009F6E8E">
        <w:t xml:space="preserve"> Sabiedriskā patēriņa izmaiņas pa ceturkšņiem</w:t>
      </w:r>
      <w:bookmarkEnd w:id="250"/>
      <w:bookmarkEnd w:id="251"/>
      <w:bookmarkEnd w:id="252"/>
      <w:bookmarkEnd w:id="253"/>
      <w:bookmarkEnd w:id="254"/>
      <w:bookmarkEnd w:id="255"/>
      <w:bookmarkEnd w:id="256"/>
      <w:bookmarkEnd w:id="257"/>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4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5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rsidR="00EA2823" w:rsidRPr="009F6E8E" w:rsidRDefault="00EA2823" w:rsidP="00EA2823">
      <w:pPr>
        <w:jc w:val="both"/>
        <w:rPr>
          <w:sz w:val="12"/>
          <w:szCs w:val="12"/>
        </w:rPr>
      </w:pPr>
    </w:p>
    <w:p w:rsidR="00EA2823" w:rsidRPr="009F6E8E" w:rsidRDefault="00EA2823" w:rsidP="00EA2823">
      <w:pPr>
        <w:pStyle w:val="Heading2"/>
        <w:rPr>
          <w:sz w:val="22"/>
          <w:szCs w:val="22"/>
        </w:rPr>
      </w:pPr>
      <w:bookmarkStart w:id="258" w:name="_Toc216077864"/>
      <w:bookmarkStart w:id="259" w:name="_Toc216079533"/>
      <w:bookmarkStart w:id="260" w:name="_Toc216079601"/>
      <w:bookmarkStart w:id="261" w:name="_Toc216079663"/>
      <w:bookmarkStart w:id="262" w:name="_Toc216079719"/>
      <w:bookmarkStart w:id="263" w:name="_Toc216079775"/>
      <w:bookmarkStart w:id="264" w:name="_Toc216079831"/>
      <w:bookmarkStart w:id="265" w:name="_Toc305421438"/>
      <w:r>
        <w:rPr>
          <w:b w:val="0"/>
        </w:rPr>
        <w:lastRenderedPageBreak/>
        <w:t>3</w:t>
      </w:r>
      <w:r w:rsidRPr="009F6E8E">
        <w:rPr>
          <w:b w:val="0"/>
        </w:rPr>
        <w:t>.</w:t>
      </w:r>
      <w:r w:rsidR="00126B37">
        <w:rPr>
          <w:b w:val="0"/>
        </w:rPr>
        <w:t>4</w:t>
      </w:r>
      <w:r w:rsidRPr="009F6E8E">
        <w:rPr>
          <w:b w:val="0"/>
        </w:rPr>
        <w:t>.attēls.</w:t>
      </w:r>
      <w:r w:rsidRPr="009F6E8E">
        <w:t xml:space="preserve"> Investīcijas pamatlīdzekļos pa ceturkšņiem</w:t>
      </w:r>
      <w:bookmarkEnd w:id="258"/>
      <w:bookmarkEnd w:id="259"/>
      <w:bookmarkEnd w:id="260"/>
      <w:bookmarkEnd w:id="261"/>
      <w:bookmarkEnd w:id="262"/>
      <w:bookmarkEnd w:id="263"/>
      <w:bookmarkEnd w:id="264"/>
      <w:bookmarkEnd w:id="265"/>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5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5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rsidR="00EA2823" w:rsidRDefault="00EA2823" w:rsidP="00EA2823">
      <w:pPr>
        <w:pStyle w:val="Heading1"/>
      </w:pPr>
    </w:p>
    <w:p w:rsidR="00EA2823" w:rsidRPr="009F6E8E" w:rsidRDefault="00EA2823" w:rsidP="00EA2823">
      <w:pPr>
        <w:pStyle w:val="Heading2"/>
      </w:pPr>
      <w:bookmarkStart w:id="266" w:name="_Toc305421439"/>
      <w:r>
        <w:rPr>
          <w:b w:val="0"/>
        </w:rPr>
        <w:t>3</w:t>
      </w:r>
      <w:r w:rsidRPr="009F6E8E">
        <w:rPr>
          <w:b w:val="0"/>
        </w:rPr>
        <w:t>.</w:t>
      </w:r>
      <w:r w:rsidR="00126B37">
        <w:rPr>
          <w:b w:val="0"/>
        </w:rPr>
        <w:t>5</w:t>
      </w:r>
      <w:r w:rsidRPr="009F6E8E">
        <w:rPr>
          <w:b w:val="0"/>
        </w:rPr>
        <w:t>.attēls.</w:t>
      </w:r>
      <w:r w:rsidRPr="009F6E8E">
        <w:t xml:space="preserve"> </w:t>
      </w:r>
      <w:r>
        <w:t xml:space="preserve">Preču un pakalpojumu eksports </w:t>
      </w:r>
      <w:r w:rsidRPr="009F6E8E">
        <w:t>pa ceturkšņiem</w:t>
      </w:r>
      <w:bookmarkEnd w:id="266"/>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0" t="0" r="0" b="0"/>
                  <wp:docPr id="6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rsidR="00EA2823" w:rsidRPr="009F6E8E" w:rsidRDefault="00EA2823" w:rsidP="00EA2823">
      <w:pPr>
        <w:jc w:val="both"/>
        <w:rPr>
          <w:sz w:val="12"/>
          <w:szCs w:val="12"/>
        </w:rPr>
      </w:pPr>
    </w:p>
    <w:p w:rsidR="00126B37" w:rsidRDefault="00126B37" w:rsidP="00EA2823">
      <w:pPr>
        <w:pStyle w:val="Heading2"/>
        <w:rPr>
          <w:b w:val="0"/>
        </w:rPr>
      </w:pPr>
    </w:p>
    <w:p w:rsidR="00EA2823" w:rsidRPr="009F6E8E" w:rsidRDefault="00EA2823" w:rsidP="00EA2823">
      <w:pPr>
        <w:pStyle w:val="Heading2"/>
        <w:rPr>
          <w:sz w:val="22"/>
          <w:szCs w:val="22"/>
        </w:rPr>
      </w:pPr>
      <w:bookmarkStart w:id="267" w:name="_Toc305421440"/>
      <w:r>
        <w:rPr>
          <w:b w:val="0"/>
        </w:rPr>
        <w:t>3.</w:t>
      </w:r>
      <w:r w:rsidR="00126B37">
        <w:rPr>
          <w:b w:val="0"/>
        </w:rPr>
        <w:t>6</w:t>
      </w:r>
      <w:r w:rsidRPr="009F6E8E">
        <w:rPr>
          <w:b w:val="0"/>
        </w:rPr>
        <w:t>.attēls.</w:t>
      </w:r>
      <w:r w:rsidRPr="009F6E8E">
        <w:t xml:space="preserve"> </w:t>
      </w:r>
      <w:r>
        <w:t xml:space="preserve">Preču un pakalpojumu imports </w:t>
      </w:r>
      <w:r w:rsidRPr="009F6E8E">
        <w:t>pa ceturkšņiem</w:t>
      </w:r>
      <w:bookmarkEnd w:id="267"/>
    </w:p>
    <w:tbl>
      <w:tblPr>
        <w:tblW w:w="0" w:type="auto"/>
        <w:tblLook w:val="01E0"/>
      </w:tblPr>
      <w:tblGrid>
        <w:gridCol w:w="5002"/>
        <w:gridCol w:w="4792"/>
      </w:tblGrid>
      <w:tr w:rsidR="00EA2823" w:rsidRPr="009F6E8E" w:rsidTr="00350DE4">
        <w:tc>
          <w:tcPr>
            <w:tcW w:w="5002" w:type="dxa"/>
            <w:vAlign w:val="center"/>
          </w:tcPr>
          <w:p w:rsidR="00EA2823" w:rsidRPr="009F6E8E" w:rsidRDefault="00EA2823" w:rsidP="00350DE4">
            <w:pPr>
              <w:tabs>
                <w:tab w:val="center" w:pos="2410"/>
              </w:tabs>
              <w:spacing w:before="40"/>
              <w:rPr>
                <w:rFonts w:eastAsia="Times New Roman"/>
                <w:sz w:val="18"/>
                <w:szCs w:val="18"/>
                <w:highlight w:val="yellow"/>
              </w:rPr>
            </w:pPr>
            <w:r w:rsidRPr="009F6E8E">
              <w:rPr>
                <w:rFonts w:eastAsia="Times New Roman"/>
                <w:sz w:val="18"/>
                <w:szCs w:val="18"/>
                <w:highlight w:val="yellow"/>
              </w:rPr>
              <w:br w:type="page"/>
            </w:r>
            <w:r w:rsidRPr="009F6E8E">
              <w:rPr>
                <w:rFonts w:eastAsia="Times New Roman"/>
                <w:sz w:val="18"/>
                <w:szCs w:val="18"/>
              </w:rPr>
              <w:tab/>
              <w:t>S</w:t>
            </w:r>
            <w:r w:rsidRPr="009F6E8E">
              <w:rPr>
                <w:rFonts w:eastAsia="Times New Roman"/>
                <w:bCs/>
                <w:color w:val="000000"/>
                <w:sz w:val="18"/>
                <w:szCs w:val="18"/>
              </w:rPr>
              <w:t>ezonāli izlīdzināti dati, 2005.g. IV ceturksnis=100</w:t>
            </w:r>
          </w:p>
        </w:tc>
        <w:tc>
          <w:tcPr>
            <w:tcW w:w="4792" w:type="dxa"/>
            <w:vAlign w:val="center"/>
          </w:tcPr>
          <w:p w:rsidR="00EA2823" w:rsidRPr="009F6E8E" w:rsidRDefault="00EA2823" w:rsidP="00350DE4">
            <w:pPr>
              <w:tabs>
                <w:tab w:val="center" w:pos="2482"/>
              </w:tabs>
              <w:spacing w:before="40"/>
              <w:rPr>
                <w:rFonts w:eastAsia="Times New Roman"/>
                <w:sz w:val="18"/>
                <w:szCs w:val="18"/>
                <w:highlight w:val="yellow"/>
              </w:rPr>
            </w:pPr>
            <w:r w:rsidRPr="009F6E8E">
              <w:rPr>
                <w:rFonts w:eastAsia="Times New Roman"/>
                <w:bCs/>
                <w:color w:val="000000"/>
                <w:sz w:val="18"/>
                <w:szCs w:val="18"/>
              </w:rPr>
              <w:tab/>
              <w:t>Pret iepriekšējā gada attiecīgo periodu, %</w:t>
            </w:r>
          </w:p>
        </w:tc>
      </w:tr>
      <w:tr w:rsidR="00EA2823" w:rsidRPr="009F6E8E" w:rsidTr="00350DE4">
        <w:tc>
          <w:tcPr>
            <w:tcW w:w="500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924175" cy="1728000"/>
                  <wp:effectExtent l="19050" t="0" r="0" b="0"/>
                  <wp:docPr id="6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4792" w:type="dxa"/>
          </w:tcPr>
          <w:p w:rsidR="00EA2823" w:rsidRPr="009F6E8E" w:rsidRDefault="00EA2823" w:rsidP="00350DE4">
            <w:pPr>
              <w:rPr>
                <w:rFonts w:eastAsia="Times New Roman"/>
              </w:rPr>
            </w:pPr>
            <w:r w:rsidRPr="009F6E8E">
              <w:rPr>
                <w:rFonts w:eastAsia="Times New Roman"/>
                <w:noProof/>
                <w:sz w:val="20"/>
                <w:szCs w:val="20"/>
                <w:lang w:eastAsia="lv-LV"/>
              </w:rPr>
              <w:drawing>
                <wp:inline distT="0" distB="0" distL="0" distR="0">
                  <wp:extent cx="2886075" cy="1728000"/>
                  <wp:effectExtent l="0" t="0" r="0" b="0"/>
                  <wp:docPr id="69"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rsidR="005F5CBE" w:rsidRDefault="005F5CBE" w:rsidP="00EA2823">
      <w:pPr>
        <w:pStyle w:val="Heading2"/>
        <w:rPr>
          <w:sz w:val="32"/>
        </w:rPr>
      </w:pPr>
      <w:r>
        <w:br w:type="page"/>
      </w:r>
    </w:p>
    <w:p w:rsidR="00BE41C7" w:rsidRPr="009F6E8E" w:rsidRDefault="00CD3CE6" w:rsidP="00BE41C7">
      <w:pPr>
        <w:pStyle w:val="Heading1"/>
      </w:pPr>
      <w:bookmarkStart w:id="268" w:name="_Toc305069153"/>
      <w:bookmarkStart w:id="269" w:name="_Toc305421441"/>
      <w:r>
        <w:lastRenderedPageBreak/>
        <w:t>4</w:t>
      </w:r>
      <w:r w:rsidR="00BE41C7" w:rsidRPr="009F6E8E">
        <w:t>. Ārējais sektors</w:t>
      </w:r>
      <w:bookmarkEnd w:id="236"/>
      <w:bookmarkEnd w:id="237"/>
      <w:bookmarkEnd w:id="238"/>
      <w:bookmarkEnd w:id="239"/>
      <w:bookmarkEnd w:id="240"/>
      <w:bookmarkEnd w:id="241"/>
      <w:bookmarkEnd w:id="242"/>
      <w:bookmarkEnd w:id="268"/>
      <w:bookmarkEnd w:id="269"/>
    </w:p>
    <w:p w:rsidR="00BE41C7" w:rsidRPr="00724C14" w:rsidRDefault="00BE41C7" w:rsidP="00BE41C7">
      <w:pPr>
        <w:spacing w:after="40"/>
        <w:rPr>
          <w:b/>
          <w:sz w:val="4"/>
          <w:szCs w:val="12"/>
        </w:rPr>
      </w:pPr>
    </w:p>
    <w:p w:rsidR="000E2EB8" w:rsidRPr="00484BC7" w:rsidRDefault="000E2EB8" w:rsidP="00724C14">
      <w:pPr>
        <w:ind w:firstLine="284"/>
        <w:jc w:val="both"/>
        <w:rPr>
          <w:sz w:val="28"/>
        </w:rPr>
      </w:pPr>
      <w:bookmarkStart w:id="270" w:name="_Toc216077866"/>
      <w:bookmarkStart w:id="271" w:name="_Toc216079535"/>
      <w:bookmarkStart w:id="272" w:name="_Toc216079603"/>
      <w:bookmarkStart w:id="273" w:name="_Toc216079665"/>
      <w:bookmarkStart w:id="274" w:name="_Toc216079721"/>
      <w:bookmarkStart w:id="275" w:name="_Toc216079777"/>
      <w:bookmarkStart w:id="276" w:name="_Toc216079833"/>
      <w:r w:rsidRPr="00484BC7">
        <w:rPr>
          <w:rFonts w:eastAsiaTheme="minorHAnsi"/>
          <w:sz w:val="28"/>
        </w:rPr>
        <w:t xml:space="preserve">Globālās finanšu krīzes ietekmē Latvijā </w:t>
      </w:r>
      <w:r w:rsidR="001D062A">
        <w:rPr>
          <w:rFonts w:eastAsiaTheme="minorHAnsi"/>
          <w:sz w:val="28"/>
        </w:rPr>
        <w:t xml:space="preserve">ir </w:t>
      </w:r>
      <w:r w:rsidRPr="00484BC7">
        <w:rPr>
          <w:rFonts w:eastAsiaTheme="minorHAnsi"/>
          <w:sz w:val="28"/>
        </w:rPr>
        <w:t>notik</w:t>
      </w:r>
      <w:r w:rsidR="001D062A">
        <w:rPr>
          <w:rFonts w:eastAsiaTheme="minorHAnsi"/>
          <w:sz w:val="28"/>
        </w:rPr>
        <w:t>usi</w:t>
      </w:r>
      <w:r w:rsidRPr="00484BC7">
        <w:rPr>
          <w:rFonts w:eastAsiaTheme="minorHAnsi"/>
          <w:sz w:val="28"/>
        </w:rPr>
        <w:t xml:space="preserve"> maksājumu bilances tekošā konta nozīmīga korekcija. Strauji samazinoties ārvalstu kapitāla ieplūdei tekošā konta bilance </w:t>
      </w:r>
      <w:r w:rsidRPr="00484BC7">
        <w:rPr>
          <w:sz w:val="28"/>
        </w:rPr>
        <w:t>no deficīt</w:t>
      </w:r>
      <w:r w:rsidR="00724C14">
        <w:rPr>
          <w:sz w:val="28"/>
        </w:rPr>
        <w:t>a</w:t>
      </w:r>
      <w:r w:rsidRPr="00484BC7">
        <w:rPr>
          <w:sz w:val="28"/>
        </w:rPr>
        <w:t xml:space="preserve"> 24,7% no IKP</w:t>
      </w:r>
      <w:r w:rsidR="00724C14">
        <w:rPr>
          <w:sz w:val="28"/>
        </w:rPr>
        <w:t xml:space="preserve"> </w:t>
      </w:r>
      <w:r w:rsidR="00724C14" w:rsidRPr="00484BC7">
        <w:rPr>
          <w:sz w:val="28"/>
        </w:rPr>
        <w:t>(2007.gada 3.ceturksnī</w:t>
      </w:r>
      <w:r w:rsidR="00724C14">
        <w:rPr>
          <w:sz w:val="28"/>
        </w:rPr>
        <w:t>)</w:t>
      </w:r>
      <w:r w:rsidRPr="00484BC7">
        <w:rPr>
          <w:sz w:val="28"/>
        </w:rPr>
        <w:t xml:space="preserve"> sasniedza pārpalikum</w:t>
      </w:r>
      <w:r w:rsidR="00724C14">
        <w:rPr>
          <w:sz w:val="28"/>
        </w:rPr>
        <w:t>u</w:t>
      </w:r>
      <w:r w:rsidRPr="00484BC7">
        <w:rPr>
          <w:sz w:val="28"/>
        </w:rPr>
        <w:t xml:space="preserve"> 13,6% no IKP</w:t>
      </w:r>
      <w:r w:rsidR="00724C14">
        <w:rPr>
          <w:sz w:val="28"/>
        </w:rPr>
        <w:t xml:space="preserve"> </w:t>
      </w:r>
      <w:r w:rsidR="00724C14" w:rsidRPr="00484BC7">
        <w:rPr>
          <w:sz w:val="28"/>
        </w:rPr>
        <w:t>(2009.gada 2.ceturksnī</w:t>
      </w:r>
      <w:r w:rsidR="00724C14">
        <w:rPr>
          <w:sz w:val="28"/>
        </w:rPr>
        <w:t>)</w:t>
      </w:r>
      <w:r w:rsidRPr="00484BC7">
        <w:rPr>
          <w:sz w:val="28"/>
        </w:rPr>
        <w:t>. 2010.gadā, stabilizējoties ekonomiskai situācijai, tekošā konta pārpalikums sāka samērā strauji samazināties</w:t>
      </w:r>
      <w:r w:rsidR="00724C14">
        <w:rPr>
          <w:sz w:val="28"/>
        </w:rPr>
        <w:t xml:space="preserve"> un 2010.gada </w:t>
      </w:r>
      <w:r w:rsidR="001D062A">
        <w:rPr>
          <w:sz w:val="28"/>
        </w:rPr>
        <w:t>otrajā pusē</w:t>
      </w:r>
      <w:r w:rsidRPr="00484BC7">
        <w:rPr>
          <w:sz w:val="28"/>
        </w:rPr>
        <w:t xml:space="preserve"> tekošā konta bilance bija negatīva. </w:t>
      </w:r>
      <w:r w:rsidR="00724C14" w:rsidRPr="00484BC7">
        <w:rPr>
          <w:sz w:val="28"/>
        </w:rPr>
        <w:t>2010.gadā kopumā tekošā konta bilances pārpalikums bija 3% no IKP, t.i.</w:t>
      </w:r>
      <w:r w:rsidR="00257C54">
        <w:rPr>
          <w:sz w:val="28"/>
        </w:rPr>
        <w:t>,</w:t>
      </w:r>
      <w:r w:rsidR="00724C14" w:rsidRPr="00484BC7">
        <w:rPr>
          <w:sz w:val="28"/>
        </w:rPr>
        <w:t xml:space="preserve"> gandrīz trīs reizes mazāks nekā gadu iepriekš.</w:t>
      </w:r>
      <w:r w:rsidR="00724C14">
        <w:rPr>
          <w:sz w:val="28"/>
        </w:rPr>
        <w:t xml:space="preserve"> </w:t>
      </w:r>
      <w:r w:rsidRPr="00484BC7">
        <w:rPr>
          <w:sz w:val="28"/>
        </w:rPr>
        <w:t>Tekošā konta izmaiņas 2010.gadā galvenokārt bija saistītas ar izmaiņām ienākumu bilances posteņos un mazākā mērā ar izmaiņām ārējās tirdzniecības bilances posteņos.</w:t>
      </w:r>
    </w:p>
    <w:p w:rsidR="000E2EB8" w:rsidRPr="00484BC7" w:rsidRDefault="000E2EB8" w:rsidP="00724C14">
      <w:pPr>
        <w:pStyle w:val="BodyText"/>
        <w:spacing w:after="0"/>
        <w:ind w:firstLine="284"/>
        <w:jc w:val="both"/>
        <w:rPr>
          <w:sz w:val="28"/>
          <w:szCs w:val="28"/>
        </w:rPr>
      </w:pPr>
      <w:r w:rsidRPr="00484BC7">
        <w:rPr>
          <w:sz w:val="28"/>
          <w:szCs w:val="28"/>
        </w:rPr>
        <w:t xml:space="preserve">2010.gadā </w:t>
      </w:r>
      <w:r w:rsidR="00724C14" w:rsidRPr="001D062A">
        <w:rPr>
          <w:b/>
          <w:sz w:val="28"/>
          <w:szCs w:val="28"/>
        </w:rPr>
        <w:t>tekošā konta</w:t>
      </w:r>
      <w:r w:rsidR="00724C14">
        <w:rPr>
          <w:sz w:val="28"/>
          <w:szCs w:val="28"/>
        </w:rPr>
        <w:t xml:space="preserve"> dinamika </w:t>
      </w:r>
      <w:r w:rsidRPr="00484BC7">
        <w:rPr>
          <w:sz w:val="28"/>
          <w:szCs w:val="28"/>
        </w:rPr>
        <w:t>lieci</w:t>
      </w:r>
      <w:r w:rsidR="00724C14">
        <w:rPr>
          <w:sz w:val="28"/>
          <w:szCs w:val="28"/>
        </w:rPr>
        <w:t>nāja</w:t>
      </w:r>
      <w:r w:rsidRPr="00484BC7">
        <w:rPr>
          <w:sz w:val="28"/>
          <w:szCs w:val="28"/>
        </w:rPr>
        <w:t xml:space="preserve"> par kārtējo virzienmaiņu, t.i., pozitīvā saldo samazināšanos un tuvināšanos deficīta stāvoklim, kas bija raksturīgs Latvijai vairāku gadu garumā. Arī 2011.gada 1.pusgadā tekošā konta saldo bija ar nelielu pārpalikumu</w:t>
      </w:r>
      <w:r w:rsidR="00724C14">
        <w:rPr>
          <w:sz w:val="28"/>
          <w:szCs w:val="28"/>
        </w:rPr>
        <w:t xml:space="preserve"> –</w:t>
      </w:r>
      <w:r w:rsidRPr="00484BC7">
        <w:rPr>
          <w:sz w:val="28"/>
          <w:szCs w:val="28"/>
        </w:rPr>
        <w:t xml:space="preserve"> </w:t>
      </w:r>
      <w:r w:rsidR="00724C14">
        <w:rPr>
          <w:sz w:val="28"/>
          <w:szCs w:val="28"/>
        </w:rPr>
        <w:t>1% no IKP</w:t>
      </w:r>
      <w:r w:rsidRPr="00484BC7">
        <w:rPr>
          <w:sz w:val="28"/>
          <w:szCs w:val="28"/>
        </w:rPr>
        <w:t xml:space="preserve">. Jāatzīmē, ka kopš 2010.gada 3.ceturkšņa tekošā konta bilance ir tuvu nullei, liecinot par investīciju un uzkrājumu sabalansētību. </w:t>
      </w:r>
    </w:p>
    <w:p w:rsidR="000E2EB8" w:rsidRPr="00484BC7" w:rsidRDefault="000E2EB8" w:rsidP="00724C14">
      <w:pPr>
        <w:pStyle w:val="BodyText"/>
        <w:spacing w:after="0"/>
        <w:ind w:firstLine="284"/>
        <w:jc w:val="both"/>
        <w:rPr>
          <w:sz w:val="28"/>
          <w:szCs w:val="28"/>
        </w:rPr>
      </w:pPr>
      <w:r w:rsidRPr="00484BC7">
        <w:rPr>
          <w:sz w:val="28"/>
          <w:szCs w:val="28"/>
        </w:rPr>
        <w:t xml:space="preserve">Latvijas </w:t>
      </w:r>
      <w:r w:rsidRPr="001D062A">
        <w:rPr>
          <w:b/>
          <w:sz w:val="28"/>
          <w:szCs w:val="28"/>
        </w:rPr>
        <w:t>ārējās tirdzniecības</w:t>
      </w:r>
      <w:r w:rsidRPr="00484BC7">
        <w:rPr>
          <w:sz w:val="28"/>
          <w:szCs w:val="28"/>
        </w:rPr>
        <w:t xml:space="preserve"> deficīts 2010.gadā bija 6,4% no IKP. To noteica preču eksporta straujāks pieaugums nekā importa kāpums. Tomēr jāatzīmē, ka, palielinoties ekonomiskajām aktivitātēm, importa dinamika kļūst arvien straujāka un ārējās tirdzniecības bilances stāvokļa turpmākas izmaiņas noteiks ražotāju konkurētspējas un pieprasījuma palielināšanās ārējos tirgos. 2011.gada 1.pusgadā ārējās tirdzniecības deficīts sasniedza 7,6% no IKP, kas bija nedaudz lielāks nekā 2010.gada atbilstošajā periodā.</w:t>
      </w:r>
    </w:p>
    <w:p w:rsidR="000E2EB8" w:rsidRPr="00484BC7" w:rsidRDefault="000E2EB8" w:rsidP="00724C14">
      <w:pPr>
        <w:ind w:firstLine="284"/>
        <w:jc w:val="both"/>
        <w:rPr>
          <w:sz w:val="28"/>
          <w:lang w:eastAsia="lv-LV"/>
        </w:rPr>
      </w:pPr>
      <w:r w:rsidRPr="001D062A">
        <w:rPr>
          <w:b/>
          <w:sz w:val="28"/>
        </w:rPr>
        <w:t>Pakalpojumu bilances</w:t>
      </w:r>
      <w:r w:rsidRPr="00484BC7">
        <w:rPr>
          <w:sz w:val="28"/>
        </w:rPr>
        <w:t xml:space="preserve"> korekcija krīzes laikā bija </w:t>
      </w:r>
      <w:r w:rsidR="00EB1706">
        <w:rPr>
          <w:sz w:val="28"/>
        </w:rPr>
        <w:t xml:space="preserve">mazāk </w:t>
      </w:r>
      <w:r w:rsidRPr="00484BC7">
        <w:rPr>
          <w:sz w:val="28"/>
        </w:rPr>
        <w:t xml:space="preserve">nozīmīga. Tā galvenokārt notika 2009.gadā, </w:t>
      </w:r>
      <w:r w:rsidR="00EB1706">
        <w:rPr>
          <w:sz w:val="28"/>
        </w:rPr>
        <w:t xml:space="preserve">kad </w:t>
      </w:r>
      <w:r w:rsidRPr="00484BC7">
        <w:rPr>
          <w:sz w:val="28"/>
        </w:rPr>
        <w:t>pakalpojumu import</w:t>
      </w:r>
      <w:r w:rsidR="00EB1706">
        <w:rPr>
          <w:sz w:val="28"/>
        </w:rPr>
        <w:t xml:space="preserve">s </w:t>
      </w:r>
      <w:r w:rsidR="00EB1706" w:rsidRPr="00484BC7">
        <w:rPr>
          <w:sz w:val="28"/>
        </w:rPr>
        <w:t>sama</w:t>
      </w:r>
      <w:r w:rsidR="00EB1706">
        <w:rPr>
          <w:sz w:val="28"/>
        </w:rPr>
        <w:t xml:space="preserve">zinājās </w:t>
      </w:r>
      <w:r w:rsidR="00257C54">
        <w:rPr>
          <w:sz w:val="28"/>
        </w:rPr>
        <w:t>divreiz straujāk</w:t>
      </w:r>
      <w:r w:rsidRPr="00484BC7">
        <w:rPr>
          <w:sz w:val="28"/>
        </w:rPr>
        <w:t xml:space="preserve"> nekā eksport</w:t>
      </w:r>
      <w:r w:rsidR="00EB1706">
        <w:rPr>
          <w:sz w:val="28"/>
        </w:rPr>
        <w:t>s. T</w:t>
      </w:r>
      <w:r w:rsidRPr="00484BC7">
        <w:rPr>
          <w:sz w:val="28"/>
        </w:rPr>
        <w:t xml:space="preserve">ā rezultātā pakalpojumu bilances pārpalikums sasniedza 6% no IKP. </w:t>
      </w:r>
      <w:r w:rsidRPr="00484BC7">
        <w:rPr>
          <w:sz w:val="28"/>
          <w:lang w:eastAsia="lv-LV"/>
        </w:rPr>
        <w:t>Kopš 2009.gada 2.ceturkšņa gan importa, gan eksporta dinamika ir stabila. 2010.gadā pakalpojumu bilance bija 6,1% līmen</w:t>
      </w:r>
      <w:r w:rsidR="00257C54">
        <w:rPr>
          <w:sz w:val="28"/>
          <w:lang w:eastAsia="lv-LV"/>
        </w:rPr>
        <w:t>ī</w:t>
      </w:r>
      <w:r w:rsidR="00724C14">
        <w:rPr>
          <w:sz w:val="28"/>
          <w:lang w:eastAsia="lv-LV"/>
        </w:rPr>
        <w:t xml:space="preserve"> no IKP, bet 2011.gada 1. un 2.</w:t>
      </w:r>
      <w:r w:rsidRPr="00484BC7">
        <w:rPr>
          <w:sz w:val="28"/>
          <w:lang w:eastAsia="lv-LV"/>
        </w:rPr>
        <w:t xml:space="preserve">ceturksnī </w:t>
      </w:r>
      <w:r w:rsidR="00257C54">
        <w:rPr>
          <w:sz w:val="28"/>
          <w:lang w:eastAsia="lv-LV"/>
        </w:rPr>
        <w:t>–</w:t>
      </w:r>
      <w:r w:rsidRPr="00484BC7">
        <w:rPr>
          <w:sz w:val="28"/>
          <w:lang w:eastAsia="lv-LV"/>
        </w:rPr>
        <w:t>attiecīgi 6,2% un 6,7% no IKP. Pakalpojumu bilance gandrīz pilnībā sedz preču tirdzniecības negatīvo bilanci.</w:t>
      </w:r>
    </w:p>
    <w:p w:rsidR="000E2EB8" w:rsidRPr="00484BC7" w:rsidRDefault="000E2EB8" w:rsidP="00724C14">
      <w:pPr>
        <w:ind w:firstLine="284"/>
        <w:jc w:val="both"/>
        <w:rPr>
          <w:sz w:val="28"/>
        </w:rPr>
      </w:pPr>
      <w:r w:rsidRPr="00484BC7">
        <w:rPr>
          <w:sz w:val="28"/>
        </w:rPr>
        <w:t xml:space="preserve">Nozīmīgas izmaiņas </w:t>
      </w:r>
      <w:r w:rsidR="00EB1706">
        <w:rPr>
          <w:sz w:val="28"/>
        </w:rPr>
        <w:t xml:space="preserve">notika </w:t>
      </w:r>
      <w:r w:rsidRPr="00484BC7">
        <w:rPr>
          <w:sz w:val="28"/>
        </w:rPr>
        <w:t xml:space="preserve">tekošā konta </w:t>
      </w:r>
      <w:r w:rsidRPr="001D062A">
        <w:rPr>
          <w:b/>
          <w:sz w:val="28"/>
        </w:rPr>
        <w:t>ienākumu bilancē</w:t>
      </w:r>
      <w:r w:rsidRPr="00484BC7">
        <w:rPr>
          <w:sz w:val="28"/>
        </w:rPr>
        <w:t>, kas kopš 2008.gada 4.ceturkšņa septiņus ceturkšņus pēc kārtas bija pozitīva. Ienākumu bilances pārpalikums 2009.gada 2.ceturksnī sasniedza 9,4% no IKP. Nākamajos periodos ienākumu bilance samazinājās un 2010.gada 3. un 4.ceturksnī bija negatīva (attiecīgi 0,7% un 3,6% no IKP). Arī 2011.gada 1. un 2. ceturksnī</w:t>
      </w:r>
      <w:r w:rsidR="00AD1713">
        <w:rPr>
          <w:sz w:val="28"/>
        </w:rPr>
        <w:t xml:space="preserve"> </w:t>
      </w:r>
      <w:r w:rsidRPr="00484BC7">
        <w:rPr>
          <w:sz w:val="28"/>
        </w:rPr>
        <w:t>saglabājās ienākumu konta negatīvā bilance (attiecīgi 0,5% un 2,5% no IKP), ko galvenokārt noteica nerezidentu ieguldījumu ienākumu, t.sk. nerezidentu izmaksāto dividenžu apjomu pieaugums.</w:t>
      </w:r>
    </w:p>
    <w:p w:rsidR="000E2EB8" w:rsidRPr="00484BC7" w:rsidRDefault="000E2EB8" w:rsidP="00724C14">
      <w:pPr>
        <w:ind w:firstLine="284"/>
        <w:jc w:val="both"/>
        <w:rPr>
          <w:sz w:val="28"/>
        </w:rPr>
      </w:pPr>
      <w:r w:rsidRPr="00484BC7">
        <w:rPr>
          <w:sz w:val="28"/>
        </w:rPr>
        <w:t xml:space="preserve">Atšķirībā no tekošā konta bilances, kas kopš 2010.gada 3.ceturkšņa ir samērā stabila, finanšu konta bilances ceturkšņu svārstības ir izteiktas, kas lielā mērā ir saistīts ar valdības finanšu plūsmām. </w:t>
      </w:r>
    </w:p>
    <w:p w:rsidR="000E2EB8" w:rsidRPr="00484BC7" w:rsidRDefault="000E2EB8" w:rsidP="00724C14">
      <w:pPr>
        <w:ind w:firstLine="284"/>
        <w:jc w:val="both"/>
        <w:rPr>
          <w:sz w:val="28"/>
        </w:rPr>
      </w:pPr>
      <w:r w:rsidRPr="00484BC7">
        <w:rPr>
          <w:sz w:val="28"/>
        </w:rPr>
        <w:t xml:space="preserve">Kopš 2008.gada beigām vērojams maksājumu bilances </w:t>
      </w:r>
      <w:r w:rsidRPr="001D062A">
        <w:rPr>
          <w:b/>
          <w:sz w:val="28"/>
        </w:rPr>
        <w:t>finanšu konta</w:t>
      </w:r>
      <w:r w:rsidRPr="00484BC7">
        <w:rPr>
          <w:sz w:val="28"/>
        </w:rPr>
        <w:t xml:space="preserve"> pasīvu samazinājums. 2010.gada pirmajā pusē kapitāla aizplūde turpinājās, kaut arī daudz mazākos apjomos nekā pirms gada. 2010.gada 3. un 4.ceturksnī, pirmo reizi kopš 2008.gada beigām, bija vērojama kapitāla ieplūde privātajā sektorā, ko ietekmēja </w:t>
      </w:r>
      <w:r w:rsidRPr="00484BC7">
        <w:rPr>
          <w:sz w:val="28"/>
        </w:rPr>
        <w:lastRenderedPageBreak/>
        <w:t>reinvestētās peļņas pieaugums un apjomīgie noguldījumi banku sektorā. 2011.gada 1.pusgadā ārvalstu privātā kapitāla plūsmas bija negatīvas sa</w:t>
      </w:r>
      <w:r w:rsidR="00724C14">
        <w:rPr>
          <w:sz w:val="28"/>
        </w:rPr>
        <w:t>istībā</w:t>
      </w:r>
      <w:r w:rsidRPr="00484BC7">
        <w:rPr>
          <w:sz w:val="28"/>
        </w:rPr>
        <w:t xml:space="preserve"> ar noguldījumu samazinājumu banku sektorā. </w:t>
      </w:r>
    </w:p>
    <w:p w:rsidR="000E2EB8" w:rsidRPr="00484BC7" w:rsidRDefault="000E2EB8" w:rsidP="00724C14">
      <w:pPr>
        <w:ind w:firstLine="284"/>
        <w:jc w:val="both"/>
        <w:rPr>
          <w:sz w:val="28"/>
          <w:lang w:eastAsia="lv-LV"/>
        </w:rPr>
      </w:pPr>
      <w:r w:rsidRPr="00484BC7">
        <w:rPr>
          <w:sz w:val="28"/>
        </w:rPr>
        <w:t>Līdz ar ārvalstu kapitāla plūsmu dinamikas un virziena maiņu</w:t>
      </w:r>
      <w:r w:rsidR="00724C14">
        <w:rPr>
          <w:sz w:val="28"/>
        </w:rPr>
        <w:t xml:space="preserve"> ir </w:t>
      </w:r>
      <w:r w:rsidRPr="00484BC7">
        <w:rPr>
          <w:sz w:val="28"/>
        </w:rPr>
        <w:t>main</w:t>
      </w:r>
      <w:r w:rsidR="00724C14">
        <w:rPr>
          <w:sz w:val="28"/>
        </w:rPr>
        <w:t>ījusies</w:t>
      </w:r>
      <w:r w:rsidRPr="00484BC7">
        <w:rPr>
          <w:sz w:val="28"/>
        </w:rPr>
        <w:t xml:space="preserve"> arī to struktūra. Ja 2009.gadā ienākošās </w:t>
      </w:r>
      <w:r w:rsidRPr="00484BC7">
        <w:rPr>
          <w:sz w:val="28"/>
          <w:lang w:eastAsia="lv-LV"/>
        </w:rPr>
        <w:t>ĀTI plūsmas bija tikai 7,8% no iepriekšējā gada rādītāja, tad 2010.gadā</w:t>
      </w:r>
      <w:r w:rsidRPr="00484BC7">
        <w:rPr>
          <w:sz w:val="28"/>
        </w:rPr>
        <w:t xml:space="preserve"> ienākošo ĀTI plūsmu apjoms bija gandrīz četras reizes lielāks nekā pirms gada un tās veidoja gandrīz trešo daļu no 2010.gadā piesaistītām ārvalstu investīcijām Latvijas ekonomikā. </w:t>
      </w:r>
      <w:r w:rsidRPr="00484BC7">
        <w:rPr>
          <w:sz w:val="28"/>
          <w:lang w:eastAsia="lv-LV"/>
        </w:rPr>
        <w:t>2011.gadā ĀTI ieplūde Latvijas ekonomikā turpina pa</w:t>
      </w:r>
      <w:r w:rsidR="00724C14">
        <w:rPr>
          <w:sz w:val="28"/>
          <w:lang w:eastAsia="lv-LV"/>
        </w:rPr>
        <w:t>lielināties. 2011.gada 1. un 2.</w:t>
      </w:r>
      <w:r w:rsidRPr="00484BC7">
        <w:rPr>
          <w:sz w:val="28"/>
          <w:lang w:eastAsia="lv-LV"/>
        </w:rPr>
        <w:t>ceturksnī tiešo investīciju apjoms Latvijas ekonomikā bija gandrīz divreiz lielāks par 2010.gad</w:t>
      </w:r>
      <w:r w:rsidR="00724C14">
        <w:rPr>
          <w:sz w:val="28"/>
          <w:lang w:eastAsia="lv-LV"/>
        </w:rPr>
        <w:t xml:space="preserve">ā kopumā </w:t>
      </w:r>
      <w:r w:rsidRPr="00484BC7">
        <w:rPr>
          <w:sz w:val="28"/>
          <w:lang w:eastAsia="lv-LV"/>
        </w:rPr>
        <w:t>ienākoš</w:t>
      </w:r>
      <w:r w:rsidR="00724C14">
        <w:rPr>
          <w:sz w:val="28"/>
          <w:lang w:eastAsia="lv-LV"/>
        </w:rPr>
        <w:t>ajām</w:t>
      </w:r>
      <w:r w:rsidRPr="00484BC7">
        <w:rPr>
          <w:sz w:val="28"/>
          <w:lang w:eastAsia="lv-LV"/>
        </w:rPr>
        <w:t xml:space="preserve"> ĀTI plūsmām.</w:t>
      </w:r>
    </w:p>
    <w:p w:rsidR="000E2EB8" w:rsidRPr="00484BC7" w:rsidRDefault="000E2EB8" w:rsidP="00724C14">
      <w:pPr>
        <w:ind w:firstLine="284"/>
        <w:jc w:val="both"/>
        <w:rPr>
          <w:sz w:val="28"/>
        </w:rPr>
      </w:pPr>
      <w:r w:rsidRPr="00484BC7">
        <w:rPr>
          <w:sz w:val="28"/>
        </w:rPr>
        <w:t>Portfeļinvestīciju daļa ienākošās finanšu plūsmās ir neliela un pēdējos trīs gados nepārsniedz 10% no tām. 2010.gadā un 2011.gada 1.pusgadā portfeļinvestīciju saldo bija negatīvs, ko galvenokārt noteica banku sektora veiktā ilgtermiņa saistību atmaksa.</w:t>
      </w:r>
    </w:p>
    <w:p w:rsidR="000E2EB8" w:rsidRPr="00484BC7" w:rsidRDefault="000E2EB8" w:rsidP="00724C14">
      <w:pPr>
        <w:ind w:firstLine="284"/>
        <w:jc w:val="both"/>
        <w:rPr>
          <w:sz w:val="28"/>
        </w:rPr>
      </w:pPr>
      <w:r w:rsidRPr="00484BC7">
        <w:rPr>
          <w:rFonts w:eastAsia="Times New Roman"/>
          <w:sz w:val="28"/>
          <w:lang w:eastAsia="lv-LV"/>
        </w:rPr>
        <w:t xml:space="preserve">Nozīmīgas svārstības ir vērojamas citām investīcijām. 2010.gadā šī maksājumu bilances posteņa svārstības bija visai lielas. Kopumā </w:t>
      </w:r>
      <w:r w:rsidRPr="00484BC7">
        <w:rPr>
          <w:sz w:val="28"/>
        </w:rPr>
        <w:t>2010.gadā citu investīciju bilance ir bijusi ar nelielu deficītu (1% no IKP), ko noteica valdības ilgtermiņa aizņēmumi un banku citu ieguldījumu samazinājums. 2011.gada 1.pusgadā citu ieguldījumu negatīvais saldo palielinājās, sasniedzot 6,5% no IKP. Citu investīciju bilances rādītāja svārstības galvenokārt ietekmēja noguldījumu samazinājums banku sektorā.</w:t>
      </w:r>
    </w:p>
    <w:p w:rsidR="000E2EB8" w:rsidRPr="00484BC7" w:rsidRDefault="000E2EB8" w:rsidP="00724C14">
      <w:pPr>
        <w:ind w:firstLine="284"/>
        <w:jc w:val="both"/>
        <w:rPr>
          <w:sz w:val="28"/>
        </w:rPr>
      </w:pPr>
      <w:r w:rsidRPr="00484BC7">
        <w:rPr>
          <w:sz w:val="28"/>
        </w:rPr>
        <w:t>Kopš 2009.gada sākuma maksājumu bilances finanšu konta bilance (bez rezerve</w:t>
      </w:r>
      <w:r w:rsidR="00724C14">
        <w:rPr>
          <w:sz w:val="28"/>
        </w:rPr>
        <w:t>s</w:t>
      </w:r>
      <w:r w:rsidRPr="00484BC7">
        <w:rPr>
          <w:sz w:val="28"/>
        </w:rPr>
        <w:t xml:space="preserve"> aktīviem) ir negatīva. 2010.gadā finanšu kontā defi</w:t>
      </w:r>
      <w:r w:rsidR="00257C54">
        <w:rPr>
          <w:sz w:val="28"/>
        </w:rPr>
        <w:t>cīts bija 5,4% no IKP, savukārt</w:t>
      </w:r>
      <w:r w:rsidRPr="00484BC7">
        <w:rPr>
          <w:sz w:val="28"/>
        </w:rPr>
        <w:t xml:space="preserve"> 2011.gada 1.pus</w:t>
      </w:r>
      <w:r w:rsidR="00257C54">
        <w:rPr>
          <w:sz w:val="28"/>
        </w:rPr>
        <w:t xml:space="preserve">gadā tas samazinājās līdz 1,4% </w:t>
      </w:r>
      <w:r w:rsidRPr="00484BC7">
        <w:rPr>
          <w:sz w:val="28"/>
        </w:rPr>
        <w:t>no IKP. Privātā kapitāla aizplūšanas negatīvo ietekmi uz finanšu konta stāvokli mazināja valsts sektora ilgtermiņa aizņēmumi, kā rezultātā palielinās arī valdības ārējais parāds. Latvijas starptautisko investīciju bilances dati liecina, ka valdības bruto ārējais parāds 2011.gada 2.ceturkšņa beigās bija 4412,4 milj.</w:t>
      </w:r>
      <w:r w:rsidR="00724C14">
        <w:rPr>
          <w:sz w:val="28"/>
        </w:rPr>
        <w:t xml:space="preserve"> </w:t>
      </w:r>
      <w:r w:rsidRPr="00484BC7">
        <w:rPr>
          <w:sz w:val="28"/>
        </w:rPr>
        <w:t>latu apmērā (33,2% no IKP). Salīdzinot ar 2010.gada 2.ceturkšņa beigām</w:t>
      </w:r>
      <w:r w:rsidR="00257C54">
        <w:rPr>
          <w:sz w:val="28"/>
        </w:rPr>
        <w:t>,</w:t>
      </w:r>
      <w:r w:rsidRPr="00484BC7">
        <w:rPr>
          <w:sz w:val="28"/>
        </w:rPr>
        <w:t xml:space="preserve"> valdības ārējais parāds palielinājās par 12,6%. Vienlaikus jāatzīmē, ka Latvijas kopējais bruto ārējais parāds 2011.gada jūnija beigās bija 157,4% no IKP. </w:t>
      </w:r>
    </w:p>
    <w:p w:rsidR="000E2EB8" w:rsidRPr="00484BC7" w:rsidRDefault="000E2EB8" w:rsidP="00724C14">
      <w:pPr>
        <w:ind w:firstLine="284"/>
        <w:jc w:val="both"/>
        <w:rPr>
          <w:rFonts w:eastAsia="Times New Roman"/>
          <w:sz w:val="2"/>
          <w:szCs w:val="12"/>
          <w:lang w:eastAsia="lv-LV"/>
        </w:rPr>
      </w:pPr>
    </w:p>
    <w:p w:rsidR="000E2EB8" w:rsidRPr="00484BC7" w:rsidRDefault="000E2EB8" w:rsidP="00724C14">
      <w:pPr>
        <w:ind w:firstLine="284"/>
        <w:jc w:val="both"/>
        <w:rPr>
          <w:sz w:val="28"/>
        </w:rPr>
      </w:pPr>
      <w:r w:rsidRPr="00484BC7">
        <w:rPr>
          <w:sz w:val="28"/>
          <w:lang w:eastAsia="lv-LV"/>
        </w:rPr>
        <w:t xml:space="preserve">Straujās izaugsmes gados salīdzinoši augstās inflācijas dēļ </w:t>
      </w:r>
      <w:r w:rsidRPr="00484BC7">
        <w:rPr>
          <w:b/>
          <w:sz w:val="28"/>
          <w:lang w:eastAsia="lv-LV"/>
        </w:rPr>
        <w:t>lata reālais kurss</w:t>
      </w:r>
      <w:r w:rsidRPr="00484BC7">
        <w:rPr>
          <w:rStyle w:val="FootnoteReference"/>
          <w:sz w:val="28"/>
          <w:lang w:eastAsia="lv-LV"/>
        </w:rPr>
        <w:footnoteReference w:id="1"/>
      </w:r>
      <w:r w:rsidRPr="00484BC7">
        <w:rPr>
          <w:sz w:val="28"/>
          <w:lang w:eastAsia="lv-LV"/>
        </w:rPr>
        <w:t xml:space="preserve"> pieauga attiecībā gan pret attīstīto valstu valūtām, gan pret attīstības valstu valūtām. </w:t>
      </w:r>
      <w:r w:rsidRPr="00484BC7">
        <w:rPr>
          <w:sz w:val="28"/>
        </w:rPr>
        <w:t>Kopš 2009.gada marta lata reālais efektīvais kurss pakāpeniski samazinājās, kas bija saistīts gan ar cenu līmeņa un darba algu samazināšanos, gan citu ar ražošanu saistīto izmaksu optimizāciju. Tomēr reālā efektīvā kursa samazināšanās tendences kopš 2010.gada aprīļa bija mērenas, bet kopš jūnija, atsākoties inflācijai, lata reālais efektīvais kurss jau palielinājās attiecībā pret attīstīto valstu valūtām un šāda tendence turpinās arī 2011.gadā.</w:t>
      </w:r>
    </w:p>
    <w:p w:rsidR="00724C14" w:rsidRPr="00724C14" w:rsidRDefault="00724C14" w:rsidP="00724C14">
      <w:pPr>
        <w:ind w:firstLine="284"/>
        <w:jc w:val="both"/>
        <w:rPr>
          <w:rFonts w:eastAsia="Times New Roman"/>
          <w:sz w:val="8"/>
          <w:szCs w:val="8"/>
          <w:lang w:eastAsia="lv-LV"/>
        </w:rPr>
      </w:pPr>
    </w:p>
    <w:p w:rsidR="000E2EB8" w:rsidRPr="00484BC7" w:rsidRDefault="000E2EB8" w:rsidP="00724C14">
      <w:pPr>
        <w:ind w:firstLine="284"/>
        <w:jc w:val="both"/>
        <w:rPr>
          <w:rFonts w:eastAsiaTheme="majorEastAsia"/>
          <w:bCs/>
          <w:sz w:val="28"/>
        </w:rPr>
      </w:pPr>
      <w:r w:rsidRPr="00484BC7">
        <w:rPr>
          <w:rFonts w:eastAsia="Times New Roman"/>
          <w:sz w:val="28"/>
          <w:lang w:eastAsia="lv-LV"/>
        </w:rPr>
        <w:t xml:space="preserve">Nodaļas turpinājumā grafiski </w:t>
      </w:r>
      <w:r w:rsidR="00724C14">
        <w:rPr>
          <w:rFonts w:eastAsia="Times New Roman"/>
          <w:sz w:val="28"/>
          <w:lang w:eastAsia="lv-LV"/>
        </w:rPr>
        <w:t>attēlota</w:t>
      </w:r>
      <w:r w:rsidRPr="00484BC7">
        <w:rPr>
          <w:rFonts w:eastAsia="Times New Roman"/>
          <w:sz w:val="28"/>
          <w:lang w:eastAsia="lv-LV"/>
        </w:rPr>
        <w:t xml:space="preserve"> preču un pakalpojumu eksporta-importa dinamika, maksājumu bilances tekošā un finanšu konta izmaiņas, kā arī lata efektīvā kursa izmaiņas.</w:t>
      </w:r>
    </w:p>
    <w:p w:rsidR="00BE41C7" w:rsidRPr="009F6E8E" w:rsidRDefault="00CD3CE6" w:rsidP="00BE41C7">
      <w:pPr>
        <w:pStyle w:val="Heading2"/>
      </w:pPr>
      <w:bookmarkStart w:id="277" w:name="_Toc305421442"/>
      <w:r>
        <w:rPr>
          <w:b w:val="0"/>
        </w:rPr>
        <w:lastRenderedPageBreak/>
        <w:t>4</w:t>
      </w:r>
      <w:r w:rsidR="00BE41C7" w:rsidRPr="009F6E8E">
        <w:rPr>
          <w:b w:val="0"/>
        </w:rPr>
        <w:t>.1.attēls.</w:t>
      </w:r>
      <w:r w:rsidR="00BE41C7" w:rsidRPr="009F6E8E">
        <w:t xml:space="preserve"> Preču eksports un imports pa mēnešiem</w:t>
      </w:r>
      <w:bookmarkEnd w:id="270"/>
      <w:bookmarkEnd w:id="271"/>
      <w:bookmarkEnd w:id="272"/>
      <w:bookmarkEnd w:id="273"/>
      <w:bookmarkEnd w:id="274"/>
      <w:bookmarkEnd w:id="275"/>
      <w:bookmarkEnd w:id="276"/>
      <w:bookmarkEnd w:id="277"/>
    </w:p>
    <w:p w:rsidR="00BE41C7" w:rsidRDefault="00BE41C7" w:rsidP="00BE41C7">
      <w:pPr>
        <w:spacing w:after="20"/>
        <w:jc w:val="center"/>
        <w:rPr>
          <w:rFonts w:eastAsia="Times New Roman"/>
          <w:sz w:val="18"/>
          <w:szCs w:val="18"/>
        </w:rPr>
      </w:pPr>
    </w:p>
    <w:p w:rsidR="00BE41C7" w:rsidRPr="009F6E8E" w:rsidRDefault="00BE41C7" w:rsidP="00BE41C7">
      <w:pPr>
        <w:spacing w:after="20"/>
        <w:jc w:val="center"/>
        <w:rPr>
          <w:rFonts w:eastAsia="Times New Roman"/>
          <w:sz w:val="18"/>
          <w:szCs w:val="18"/>
        </w:rPr>
      </w:pPr>
      <w:r w:rsidRPr="009F6E8E">
        <w:rPr>
          <w:rFonts w:eastAsia="Times New Roman"/>
          <w:sz w:val="18"/>
          <w:szCs w:val="18"/>
        </w:rPr>
        <w:t>Faktiskās cenās, milj. latu</w:t>
      </w:r>
    </w:p>
    <w:p w:rsidR="00BE41C7" w:rsidRDefault="00BE41C7" w:rsidP="00BE41C7">
      <w:pPr>
        <w:jc w:val="center"/>
        <w:rPr>
          <w:rFonts w:eastAsia="Times New Roman"/>
          <w:sz w:val="22"/>
          <w:szCs w:val="22"/>
        </w:rPr>
      </w:pPr>
      <w:r w:rsidRPr="009F6E8E">
        <w:rPr>
          <w:noProof/>
          <w:lang w:eastAsia="lv-LV"/>
        </w:rPr>
        <w:drawing>
          <wp:inline distT="0" distB="0" distL="0" distR="0">
            <wp:extent cx="6228272" cy="2078966"/>
            <wp:effectExtent l="0" t="0" r="0" b="0"/>
            <wp:docPr id="4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E41C7" w:rsidRPr="009F6E8E" w:rsidRDefault="00BE41C7" w:rsidP="00BE41C7">
      <w:pPr>
        <w:tabs>
          <w:tab w:val="center" w:pos="2552"/>
          <w:tab w:val="center" w:pos="7513"/>
        </w:tabs>
        <w:spacing w:after="20"/>
        <w:rPr>
          <w:rFonts w:eastAsia="Times New Roman"/>
          <w:sz w:val="18"/>
          <w:szCs w:val="18"/>
        </w:rPr>
      </w:pPr>
      <w:r w:rsidRPr="009F6E8E">
        <w:rPr>
          <w:rFonts w:eastAsia="Times New Roman"/>
          <w:sz w:val="18"/>
          <w:szCs w:val="18"/>
        </w:rPr>
        <w:tab/>
        <w:t>Preču eksports, f</w:t>
      </w:r>
      <w:r w:rsidRPr="009F6E8E">
        <w:rPr>
          <w:rFonts w:eastAsia="Times New Roman"/>
          <w:bCs/>
          <w:color w:val="000000"/>
          <w:sz w:val="18"/>
          <w:szCs w:val="18"/>
        </w:rPr>
        <w:t>aktiskās cenās, milj. latu</w:t>
      </w:r>
      <w:r w:rsidRPr="009F6E8E">
        <w:rPr>
          <w:rFonts w:eastAsia="Times New Roman"/>
          <w:sz w:val="18"/>
          <w:szCs w:val="18"/>
        </w:rPr>
        <w:tab/>
        <w:t>Preču imports, f</w:t>
      </w:r>
      <w:r w:rsidRPr="009F6E8E">
        <w:rPr>
          <w:rFonts w:eastAsia="Times New Roman"/>
          <w:bCs/>
          <w:color w:val="000000"/>
          <w:sz w:val="18"/>
          <w:szCs w:val="18"/>
        </w:rPr>
        <w:t>aktiskās cenās, milj. latu</w:t>
      </w:r>
    </w:p>
    <w:tbl>
      <w:tblPr>
        <w:tblW w:w="0" w:type="auto"/>
        <w:tblLook w:val="01E0"/>
      </w:tblPr>
      <w:tblGrid>
        <w:gridCol w:w="4856"/>
        <w:gridCol w:w="4856"/>
      </w:tblGrid>
      <w:tr w:rsidR="00BE41C7" w:rsidRPr="009F6E8E" w:rsidTr="009A2453">
        <w:trPr>
          <w:trHeight w:val="1936"/>
        </w:trPr>
        <w:tc>
          <w:tcPr>
            <w:tcW w:w="4856" w:type="dxa"/>
          </w:tcPr>
          <w:p w:rsidR="00BE41C7" w:rsidRPr="009F6E8E" w:rsidRDefault="00BE41C7" w:rsidP="009A2453">
            <w:pPr>
              <w:rPr>
                <w:rFonts w:eastAsia="Times New Roman"/>
              </w:rPr>
            </w:pPr>
            <w:r w:rsidRPr="009F6E8E">
              <w:rPr>
                <w:noProof/>
                <w:lang w:eastAsia="lv-LV"/>
              </w:rPr>
              <w:drawing>
                <wp:inline distT="0" distB="0" distL="0" distR="0">
                  <wp:extent cx="2929813" cy="1584000"/>
                  <wp:effectExtent l="0" t="0" r="0" b="0"/>
                  <wp:docPr id="10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856" w:type="dxa"/>
          </w:tcPr>
          <w:p w:rsidR="00BE41C7" w:rsidRPr="009F6E8E" w:rsidRDefault="007129CC" w:rsidP="009A2453">
            <w:pPr>
              <w:rPr>
                <w:rFonts w:eastAsia="Times New Roman"/>
              </w:rPr>
            </w:pPr>
            <w:r w:rsidRPr="007129CC">
              <w:rPr>
                <w:rFonts w:eastAsia="Times New Roman"/>
                <w:noProof/>
                <w:lang w:eastAsia="lv-LV"/>
              </w:rPr>
              <w:drawing>
                <wp:inline distT="0" distB="0" distL="0" distR="0">
                  <wp:extent cx="2929813" cy="1584000"/>
                  <wp:effectExtent l="0" t="0" r="0" b="0"/>
                  <wp:docPr id="17"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rsidR="00BE41C7" w:rsidRPr="009F6E8E" w:rsidRDefault="00BE41C7" w:rsidP="00BE41C7">
      <w:pPr>
        <w:ind w:firstLine="567"/>
        <w:jc w:val="right"/>
        <w:rPr>
          <w:color w:val="000000"/>
          <w:sz w:val="10"/>
          <w:szCs w:val="10"/>
        </w:rPr>
      </w:pPr>
    </w:p>
    <w:p w:rsidR="00417303" w:rsidRPr="00417303" w:rsidRDefault="00417303" w:rsidP="00BE41C7">
      <w:pPr>
        <w:pStyle w:val="Heading2"/>
        <w:rPr>
          <w:b w:val="0"/>
          <w:sz w:val="8"/>
          <w:szCs w:val="8"/>
        </w:rPr>
      </w:pPr>
      <w:bookmarkStart w:id="278" w:name="_Toc216077867"/>
      <w:bookmarkStart w:id="279" w:name="_Toc216079536"/>
      <w:bookmarkStart w:id="280" w:name="_Toc216079604"/>
      <w:bookmarkStart w:id="281" w:name="_Toc216079666"/>
      <w:bookmarkStart w:id="282" w:name="_Toc216079722"/>
      <w:bookmarkStart w:id="283" w:name="_Toc216079778"/>
      <w:bookmarkStart w:id="284" w:name="_Toc216079834"/>
    </w:p>
    <w:p w:rsidR="00BE41C7" w:rsidRPr="009F6E8E" w:rsidRDefault="00CD3CE6" w:rsidP="00BE41C7">
      <w:pPr>
        <w:pStyle w:val="Heading2"/>
      </w:pPr>
      <w:bookmarkStart w:id="285" w:name="_Toc305421443"/>
      <w:r>
        <w:rPr>
          <w:b w:val="0"/>
        </w:rPr>
        <w:t>4</w:t>
      </w:r>
      <w:r w:rsidR="00BE41C7" w:rsidRPr="009F6E8E">
        <w:rPr>
          <w:b w:val="0"/>
        </w:rPr>
        <w:t>.2.attēls.</w:t>
      </w:r>
      <w:r w:rsidR="00BE41C7" w:rsidRPr="009F6E8E">
        <w:t xml:space="preserve"> Pakalpojumu eksports un imports pa mēnešiem</w:t>
      </w:r>
      <w:bookmarkEnd w:id="278"/>
      <w:bookmarkEnd w:id="279"/>
      <w:bookmarkEnd w:id="280"/>
      <w:bookmarkEnd w:id="281"/>
      <w:bookmarkEnd w:id="282"/>
      <w:bookmarkEnd w:id="283"/>
      <w:bookmarkEnd w:id="284"/>
      <w:bookmarkEnd w:id="285"/>
    </w:p>
    <w:p w:rsidR="00BE41C7" w:rsidRPr="009F6E8E" w:rsidRDefault="00BE41C7" w:rsidP="00BE41C7">
      <w:pPr>
        <w:spacing w:after="40"/>
        <w:jc w:val="center"/>
        <w:rPr>
          <w:rFonts w:eastAsia="Times New Roman"/>
          <w:sz w:val="18"/>
          <w:szCs w:val="18"/>
        </w:rPr>
      </w:pPr>
      <w:r w:rsidRPr="009F6E8E">
        <w:rPr>
          <w:rFonts w:eastAsia="Times New Roman"/>
          <w:sz w:val="18"/>
          <w:szCs w:val="18"/>
        </w:rPr>
        <w:t>Faktiskās cenās, milj. latu</w:t>
      </w:r>
    </w:p>
    <w:p w:rsidR="00BE41C7" w:rsidRDefault="00BE41C7" w:rsidP="00BE41C7">
      <w:pPr>
        <w:spacing w:after="40"/>
        <w:jc w:val="center"/>
        <w:rPr>
          <w:rFonts w:eastAsia="Times New Roman"/>
          <w:sz w:val="18"/>
          <w:szCs w:val="18"/>
        </w:rPr>
      </w:pPr>
      <w:r w:rsidRPr="009F6E8E">
        <w:rPr>
          <w:rFonts w:eastAsia="Times New Roman"/>
          <w:noProof/>
          <w:sz w:val="18"/>
          <w:szCs w:val="18"/>
          <w:lang w:eastAsia="lv-LV"/>
        </w:rPr>
        <w:drawing>
          <wp:inline distT="0" distB="0" distL="0" distR="0">
            <wp:extent cx="6228000" cy="1910686"/>
            <wp:effectExtent l="0" t="0" r="0" b="0"/>
            <wp:docPr id="10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E41C7" w:rsidRPr="00BA05F9" w:rsidRDefault="00BE41C7" w:rsidP="00BE41C7">
      <w:pPr>
        <w:spacing w:after="40"/>
        <w:jc w:val="center"/>
        <w:rPr>
          <w:rFonts w:eastAsia="Times New Roman"/>
          <w:sz w:val="8"/>
          <w:szCs w:val="18"/>
        </w:rPr>
      </w:pPr>
    </w:p>
    <w:p w:rsidR="00BE41C7" w:rsidRPr="009F6E8E" w:rsidRDefault="00BE41C7" w:rsidP="00BE41C7">
      <w:pPr>
        <w:jc w:val="center"/>
        <w:rPr>
          <w:rFonts w:eastAsia="Times New Roman"/>
          <w:sz w:val="8"/>
          <w:szCs w:val="8"/>
        </w:rPr>
      </w:pPr>
    </w:p>
    <w:tbl>
      <w:tblPr>
        <w:tblW w:w="0" w:type="auto"/>
        <w:tblLook w:val="01E0"/>
      </w:tblPr>
      <w:tblGrid>
        <w:gridCol w:w="4983"/>
        <w:gridCol w:w="4836"/>
      </w:tblGrid>
      <w:tr w:rsidR="00BE41C7" w:rsidRPr="009F6E8E" w:rsidTr="009A2453">
        <w:tc>
          <w:tcPr>
            <w:tcW w:w="4983"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br w:type="page"/>
              <w:t>Pakalpojumu eksports, f</w:t>
            </w:r>
            <w:r w:rsidRPr="009F6E8E">
              <w:rPr>
                <w:rFonts w:eastAsia="Times New Roman"/>
                <w:bCs/>
                <w:color w:val="000000"/>
                <w:sz w:val="20"/>
                <w:szCs w:val="24"/>
              </w:rPr>
              <w:t>aktiskās cenās, milj. latu</w:t>
            </w:r>
          </w:p>
        </w:tc>
        <w:tc>
          <w:tcPr>
            <w:tcW w:w="4836" w:type="dxa"/>
            <w:vAlign w:val="center"/>
          </w:tcPr>
          <w:p w:rsidR="00BE41C7" w:rsidRPr="009F6E8E" w:rsidRDefault="00BE41C7" w:rsidP="009A2453">
            <w:pPr>
              <w:spacing w:after="120"/>
              <w:jc w:val="center"/>
              <w:rPr>
                <w:rFonts w:eastAsia="Times New Roman"/>
                <w:sz w:val="20"/>
                <w:szCs w:val="24"/>
              </w:rPr>
            </w:pPr>
            <w:r w:rsidRPr="009F6E8E">
              <w:rPr>
                <w:rFonts w:eastAsia="Times New Roman"/>
                <w:sz w:val="20"/>
                <w:szCs w:val="24"/>
              </w:rPr>
              <w:t>Pakalpojumu imports, f</w:t>
            </w:r>
            <w:r w:rsidRPr="009F6E8E">
              <w:rPr>
                <w:rFonts w:eastAsia="Times New Roman"/>
                <w:bCs/>
                <w:color w:val="000000"/>
                <w:sz w:val="20"/>
                <w:szCs w:val="24"/>
              </w:rPr>
              <w:t>aktiskās cenās, milj. latu</w:t>
            </w:r>
          </w:p>
        </w:tc>
      </w:tr>
      <w:tr w:rsidR="00BE41C7" w:rsidRPr="009F6E8E" w:rsidTr="009A2453">
        <w:tc>
          <w:tcPr>
            <w:tcW w:w="4983"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836" w:type="dxa"/>
          </w:tcPr>
          <w:p w:rsidR="00BE41C7" w:rsidRPr="009F6E8E" w:rsidRDefault="007129CC" w:rsidP="009A2453">
            <w:pPr>
              <w:jc w:val="center"/>
              <w:rPr>
                <w:rFonts w:eastAsia="Times New Roman"/>
              </w:rPr>
            </w:pPr>
            <w:r w:rsidRPr="007129CC">
              <w:rPr>
                <w:noProof/>
                <w:lang w:eastAsia="lv-LV"/>
              </w:rPr>
              <w:drawing>
                <wp:inline distT="0" distB="0" distL="0" distR="0">
                  <wp:extent cx="2929813" cy="1584000"/>
                  <wp:effectExtent l="0" t="0" r="0" b="0"/>
                  <wp:docPr id="3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rsidR="00BE41C7" w:rsidRPr="009F6E8E" w:rsidRDefault="00BE41C7" w:rsidP="00BE41C7">
      <w:pPr>
        <w:ind w:firstLine="567"/>
        <w:jc w:val="right"/>
        <w:rPr>
          <w:color w:val="000000"/>
          <w:sz w:val="2"/>
        </w:rPr>
      </w:pPr>
    </w:p>
    <w:p w:rsidR="00BE41C7" w:rsidRPr="009F6E8E" w:rsidRDefault="00BE41C7" w:rsidP="00BE41C7">
      <w:pPr>
        <w:rPr>
          <w:b/>
          <w:sz w:val="20"/>
          <w:szCs w:val="24"/>
        </w:rPr>
      </w:pPr>
    </w:p>
    <w:p w:rsidR="00C50EFA" w:rsidRDefault="00C50EFA" w:rsidP="00BE41C7">
      <w:pPr>
        <w:pStyle w:val="Heading2"/>
        <w:rPr>
          <w:b w:val="0"/>
        </w:rPr>
      </w:pPr>
      <w:bookmarkStart w:id="286" w:name="_Toc216077868"/>
      <w:bookmarkStart w:id="287" w:name="_Toc216079537"/>
      <w:bookmarkStart w:id="288" w:name="_Toc216079605"/>
      <w:bookmarkStart w:id="289" w:name="_Toc216079667"/>
      <w:bookmarkStart w:id="290" w:name="_Toc216079723"/>
      <w:bookmarkStart w:id="291" w:name="_Toc216079779"/>
      <w:bookmarkStart w:id="292" w:name="_Toc216079835"/>
    </w:p>
    <w:p w:rsidR="00BE41C7" w:rsidRPr="009F6E8E" w:rsidRDefault="00CD3CE6" w:rsidP="00BE41C7">
      <w:pPr>
        <w:pStyle w:val="Heading2"/>
      </w:pPr>
      <w:bookmarkStart w:id="293" w:name="_Toc305421444"/>
      <w:r>
        <w:rPr>
          <w:b w:val="0"/>
        </w:rPr>
        <w:t>4</w:t>
      </w:r>
      <w:r w:rsidR="00BE41C7" w:rsidRPr="009F6E8E">
        <w:rPr>
          <w:b w:val="0"/>
        </w:rPr>
        <w:t>.3.attēls.</w:t>
      </w:r>
      <w:r w:rsidR="00BE41C7" w:rsidRPr="009F6E8E">
        <w:t xml:space="preserve"> Maksājumu bilance pa ceturkšņiem</w:t>
      </w:r>
      <w:bookmarkEnd w:id="286"/>
      <w:bookmarkEnd w:id="287"/>
      <w:bookmarkEnd w:id="288"/>
      <w:bookmarkEnd w:id="289"/>
      <w:bookmarkEnd w:id="290"/>
      <w:bookmarkEnd w:id="291"/>
      <w:bookmarkEnd w:id="292"/>
      <w:bookmarkEnd w:id="293"/>
    </w:p>
    <w:p w:rsidR="00BE41C7" w:rsidRPr="009F6E8E" w:rsidRDefault="00BE41C7" w:rsidP="00BE41C7">
      <w:pPr>
        <w:jc w:val="center"/>
        <w:rPr>
          <w:b/>
          <w:sz w:val="8"/>
        </w:rPr>
      </w:pPr>
    </w:p>
    <w:tbl>
      <w:tblPr>
        <w:tblW w:w="0" w:type="auto"/>
        <w:tblLook w:val="01E0"/>
      </w:tblPr>
      <w:tblGrid>
        <w:gridCol w:w="3329"/>
        <w:gridCol w:w="3330"/>
        <w:gridCol w:w="3196"/>
      </w:tblGrid>
      <w:tr w:rsidR="00413629" w:rsidRPr="009F6E8E" w:rsidTr="00780694">
        <w:trPr>
          <w:trHeight w:val="20"/>
        </w:trPr>
        <w:tc>
          <w:tcPr>
            <w:tcW w:w="3285" w:type="dxa"/>
          </w:tcPr>
          <w:p w:rsidR="00413629" w:rsidRDefault="00413629" w:rsidP="009A2453">
            <w:pPr>
              <w:jc w:val="center"/>
              <w:rPr>
                <w:rFonts w:eastAsia="Times New Roman"/>
                <w:sz w:val="18"/>
                <w:szCs w:val="18"/>
              </w:rPr>
            </w:pPr>
            <w:r>
              <w:rPr>
                <w:rFonts w:eastAsia="Times New Roman"/>
                <w:sz w:val="18"/>
                <w:szCs w:val="18"/>
              </w:rPr>
              <w:t xml:space="preserve">Maksājumu bilances </w:t>
            </w:r>
            <w:r w:rsidR="00780694">
              <w:rPr>
                <w:rFonts w:eastAsia="Times New Roman"/>
                <w:sz w:val="18"/>
                <w:szCs w:val="18"/>
              </w:rPr>
              <w:t>konti</w:t>
            </w:r>
          </w:p>
          <w:p w:rsidR="00413629" w:rsidRPr="009F6E8E" w:rsidRDefault="00413629" w:rsidP="009A2453">
            <w:pPr>
              <w:jc w:val="center"/>
              <w:rPr>
                <w:rFonts w:eastAsia="Times New Roman"/>
                <w:sz w:val="18"/>
                <w:szCs w:val="18"/>
              </w:rPr>
            </w:pPr>
            <w:r>
              <w:rPr>
                <w:rFonts w:eastAsia="Times New Roman"/>
                <w:sz w:val="18"/>
                <w:szCs w:val="18"/>
              </w:rPr>
              <w:t>(% no IKP)</w:t>
            </w:r>
          </w:p>
        </w:tc>
        <w:tc>
          <w:tcPr>
            <w:tcW w:w="3285" w:type="dxa"/>
            <w:vAlign w:val="center"/>
          </w:tcPr>
          <w:p w:rsidR="00413629" w:rsidRDefault="00413629" w:rsidP="009A2453">
            <w:pPr>
              <w:jc w:val="center"/>
              <w:rPr>
                <w:rFonts w:eastAsia="Times New Roman"/>
                <w:sz w:val="18"/>
                <w:szCs w:val="18"/>
              </w:rPr>
            </w:pPr>
            <w:r w:rsidRPr="009F6E8E">
              <w:rPr>
                <w:rFonts w:eastAsia="Times New Roman"/>
                <w:sz w:val="18"/>
                <w:szCs w:val="18"/>
              </w:rPr>
              <w:t xml:space="preserve">Maksājumu bilances tekošais konts, </w:t>
            </w:r>
          </w:p>
          <w:p w:rsidR="00413629" w:rsidRPr="009F6E8E" w:rsidRDefault="00413629" w:rsidP="009A2453">
            <w:pPr>
              <w:jc w:val="center"/>
              <w:rPr>
                <w:rFonts w:eastAsia="Times New Roman"/>
                <w:sz w:val="18"/>
                <w:szCs w:val="18"/>
              </w:rPr>
            </w:pPr>
            <w:r w:rsidRPr="009F6E8E">
              <w:rPr>
                <w:rFonts w:eastAsia="Times New Roman"/>
                <w:sz w:val="18"/>
                <w:szCs w:val="18"/>
              </w:rPr>
              <w:t>(% no IKP)</w:t>
            </w:r>
          </w:p>
        </w:tc>
        <w:tc>
          <w:tcPr>
            <w:tcW w:w="3285" w:type="dxa"/>
            <w:vAlign w:val="center"/>
          </w:tcPr>
          <w:p w:rsidR="00413629" w:rsidRPr="009F6E8E" w:rsidRDefault="00413629" w:rsidP="00413629">
            <w:pPr>
              <w:jc w:val="center"/>
              <w:rPr>
                <w:rFonts w:eastAsia="Times New Roman"/>
                <w:sz w:val="18"/>
                <w:szCs w:val="18"/>
              </w:rPr>
            </w:pPr>
            <w:r w:rsidRPr="009F6E8E">
              <w:rPr>
                <w:rFonts w:eastAsia="Times New Roman"/>
                <w:sz w:val="18"/>
                <w:szCs w:val="18"/>
              </w:rPr>
              <w:t>Maksājumu bilances finanšu konts,</w:t>
            </w:r>
            <w:r>
              <w:rPr>
                <w:rFonts w:eastAsia="Times New Roman"/>
                <w:sz w:val="18"/>
                <w:szCs w:val="18"/>
              </w:rPr>
              <w:t xml:space="preserve"> bez rezerves aktīviem</w:t>
            </w:r>
            <w:r w:rsidR="009B4B86">
              <w:rPr>
                <w:rFonts w:eastAsia="Times New Roman"/>
                <w:sz w:val="18"/>
                <w:szCs w:val="18"/>
              </w:rPr>
              <w:t xml:space="preserve"> </w:t>
            </w:r>
            <w:r w:rsidRPr="009F6E8E">
              <w:rPr>
                <w:rFonts w:eastAsia="Times New Roman"/>
                <w:sz w:val="18"/>
                <w:szCs w:val="18"/>
              </w:rPr>
              <w:t>(% no IKP)</w:t>
            </w:r>
          </w:p>
        </w:tc>
      </w:tr>
      <w:tr w:rsidR="00413629" w:rsidRPr="009F6E8E" w:rsidTr="00780694">
        <w:trPr>
          <w:trHeight w:val="20"/>
        </w:trPr>
        <w:tc>
          <w:tcPr>
            <w:tcW w:w="3285" w:type="dxa"/>
          </w:tcPr>
          <w:p w:rsidR="00413629" w:rsidRPr="009F6E8E" w:rsidRDefault="00413629" w:rsidP="009A2453">
            <w:pPr>
              <w:jc w:val="center"/>
              <w:rPr>
                <w:rFonts w:eastAsia="Times New Roman"/>
                <w:noProof/>
                <w:sz w:val="22"/>
                <w:szCs w:val="22"/>
                <w:lang w:eastAsia="lv-LV"/>
              </w:rPr>
            </w:pPr>
            <w:r w:rsidRPr="00413629">
              <w:rPr>
                <w:rFonts w:eastAsia="Times New Roman"/>
                <w:noProof/>
                <w:sz w:val="22"/>
                <w:szCs w:val="22"/>
                <w:lang w:eastAsia="lv-LV"/>
              </w:rPr>
              <w:drawing>
                <wp:inline distT="0" distB="0" distL="0" distR="0">
                  <wp:extent cx="2055571" cy="2882189"/>
                  <wp:effectExtent l="19050" t="0" r="0" b="0"/>
                  <wp:docPr id="3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2055571" cy="2882189"/>
                  <wp:effectExtent l="19050" t="0" r="1829" b="0"/>
                  <wp:docPr id="3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3285" w:type="dxa"/>
            <w:vAlign w:val="center"/>
          </w:tcPr>
          <w:p w:rsidR="00413629" w:rsidRPr="009F6E8E" w:rsidRDefault="00413629" w:rsidP="009A2453">
            <w:pPr>
              <w:jc w:val="center"/>
              <w:rPr>
                <w:rFonts w:eastAsia="Times New Roman"/>
                <w:sz w:val="22"/>
                <w:szCs w:val="22"/>
                <w:lang w:eastAsia="lv-LV"/>
              </w:rPr>
            </w:pPr>
            <w:r w:rsidRPr="009F6E8E">
              <w:rPr>
                <w:rFonts w:eastAsia="Times New Roman"/>
                <w:noProof/>
                <w:sz w:val="22"/>
                <w:szCs w:val="22"/>
                <w:lang w:eastAsia="lv-LV"/>
              </w:rPr>
              <w:drawing>
                <wp:inline distT="0" distB="0" distL="0" distR="0">
                  <wp:extent cx="1967789" cy="2882189"/>
                  <wp:effectExtent l="19050" t="0" r="0" b="0"/>
                  <wp:docPr id="3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rsidR="00780694" w:rsidRDefault="00780694" w:rsidP="00F36933">
      <w:pPr>
        <w:pStyle w:val="Heading2"/>
        <w:rPr>
          <w:rFonts w:cs="Times New Roman"/>
          <w:b w:val="0"/>
        </w:rPr>
      </w:pPr>
      <w:bookmarkStart w:id="294" w:name="_Toc216077869"/>
      <w:bookmarkStart w:id="295" w:name="_Toc216079538"/>
      <w:bookmarkStart w:id="296" w:name="_Toc216079606"/>
      <w:bookmarkStart w:id="297" w:name="_Toc216079668"/>
      <w:bookmarkStart w:id="298" w:name="_Toc216079724"/>
      <w:bookmarkStart w:id="299" w:name="_Toc216079780"/>
      <w:bookmarkStart w:id="300" w:name="_Toc216079836"/>
    </w:p>
    <w:p w:rsidR="00F36933" w:rsidRPr="00F36933" w:rsidRDefault="00CD3CE6" w:rsidP="00F36933">
      <w:pPr>
        <w:pStyle w:val="Heading2"/>
        <w:rPr>
          <w:rFonts w:cs="Times New Roman"/>
        </w:rPr>
      </w:pPr>
      <w:bookmarkStart w:id="301" w:name="_Toc305421445"/>
      <w:r>
        <w:rPr>
          <w:rFonts w:cs="Times New Roman"/>
          <w:b w:val="0"/>
        </w:rPr>
        <w:t>4</w:t>
      </w:r>
      <w:r w:rsidR="00F36933" w:rsidRPr="00F36933">
        <w:rPr>
          <w:rFonts w:cs="Times New Roman"/>
          <w:b w:val="0"/>
        </w:rPr>
        <w:t>.4.attēls.</w:t>
      </w:r>
      <w:r w:rsidR="00F36933" w:rsidRPr="00F36933">
        <w:rPr>
          <w:rFonts w:cs="Times New Roman"/>
        </w:rPr>
        <w:t xml:space="preserve"> Lata reālā efektīvā kursa indekss</w:t>
      </w:r>
      <w:bookmarkEnd w:id="301"/>
    </w:p>
    <w:p w:rsidR="00000A41" w:rsidRDefault="00000A41" w:rsidP="00F36933">
      <w:pPr>
        <w:ind w:firstLine="55"/>
        <w:rPr>
          <w:sz w:val="20"/>
          <w:szCs w:val="20"/>
        </w:rPr>
      </w:pPr>
    </w:p>
    <w:tbl>
      <w:tblPr>
        <w:tblW w:w="0" w:type="auto"/>
        <w:tblLook w:val="01E0"/>
      </w:tblPr>
      <w:tblGrid>
        <w:gridCol w:w="4914"/>
        <w:gridCol w:w="4915"/>
      </w:tblGrid>
      <w:tr w:rsidR="00000A41" w:rsidRPr="009F6E8E" w:rsidTr="00000A41">
        <w:trPr>
          <w:trHeight w:val="20"/>
        </w:trPr>
        <w:tc>
          <w:tcPr>
            <w:tcW w:w="4914"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sidRPr="00000A41">
              <w:rPr>
                <w:b/>
                <w:spacing w:val="-4"/>
                <w:sz w:val="20"/>
                <w:szCs w:val="20"/>
              </w:rPr>
              <w:t>patēriņu cenu indeksu</w:t>
            </w:r>
          </w:p>
        </w:tc>
        <w:tc>
          <w:tcPr>
            <w:tcW w:w="4915" w:type="dxa"/>
            <w:vAlign w:val="center"/>
          </w:tcPr>
          <w:p w:rsidR="00000A41" w:rsidRPr="009F6E8E" w:rsidRDefault="00000A41" w:rsidP="00000A41">
            <w:pPr>
              <w:jc w:val="center"/>
              <w:rPr>
                <w:rFonts w:eastAsia="Times New Roman"/>
                <w:sz w:val="18"/>
                <w:szCs w:val="18"/>
              </w:rPr>
            </w:pPr>
            <w:r>
              <w:rPr>
                <w:sz w:val="20"/>
                <w:szCs w:val="20"/>
              </w:rPr>
              <w:t>P</w:t>
            </w:r>
            <w:r w:rsidRPr="00F36933">
              <w:rPr>
                <w:sz w:val="20"/>
                <w:szCs w:val="20"/>
              </w:rPr>
              <w:t xml:space="preserve">a mēnešiem, </w:t>
            </w:r>
            <w:r w:rsidRPr="00F36933">
              <w:rPr>
                <w:spacing w:val="-4"/>
                <w:sz w:val="20"/>
                <w:szCs w:val="20"/>
              </w:rPr>
              <w:t>2006.gada decembris = 100</w:t>
            </w:r>
            <w:r>
              <w:rPr>
                <w:spacing w:val="-4"/>
                <w:sz w:val="20"/>
                <w:szCs w:val="20"/>
              </w:rPr>
              <w:t xml:space="preserve">, aprēķināts, izmantojot </w:t>
            </w:r>
            <w:r>
              <w:rPr>
                <w:b/>
                <w:spacing w:val="-4"/>
                <w:sz w:val="20"/>
                <w:szCs w:val="20"/>
              </w:rPr>
              <w:t>ražotāju</w:t>
            </w:r>
            <w:r w:rsidRPr="00000A41">
              <w:rPr>
                <w:b/>
                <w:spacing w:val="-4"/>
                <w:sz w:val="20"/>
                <w:szCs w:val="20"/>
              </w:rPr>
              <w:t xml:space="preserve"> cenu indeksu</w:t>
            </w:r>
          </w:p>
        </w:tc>
      </w:tr>
      <w:tr w:rsidR="00000A41" w:rsidRPr="009F6E8E" w:rsidTr="00000A41">
        <w:trPr>
          <w:trHeight w:val="20"/>
        </w:trPr>
        <w:tc>
          <w:tcPr>
            <w:tcW w:w="4914"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4915" w:type="dxa"/>
            <w:vAlign w:val="center"/>
          </w:tcPr>
          <w:p w:rsidR="00000A41" w:rsidRPr="009F6E8E" w:rsidRDefault="00000A41" w:rsidP="00000A41">
            <w:pPr>
              <w:jc w:val="center"/>
              <w:rPr>
                <w:rFonts w:eastAsia="Times New Roman"/>
                <w:sz w:val="22"/>
                <w:szCs w:val="22"/>
                <w:lang w:eastAsia="lv-LV"/>
              </w:rPr>
            </w:pPr>
            <w:r w:rsidRPr="00000A41">
              <w:rPr>
                <w:rFonts w:eastAsia="Times New Roman"/>
                <w:noProof/>
                <w:sz w:val="22"/>
                <w:szCs w:val="22"/>
                <w:lang w:eastAsia="lv-LV"/>
              </w:rPr>
              <w:drawing>
                <wp:inline distT="0" distB="0" distL="0" distR="0">
                  <wp:extent cx="2876550" cy="2880000"/>
                  <wp:effectExtent l="0" t="0" r="0" b="0"/>
                  <wp:docPr id="45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rsidR="00000A41" w:rsidRDefault="00000A41" w:rsidP="00F36933">
      <w:pPr>
        <w:ind w:firstLine="55"/>
        <w:rPr>
          <w:sz w:val="20"/>
          <w:szCs w:val="20"/>
        </w:rPr>
      </w:pPr>
    </w:p>
    <w:p w:rsidR="003E0E48" w:rsidRPr="00F36933" w:rsidRDefault="003E0E48" w:rsidP="00F36933">
      <w:pPr>
        <w:ind w:firstLine="55"/>
        <w:rPr>
          <w:sz w:val="20"/>
          <w:szCs w:val="20"/>
        </w:rPr>
      </w:pPr>
    </w:p>
    <w:p w:rsidR="001C517F" w:rsidRPr="00780694" w:rsidRDefault="001C517F" w:rsidP="001C517F">
      <w:pPr>
        <w:jc w:val="both"/>
        <w:rPr>
          <w:rFonts w:eastAsia="Times New Roman"/>
          <w:sz w:val="20"/>
          <w:lang w:eastAsia="lv-LV"/>
        </w:rPr>
      </w:pPr>
      <w:r w:rsidRPr="00780694">
        <w:rPr>
          <w:rFonts w:eastAsia="Times New Roman"/>
          <w:sz w:val="20"/>
          <w:lang w:eastAsia="lv-LV"/>
        </w:rPr>
        <w:t>Attīstītās valstis – ASV, Dānija, Francija, Itālija, Lielbritānija, Nīderlande, Somija, Vācija un Zviedrija</w:t>
      </w:r>
    </w:p>
    <w:p w:rsidR="001C517F" w:rsidRPr="00780694" w:rsidRDefault="001C517F" w:rsidP="001C517F">
      <w:pPr>
        <w:jc w:val="both"/>
        <w:rPr>
          <w:rFonts w:eastAsia="Times New Roman"/>
          <w:sz w:val="20"/>
          <w:lang w:eastAsia="lv-LV"/>
        </w:rPr>
      </w:pPr>
      <w:r w:rsidRPr="00780694">
        <w:rPr>
          <w:rFonts w:eastAsia="Times New Roman"/>
          <w:sz w:val="20"/>
          <w:lang w:eastAsia="lv-LV"/>
        </w:rPr>
        <w:t>Attīstības valstis – Igaunija, Krievija, Lietuva un Polija</w:t>
      </w:r>
    </w:p>
    <w:p w:rsidR="00000A41" w:rsidRDefault="00000A41">
      <w:pPr>
        <w:rPr>
          <w:rFonts w:eastAsiaTheme="majorEastAsia" w:cstheme="majorBidi"/>
          <w:b/>
          <w:bCs/>
          <w:sz w:val="32"/>
        </w:rPr>
      </w:pPr>
    </w:p>
    <w:p w:rsidR="001C517F" w:rsidRDefault="001C517F">
      <w:pPr>
        <w:rPr>
          <w:rFonts w:eastAsiaTheme="majorEastAsia" w:cstheme="majorBidi"/>
          <w:b/>
          <w:bCs/>
          <w:sz w:val="32"/>
        </w:rPr>
      </w:pPr>
      <w:r>
        <w:br w:type="page"/>
      </w:r>
    </w:p>
    <w:p w:rsidR="00BE41C7" w:rsidRPr="009F6E8E" w:rsidRDefault="00CD3CE6" w:rsidP="00BE41C7">
      <w:pPr>
        <w:pStyle w:val="Heading1"/>
      </w:pPr>
      <w:bookmarkStart w:id="302" w:name="_Toc305069154"/>
      <w:bookmarkStart w:id="303" w:name="_Toc305421446"/>
      <w:r>
        <w:lastRenderedPageBreak/>
        <w:t>5</w:t>
      </w:r>
      <w:r w:rsidR="00BE41C7" w:rsidRPr="009F6E8E">
        <w:t>. Finanšu sektors</w:t>
      </w:r>
      <w:bookmarkEnd w:id="294"/>
      <w:bookmarkEnd w:id="295"/>
      <w:bookmarkEnd w:id="296"/>
      <w:bookmarkEnd w:id="297"/>
      <w:bookmarkEnd w:id="298"/>
      <w:bookmarkEnd w:id="299"/>
      <w:bookmarkEnd w:id="300"/>
      <w:bookmarkEnd w:id="302"/>
      <w:bookmarkEnd w:id="303"/>
    </w:p>
    <w:p w:rsidR="00BE41C7" w:rsidRPr="004A7B59" w:rsidRDefault="00BE41C7" w:rsidP="00BE41C7">
      <w:pPr>
        <w:rPr>
          <w:b/>
          <w:sz w:val="18"/>
          <w:szCs w:val="24"/>
        </w:rPr>
      </w:pPr>
    </w:p>
    <w:p w:rsidR="0049583C" w:rsidRPr="00570367" w:rsidRDefault="0049583C" w:rsidP="004F6C68">
      <w:pPr>
        <w:spacing w:after="120"/>
        <w:ind w:left="-142" w:firstLine="284"/>
        <w:jc w:val="both"/>
        <w:rPr>
          <w:sz w:val="28"/>
          <w:u w:val="single"/>
        </w:rPr>
      </w:pPr>
      <w:bookmarkStart w:id="304" w:name="_Toc216079539"/>
      <w:bookmarkStart w:id="305" w:name="_Toc216079607"/>
      <w:bookmarkStart w:id="306" w:name="_Toc216079669"/>
      <w:bookmarkStart w:id="307" w:name="_Toc216079725"/>
      <w:bookmarkStart w:id="308" w:name="_Toc216079781"/>
      <w:bookmarkStart w:id="309" w:name="_Toc216079837"/>
      <w:bookmarkStart w:id="310" w:name="_Toc216077870"/>
      <w:r w:rsidRPr="00570367">
        <w:rPr>
          <w:sz w:val="28"/>
          <w:u w:val="single"/>
        </w:rPr>
        <w:t>Valdības finanses</w:t>
      </w:r>
    </w:p>
    <w:p w:rsidR="0049583C" w:rsidRPr="000A1029" w:rsidRDefault="0049583C" w:rsidP="004F6C68">
      <w:pPr>
        <w:ind w:left="-142" w:firstLine="284"/>
        <w:jc w:val="both"/>
        <w:rPr>
          <w:color w:val="FF0000"/>
          <w:sz w:val="28"/>
        </w:rPr>
      </w:pPr>
      <w:r w:rsidRPr="00570367">
        <w:rPr>
          <w:sz w:val="28"/>
        </w:rPr>
        <w:t>20</w:t>
      </w:r>
      <w:r w:rsidR="009B3017">
        <w:rPr>
          <w:sz w:val="28"/>
        </w:rPr>
        <w:t>11.</w:t>
      </w:r>
      <w:r w:rsidRPr="000A1029">
        <w:rPr>
          <w:sz w:val="28"/>
        </w:rPr>
        <w:t>gada septiņos mēnešos valsts konsolidētajā kopbudžetā pēc nacionālās metodoloģijas bija izveidojies finansiālais deficīts 243,3 milj. latu jeb 1,8% no IKP, savukārt, veicot pārrēķinu atbilstoši EKS 95 metodoloģijai</w:t>
      </w:r>
      <w:r w:rsidR="00257C54">
        <w:rPr>
          <w:sz w:val="28"/>
        </w:rPr>
        <w:t>,</w:t>
      </w:r>
      <w:r w:rsidRPr="000A1029">
        <w:rPr>
          <w:sz w:val="28"/>
        </w:rPr>
        <w:t xml:space="preserve"> 154,3 milj. latu jeb 1,15% no IKP.</w:t>
      </w:r>
    </w:p>
    <w:p w:rsidR="0049583C" w:rsidRPr="000A1029" w:rsidRDefault="009B3017" w:rsidP="004F6C68">
      <w:pPr>
        <w:ind w:left="-142" w:firstLine="284"/>
        <w:jc w:val="both"/>
        <w:rPr>
          <w:sz w:val="28"/>
        </w:rPr>
      </w:pPr>
      <w:r>
        <w:rPr>
          <w:sz w:val="28"/>
        </w:rPr>
        <w:t>2011.</w:t>
      </w:r>
      <w:r w:rsidR="0049583C" w:rsidRPr="000A1029">
        <w:rPr>
          <w:sz w:val="28"/>
        </w:rPr>
        <w:t>gada jūlija beigās centrālās valdības parāds pēc nomināla bija 5233,9 milj. latu jeb 39% no IKP, t.sk. iekšējais parāds bija 884,6 milj. latu (17% no kopējā centrālās valdības parāda), ārējais parāds – 4349,3 milj. latu (83% no kopējā centrālās valdības parāda).</w:t>
      </w:r>
    </w:p>
    <w:p w:rsidR="0049583C" w:rsidRPr="000A1029" w:rsidRDefault="0049583C" w:rsidP="004F6C68">
      <w:pPr>
        <w:ind w:left="-142" w:firstLine="284"/>
        <w:jc w:val="both"/>
        <w:rPr>
          <w:sz w:val="6"/>
          <w:szCs w:val="6"/>
        </w:rPr>
      </w:pPr>
    </w:p>
    <w:p w:rsidR="0049583C" w:rsidRPr="000A1029" w:rsidRDefault="009B3017" w:rsidP="004F6C68">
      <w:pPr>
        <w:ind w:left="-142" w:firstLine="284"/>
        <w:jc w:val="both"/>
        <w:rPr>
          <w:color w:val="FF0000"/>
          <w:sz w:val="28"/>
        </w:rPr>
      </w:pPr>
      <w:r>
        <w:rPr>
          <w:sz w:val="28"/>
        </w:rPr>
        <w:t>2011.</w:t>
      </w:r>
      <w:r w:rsidR="0049583C" w:rsidRPr="000A1029">
        <w:rPr>
          <w:sz w:val="28"/>
        </w:rPr>
        <w:t xml:space="preserve">gada septiņos mēnešos valsts konsolidētā </w:t>
      </w:r>
      <w:r w:rsidR="0049583C" w:rsidRPr="009B3017">
        <w:rPr>
          <w:b/>
          <w:sz w:val="28"/>
        </w:rPr>
        <w:t>kopbudžeta ieņēmumi</w:t>
      </w:r>
      <w:r w:rsidR="0049583C" w:rsidRPr="000A1029">
        <w:rPr>
          <w:sz w:val="28"/>
        </w:rPr>
        <w:t xml:space="preserve"> bija 2743,7 milj. latu, kas salīdzinājumā ar 2010. gada attiecīgo periodu pieauga par 29,1 milj. latu jeb 1,1%.</w:t>
      </w:r>
      <w:r w:rsidR="0049583C" w:rsidRPr="000A1029">
        <w:t xml:space="preserve"> </w:t>
      </w:r>
      <w:r w:rsidR="0049583C" w:rsidRPr="000A1029">
        <w:rPr>
          <w:sz w:val="28"/>
        </w:rPr>
        <w:t xml:space="preserve">Neskatoties uz samazinājumu nenodokļu ieņēmumos un ieņēmumos no ārvalstu finanšu palīdzības, kopbudžeta ieņēmumu pieaugumu nodrošināja nodokļu ieņēmumu kāpums par 229,8 milj. latu jeb 11,8 procentiem. </w:t>
      </w:r>
    </w:p>
    <w:p w:rsidR="0049583C" w:rsidRPr="000A1029" w:rsidRDefault="0049583C" w:rsidP="004F6C68">
      <w:pPr>
        <w:ind w:left="-142" w:firstLine="284"/>
        <w:jc w:val="both"/>
        <w:rPr>
          <w:sz w:val="28"/>
        </w:rPr>
      </w:pPr>
      <w:r w:rsidRPr="000A1029">
        <w:rPr>
          <w:sz w:val="28"/>
        </w:rPr>
        <w:t>Kopējie nodokļu ieņēmumi (ieskaitot sociālās apdrošināšanas iemaksas valsts fondēto pensiju shēmā) 2011.gada septiņos mēnešos bija 2216,5 milj. latu, kas ir par 1</w:t>
      </w:r>
      <w:r w:rsidR="009B3017">
        <w:rPr>
          <w:sz w:val="28"/>
        </w:rPr>
        <w:t>0,4% vairāk nekā 2010.</w:t>
      </w:r>
      <w:r w:rsidRPr="000A1029">
        <w:rPr>
          <w:sz w:val="28"/>
        </w:rPr>
        <w:t>gada septiņos mēnešos, ko galvenokārt noteica sociālo apdrošināšanas iemaksu, pievienotās vērtības nodokļa un uzņēmuma ienākuma nodokļa ieņēmumu pieaugums.</w:t>
      </w:r>
    </w:p>
    <w:p w:rsidR="0049583C" w:rsidRPr="000A1029" w:rsidRDefault="0049583C" w:rsidP="004F6C68">
      <w:pPr>
        <w:ind w:left="-142" w:firstLine="284"/>
        <w:jc w:val="both"/>
        <w:rPr>
          <w:sz w:val="28"/>
        </w:rPr>
      </w:pPr>
      <w:r w:rsidRPr="000A1029">
        <w:rPr>
          <w:sz w:val="28"/>
        </w:rPr>
        <w:t>Uzņēmuma ienākuma nodokļa ieņēmumi 2011.gada septiņos mēnešos bija 108,1 milj. latu, kas salīdzinājumā ar 2010. ga</w:t>
      </w:r>
      <w:r w:rsidR="009B3017">
        <w:rPr>
          <w:sz w:val="28"/>
        </w:rPr>
        <w:t>da septiņiem mēnešiem ir par 46</w:t>
      </w:r>
      <w:r w:rsidRPr="000A1029">
        <w:rPr>
          <w:sz w:val="28"/>
        </w:rPr>
        <w:t> milj. latu jeb 74% vairāk un galvenokārt tas saistīts ar atmaksātās summas samazināšanos par 54,7%, salīdzinot ar 2010.gada attiecīgo periodu.</w:t>
      </w:r>
      <w:r w:rsidRPr="000A1029">
        <w:t xml:space="preserve"> </w:t>
      </w:r>
      <w:r w:rsidRPr="000A1029">
        <w:rPr>
          <w:sz w:val="28"/>
        </w:rPr>
        <w:t>Savukārt uzņēmumu ienākuma nodokļa ie</w:t>
      </w:r>
      <w:r w:rsidR="009B3017">
        <w:rPr>
          <w:sz w:val="28"/>
        </w:rPr>
        <w:t>maksas 2011.</w:t>
      </w:r>
      <w:r w:rsidRPr="000A1029">
        <w:rPr>
          <w:sz w:val="28"/>
        </w:rPr>
        <w:t>gada septiņos mēnešos pieaugušas par 6,62 milj. latu jeb 4,9%,</w:t>
      </w:r>
      <w:r w:rsidRPr="000A1029">
        <w:t xml:space="preserve"> </w:t>
      </w:r>
      <w:r w:rsidRPr="000A1029">
        <w:rPr>
          <w:sz w:val="28"/>
        </w:rPr>
        <w:t>salīdzinot ar iepriekšējā gada atbilstošo periodu.</w:t>
      </w:r>
    </w:p>
    <w:p w:rsidR="0049583C" w:rsidRPr="000A1029" w:rsidRDefault="0049583C" w:rsidP="004F6C68">
      <w:pPr>
        <w:ind w:left="-142" w:firstLine="284"/>
        <w:jc w:val="both"/>
        <w:rPr>
          <w:sz w:val="28"/>
        </w:rPr>
      </w:pPr>
      <w:r w:rsidRPr="000A1029">
        <w:rPr>
          <w:sz w:val="28"/>
        </w:rPr>
        <w:t xml:space="preserve">Pievienotās </w:t>
      </w:r>
      <w:r w:rsidR="009B3017">
        <w:rPr>
          <w:sz w:val="28"/>
        </w:rPr>
        <w:t>vērtības nodokļa ieņēmumi 2011.</w:t>
      </w:r>
      <w:r w:rsidRPr="000A1029">
        <w:rPr>
          <w:sz w:val="28"/>
        </w:rPr>
        <w:t xml:space="preserve">gada septiņos </w:t>
      </w:r>
      <w:r w:rsidR="00257C54">
        <w:rPr>
          <w:sz w:val="28"/>
        </w:rPr>
        <w:t>mēnešos</w:t>
      </w:r>
      <w:r w:rsidR="009B3017">
        <w:rPr>
          <w:sz w:val="28"/>
        </w:rPr>
        <w:t xml:space="preserve"> salīdzinājumā ar 2010.</w:t>
      </w:r>
      <w:r w:rsidRPr="000A1029">
        <w:rPr>
          <w:sz w:val="28"/>
        </w:rPr>
        <w:t>gada atbilstošo periodu pieauga par 47 milj. latu jeb 9,7% un bija 531,4 </w:t>
      </w:r>
      <w:r w:rsidR="009B3017">
        <w:rPr>
          <w:sz w:val="28"/>
        </w:rPr>
        <w:t>milj. latu. Ieņēmumu pieaugumu</w:t>
      </w:r>
      <w:r w:rsidRPr="000A1029">
        <w:rPr>
          <w:sz w:val="28"/>
        </w:rPr>
        <w:t xml:space="preserve"> nodrošināja pievienotās vērtības nodokļa </w:t>
      </w:r>
      <w:proofErr w:type="spellStart"/>
      <w:r w:rsidRPr="000A1029">
        <w:rPr>
          <w:sz w:val="28"/>
        </w:rPr>
        <w:t>standartlikmes</w:t>
      </w:r>
      <w:proofErr w:type="spellEnd"/>
      <w:r w:rsidRPr="000A1029">
        <w:rPr>
          <w:sz w:val="28"/>
        </w:rPr>
        <w:t xml:space="preserve"> un samazinātās likmes palielināšana, kā arī kopējās darījumu vērtības un budžetā iemaksājamās summas palielinājums. 2011.gada septiņos mēnešos iemaksātais pievienotās vērtības nodoklis bija 886,4 milj. latu, kas ir par 171,1 milj.</w:t>
      </w:r>
      <w:r w:rsidR="009B3017">
        <w:rPr>
          <w:sz w:val="28"/>
        </w:rPr>
        <w:t xml:space="preserve"> latu jeb 23,9% vairāk </w:t>
      </w:r>
      <w:r w:rsidR="00257C54">
        <w:rPr>
          <w:sz w:val="28"/>
        </w:rPr>
        <w:t>ne</w:t>
      </w:r>
      <w:r w:rsidR="009B3017">
        <w:rPr>
          <w:sz w:val="28"/>
        </w:rPr>
        <w:t>kā 2010.</w:t>
      </w:r>
      <w:r w:rsidRPr="000A1029">
        <w:rPr>
          <w:sz w:val="28"/>
        </w:rPr>
        <w:t>gada atbilstošajā periodā. Arī pievienotās vērtības nodokļa atmaksas 2011.gada septiņos mēnešos palielinājās (par 53,8% salīdzinājumā ar 2010.gada atbilstošo periodu), kas skaidrojams ar izmaiņām nodokļa atmaksas kārtībā pārmak</w:t>
      </w:r>
      <w:r w:rsidR="009B3017">
        <w:rPr>
          <w:sz w:val="28"/>
        </w:rPr>
        <w:t>sām, kas izveidojušās pēc 2010.</w:t>
      </w:r>
      <w:r w:rsidRPr="000A1029">
        <w:rPr>
          <w:sz w:val="28"/>
        </w:rPr>
        <w:t xml:space="preserve">gada 1.jūlija. </w:t>
      </w:r>
    </w:p>
    <w:p w:rsidR="0049583C" w:rsidRPr="000A1029" w:rsidRDefault="0049583C" w:rsidP="004F6C68">
      <w:pPr>
        <w:ind w:left="-142" w:firstLine="284"/>
        <w:jc w:val="both"/>
        <w:rPr>
          <w:sz w:val="28"/>
        </w:rPr>
      </w:pPr>
      <w:r w:rsidRPr="000A1029">
        <w:rPr>
          <w:sz w:val="28"/>
        </w:rPr>
        <w:t>Akcīzes nodokļa ieņēmumi 2011.gada septiņos mēnešos bija 262,1 milj. latu, kas ir pagājušā gada atbilstošā perioda ieņēmumu līmenī. Tikai ieņēmumi par naftas produktiem šī gada septiņ</w:t>
      </w:r>
      <w:r w:rsidR="009B3017">
        <w:rPr>
          <w:sz w:val="28"/>
        </w:rPr>
        <w:t>os mēnešos, salīdzinot ar 2010.</w:t>
      </w:r>
      <w:r w:rsidRPr="000A1029">
        <w:rPr>
          <w:sz w:val="28"/>
        </w:rPr>
        <w:t>gada atbilstošo periodu, samazin</w:t>
      </w:r>
      <w:r w:rsidR="009B3017">
        <w:rPr>
          <w:sz w:val="28"/>
        </w:rPr>
        <w:t>ājās par 7,9 milj. latu jeb 5,2%</w:t>
      </w:r>
      <w:r w:rsidRPr="000A1029">
        <w:rPr>
          <w:sz w:val="28"/>
        </w:rPr>
        <w:t>.</w:t>
      </w:r>
      <w:r w:rsidRPr="000A1029">
        <w:t xml:space="preserve"> </w:t>
      </w:r>
      <w:r w:rsidR="009B3017">
        <w:rPr>
          <w:sz w:val="28"/>
        </w:rPr>
        <w:t>Lai arī 2011.</w:t>
      </w:r>
      <w:r w:rsidRPr="000A1029">
        <w:rPr>
          <w:sz w:val="28"/>
        </w:rPr>
        <w:t>gada 1.pusgadā patēriņam nodoto naftas produktu daudzums bija pagājušā gada attiecīgā perioda līmenī, ieņēmumu samazinājumu noteica izmaiņas patēriņam nodoto naftas produktu struktūrā, jo palielinājās patēriņa apjoms naftas produktiem ar zemāku akcīzes nodokļa likmi.</w:t>
      </w:r>
    </w:p>
    <w:p w:rsidR="0049583C" w:rsidRPr="000A1029" w:rsidRDefault="0049583C" w:rsidP="004F6C68">
      <w:pPr>
        <w:ind w:left="-142" w:firstLine="284"/>
        <w:jc w:val="both"/>
        <w:rPr>
          <w:sz w:val="28"/>
        </w:rPr>
      </w:pPr>
      <w:r w:rsidRPr="000A1029">
        <w:rPr>
          <w:sz w:val="28"/>
        </w:rPr>
        <w:lastRenderedPageBreak/>
        <w:t xml:space="preserve">Iedzīvotāju </w:t>
      </w:r>
      <w:r w:rsidR="009B3017">
        <w:rPr>
          <w:sz w:val="28"/>
        </w:rPr>
        <w:t>ienākuma nodokļa ieņēmumi 2011.</w:t>
      </w:r>
      <w:r w:rsidRPr="000A1029">
        <w:rPr>
          <w:sz w:val="28"/>
        </w:rPr>
        <w:t>gada septiņos mēnešos bija 455,2 milj. latu, kas salīdzinājumā ar 2010. gada septiņiem mēnešiem bija par 8,1 milj. latu jeb 1,8% vairāk. Nodokļa ieņēmumus pozitīvi ietekmēja minimālās mēneša darba algas paaugstināšana ar 2011. gada 1.janvār</w:t>
      </w:r>
      <w:r w:rsidR="009B3017">
        <w:rPr>
          <w:sz w:val="28"/>
        </w:rPr>
        <w:t>i no Ls 180 uz Ls 200, no 2010.</w:t>
      </w:r>
      <w:r w:rsidRPr="000A1029">
        <w:rPr>
          <w:sz w:val="28"/>
        </w:rPr>
        <w:t>gada ieviestās nodokļa normas ienākumam no kapitāla un ienākumam no kapitāla, kas nav kapitāla pieaugums, kā arī neliels darba ņēmēju skaita pieaugums salīdzinājumā ar 2010.gada jūniju. 20</w:t>
      </w:r>
      <w:r w:rsidR="009B3017">
        <w:rPr>
          <w:sz w:val="28"/>
        </w:rPr>
        <w:t>11.</w:t>
      </w:r>
      <w:r w:rsidRPr="000A1029">
        <w:rPr>
          <w:sz w:val="28"/>
        </w:rPr>
        <w:t>gada jūnijā bija 750 618 darba ņēmēji, kas par 0,5% pārsniedza 2010. gada jūnija līmeni.</w:t>
      </w:r>
      <w:r w:rsidRPr="000A1029">
        <w:t xml:space="preserve"> </w:t>
      </w:r>
      <w:r w:rsidRPr="000A1029">
        <w:rPr>
          <w:sz w:val="28"/>
        </w:rPr>
        <w:t>Jāatzīmē arī, ka 2011.</w:t>
      </w:r>
      <w:r w:rsidR="009B3017">
        <w:rPr>
          <w:sz w:val="28"/>
        </w:rPr>
        <w:t>gada 1.</w:t>
      </w:r>
      <w:r w:rsidRPr="000A1029">
        <w:rPr>
          <w:sz w:val="28"/>
        </w:rPr>
        <w:t xml:space="preserve">janvārī stājās spēkā izmaiņas likumdošanas normās </w:t>
      </w:r>
      <w:r w:rsidR="00257C54">
        <w:rPr>
          <w:sz w:val="28"/>
        </w:rPr>
        <w:t>–</w:t>
      </w:r>
      <w:r w:rsidRPr="000A1029">
        <w:rPr>
          <w:sz w:val="28"/>
        </w:rPr>
        <w:t xml:space="preserve"> samazināta IIN likme no 26% uz 25%, palielināts neapliekamais minimuma apmērs no 35 latiem uz 45 latiem, palielināts atvieglojuma apmērs par apgādībā esošu personu no 63 latiem uz 70 latiem.</w:t>
      </w:r>
    </w:p>
    <w:p w:rsidR="0049583C" w:rsidRPr="004F6864" w:rsidRDefault="0049583C" w:rsidP="004F6C68">
      <w:pPr>
        <w:ind w:left="-142" w:firstLine="284"/>
        <w:jc w:val="both"/>
        <w:rPr>
          <w:sz w:val="28"/>
          <w:highlight w:val="lightGray"/>
        </w:rPr>
      </w:pPr>
      <w:r w:rsidRPr="000A1029">
        <w:rPr>
          <w:sz w:val="28"/>
        </w:rPr>
        <w:t>2011. gada septiņos mēnešos sociālās apdrošināšanas iemaksas (ieskaitot iemaksas valsts fondēto pensiju shēmā) bija 729,3 milj. latu un tas ir</w:t>
      </w:r>
      <w:r w:rsidRPr="000A1029">
        <w:t xml:space="preserve"> </w:t>
      </w:r>
      <w:r w:rsidRPr="000A1029">
        <w:rPr>
          <w:sz w:val="28"/>
        </w:rPr>
        <w:t>par 70,4 milj. latu jeb 10,7</w:t>
      </w:r>
      <w:r w:rsidR="009B3017">
        <w:rPr>
          <w:sz w:val="28"/>
        </w:rPr>
        <w:t>% vairāk salīdzinājumā ar 2010.</w:t>
      </w:r>
      <w:r w:rsidRPr="000A1029">
        <w:rPr>
          <w:sz w:val="28"/>
        </w:rPr>
        <w:t>gada septiņiem mēnešiem. Tai skaitā sociālās apdrošināšanas iemaksas valsts speciālajā budžetā bija 691,8 milj. latu un iema</w:t>
      </w:r>
      <w:r w:rsidR="009B3017">
        <w:rPr>
          <w:sz w:val="28"/>
        </w:rPr>
        <w:t>ksas fondēto pensiju shēmā – 39</w:t>
      </w:r>
      <w:r w:rsidRPr="000A1029">
        <w:rPr>
          <w:sz w:val="28"/>
        </w:rPr>
        <w:t xml:space="preserve"> milj. latu. Sociālās apdrošināšanas iemaksu pieaugumu galvenokārt ietekmēja sociālās apdrošināšanas likmes palielināšana </w:t>
      </w:r>
      <w:r w:rsidR="009B3017">
        <w:rPr>
          <w:sz w:val="28"/>
        </w:rPr>
        <w:t>no 2011.</w:t>
      </w:r>
      <w:r w:rsidRPr="00672102">
        <w:rPr>
          <w:sz w:val="28"/>
        </w:rPr>
        <w:t>gada 1.janvāra no 33,09% uz 35,09%, kā arī minimālās mēneša darba alg</w:t>
      </w:r>
      <w:r>
        <w:rPr>
          <w:sz w:val="28"/>
        </w:rPr>
        <w:t xml:space="preserve">as paaugstināšana no 180 uz </w:t>
      </w:r>
      <w:r w:rsidRPr="00672102">
        <w:rPr>
          <w:sz w:val="28"/>
        </w:rPr>
        <w:t>200 </w:t>
      </w:r>
      <w:r>
        <w:rPr>
          <w:sz w:val="28"/>
        </w:rPr>
        <w:t>latiem un nelielais darba ņēmēju skaita pieaugums.</w:t>
      </w:r>
    </w:p>
    <w:p w:rsidR="0049583C" w:rsidRPr="00F70172" w:rsidRDefault="0049583C" w:rsidP="004F6C68">
      <w:pPr>
        <w:ind w:left="-142" w:firstLine="284"/>
        <w:jc w:val="both"/>
        <w:rPr>
          <w:sz w:val="28"/>
        </w:rPr>
      </w:pPr>
      <w:r w:rsidRPr="00BE7C98">
        <w:rPr>
          <w:b/>
          <w:sz w:val="28"/>
        </w:rPr>
        <w:t>Valsts konsolidētā kopbudžeta izdevumi</w:t>
      </w:r>
      <w:r w:rsidR="009B3017">
        <w:rPr>
          <w:sz w:val="28"/>
        </w:rPr>
        <w:t xml:space="preserve"> 2011.gada septiņos mēnešos bija 2987</w:t>
      </w:r>
      <w:r w:rsidRPr="00BE7C98">
        <w:rPr>
          <w:sz w:val="28"/>
        </w:rPr>
        <w:t> milj. latu, kas ir par 85,9 milj. latu jeb 3% vairāk nekā 2010.gada attiecīgajā periodā. Lielākais izdevumu kāpums bija k</w:t>
      </w:r>
      <w:r w:rsidR="009B3017">
        <w:rPr>
          <w:sz w:val="28"/>
        </w:rPr>
        <w:t>apitālajos izdevumos, kas 2011.</w:t>
      </w:r>
      <w:r w:rsidRPr="00BE7C98">
        <w:rPr>
          <w:sz w:val="28"/>
        </w:rPr>
        <w:t xml:space="preserve">gada septiņos mēnešos bija 230,2 milj. latu un, salīdzinot ar 2010. gada atbilstošo periodu, tie bija par 78,5 milj. latu jeb 51,7% </w:t>
      </w:r>
      <w:r>
        <w:rPr>
          <w:sz w:val="28"/>
        </w:rPr>
        <w:t>lielāki</w:t>
      </w:r>
      <w:r w:rsidRPr="00BE7C98">
        <w:rPr>
          <w:sz w:val="28"/>
        </w:rPr>
        <w:t>.</w:t>
      </w:r>
      <w:r>
        <w:rPr>
          <w:sz w:val="28"/>
        </w:rPr>
        <w:t xml:space="preserve"> Otru lielāko pieaugumu veidoja izdevumi subsīdijām un dotācijām,</w:t>
      </w:r>
      <w:r w:rsidRPr="00BE7C98">
        <w:rPr>
          <w:sz w:val="28"/>
        </w:rPr>
        <w:t xml:space="preserve"> kas 2011.gada septiņos mēnešos bija 547</w:t>
      </w:r>
      <w:r w:rsidR="009B3017">
        <w:rPr>
          <w:sz w:val="28"/>
        </w:rPr>
        <w:t>,9 milj. latu un pieauga par 44</w:t>
      </w:r>
      <w:r w:rsidRPr="00BE7C98">
        <w:rPr>
          <w:sz w:val="28"/>
        </w:rPr>
        <w:t> milj. latu jeb 8,7% salīdzinājumā ar 2010. gada attiecīgo periodu.</w:t>
      </w:r>
      <w:r w:rsidR="009B3017">
        <w:rPr>
          <w:sz w:val="28"/>
        </w:rPr>
        <w:t xml:space="preserve"> Izdevumu pieaugums par 25</w:t>
      </w:r>
      <w:r>
        <w:rPr>
          <w:sz w:val="28"/>
        </w:rPr>
        <w:t xml:space="preserve"> milj. latu jeb 20,4% bija vērojams arī procentu izdevumos, sastādot 147,6 milj. latu, kā arī izdevumos precēm un pakalpojumiem, kas pieauga par 24,1 milj. latu jeb 6,7% un bija </w:t>
      </w:r>
      <w:bookmarkStart w:id="311" w:name="_GoBack"/>
      <w:bookmarkEnd w:id="311"/>
      <w:r w:rsidRPr="00BE7C98">
        <w:rPr>
          <w:sz w:val="28"/>
        </w:rPr>
        <w:t>382,6 milj. latu.</w:t>
      </w:r>
      <w:r>
        <w:rPr>
          <w:sz w:val="28"/>
        </w:rPr>
        <w:t xml:space="preserve"> Jāatzīmē, ka izdevumi sociālajiem pabalstiem 2011.gada septiņos mēnešos bija par 111,1 milj. latu jeb 10,5% mazāki, salīdzinot ar 2010. gada atbilstošo periodu, un kopā tie bija 942,2 milj. latu.</w:t>
      </w:r>
    </w:p>
    <w:p w:rsidR="008167A9" w:rsidRDefault="008167A9" w:rsidP="004F6C68">
      <w:pPr>
        <w:pStyle w:val="teksts"/>
        <w:spacing w:after="40"/>
        <w:ind w:firstLine="425"/>
        <w:rPr>
          <w:rFonts w:ascii="Times New Roman" w:hAnsi="Times New Roman"/>
          <w:bCs/>
          <w:color w:val="000000"/>
          <w:sz w:val="28"/>
          <w:u w:val="single"/>
        </w:rPr>
      </w:pPr>
    </w:p>
    <w:p w:rsidR="008167A9" w:rsidRDefault="008167A9" w:rsidP="008167A9">
      <w:pPr>
        <w:pStyle w:val="teksts"/>
        <w:spacing w:after="40"/>
        <w:ind w:firstLine="425"/>
        <w:rPr>
          <w:rFonts w:ascii="Times New Roman" w:hAnsi="Times New Roman"/>
          <w:bCs/>
          <w:color w:val="000000"/>
          <w:sz w:val="28"/>
          <w:u w:val="single"/>
        </w:rPr>
      </w:pPr>
      <w:r w:rsidRPr="00923828">
        <w:rPr>
          <w:rFonts w:ascii="Times New Roman" w:hAnsi="Times New Roman"/>
          <w:bCs/>
          <w:color w:val="000000"/>
          <w:sz w:val="28"/>
          <w:u w:val="single"/>
        </w:rPr>
        <w:t>Banku sektors</w:t>
      </w:r>
    </w:p>
    <w:p w:rsidR="00CF5E09" w:rsidRPr="00CF5E09" w:rsidRDefault="00CF5E09" w:rsidP="008167A9">
      <w:pPr>
        <w:ind w:left="-142" w:firstLine="284"/>
        <w:jc w:val="both"/>
        <w:rPr>
          <w:sz w:val="6"/>
          <w:szCs w:val="6"/>
        </w:rPr>
      </w:pPr>
    </w:p>
    <w:p w:rsidR="000A1029" w:rsidRPr="00111352" w:rsidRDefault="000A1029" w:rsidP="009B3017">
      <w:pPr>
        <w:ind w:left="-142" w:firstLine="284"/>
        <w:jc w:val="both"/>
        <w:rPr>
          <w:sz w:val="28"/>
        </w:rPr>
      </w:pPr>
      <w:r w:rsidRPr="009B3017">
        <w:rPr>
          <w:sz w:val="28"/>
        </w:rPr>
        <w:t>Lai gan banku sektors darbojas ar peļņu un situācija uzlabojas, tomēr vairāki</w:t>
      </w:r>
      <w:r w:rsidRPr="00111352">
        <w:rPr>
          <w:sz w:val="28"/>
        </w:rPr>
        <w:t xml:space="preserve"> </w:t>
      </w:r>
      <w:r>
        <w:rPr>
          <w:sz w:val="28"/>
        </w:rPr>
        <w:t>rādītāji joprojām ir negatīvi. S</w:t>
      </w:r>
      <w:r w:rsidRPr="00111352">
        <w:rPr>
          <w:sz w:val="28"/>
        </w:rPr>
        <w:t>ākot ar 2009.gada beigām,</w:t>
      </w:r>
      <w:r w:rsidR="00257C54">
        <w:rPr>
          <w:sz w:val="28"/>
        </w:rPr>
        <w:t xml:space="preserve"> ir</w:t>
      </w:r>
      <w:r w:rsidRPr="00111352">
        <w:rPr>
          <w:sz w:val="28"/>
        </w:rPr>
        <w:t xml:space="preserve"> vērojams rezidentu finanšu iestāžu, nefinanšu sabiedrību un mājsaimniecību noguldījumu atlikuma pieaugums, tomēr 201</w:t>
      </w:r>
      <w:r>
        <w:rPr>
          <w:sz w:val="28"/>
        </w:rPr>
        <w:t>0</w:t>
      </w:r>
      <w:r w:rsidRPr="00111352">
        <w:rPr>
          <w:sz w:val="28"/>
        </w:rPr>
        <w:t xml:space="preserve">.gada </w:t>
      </w:r>
      <w:r>
        <w:rPr>
          <w:sz w:val="28"/>
        </w:rPr>
        <w:t>beigās</w:t>
      </w:r>
      <w:r w:rsidRPr="00111352">
        <w:rPr>
          <w:sz w:val="28"/>
        </w:rPr>
        <w:t xml:space="preserve"> pieauguma tempi samazinājās un 2011.gada </w:t>
      </w:r>
      <w:r>
        <w:rPr>
          <w:sz w:val="28"/>
        </w:rPr>
        <w:t>jūlija beigās noguldījumu atlikums</w:t>
      </w:r>
      <w:r w:rsidRPr="00111352">
        <w:rPr>
          <w:sz w:val="28"/>
        </w:rPr>
        <w:t xml:space="preserve"> salīdzinājumā ar 2010.gada attiecīgo periodu pieauga tikai par </w:t>
      </w:r>
      <w:r>
        <w:rPr>
          <w:sz w:val="28"/>
        </w:rPr>
        <w:t>1,6</w:t>
      </w:r>
      <w:r w:rsidR="009B3017">
        <w:rPr>
          <w:sz w:val="28"/>
        </w:rPr>
        <w:t> procentiem</w:t>
      </w:r>
      <w:r w:rsidRPr="00111352">
        <w:rPr>
          <w:sz w:val="28"/>
        </w:rPr>
        <w:t xml:space="preserve">. </w:t>
      </w:r>
    </w:p>
    <w:p w:rsidR="000A1029" w:rsidRPr="00111352" w:rsidRDefault="000A1029" w:rsidP="000A1029">
      <w:pPr>
        <w:ind w:left="-142" w:firstLine="284"/>
        <w:jc w:val="both"/>
        <w:rPr>
          <w:sz w:val="28"/>
        </w:rPr>
      </w:pPr>
      <w:r w:rsidRPr="00111352">
        <w:rPr>
          <w:sz w:val="28"/>
        </w:rPr>
        <w:t>2011.gada 2.ceturksnī rezidentu finanšu iestādēm, nefinanšu sabiedrībām un mājsaimniecībām izsniegto kredītu atlikums joprojām turpināja samazināties un bija par 9,3% mazāk</w:t>
      </w:r>
      <w:r>
        <w:rPr>
          <w:sz w:val="28"/>
        </w:rPr>
        <w:t>s</w:t>
      </w:r>
      <w:r w:rsidRPr="00111352">
        <w:rPr>
          <w:sz w:val="28"/>
        </w:rPr>
        <w:t xml:space="preserve"> nekā pirms gada. 2011.gada 2.ceturksnī banku sektorā kopumā </w:t>
      </w:r>
      <w:r w:rsidRPr="00111352">
        <w:rPr>
          <w:bCs/>
          <w:sz w:val="28"/>
        </w:rPr>
        <w:t>no jauna izsniegti 20,1 tūkstoši kredīti 411,9 miljonu latu apmērā</w:t>
      </w:r>
      <w:r w:rsidRPr="00111352">
        <w:rPr>
          <w:rFonts w:ascii="Tahoma" w:hAnsi="Tahoma" w:cs="Tahoma"/>
          <w:color w:val="252525"/>
          <w:sz w:val="16"/>
          <w:szCs w:val="16"/>
        </w:rPr>
        <w:t xml:space="preserve">. </w:t>
      </w:r>
      <w:r w:rsidRPr="00111352">
        <w:rPr>
          <w:sz w:val="28"/>
        </w:rPr>
        <w:t>Sadalīj</w:t>
      </w:r>
      <w:r w:rsidR="00257C54">
        <w:rPr>
          <w:sz w:val="28"/>
        </w:rPr>
        <w:t>umā pa tautsaimniecības nozarēm</w:t>
      </w:r>
      <w:r w:rsidRPr="00111352">
        <w:rPr>
          <w:sz w:val="28"/>
        </w:rPr>
        <w:t xml:space="preserve"> visvairāk no jauna izsniegti kredīti lauksaimniecības, </w:t>
      </w:r>
      <w:r w:rsidRPr="00111352">
        <w:rPr>
          <w:sz w:val="28"/>
        </w:rPr>
        <w:lastRenderedPageBreak/>
        <w:t xml:space="preserve">mežsaimniecības un zivsaimniecības nozarē (505 kredīti) un transporta un uzglabāšanas nozarē (432 kredīti), </w:t>
      </w:r>
      <w:r w:rsidRPr="006C217F">
        <w:rPr>
          <w:sz w:val="28"/>
        </w:rPr>
        <w:t>savukārt apmēra ziņā 35% no visiem tautsaimniecībā izsniegtajiem kredītiem ir izsniegti elektroenerģijas, gāzes un siltumapgādes nozarē un 2</w:t>
      </w:r>
      <w:r w:rsidR="009B3017">
        <w:rPr>
          <w:sz w:val="28"/>
        </w:rPr>
        <w:t>2</w:t>
      </w:r>
      <w:r w:rsidRPr="006C217F">
        <w:rPr>
          <w:sz w:val="28"/>
        </w:rPr>
        <w:t>% finanšu un apdrošināšanas darbībās.</w:t>
      </w:r>
    </w:p>
    <w:p w:rsidR="000A1029" w:rsidRPr="00111352" w:rsidRDefault="000A1029" w:rsidP="000A1029">
      <w:pPr>
        <w:ind w:left="-142" w:firstLine="284"/>
        <w:jc w:val="both"/>
        <w:rPr>
          <w:sz w:val="28"/>
        </w:rPr>
      </w:pPr>
      <w:r w:rsidRPr="00111352">
        <w:rPr>
          <w:sz w:val="28"/>
        </w:rPr>
        <w:t>2011.gada 2.ceturksnī, salīdzinot ar iepriekšējā gada attiecīgo periodu</w:t>
      </w:r>
      <w:r>
        <w:rPr>
          <w:sz w:val="28"/>
        </w:rPr>
        <w:t>,</w:t>
      </w:r>
      <w:r w:rsidRPr="00111352">
        <w:rPr>
          <w:sz w:val="28"/>
        </w:rPr>
        <w:t xml:space="preserve"> turpināja samazināties komerckredītu atlikumi (par 11,4%), tomēr pēdējos ceturkšņos samazinājums ir lēnāks un vērojama situācijas uzlabošanās. Savukārt industriālo kredītu atlikumi 2010.gada sākumā strauji pieauga (2.ceturksnī pieaugums par 18,8% salīdzinājumā ar iepriekšējā gada attiecīgo periodu), kas ir skaidrojams ar ekonomiskās situācijas uzlabošanos, tomēr 2011.gada 2.ceturkšņa beigās industriālo kredītu atlikumi samazinājās </w:t>
      </w:r>
      <w:r>
        <w:rPr>
          <w:sz w:val="28"/>
        </w:rPr>
        <w:t xml:space="preserve">par 6,4%, </w:t>
      </w:r>
      <w:r w:rsidRPr="00111352">
        <w:rPr>
          <w:sz w:val="28"/>
        </w:rPr>
        <w:t>salīdzin</w:t>
      </w:r>
      <w:r w:rsidR="00257C54">
        <w:rPr>
          <w:sz w:val="28"/>
        </w:rPr>
        <w:t xml:space="preserve">ot </w:t>
      </w:r>
      <w:r w:rsidRPr="00111352">
        <w:rPr>
          <w:sz w:val="28"/>
        </w:rPr>
        <w:t>ar iepriekšēja gada attiecīgo periodu</w:t>
      </w:r>
      <w:r>
        <w:rPr>
          <w:sz w:val="28"/>
        </w:rPr>
        <w:t xml:space="preserve">. </w:t>
      </w:r>
      <w:r w:rsidRPr="00111352">
        <w:rPr>
          <w:sz w:val="28"/>
        </w:rPr>
        <w:t>Sakarā ar zemo iedzīvotāju maksātspēju un zemo mājokļu pieprasījumu, joprojām turpina samazināties hipotekāro kredītu atlikumi, kas 2011.gada 2.ceturkšņa beigās bija sarukuši par 8,6%, salīdzinot ar 2010.gada attiecīgo periodu. Savukārt kredītu atlikumi patēriņa preču iegādei strauji samazinājās 2009.gada beigās (par 27,9%), 2010.gada beigās pieauga (par 2%) un 2011.gada sākumā turpina strauji samazināties (2.ceturksnī samazinājums bija par 14%).</w:t>
      </w:r>
    </w:p>
    <w:p w:rsidR="000A1029" w:rsidRPr="00310619" w:rsidRDefault="000A1029" w:rsidP="000A1029">
      <w:pPr>
        <w:ind w:left="-142" w:firstLine="284"/>
        <w:jc w:val="both"/>
        <w:rPr>
          <w:sz w:val="28"/>
        </w:rPr>
      </w:pPr>
      <w:r w:rsidRPr="00111352">
        <w:rPr>
          <w:sz w:val="28"/>
        </w:rPr>
        <w:t xml:space="preserve">No visa iekšzemes uzņēmumiem un privātpersonām izsniegtā kredītu apjoma, lielāko daļu veido hipotekārie kredīti, kuru īpatsvars 2011.gada 2.ceturksnī bija 57,8% no kopējā izsniegto kredītu apjoma. Savukārt kopējais komerckredītu un industriālo kredītu </w:t>
      </w:r>
      <w:r w:rsidRPr="00310619">
        <w:rPr>
          <w:sz w:val="28"/>
        </w:rPr>
        <w:t>īpatsvars bija 31,8%, kas ir nedaudz pieaudzis salīdzinājumā ar 2010.gada beigām.</w:t>
      </w:r>
    </w:p>
    <w:p w:rsidR="000A1029" w:rsidRPr="00111352" w:rsidRDefault="000A1029" w:rsidP="000A1029">
      <w:pPr>
        <w:ind w:left="-142" w:firstLine="284"/>
        <w:jc w:val="both"/>
        <w:rPr>
          <w:sz w:val="28"/>
        </w:rPr>
      </w:pPr>
      <w:r w:rsidRPr="00310619">
        <w:rPr>
          <w:sz w:val="28"/>
        </w:rPr>
        <w:t xml:space="preserve">Rezidentiem izsniegto kredītu struktūrā pa tautsaimniecības nozarēm, vislielākais kredītu atlikumu īpatsvars ir </w:t>
      </w:r>
      <w:r w:rsidR="00841F64">
        <w:rPr>
          <w:sz w:val="28"/>
        </w:rPr>
        <w:t>operācijās ar nekustamo īpašumu</w:t>
      </w:r>
      <w:r w:rsidRPr="00310619">
        <w:rPr>
          <w:sz w:val="28"/>
        </w:rPr>
        <w:t xml:space="preserve"> (</w:t>
      </w:r>
      <w:r w:rsidR="00841F64">
        <w:rPr>
          <w:sz w:val="28"/>
        </w:rPr>
        <w:t>34</w:t>
      </w:r>
      <w:r w:rsidRPr="00310619">
        <w:rPr>
          <w:sz w:val="28"/>
        </w:rPr>
        <w:t xml:space="preserve">%), apstrādes rūpniecībā (14%), tirdzniecībā, izmitināšanas un ēdināšanas pakalpojumu nozarē (14%) un būvniecībā (10%). Tautsaimniecības nozaru attīstībai izsniegto kredītu atlikums joprojām turpina samazināties un 2011.gada 2.ceturkšņa beigās tas bija par 10,8% mazāks nekā gadu iepriekš. Gada laikā visstraujāk kredītu atlikumi samazinājās </w:t>
      </w:r>
      <w:r w:rsidR="00841F64">
        <w:rPr>
          <w:sz w:val="28"/>
        </w:rPr>
        <w:t xml:space="preserve">finanšu darbībās (par 26%), </w:t>
      </w:r>
      <w:r w:rsidRPr="00310619">
        <w:rPr>
          <w:sz w:val="28"/>
        </w:rPr>
        <w:t>būvniecībā (par 17,2%) un komerc</w:t>
      </w:r>
      <w:r w:rsidR="00841F64">
        <w:rPr>
          <w:sz w:val="28"/>
        </w:rPr>
        <w:t>pakalpojumu nozarēs (par 14</w:t>
      </w:r>
      <w:r w:rsidR="00EF5E76">
        <w:rPr>
          <w:sz w:val="28"/>
        </w:rPr>
        <w:t>,</w:t>
      </w:r>
      <w:r w:rsidR="00841F64">
        <w:rPr>
          <w:sz w:val="28"/>
        </w:rPr>
        <w:t>4</w:t>
      </w:r>
      <w:r w:rsidR="00EF5E76">
        <w:rPr>
          <w:sz w:val="28"/>
        </w:rPr>
        <w:t>%)</w:t>
      </w:r>
      <w:r w:rsidRPr="00310619">
        <w:rPr>
          <w:sz w:val="28"/>
        </w:rPr>
        <w:t>.</w:t>
      </w:r>
    </w:p>
    <w:p w:rsidR="000A1029" w:rsidRPr="00111352" w:rsidRDefault="000A1029" w:rsidP="000A1029">
      <w:pPr>
        <w:tabs>
          <w:tab w:val="left" w:pos="9639"/>
        </w:tabs>
        <w:ind w:left="-142" w:firstLine="284"/>
        <w:jc w:val="both"/>
        <w:rPr>
          <w:bCs/>
          <w:color w:val="000000"/>
          <w:sz w:val="28"/>
        </w:rPr>
      </w:pPr>
      <w:r w:rsidRPr="00111352">
        <w:rPr>
          <w:bCs/>
          <w:color w:val="000000"/>
          <w:sz w:val="28"/>
        </w:rPr>
        <w:t>2011.gad</w:t>
      </w:r>
      <w:r>
        <w:rPr>
          <w:bCs/>
          <w:color w:val="000000"/>
          <w:sz w:val="28"/>
        </w:rPr>
        <w:t>a sākumā</w:t>
      </w:r>
      <w:r w:rsidRPr="00111352">
        <w:rPr>
          <w:bCs/>
          <w:color w:val="000000"/>
          <w:sz w:val="28"/>
        </w:rPr>
        <w:t xml:space="preserve"> kredītu ar maksājumu kavējumiem da</w:t>
      </w:r>
      <w:r>
        <w:rPr>
          <w:bCs/>
          <w:color w:val="000000"/>
          <w:sz w:val="28"/>
        </w:rPr>
        <w:t>ļa kopējā kredītportfelī turpināja</w:t>
      </w:r>
      <w:r w:rsidRPr="00111352">
        <w:rPr>
          <w:bCs/>
          <w:color w:val="000000"/>
          <w:sz w:val="28"/>
        </w:rPr>
        <w:t xml:space="preserve"> pieaugt, tomēr</w:t>
      </w:r>
      <w:r w:rsidR="00257C54">
        <w:rPr>
          <w:bCs/>
          <w:color w:val="000000"/>
          <w:sz w:val="28"/>
        </w:rPr>
        <w:t>,</w:t>
      </w:r>
      <w:r w:rsidRPr="00111352">
        <w:rPr>
          <w:bCs/>
          <w:color w:val="000000"/>
          <w:sz w:val="28"/>
        </w:rPr>
        <w:t xml:space="preserve"> salīdzinot ar iepriekšējo gadu</w:t>
      </w:r>
      <w:r>
        <w:rPr>
          <w:bCs/>
          <w:color w:val="000000"/>
          <w:sz w:val="28"/>
        </w:rPr>
        <w:t>,</w:t>
      </w:r>
      <w:r w:rsidRPr="00111352">
        <w:rPr>
          <w:bCs/>
          <w:color w:val="000000"/>
          <w:sz w:val="28"/>
        </w:rPr>
        <w:t xml:space="preserve"> situācija ir uzlabojusies. 2010.gada 3.ceturksnī kredīti ar maksājuma kavējumiem kopējā kredītportfelī pieauga </w:t>
      </w:r>
      <w:r>
        <w:rPr>
          <w:bCs/>
          <w:color w:val="000000"/>
          <w:sz w:val="28"/>
        </w:rPr>
        <w:t>līdz 28,6%. Lai gan s</w:t>
      </w:r>
      <w:r w:rsidRPr="00111352">
        <w:rPr>
          <w:bCs/>
          <w:color w:val="000000"/>
          <w:sz w:val="28"/>
        </w:rPr>
        <w:t>ituācija 2010.gada nogalē nedaudz uzlabojās, tomēr 2011.gada sākumā kredīti ar maksājuma kavējumiem atkal pieauga un 2011.gada 2.ceturksnī sasniedza 27,1%</w:t>
      </w:r>
      <w:r>
        <w:rPr>
          <w:bCs/>
          <w:color w:val="000000"/>
          <w:sz w:val="28"/>
        </w:rPr>
        <w:t xml:space="preserve"> no banku kredītportfeļa</w:t>
      </w:r>
      <w:r w:rsidRPr="00111352">
        <w:rPr>
          <w:bCs/>
          <w:color w:val="000000"/>
          <w:sz w:val="28"/>
        </w:rPr>
        <w:t>. 2011.gada 2.ceturksnī, salīdzinot ar iepriekšējo ceturksni, ir pieaudzis kredītu skait</w:t>
      </w:r>
      <w:r w:rsidR="00257C54">
        <w:rPr>
          <w:bCs/>
          <w:color w:val="000000"/>
          <w:sz w:val="28"/>
        </w:rPr>
        <w:t>s ar maksājumu kavējumu līdz 30 </w:t>
      </w:r>
      <w:r w:rsidRPr="00111352">
        <w:rPr>
          <w:bCs/>
          <w:color w:val="000000"/>
          <w:sz w:val="28"/>
        </w:rPr>
        <w:t>dienām (par 13</w:t>
      </w:r>
      <w:r w:rsidRPr="006A214D">
        <w:rPr>
          <w:bCs/>
          <w:color w:val="000000"/>
          <w:sz w:val="28"/>
        </w:rPr>
        <w:t xml:space="preserve">,7%). Sadalījumā pa tautsaimniecības nozarēm lielākais kredītu ar maksājumu kavējumu apmērs no kopējā nozarē izsniegto kredītu apmēra ir izmitināšanas un ēdināšanas pakalpojumu nozarē (37%), ieguves rūpniecības un karjeru izstrādē (33,8), operācijās ar nekustamo īpašumu (33,3%), būvniecības nozarē (32,5%) un izglītībā (31,4). 2011.gada 2.ceturkšņa beigās pārstrukturēto kredītu apjoms kopējā banku kredītportfelī bija 2,8 miljardi latu jeb 20,4%. Atgūšanas procesā esošo kredītu apjoms nedaudz samazinājās un 2011.gada 2.ceturksnī atgūšanas procesā esošo kredītu apjoms bija 2 miljardi latu jeb 14,4% no kopējā banku kredītportfeļa. No </w:t>
      </w:r>
      <w:r w:rsidRPr="006A214D">
        <w:rPr>
          <w:bCs/>
          <w:color w:val="000000"/>
          <w:sz w:val="28"/>
        </w:rPr>
        <w:lastRenderedPageBreak/>
        <w:t>pārstrukturēto un atgūšanas procesā esošā kredītu apjoma, lielāko daļu veido kredīti mikrouzņēmumiem un kredīti mājsaimniecībām patēriņa preču iegādei.</w:t>
      </w:r>
    </w:p>
    <w:p w:rsidR="000A1029" w:rsidRPr="00111352" w:rsidRDefault="000A1029" w:rsidP="000A1029">
      <w:pPr>
        <w:ind w:left="-142" w:firstLine="284"/>
        <w:jc w:val="both"/>
        <w:rPr>
          <w:sz w:val="10"/>
        </w:rPr>
      </w:pPr>
    </w:p>
    <w:p w:rsidR="000A1029" w:rsidRPr="00111352" w:rsidRDefault="000A1029" w:rsidP="000A1029">
      <w:pPr>
        <w:ind w:left="-142" w:firstLine="284"/>
        <w:jc w:val="both"/>
        <w:rPr>
          <w:sz w:val="28"/>
        </w:rPr>
      </w:pPr>
      <w:r w:rsidRPr="00111352">
        <w:rPr>
          <w:sz w:val="28"/>
        </w:rPr>
        <w:t>Latos izsniegto īstermiņa kredītu vidējā svērtā procentu likme 2011.gada 2.ceturksnī bija 6,8%, kas</w:t>
      </w:r>
      <w:r>
        <w:rPr>
          <w:sz w:val="28"/>
        </w:rPr>
        <w:t>,</w:t>
      </w:r>
      <w:r w:rsidRPr="00111352">
        <w:rPr>
          <w:sz w:val="28"/>
        </w:rPr>
        <w:t xml:space="preserve"> salīdzin</w:t>
      </w:r>
      <w:r w:rsidR="00257C54">
        <w:rPr>
          <w:sz w:val="28"/>
        </w:rPr>
        <w:t xml:space="preserve">ot </w:t>
      </w:r>
      <w:r w:rsidRPr="00111352">
        <w:rPr>
          <w:sz w:val="28"/>
        </w:rPr>
        <w:t>ar iepriekšējo ceturksni</w:t>
      </w:r>
      <w:r>
        <w:rPr>
          <w:sz w:val="28"/>
        </w:rPr>
        <w:t>,</w:t>
      </w:r>
      <w:r w:rsidRPr="00111352">
        <w:rPr>
          <w:sz w:val="28"/>
        </w:rPr>
        <w:t xml:space="preserve"> ir nedaudz pieaugusi. Latos izsniegto ilgtermiņa kredītu vidējā svērtā procentu likme 2011.gada 2.ceturksnī bija 10,3%, kas salīdzinājumā ar iepriekšējo ceturksni ir samazinājusies un ir viena no zemākajām pēdējo gadu laikā. Latos izsniegto īstermiņa un ilgtermiņa kredītu vidējās svērtās procentu likmes visaugstākās bija 2009.gada sākumā, attiecīgi īstermiņa kredītu vidējā svērtā procentu likme 2009.gada 2.ceturksnī bija 24,4%, bet ilgtermiņa kredītu vidējās svērtās procentu likmes 2009.gada 1.ceturksnī bija 17,8%. Ekonomiskai situācijai stabilizējoties, lata likmes ir pietuvinājušās eiro likmēm. Eiro izsniegtajiem kredītiem kā ierasts procentu likmju svārstības bija mazāk izteiktas. Eiro izsniegto īstermiņa kredītu vidējā svērtā procentu likme pēdējo 2 gadu laikā ir gandrīz nemainīga un 2011.gada 2.ceturksnī bija 4,2%. Eiro izsniegto ilgtermiņa kredītu vidējā svērtā procentu likme 2011.gada 1.ceturksnī un 2.ceturksnī bija 7</w:t>
      </w:r>
      <w:r w:rsidR="00EF5E76">
        <w:rPr>
          <w:sz w:val="28"/>
        </w:rPr>
        <w:t> procenti</w:t>
      </w:r>
      <w:r w:rsidRPr="00111352">
        <w:rPr>
          <w:sz w:val="28"/>
        </w:rPr>
        <w:t xml:space="preserve">. </w:t>
      </w:r>
    </w:p>
    <w:p w:rsidR="000A1029" w:rsidRPr="00111352" w:rsidRDefault="000A1029" w:rsidP="000A1029">
      <w:pPr>
        <w:numPr>
          <w:ilvl w:val="12"/>
          <w:numId w:val="0"/>
        </w:numPr>
        <w:ind w:left="-142" w:firstLine="284"/>
        <w:jc w:val="both"/>
        <w:rPr>
          <w:sz w:val="28"/>
        </w:rPr>
      </w:pPr>
    </w:p>
    <w:p w:rsidR="000A1029" w:rsidRPr="00111352" w:rsidRDefault="000A1029" w:rsidP="000A1029">
      <w:pPr>
        <w:numPr>
          <w:ilvl w:val="12"/>
          <w:numId w:val="0"/>
        </w:numPr>
        <w:ind w:left="-142" w:firstLine="284"/>
        <w:jc w:val="both"/>
        <w:rPr>
          <w:rStyle w:val="Heading2Char"/>
          <w:rFonts w:eastAsia="Times New Roman" w:cs="Times New Roman"/>
          <w:b w:val="0"/>
          <w:bCs w:val="0"/>
          <w:szCs w:val="28"/>
        </w:rPr>
      </w:pPr>
      <w:r w:rsidRPr="00111352">
        <w:rPr>
          <w:sz w:val="28"/>
        </w:rPr>
        <w:t>Nodaļas turpinājumā ir sniegti dati par valsts konsolidētā kopbudžeta finansiālajiem rādītājiem, nodokļu ieņēmumiem, izs</w:t>
      </w:r>
      <w:r w:rsidRPr="00111352">
        <w:rPr>
          <w:rFonts w:eastAsia="Times New Roman"/>
          <w:sz w:val="28"/>
        </w:rPr>
        <w:t xml:space="preserve">niegtajiem kredītiem, to struktūru un veidiem, kā arī izsniegto kredītu vidējās svērtās procentu likmes. </w:t>
      </w:r>
    </w:p>
    <w:p w:rsidR="00AE4A63" w:rsidRPr="009F6E8E" w:rsidRDefault="00163D2C" w:rsidP="00AE4A63">
      <w:pPr>
        <w:rPr>
          <w:b/>
        </w:rPr>
      </w:pPr>
      <w:r>
        <w:rPr>
          <w:rStyle w:val="Heading2Char"/>
          <w:b w:val="0"/>
        </w:rPr>
        <w:br w:type="page"/>
      </w:r>
      <w:bookmarkStart w:id="312" w:name="_Toc305421447"/>
      <w:r w:rsidR="00AE4A63" w:rsidRPr="00CD3CE6">
        <w:rPr>
          <w:rStyle w:val="Heading2Char"/>
          <w:b w:val="0"/>
        </w:rPr>
        <w:lastRenderedPageBreak/>
        <w:t>5.1.attēls.</w:t>
      </w:r>
      <w:r w:rsidR="00AE4A63" w:rsidRPr="009F6E8E">
        <w:rPr>
          <w:rStyle w:val="Heading2Char"/>
        </w:rPr>
        <w:t xml:space="preserve"> Valsts konsolidētā kopbudžeta finansiālie rādītāji</w:t>
      </w:r>
      <w:bookmarkEnd w:id="312"/>
      <w:r w:rsidR="00AE4A63" w:rsidRPr="009F6E8E">
        <w:t>, milj. latu</w:t>
      </w:r>
    </w:p>
    <w:p w:rsidR="00AE4A63" w:rsidRPr="009F6E8E" w:rsidRDefault="00AE4A63" w:rsidP="00AE4A63">
      <w:pPr>
        <w:jc w:val="center"/>
      </w:pPr>
      <w:r w:rsidRPr="009F6E8E">
        <w:rPr>
          <w:noProof/>
          <w:lang w:eastAsia="lv-LV"/>
        </w:rPr>
        <w:drawing>
          <wp:inline distT="0" distB="0" distL="0" distR="0">
            <wp:extent cx="6019800" cy="1943100"/>
            <wp:effectExtent l="0" t="0" r="0" b="0"/>
            <wp:docPr id="7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E4A63" w:rsidRPr="009F6E8E" w:rsidRDefault="00AE4A63" w:rsidP="00AE4A63">
      <w:pPr>
        <w:ind w:firstLine="567"/>
        <w:jc w:val="right"/>
        <w:rPr>
          <w:color w:val="000000"/>
          <w:sz w:val="8"/>
          <w:szCs w:val="12"/>
        </w:rPr>
      </w:pPr>
    </w:p>
    <w:p w:rsidR="00AE4A63" w:rsidRPr="009F6E8E" w:rsidRDefault="00AE4A63" w:rsidP="00AE4A63">
      <w:pPr>
        <w:spacing w:after="40"/>
      </w:pPr>
    </w:p>
    <w:p w:rsidR="006B3274" w:rsidRPr="00A30B6B" w:rsidRDefault="006B3274" w:rsidP="006B3274">
      <w:pPr>
        <w:pStyle w:val="Heading2"/>
      </w:pPr>
      <w:bookmarkStart w:id="313" w:name="_Toc216077871"/>
      <w:bookmarkStart w:id="314" w:name="_Toc216079540"/>
      <w:bookmarkStart w:id="315" w:name="_Toc216079608"/>
      <w:bookmarkStart w:id="316" w:name="_Toc216079670"/>
      <w:bookmarkStart w:id="317" w:name="_Toc216079726"/>
      <w:bookmarkStart w:id="318" w:name="_Toc216079782"/>
      <w:bookmarkStart w:id="319" w:name="_Toc216079838"/>
      <w:bookmarkStart w:id="320" w:name="_Toc305421448"/>
      <w:r w:rsidRPr="00A30B6B">
        <w:rPr>
          <w:b w:val="0"/>
        </w:rPr>
        <w:t>5.2.attēls.</w:t>
      </w:r>
      <w:r w:rsidRPr="00A30B6B">
        <w:t xml:space="preserve"> Nodokļu ieņēmumi</w:t>
      </w:r>
      <w:bookmarkEnd w:id="313"/>
      <w:bookmarkEnd w:id="314"/>
      <w:bookmarkEnd w:id="315"/>
      <w:bookmarkEnd w:id="316"/>
      <w:bookmarkEnd w:id="317"/>
      <w:bookmarkEnd w:id="318"/>
      <w:bookmarkEnd w:id="319"/>
      <w:bookmarkEnd w:id="320"/>
    </w:p>
    <w:tbl>
      <w:tblPr>
        <w:tblW w:w="0" w:type="auto"/>
        <w:tblLook w:val="01E0"/>
      </w:tblPr>
      <w:tblGrid>
        <w:gridCol w:w="4941"/>
        <w:gridCol w:w="4899"/>
      </w:tblGrid>
      <w:tr w:rsidR="006B3274" w:rsidRPr="00A30B6B" w:rsidTr="006B3274">
        <w:trPr>
          <w:trHeight w:val="282"/>
        </w:trPr>
        <w:tc>
          <w:tcPr>
            <w:tcW w:w="4941" w:type="dxa"/>
            <w:vAlign w:val="bottom"/>
          </w:tcPr>
          <w:p w:rsidR="006B3274" w:rsidRPr="00A30B6B" w:rsidRDefault="006B3274" w:rsidP="006B3274">
            <w:pPr>
              <w:tabs>
                <w:tab w:val="center" w:pos="2410"/>
              </w:tabs>
              <w:jc w:val="center"/>
              <w:rPr>
                <w:sz w:val="18"/>
                <w:szCs w:val="18"/>
              </w:rPr>
            </w:pPr>
            <w:r w:rsidRPr="00A30B6B">
              <w:rPr>
                <w:sz w:val="18"/>
                <w:szCs w:val="18"/>
              </w:rPr>
              <w:br w:type="page"/>
              <w:t>Nodokļu ieņēmumi kopā, milj. Ls</w:t>
            </w:r>
          </w:p>
        </w:tc>
        <w:tc>
          <w:tcPr>
            <w:tcW w:w="4899" w:type="dxa"/>
            <w:vAlign w:val="bottom"/>
          </w:tcPr>
          <w:p w:rsidR="006B3274" w:rsidRPr="00A30B6B" w:rsidRDefault="006B3274" w:rsidP="006B3274">
            <w:pPr>
              <w:tabs>
                <w:tab w:val="center" w:pos="2588"/>
              </w:tabs>
              <w:jc w:val="center"/>
              <w:rPr>
                <w:sz w:val="18"/>
                <w:szCs w:val="18"/>
              </w:rPr>
            </w:pPr>
            <w:r w:rsidRPr="00A30B6B">
              <w:rPr>
                <w:sz w:val="18"/>
                <w:szCs w:val="18"/>
              </w:rPr>
              <w:t>Pievienotās vērtības nodokļa ieņēmumi, milj. Ls</w:t>
            </w:r>
          </w:p>
        </w:tc>
      </w:tr>
      <w:tr w:rsidR="006B3274" w:rsidRPr="00A30B6B" w:rsidTr="006B3274">
        <w:trPr>
          <w:trHeight w:val="2560"/>
        </w:trPr>
        <w:tc>
          <w:tcPr>
            <w:tcW w:w="4941" w:type="dxa"/>
          </w:tcPr>
          <w:p w:rsidR="006B3274" w:rsidRPr="00A30B6B" w:rsidRDefault="006B3274" w:rsidP="006B3274">
            <w:r w:rsidRPr="00A30B6B">
              <w:rPr>
                <w:noProof/>
                <w:lang w:eastAsia="lv-LV"/>
              </w:rPr>
              <w:drawing>
                <wp:inline distT="0" distB="0" distL="0" distR="0">
                  <wp:extent cx="2878373" cy="1622066"/>
                  <wp:effectExtent l="0" t="0" r="0" b="0"/>
                  <wp:docPr id="10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4899" w:type="dxa"/>
          </w:tcPr>
          <w:p w:rsidR="006B3274" w:rsidRPr="00A30B6B" w:rsidRDefault="006B3274" w:rsidP="006B3274">
            <w:pPr>
              <w:ind w:firstLine="14"/>
            </w:pPr>
            <w:r w:rsidRPr="00A30B6B">
              <w:rPr>
                <w:noProof/>
                <w:lang w:eastAsia="lv-LV"/>
              </w:rPr>
              <w:drawing>
                <wp:inline distT="0" distB="0" distL="0" distR="0">
                  <wp:extent cx="2878373" cy="1622066"/>
                  <wp:effectExtent l="0" t="0" r="0" b="0"/>
                  <wp:docPr id="10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6B3274" w:rsidRPr="00A30B6B" w:rsidTr="006B3274">
        <w:trPr>
          <w:trHeight w:val="634"/>
        </w:trPr>
        <w:tc>
          <w:tcPr>
            <w:tcW w:w="4941" w:type="dxa"/>
            <w:vAlign w:val="bottom"/>
          </w:tcPr>
          <w:p w:rsidR="006B3274" w:rsidRPr="00A30B6B" w:rsidRDefault="006B3274" w:rsidP="006B3274">
            <w:pPr>
              <w:jc w:val="center"/>
              <w:rPr>
                <w:sz w:val="18"/>
                <w:szCs w:val="18"/>
              </w:rPr>
            </w:pPr>
            <w:r w:rsidRPr="00A30B6B">
              <w:rPr>
                <w:sz w:val="18"/>
                <w:szCs w:val="18"/>
              </w:rPr>
              <w:br w:type="page"/>
            </w:r>
          </w:p>
          <w:p w:rsidR="006B3274" w:rsidRPr="00A30B6B" w:rsidRDefault="006B3274" w:rsidP="006B3274">
            <w:pPr>
              <w:tabs>
                <w:tab w:val="center" w:pos="2552"/>
              </w:tabs>
              <w:jc w:val="center"/>
              <w:rPr>
                <w:sz w:val="18"/>
                <w:szCs w:val="18"/>
              </w:rPr>
            </w:pPr>
            <w:r w:rsidRPr="00A30B6B">
              <w:rPr>
                <w:sz w:val="18"/>
                <w:szCs w:val="18"/>
              </w:rPr>
              <w:t>Valsts sociālās apdrošināšanas obligātās iemaksas (neieskaitot valsts fondēto pensijas shēmu līdzekļus), milj. Ls</w:t>
            </w:r>
          </w:p>
        </w:tc>
        <w:tc>
          <w:tcPr>
            <w:tcW w:w="4899" w:type="dxa"/>
            <w:vAlign w:val="bottom"/>
          </w:tcPr>
          <w:p w:rsidR="006B3274" w:rsidRPr="00A30B6B" w:rsidRDefault="006B3274" w:rsidP="006B3274">
            <w:pPr>
              <w:ind w:firstLine="14"/>
              <w:jc w:val="center"/>
              <w:rPr>
                <w:sz w:val="18"/>
                <w:szCs w:val="18"/>
              </w:rPr>
            </w:pPr>
          </w:p>
          <w:p w:rsidR="006B3274" w:rsidRPr="00A30B6B" w:rsidRDefault="006B3274" w:rsidP="006B3274">
            <w:pPr>
              <w:tabs>
                <w:tab w:val="center" w:pos="2588"/>
              </w:tabs>
              <w:ind w:firstLine="14"/>
              <w:jc w:val="center"/>
              <w:rPr>
                <w:sz w:val="18"/>
                <w:szCs w:val="18"/>
              </w:rPr>
            </w:pPr>
            <w:r w:rsidRPr="00A30B6B">
              <w:rPr>
                <w:sz w:val="18"/>
                <w:szCs w:val="18"/>
              </w:rPr>
              <w:t>Iedzīvotāju ienākuma nodokļa ieņēmumi, milj. Ls</w:t>
            </w:r>
          </w:p>
        </w:tc>
      </w:tr>
      <w:tr w:rsidR="006B3274" w:rsidRPr="00A30B6B" w:rsidTr="006B3274">
        <w:trPr>
          <w:trHeight w:val="2580"/>
        </w:trPr>
        <w:tc>
          <w:tcPr>
            <w:tcW w:w="4941" w:type="dxa"/>
          </w:tcPr>
          <w:p w:rsidR="006B3274" w:rsidRPr="00A30B6B" w:rsidRDefault="006B3274" w:rsidP="006B3274">
            <w:r w:rsidRPr="00A30B6B">
              <w:rPr>
                <w:noProof/>
                <w:lang w:eastAsia="lv-LV"/>
              </w:rPr>
              <w:drawing>
                <wp:inline distT="0" distB="0" distL="0" distR="0">
                  <wp:extent cx="2878373" cy="1622066"/>
                  <wp:effectExtent l="0" t="0" r="0" b="0"/>
                  <wp:docPr id="10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4899" w:type="dxa"/>
          </w:tcPr>
          <w:p w:rsidR="006B3274" w:rsidRPr="00A30B6B" w:rsidRDefault="006B3274" w:rsidP="006B3274">
            <w:pPr>
              <w:ind w:firstLine="14"/>
            </w:pPr>
            <w:r w:rsidRPr="00A30B6B">
              <w:rPr>
                <w:noProof/>
                <w:lang w:eastAsia="lv-LV"/>
              </w:rPr>
              <w:drawing>
                <wp:inline distT="0" distB="0" distL="0" distR="0">
                  <wp:extent cx="2878373" cy="1622066"/>
                  <wp:effectExtent l="0" t="0" r="0" b="0"/>
                  <wp:docPr id="10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6B3274" w:rsidRPr="00A30B6B" w:rsidTr="006B3274">
        <w:trPr>
          <w:trHeight w:val="414"/>
        </w:trPr>
        <w:tc>
          <w:tcPr>
            <w:tcW w:w="4941" w:type="dxa"/>
            <w:vAlign w:val="bottom"/>
          </w:tcPr>
          <w:p w:rsidR="006B3274" w:rsidRPr="00A30B6B" w:rsidRDefault="006B3274" w:rsidP="006B3274">
            <w:pPr>
              <w:jc w:val="center"/>
              <w:rPr>
                <w:sz w:val="18"/>
                <w:szCs w:val="18"/>
              </w:rPr>
            </w:pPr>
            <w:r w:rsidRPr="00A30B6B">
              <w:rPr>
                <w:sz w:val="18"/>
                <w:szCs w:val="18"/>
              </w:rPr>
              <w:br w:type="page"/>
            </w:r>
          </w:p>
          <w:p w:rsidR="006B3274" w:rsidRPr="00A30B6B" w:rsidRDefault="006B3274" w:rsidP="006B3274">
            <w:pPr>
              <w:tabs>
                <w:tab w:val="center" w:pos="2552"/>
              </w:tabs>
              <w:jc w:val="center"/>
              <w:rPr>
                <w:sz w:val="18"/>
                <w:szCs w:val="18"/>
              </w:rPr>
            </w:pPr>
            <w:r w:rsidRPr="00A30B6B">
              <w:rPr>
                <w:sz w:val="18"/>
                <w:szCs w:val="18"/>
              </w:rPr>
              <w:t>Akcīzes nodokļa ieņēmumi, milj. Ls</w:t>
            </w:r>
          </w:p>
        </w:tc>
        <w:tc>
          <w:tcPr>
            <w:tcW w:w="4899" w:type="dxa"/>
            <w:vAlign w:val="bottom"/>
          </w:tcPr>
          <w:p w:rsidR="006B3274" w:rsidRPr="00A30B6B" w:rsidRDefault="006B3274" w:rsidP="006B3274">
            <w:pPr>
              <w:ind w:firstLine="14"/>
              <w:jc w:val="center"/>
              <w:rPr>
                <w:sz w:val="18"/>
                <w:szCs w:val="18"/>
              </w:rPr>
            </w:pPr>
          </w:p>
          <w:p w:rsidR="006B3274" w:rsidRPr="00A30B6B" w:rsidRDefault="006B3274" w:rsidP="006B3274">
            <w:pPr>
              <w:tabs>
                <w:tab w:val="center" w:pos="2588"/>
              </w:tabs>
              <w:ind w:firstLine="14"/>
              <w:jc w:val="center"/>
              <w:rPr>
                <w:sz w:val="18"/>
                <w:szCs w:val="18"/>
              </w:rPr>
            </w:pPr>
            <w:r w:rsidRPr="00A30B6B">
              <w:rPr>
                <w:sz w:val="18"/>
                <w:szCs w:val="18"/>
              </w:rPr>
              <w:t>Uzņēmumu ienākuma nodokļa ieņēmumi, milj. Ls</w:t>
            </w:r>
          </w:p>
        </w:tc>
      </w:tr>
      <w:tr w:rsidR="006B3274" w:rsidRPr="00A30B6B" w:rsidTr="006B3274">
        <w:trPr>
          <w:trHeight w:val="2693"/>
        </w:trPr>
        <w:tc>
          <w:tcPr>
            <w:tcW w:w="4941" w:type="dxa"/>
          </w:tcPr>
          <w:p w:rsidR="006B3274" w:rsidRPr="00A30B6B" w:rsidRDefault="006B3274" w:rsidP="006B3274">
            <w:r w:rsidRPr="00A30B6B">
              <w:rPr>
                <w:noProof/>
                <w:lang w:eastAsia="lv-LV"/>
              </w:rPr>
              <w:drawing>
                <wp:inline distT="0" distB="0" distL="0" distR="0">
                  <wp:extent cx="2878373" cy="1622066"/>
                  <wp:effectExtent l="0" t="0" r="0" b="0"/>
                  <wp:docPr id="11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4899" w:type="dxa"/>
          </w:tcPr>
          <w:p w:rsidR="006B3274" w:rsidRPr="00A30B6B" w:rsidRDefault="006B3274" w:rsidP="006B3274">
            <w:pPr>
              <w:ind w:firstLine="14"/>
            </w:pPr>
            <w:r w:rsidRPr="00A30B6B">
              <w:rPr>
                <w:noProof/>
                <w:lang w:eastAsia="lv-LV"/>
              </w:rPr>
              <w:drawing>
                <wp:inline distT="0" distB="0" distL="0" distR="0">
                  <wp:extent cx="2878373" cy="1622066"/>
                  <wp:effectExtent l="0" t="0" r="0" b="0"/>
                  <wp:docPr id="1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rsidR="00AE4A63" w:rsidRDefault="00AE4A63" w:rsidP="00AE4A63">
      <w:pPr>
        <w:rPr>
          <w:rFonts w:eastAsia="Times New Roman"/>
          <w:b/>
          <w:bCs/>
          <w:color w:val="000000"/>
          <w:szCs w:val="24"/>
        </w:rPr>
      </w:pPr>
    </w:p>
    <w:p w:rsidR="006B3274" w:rsidRDefault="006B3274" w:rsidP="00AE4A63">
      <w:pPr>
        <w:rPr>
          <w:rFonts w:eastAsia="Times New Roman"/>
          <w:b/>
          <w:bCs/>
          <w:color w:val="000000"/>
          <w:szCs w:val="24"/>
        </w:rPr>
      </w:pPr>
    </w:p>
    <w:p w:rsidR="006B3274" w:rsidRPr="00A30B6B" w:rsidRDefault="006B3274" w:rsidP="006B3274">
      <w:pPr>
        <w:pStyle w:val="Heading2"/>
        <w:spacing w:after="120"/>
        <w:ind w:left="-142" w:right="-285"/>
        <w:rPr>
          <w:rFonts w:eastAsia="Times New Roman"/>
        </w:rPr>
      </w:pPr>
      <w:bookmarkStart w:id="321" w:name="_Toc216077872"/>
      <w:bookmarkStart w:id="322" w:name="_Toc216079541"/>
      <w:bookmarkStart w:id="323" w:name="_Toc216079609"/>
      <w:bookmarkStart w:id="324" w:name="_Toc216079671"/>
      <w:bookmarkStart w:id="325" w:name="_Toc216079727"/>
      <w:bookmarkStart w:id="326" w:name="_Toc216079783"/>
      <w:bookmarkStart w:id="327" w:name="_Toc216079839"/>
      <w:bookmarkStart w:id="328" w:name="_Toc305421449"/>
      <w:r w:rsidRPr="00A30B6B">
        <w:rPr>
          <w:b w:val="0"/>
        </w:rPr>
        <w:lastRenderedPageBreak/>
        <w:t xml:space="preserve">5.3.attēls. </w:t>
      </w:r>
      <w:r w:rsidRPr="00A30B6B">
        <w:rPr>
          <w:rFonts w:eastAsia="Times New Roman"/>
        </w:rPr>
        <w:t>Rezidentu finanšu iestādēm, nefinanšu sabiedrībām un mājsaimniecībām izsniegtie kredīti</w:t>
      </w:r>
      <w:bookmarkEnd w:id="321"/>
      <w:bookmarkEnd w:id="322"/>
      <w:bookmarkEnd w:id="323"/>
      <w:bookmarkEnd w:id="324"/>
      <w:bookmarkEnd w:id="325"/>
      <w:bookmarkEnd w:id="326"/>
      <w:bookmarkEnd w:id="327"/>
      <w:bookmarkEnd w:id="328"/>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6B3274" w:rsidRPr="00A30B6B" w:rsidTr="006B3274">
        <w:trPr>
          <w:cnfStyle w:val="000000100000"/>
        </w:trPr>
        <w:tc>
          <w:tcPr>
            <w:tcW w:w="2500" w:type="pct"/>
            <w:shd w:val="clear" w:color="auto" w:fill="auto"/>
            <w:vAlign w:val="center"/>
          </w:tcPr>
          <w:p w:rsidR="006B3274" w:rsidRPr="00A30B6B" w:rsidRDefault="006B3274" w:rsidP="006B3274">
            <w:pPr>
              <w:jc w:val="center"/>
              <w:rPr>
                <w:sz w:val="18"/>
                <w:szCs w:val="18"/>
              </w:rPr>
            </w:pPr>
            <w:r w:rsidRPr="00A30B6B">
              <w:rPr>
                <w:color w:val="auto"/>
                <w:sz w:val="18"/>
                <w:szCs w:val="18"/>
              </w:rPr>
              <w:t>Izsniegtie kredīti kopā</w:t>
            </w:r>
          </w:p>
        </w:tc>
        <w:tc>
          <w:tcPr>
            <w:tcW w:w="2500" w:type="pct"/>
            <w:shd w:val="clear" w:color="auto" w:fill="auto"/>
            <w:vAlign w:val="center"/>
          </w:tcPr>
          <w:p w:rsidR="006B3274" w:rsidRPr="00A30B6B" w:rsidRDefault="006B3274" w:rsidP="006B3274">
            <w:pPr>
              <w:jc w:val="center"/>
              <w:rPr>
                <w:sz w:val="18"/>
                <w:szCs w:val="18"/>
              </w:rPr>
            </w:pPr>
            <w:r w:rsidRPr="00A30B6B">
              <w:rPr>
                <w:sz w:val="18"/>
                <w:szCs w:val="18"/>
              </w:rPr>
              <w:t>Izsniegto kredītu apjoms un struktūra,</w:t>
            </w:r>
          </w:p>
          <w:p w:rsidR="006B3274" w:rsidRPr="00A30B6B" w:rsidRDefault="006B3274" w:rsidP="006B3274">
            <w:pPr>
              <w:jc w:val="center"/>
              <w:rPr>
                <w:sz w:val="18"/>
                <w:szCs w:val="18"/>
              </w:rPr>
            </w:pPr>
            <w:r w:rsidRPr="00A30B6B">
              <w:rPr>
                <w:sz w:val="18"/>
                <w:szCs w:val="18"/>
              </w:rPr>
              <w:t>perioda beigās, milj. latu</w:t>
            </w:r>
          </w:p>
        </w:tc>
      </w:tr>
      <w:tr w:rsidR="006B3274" w:rsidRPr="00A30B6B" w:rsidTr="006B3274">
        <w:tc>
          <w:tcPr>
            <w:tcW w:w="2500" w:type="pct"/>
            <w:shd w:val="clear" w:color="auto" w:fill="auto"/>
            <w:vAlign w:val="center"/>
          </w:tcPr>
          <w:p w:rsidR="006B3274" w:rsidRPr="00A30B6B" w:rsidRDefault="006B3274" w:rsidP="006B3274">
            <w:pPr>
              <w:spacing w:after="60"/>
              <w:jc w:val="center"/>
              <w:rPr>
                <w:sz w:val="18"/>
                <w:szCs w:val="18"/>
              </w:rPr>
            </w:pPr>
            <w:r w:rsidRPr="00A30B6B">
              <w:rPr>
                <w:rFonts w:ascii="Garamond" w:hAnsi="Garamond"/>
                <w:noProof/>
                <w:sz w:val="21"/>
                <w:szCs w:val="21"/>
                <w:lang w:eastAsia="lv-LV"/>
              </w:rPr>
              <w:drawing>
                <wp:inline distT="0" distB="0" distL="0" distR="0">
                  <wp:extent cx="2915536" cy="1796902"/>
                  <wp:effectExtent l="19050" t="0" r="0" b="0"/>
                  <wp:docPr id="112"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2500" w:type="pct"/>
            <w:shd w:val="clear" w:color="auto" w:fill="auto"/>
            <w:vAlign w:val="center"/>
          </w:tcPr>
          <w:p w:rsidR="006B3274" w:rsidRPr="00A30B6B" w:rsidRDefault="006B3274" w:rsidP="006B3274">
            <w:pPr>
              <w:spacing w:after="60"/>
              <w:jc w:val="center"/>
              <w:rPr>
                <w:sz w:val="18"/>
                <w:szCs w:val="18"/>
              </w:rPr>
            </w:pPr>
            <w:r w:rsidRPr="00A30B6B">
              <w:rPr>
                <w:rFonts w:ascii="Garamond" w:hAnsi="Garamond"/>
                <w:noProof/>
                <w:sz w:val="21"/>
                <w:szCs w:val="21"/>
                <w:lang w:eastAsia="lv-LV"/>
              </w:rPr>
              <w:drawing>
                <wp:inline distT="0" distB="0" distL="0" distR="0">
                  <wp:extent cx="2878372" cy="1800000"/>
                  <wp:effectExtent l="0" t="0" r="0" b="0"/>
                  <wp:docPr id="113"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rsidR="006B3274" w:rsidRPr="00A30B6B" w:rsidRDefault="006B3274" w:rsidP="006B3274">
      <w:pPr>
        <w:rPr>
          <w:sz w:val="8"/>
          <w:szCs w:val="8"/>
        </w:rPr>
      </w:pP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6B3274" w:rsidRPr="00A30B6B" w:rsidTr="006B3274">
        <w:trPr>
          <w:cnfStyle w:val="000000100000"/>
        </w:trPr>
        <w:tc>
          <w:tcPr>
            <w:tcW w:w="5000" w:type="pct"/>
            <w:gridSpan w:val="2"/>
            <w:shd w:val="clear" w:color="auto" w:fill="auto"/>
            <w:vAlign w:val="center"/>
          </w:tcPr>
          <w:p w:rsidR="006B3274" w:rsidRPr="00A30B6B" w:rsidRDefault="006B3274" w:rsidP="006B3274">
            <w:pPr>
              <w:jc w:val="center"/>
              <w:rPr>
                <w:sz w:val="18"/>
                <w:szCs w:val="18"/>
              </w:rPr>
            </w:pPr>
            <w:r w:rsidRPr="00A30B6B">
              <w:rPr>
                <w:sz w:val="18"/>
                <w:szCs w:val="18"/>
              </w:rPr>
              <w:t>Izsniegtie kredīti pa to veidiem, izmaiņas % pret iepriekšējā gada atbilstošo ceturksni</w:t>
            </w:r>
          </w:p>
        </w:tc>
      </w:tr>
      <w:tr w:rsidR="006B3274" w:rsidRPr="00A30B6B" w:rsidTr="006B3274">
        <w:tc>
          <w:tcPr>
            <w:tcW w:w="2500" w:type="pct"/>
            <w:shd w:val="clear" w:color="auto" w:fill="auto"/>
            <w:vAlign w:val="center"/>
          </w:tcPr>
          <w:p w:rsidR="006B3274" w:rsidRPr="00A30B6B" w:rsidRDefault="006B3274" w:rsidP="006B3274">
            <w:pPr>
              <w:spacing w:after="60"/>
              <w:jc w:val="center"/>
              <w:rPr>
                <w:sz w:val="18"/>
                <w:szCs w:val="18"/>
              </w:rPr>
            </w:pPr>
            <w:r w:rsidRPr="00A30B6B">
              <w:rPr>
                <w:rFonts w:ascii="Garamond" w:hAnsi="Garamond"/>
                <w:b/>
                <w:noProof/>
                <w:sz w:val="21"/>
                <w:szCs w:val="21"/>
                <w:lang w:eastAsia="lv-LV"/>
              </w:rPr>
              <w:drawing>
                <wp:inline distT="0" distB="0" distL="0" distR="0">
                  <wp:extent cx="3116911" cy="1800000"/>
                  <wp:effectExtent l="0" t="0" r="0" b="0"/>
                  <wp:docPr id="114"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2500" w:type="pct"/>
            <w:shd w:val="clear" w:color="auto" w:fill="auto"/>
            <w:vAlign w:val="center"/>
          </w:tcPr>
          <w:p w:rsidR="006B3274" w:rsidRPr="00A30B6B" w:rsidRDefault="006B3274" w:rsidP="006B3274">
            <w:pPr>
              <w:spacing w:after="60"/>
              <w:jc w:val="center"/>
              <w:rPr>
                <w:sz w:val="18"/>
                <w:szCs w:val="18"/>
              </w:rPr>
            </w:pPr>
            <w:r w:rsidRPr="00A30B6B">
              <w:rPr>
                <w:rFonts w:ascii="Garamond" w:hAnsi="Garamond"/>
                <w:noProof/>
                <w:sz w:val="21"/>
                <w:szCs w:val="21"/>
                <w:lang w:eastAsia="lv-LV"/>
              </w:rPr>
              <w:drawing>
                <wp:inline distT="0" distB="0" distL="0" distR="0">
                  <wp:extent cx="2918129" cy="1800000"/>
                  <wp:effectExtent l="0" t="0" r="0" b="0"/>
                  <wp:docPr id="29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rsidR="006B3274" w:rsidRPr="00A30B6B" w:rsidRDefault="006B3274" w:rsidP="006B3274">
      <w:pPr>
        <w:rPr>
          <w:b/>
          <w:sz w:val="18"/>
          <w:szCs w:val="18"/>
        </w:rPr>
      </w:pPr>
    </w:p>
    <w:p w:rsidR="006B3274" w:rsidRPr="00A30B6B" w:rsidRDefault="006B3274" w:rsidP="006B3274">
      <w:pPr>
        <w:jc w:val="center"/>
        <w:rPr>
          <w:b/>
          <w:sz w:val="20"/>
          <w:szCs w:val="18"/>
        </w:rPr>
      </w:pPr>
      <w:r w:rsidRPr="00A30B6B">
        <w:rPr>
          <w:b/>
          <w:sz w:val="20"/>
          <w:szCs w:val="18"/>
        </w:rPr>
        <w:t>Kredīti rezidentiem sadalījumā pa tautsaimniecības nozarēm</w:t>
      </w:r>
    </w:p>
    <w:tbl>
      <w:tblPr>
        <w:tblStyle w:val="MediumList1-Accent6"/>
        <w:tblW w:w="5000" w:type="pct"/>
        <w:tblBorders>
          <w:top w:val="none" w:sz="0" w:space="0" w:color="auto"/>
          <w:bottom w:val="none" w:sz="0" w:space="0" w:color="auto"/>
        </w:tblBorders>
        <w:tblLayout w:type="fixed"/>
        <w:tblLook w:val="0400"/>
      </w:tblPr>
      <w:tblGrid>
        <w:gridCol w:w="4927"/>
        <w:gridCol w:w="4928"/>
      </w:tblGrid>
      <w:tr w:rsidR="006B3274" w:rsidRPr="00A30B6B" w:rsidTr="006B3274">
        <w:trPr>
          <w:cnfStyle w:val="000000100000"/>
        </w:trPr>
        <w:tc>
          <w:tcPr>
            <w:tcW w:w="2500" w:type="pct"/>
            <w:shd w:val="clear" w:color="auto" w:fill="auto"/>
            <w:vAlign w:val="center"/>
          </w:tcPr>
          <w:p w:rsidR="006B3274" w:rsidRPr="00A30B6B" w:rsidRDefault="006B3274" w:rsidP="006B3274">
            <w:pPr>
              <w:jc w:val="center"/>
              <w:rPr>
                <w:sz w:val="18"/>
                <w:szCs w:val="18"/>
              </w:rPr>
            </w:pPr>
            <w:r w:rsidRPr="00A30B6B">
              <w:rPr>
                <w:sz w:val="18"/>
                <w:szCs w:val="18"/>
              </w:rPr>
              <w:t>Izsniegto kredītu atlikumi perioda beigās, milj. latu</w:t>
            </w:r>
          </w:p>
          <w:p w:rsidR="006B3274" w:rsidRPr="00A30B6B" w:rsidRDefault="006B3274" w:rsidP="006B3274">
            <w:pPr>
              <w:jc w:val="center"/>
              <w:rPr>
                <w:sz w:val="18"/>
                <w:szCs w:val="18"/>
              </w:rPr>
            </w:pPr>
          </w:p>
        </w:tc>
        <w:tc>
          <w:tcPr>
            <w:tcW w:w="2500" w:type="pct"/>
            <w:shd w:val="clear" w:color="auto" w:fill="auto"/>
            <w:vAlign w:val="center"/>
          </w:tcPr>
          <w:p w:rsidR="006B3274" w:rsidRPr="00A30B6B" w:rsidRDefault="006B3274" w:rsidP="006B3274">
            <w:pPr>
              <w:jc w:val="center"/>
              <w:rPr>
                <w:sz w:val="18"/>
                <w:szCs w:val="18"/>
              </w:rPr>
            </w:pPr>
            <w:r w:rsidRPr="00A30B6B">
              <w:rPr>
                <w:sz w:val="18"/>
                <w:szCs w:val="18"/>
              </w:rPr>
              <w:t>Izsniegto kredītu atlikumu struktūra, %</w:t>
            </w:r>
          </w:p>
          <w:p w:rsidR="006B3274" w:rsidRPr="00A30B6B" w:rsidRDefault="006B3274" w:rsidP="006B3274">
            <w:pPr>
              <w:jc w:val="center"/>
              <w:rPr>
                <w:sz w:val="18"/>
                <w:szCs w:val="18"/>
              </w:rPr>
            </w:pPr>
            <w:r w:rsidRPr="00A30B6B">
              <w:rPr>
                <w:rFonts w:ascii="Garamond" w:hAnsi="Garamond"/>
                <w:sz w:val="18"/>
                <w:szCs w:val="18"/>
              </w:rPr>
              <w:t>(201</w:t>
            </w:r>
            <w:r>
              <w:rPr>
                <w:rFonts w:ascii="Garamond" w:hAnsi="Garamond"/>
                <w:sz w:val="18"/>
                <w:szCs w:val="18"/>
              </w:rPr>
              <w:t>1</w:t>
            </w:r>
            <w:r w:rsidRPr="00A30B6B">
              <w:rPr>
                <w:rFonts w:ascii="Garamond" w:hAnsi="Garamond"/>
                <w:sz w:val="18"/>
                <w:szCs w:val="18"/>
              </w:rPr>
              <w:t xml:space="preserve">.gada </w:t>
            </w:r>
            <w:r>
              <w:rPr>
                <w:rFonts w:ascii="Garamond" w:hAnsi="Garamond"/>
                <w:sz w:val="18"/>
                <w:szCs w:val="18"/>
              </w:rPr>
              <w:t>1</w:t>
            </w:r>
            <w:r w:rsidRPr="00A30B6B">
              <w:rPr>
                <w:rFonts w:ascii="Garamond" w:hAnsi="Garamond"/>
                <w:sz w:val="18"/>
                <w:szCs w:val="18"/>
              </w:rPr>
              <w:t>.ceturkšņa beigās)</w:t>
            </w:r>
          </w:p>
        </w:tc>
      </w:tr>
      <w:tr w:rsidR="006B3274" w:rsidRPr="00A30B6B" w:rsidTr="006B3274">
        <w:tc>
          <w:tcPr>
            <w:tcW w:w="2500" w:type="pct"/>
            <w:shd w:val="clear" w:color="auto" w:fill="auto"/>
            <w:vAlign w:val="center"/>
          </w:tcPr>
          <w:p w:rsidR="006B3274" w:rsidRPr="00A30B6B" w:rsidRDefault="006B3274" w:rsidP="006B3274">
            <w:pPr>
              <w:spacing w:after="60"/>
              <w:jc w:val="center"/>
              <w:rPr>
                <w:sz w:val="18"/>
                <w:szCs w:val="18"/>
              </w:rPr>
            </w:pPr>
            <w:r w:rsidRPr="00A30B6B">
              <w:rPr>
                <w:rFonts w:ascii="Garamond" w:hAnsi="Garamond"/>
                <w:noProof/>
                <w:color w:val="000000"/>
                <w:sz w:val="21"/>
                <w:szCs w:val="21"/>
                <w:lang w:eastAsia="lv-LV"/>
              </w:rPr>
              <w:drawing>
                <wp:inline distT="0" distB="0" distL="0" distR="0">
                  <wp:extent cx="2930884" cy="1796995"/>
                  <wp:effectExtent l="0" t="0" r="0" b="0"/>
                  <wp:docPr id="29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2500" w:type="pct"/>
            <w:shd w:val="clear" w:color="auto" w:fill="auto"/>
            <w:vAlign w:val="center"/>
          </w:tcPr>
          <w:p w:rsidR="006B3274" w:rsidRPr="00A30B6B" w:rsidRDefault="006B3274" w:rsidP="006B3274">
            <w:pPr>
              <w:spacing w:after="60"/>
              <w:jc w:val="center"/>
              <w:rPr>
                <w:sz w:val="18"/>
                <w:szCs w:val="18"/>
              </w:rPr>
            </w:pPr>
            <w:r w:rsidRPr="00A30B6B">
              <w:rPr>
                <w:noProof/>
                <w:sz w:val="18"/>
                <w:szCs w:val="18"/>
                <w:lang w:eastAsia="lv-LV"/>
              </w:rPr>
              <w:drawing>
                <wp:inline distT="0" distB="0" distL="0" distR="0">
                  <wp:extent cx="2592126" cy="1800000"/>
                  <wp:effectExtent l="0" t="0" r="0" b="0"/>
                  <wp:docPr id="33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bl>
    <w:p w:rsidR="006B3274" w:rsidRDefault="006B3274" w:rsidP="00AE4A63">
      <w:pPr>
        <w:rPr>
          <w:rFonts w:eastAsia="Times New Roman"/>
          <w:b/>
          <w:bCs/>
          <w:color w:val="000000"/>
          <w:szCs w:val="24"/>
        </w:rPr>
      </w:pPr>
    </w:p>
    <w:p w:rsidR="00AE4A63" w:rsidRPr="009F6E8E" w:rsidRDefault="00AE4A63" w:rsidP="00AE4A63">
      <w:pPr>
        <w:ind w:firstLine="567"/>
        <w:jc w:val="right"/>
        <w:rPr>
          <w:color w:val="000000"/>
          <w:sz w:val="8"/>
          <w:szCs w:val="12"/>
        </w:rPr>
      </w:pPr>
    </w:p>
    <w:p w:rsidR="006B3274" w:rsidRPr="00A30B6B" w:rsidRDefault="006B3274" w:rsidP="006B3274">
      <w:pPr>
        <w:pStyle w:val="Heading2"/>
        <w:rPr>
          <w:b w:val="0"/>
        </w:rPr>
      </w:pPr>
      <w:bookmarkStart w:id="329" w:name="_Toc274580837"/>
      <w:bookmarkStart w:id="330" w:name="_Toc305421450"/>
      <w:r w:rsidRPr="00A30B6B">
        <w:rPr>
          <w:b w:val="0"/>
        </w:rPr>
        <w:t>5.4.attēls.</w:t>
      </w:r>
      <w:r w:rsidRPr="00A30B6B">
        <w:t xml:space="preserve"> </w:t>
      </w:r>
      <w:r w:rsidRPr="00A30B6B">
        <w:rPr>
          <w:sz w:val="24"/>
          <w:szCs w:val="24"/>
        </w:rPr>
        <w:t>Vidējās svērtās % likmes izsniegtajiem kredītiem</w:t>
      </w:r>
      <w:r w:rsidRPr="00A30B6B">
        <w:rPr>
          <w:b w:val="0"/>
          <w:sz w:val="24"/>
          <w:szCs w:val="24"/>
        </w:rPr>
        <w:t xml:space="preserve">, </w:t>
      </w:r>
      <w:r w:rsidRPr="00A30B6B">
        <w:rPr>
          <w:b w:val="0"/>
          <w:sz w:val="22"/>
          <w:szCs w:val="22"/>
        </w:rPr>
        <w:t>(L</w:t>
      </w:r>
      <w:r w:rsidR="00257C54">
        <w:rPr>
          <w:b w:val="0"/>
          <w:sz w:val="22"/>
          <w:szCs w:val="22"/>
        </w:rPr>
        <w:t>VL</w:t>
      </w:r>
      <w:r w:rsidRPr="00A30B6B">
        <w:rPr>
          <w:b w:val="0"/>
          <w:sz w:val="22"/>
          <w:szCs w:val="22"/>
        </w:rPr>
        <w:t xml:space="preserve">; </w:t>
      </w:r>
      <w:smartTag w:uri="schemas-tilde-lv/tildestengine" w:element="currency2">
        <w:smartTagPr>
          <w:attr w:name="currency_id" w:val="16"/>
          <w:attr w:name="currency_key" w:val="EUR"/>
          <w:attr w:name="currency_value" w:val="1"/>
          <w:attr w:name="currency_text" w:val="EUR"/>
        </w:smartTagPr>
        <w:r w:rsidRPr="00A30B6B">
          <w:rPr>
            <w:b w:val="0"/>
            <w:sz w:val="22"/>
            <w:szCs w:val="22"/>
          </w:rPr>
          <w:t>EUR</w:t>
        </w:r>
      </w:smartTag>
      <w:r w:rsidRPr="00A30B6B">
        <w:rPr>
          <w:b w:val="0"/>
          <w:sz w:val="22"/>
          <w:szCs w:val="22"/>
        </w:rPr>
        <w:t>)</w:t>
      </w:r>
      <w:bookmarkEnd w:id="329"/>
      <w:bookmarkEnd w:id="330"/>
    </w:p>
    <w:p w:rsidR="006B3274" w:rsidRPr="00A30B6B" w:rsidRDefault="006B3274" w:rsidP="006B3274">
      <w:pPr>
        <w:jc w:val="center"/>
        <w:rPr>
          <w:rFonts w:eastAsia="Times New Roman"/>
          <w:sz w:val="8"/>
        </w:rPr>
      </w:pPr>
    </w:p>
    <w:p w:rsidR="006B3274" w:rsidRPr="00A30B6B" w:rsidRDefault="006B3274" w:rsidP="006B3274">
      <w:pPr>
        <w:tabs>
          <w:tab w:val="center" w:pos="2410"/>
          <w:tab w:val="center" w:pos="7513"/>
        </w:tabs>
        <w:rPr>
          <w:rFonts w:eastAsia="Times New Roman"/>
          <w:bCs/>
          <w:color w:val="000000"/>
          <w:sz w:val="18"/>
          <w:szCs w:val="18"/>
        </w:rPr>
      </w:pPr>
      <w:r w:rsidRPr="00A30B6B">
        <w:rPr>
          <w:rFonts w:eastAsia="Times New Roman"/>
          <w:bCs/>
          <w:color w:val="000000"/>
          <w:sz w:val="18"/>
          <w:szCs w:val="18"/>
        </w:rPr>
        <w:tab/>
        <w:t>Īstermiņa procentu likme</w:t>
      </w:r>
      <w:r w:rsidRPr="00A30B6B">
        <w:rPr>
          <w:rFonts w:eastAsia="Times New Roman"/>
          <w:bCs/>
          <w:color w:val="000000"/>
          <w:sz w:val="18"/>
          <w:szCs w:val="18"/>
        </w:rPr>
        <w:tab/>
        <w:t>Ilgtermiņa procentu likme</w:t>
      </w:r>
    </w:p>
    <w:tbl>
      <w:tblPr>
        <w:tblW w:w="0" w:type="auto"/>
        <w:tblLook w:val="01E0"/>
      </w:tblPr>
      <w:tblGrid>
        <w:gridCol w:w="4943"/>
        <w:gridCol w:w="4912"/>
      </w:tblGrid>
      <w:tr w:rsidR="006B3274" w:rsidRPr="00A30B6B" w:rsidTr="006B3274">
        <w:tc>
          <w:tcPr>
            <w:tcW w:w="4867" w:type="dxa"/>
          </w:tcPr>
          <w:p w:rsidR="006B3274" w:rsidRPr="00A30B6B" w:rsidRDefault="006B3274" w:rsidP="006B3274">
            <w:pPr>
              <w:rPr>
                <w:rFonts w:eastAsia="Times New Roman"/>
              </w:rPr>
            </w:pPr>
            <w:r w:rsidRPr="00A30B6B">
              <w:rPr>
                <w:rFonts w:eastAsia="Times New Roman"/>
                <w:noProof/>
                <w:sz w:val="20"/>
                <w:szCs w:val="20"/>
                <w:lang w:eastAsia="lv-LV"/>
              </w:rPr>
              <w:drawing>
                <wp:inline distT="0" distB="0" distL="0" distR="0">
                  <wp:extent cx="2989566" cy="1440000"/>
                  <wp:effectExtent l="19050" t="0" r="0" b="0"/>
                  <wp:docPr id="33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731" w:type="dxa"/>
          </w:tcPr>
          <w:p w:rsidR="006B3274" w:rsidRPr="00A30B6B" w:rsidRDefault="006B3274" w:rsidP="006B3274">
            <w:pPr>
              <w:rPr>
                <w:rFonts w:eastAsia="Times New Roman"/>
              </w:rPr>
            </w:pPr>
            <w:r w:rsidRPr="00A30B6B">
              <w:rPr>
                <w:rFonts w:eastAsia="Times New Roman"/>
                <w:noProof/>
                <w:color w:val="660033"/>
                <w:sz w:val="20"/>
                <w:szCs w:val="20"/>
                <w:lang w:eastAsia="lv-LV"/>
              </w:rPr>
              <w:drawing>
                <wp:inline distT="0" distB="0" distL="0" distR="0">
                  <wp:extent cx="2988000" cy="1491447"/>
                  <wp:effectExtent l="0" t="0" r="0" b="0"/>
                  <wp:docPr id="332"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rsidR="00AE4A63" w:rsidRPr="00163D2C" w:rsidRDefault="00AE4A63" w:rsidP="00AE4A63">
      <w:pPr>
        <w:rPr>
          <w:rStyle w:val="Heading2Char"/>
          <w:b w:val="0"/>
          <w:spacing w:val="-4"/>
          <w:sz w:val="12"/>
          <w:szCs w:val="22"/>
        </w:rPr>
      </w:pPr>
    </w:p>
    <w:bookmarkEnd w:id="304"/>
    <w:bookmarkEnd w:id="305"/>
    <w:bookmarkEnd w:id="306"/>
    <w:bookmarkEnd w:id="307"/>
    <w:bookmarkEnd w:id="308"/>
    <w:bookmarkEnd w:id="309"/>
    <w:bookmarkEnd w:id="310"/>
    <w:p w:rsidR="00BE41C7" w:rsidRPr="009F6E8E" w:rsidRDefault="00BE41C7" w:rsidP="00BE41C7">
      <w:pPr>
        <w:ind w:firstLine="567"/>
        <w:jc w:val="right"/>
        <w:rPr>
          <w:color w:val="000000"/>
          <w:sz w:val="8"/>
          <w:szCs w:val="12"/>
        </w:rPr>
      </w:pPr>
    </w:p>
    <w:p w:rsidR="00BE41C7" w:rsidRPr="009F6E8E" w:rsidRDefault="00CD3CE6" w:rsidP="00DA272A">
      <w:pPr>
        <w:pStyle w:val="Heading1"/>
        <w:ind w:firstLine="426"/>
      </w:pPr>
      <w:bookmarkStart w:id="331" w:name="_Toc216077875"/>
      <w:bookmarkStart w:id="332" w:name="_Toc216079544"/>
      <w:bookmarkStart w:id="333" w:name="_Toc216079612"/>
      <w:bookmarkStart w:id="334" w:name="_Toc216079674"/>
      <w:bookmarkStart w:id="335" w:name="_Toc216079730"/>
      <w:bookmarkStart w:id="336" w:name="_Toc216079786"/>
      <w:bookmarkStart w:id="337" w:name="_Toc216079842"/>
      <w:bookmarkStart w:id="338" w:name="_Toc305069155"/>
      <w:bookmarkStart w:id="339" w:name="_Toc305421451"/>
      <w:r>
        <w:t>6</w:t>
      </w:r>
      <w:r w:rsidR="00BE41C7" w:rsidRPr="009F6E8E">
        <w:t>. Darba tirgus</w:t>
      </w:r>
      <w:bookmarkEnd w:id="331"/>
      <w:bookmarkEnd w:id="332"/>
      <w:bookmarkEnd w:id="333"/>
      <w:bookmarkEnd w:id="334"/>
      <w:bookmarkEnd w:id="335"/>
      <w:bookmarkEnd w:id="336"/>
      <w:bookmarkEnd w:id="337"/>
      <w:bookmarkEnd w:id="338"/>
      <w:bookmarkEnd w:id="339"/>
    </w:p>
    <w:p w:rsidR="00A40CE2" w:rsidRPr="0007362E" w:rsidRDefault="00A40CE2" w:rsidP="00DA272A">
      <w:pPr>
        <w:spacing w:after="40"/>
        <w:ind w:firstLine="426"/>
        <w:jc w:val="both"/>
        <w:rPr>
          <w:sz w:val="8"/>
          <w:u w:val="single"/>
        </w:rPr>
      </w:pPr>
      <w:bookmarkStart w:id="340" w:name="_Toc216077876"/>
      <w:bookmarkStart w:id="341" w:name="_Toc216079545"/>
      <w:bookmarkStart w:id="342" w:name="_Toc216079613"/>
      <w:bookmarkStart w:id="343" w:name="_Toc216079675"/>
      <w:bookmarkStart w:id="344" w:name="_Toc216079731"/>
      <w:bookmarkStart w:id="345" w:name="_Toc216079787"/>
      <w:bookmarkStart w:id="346" w:name="_Toc216079843"/>
    </w:p>
    <w:bookmarkEnd w:id="340"/>
    <w:bookmarkEnd w:id="341"/>
    <w:bookmarkEnd w:id="342"/>
    <w:bookmarkEnd w:id="343"/>
    <w:bookmarkEnd w:id="344"/>
    <w:bookmarkEnd w:id="345"/>
    <w:bookmarkEnd w:id="346"/>
    <w:p w:rsidR="000A1029" w:rsidRPr="00A30B6B" w:rsidRDefault="000A1029" w:rsidP="00DA272A">
      <w:pPr>
        <w:spacing w:after="80"/>
        <w:ind w:firstLine="425"/>
        <w:jc w:val="both"/>
        <w:rPr>
          <w:sz w:val="28"/>
          <w:u w:val="single"/>
        </w:rPr>
      </w:pPr>
      <w:r w:rsidRPr="00A30B6B">
        <w:rPr>
          <w:sz w:val="28"/>
          <w:u w:val="single"/>
        </w:rPr>
        <w:t>Nodarbinātība un bezdarbs</w:t>
      </w:r>
    </w:p>
    <w:p w:rsidR="000A1029" w:rsidRDefault="000A1029" w:rsidP="00DA272A">
      <w:pPr>
        <w:ind w:firstLine="426"/>
        <w:jc w:val="both"/>
        <w:rPr>
          <w:sz w:val="28"/>
        </w:rPr>
      </w:pPr>
      <w:r>
        <w:rPr>
          <w:sz w:val="28"/>
        </w:rPr>
        <w:t>D</w:t>
      </w:r>
      <w:r w:rsidRPr="00A30B6B">
        <w:rPr>
          <w:sz w:val="28"/>
        </w:rPr>
        <w:t>arba tirgū</w:t>
      </w:r>
      <w:r>
        <w:rPr>
          <w:sz w:val="28"/>
        </w:rPr>
        <w:t xml:space="preserve"> zemākais punkts bija </w:t>
      </w:r>
      <w:r w:rsidRPr="00A30B6B">
        <w:rPr>
          <w:sz w:val="28"/>
        </w:rPr>
        <w:t>2010.gada 1.ceturksnī</w:t>
      </w:r>
      <w:r>
        <w:rPr>
          <w:sz w:val="28"/>
        </w:rPr>
        <w:t>, kad nodarbināti bija 916 </w:t>
      </w:r>
      <w:r w:rsidRPr="00A30B6B">
        <w:rPr>
          <w:sz w:val="28"/>
        </w:rPr>
        <w:t>tūkstoši</w:t>
      </w:r>
      <w:r>
        <w:rPr>
          <w:sz w:val="28"/>
        </w:rPr>
        <w:t xml:space="preserve"> un bezdarba līmenis sasniedza 20,5%. Kopš </w:t>
      </w:r>
      <w:r w:rsidRPr="00A30B6B">
        <w:rPr>
          <w:sz w:val="28"/>
        </w:rPr>
        <w:t xml:space="preserve">2010.gada </w:t>
      </w:r>
      <w:r w:rsidR="007C6B3C">
        <w:rPr>
          <w:sz w:val="28"/>
        </w:rPr>
        <w:t>sākuma</w:t>
      </w:r>
      <w:r w:rsidRPr="00A30B6B">
        <w:rPr>
          <w:sz w:val="28"/>
        </w:rPr>
        <w:t xml:space="preserve"> situācija darba tirgū lēnām uzlaboj</w:t>
      </w:r>
      <w:r w:rsidR="007C6B3C">
        <w:rPr>
          <w:sz w:val="28"/>
        </w:rPr>
        <w:t>a</w:t>
      </w:r>
      <w:r w:rsidRPr="00A30B6B">
        <w:rPr>
          <w:sz w:val="28"/>
        </w:rPr>
        <w:t>s – palielinās nodarbināto un ekonomiski aktīvo iedzīvotāju skaits, pakāpeniski mazinās bezdarbs.</w:t>
      </w:r>
    </w:p>
    <w:p w:rsidR="000A1029" w:rsidRDefault="000A1029" w:rsidP="00DA272A">
      <w:pPr>
        <w:ind w:firstLine="426"/>
        <w:jc w:val="both"/>
        <w:rPr>
          <w:sz w:val="28"/>
        </w:rPr>
      </w:pPr>
      <w:r>
        <w:rPr>
          <w:sz w:val="28"/>
        </w:rPr>
        <w:t>2011.gada 2</w:t>
      </w:r>
      <w:r w:rsidRPr="00A30B6B">
        <w:rPr>
          <w:sz w:val="28"/>
        </w:rPr>
        <w:t>.ceturksnī, salīdzinot ar iepriekšējā gada attiecīgo periodu, nodarbināto iedzīvotāju skaits vecuma grupā no 1</w:t>
      </w:r>
      <w:r>
        <w:rPr>
          <w:sz w:val="28"/>
        </w:rPr>
        <w:t>5-74 gadiem palielinājās par 3,3</w:t>
      </w:r>
      <w:r w:rsidRPr="00A30B6B">
        <w:rPr>
          <w:sz w:val="28"/>
        </w:rPr>
        <w:t>%</w:t>
      </w:r>
      <w:r>
        <w:rPr>
          <w:sz w:val="28"/>
        </w:rPr>
        <w:t xml:space="preserve"> (30,6 tūkst.) un bija 966</w:t>
      </w:r>
      <w:r w:rsidRPr="00A30B6B">
        <w:rPr>
          <w:sz w:val="28"/>
        </w:rPr>
        <w:t>,3</w:t>
      </w:r>
      <w:r>
        <w:rPr>
          <w:sz w:val="28"/>
        </w:rPr>
        <w:t> tūkstoši</w:t>
      </w:r>
      <w:r w:rsidRPr="00A30B6B">
        <w:rPr>
          <w:sz w:val="28"/>
        </w:rPr>
        <w:t xml:space="preserve">. </w:t>
      </w:r>
      <w:r>
        <w:rPr>
          <w:sz w:val="28"/>
        </w:rPr>
        <w:t>Tajā pašā laikā</w:t>
      </w:r>
      <w:r w:rsidR="001D062A">
        <w:rPr>
          <w:sz w:val="28"/>
        </w:rPr>
        <w:t xml:space="preserve"> nedaudz samazinājās</w:t>
      </w:r>
      <w:r>
        <w:rPr>
          <w:sz w:val="28"/>
        </w:rPr>
        <w:t xml:space="preserve"> </w:t>
      </w:r>
      <w:r w:rsidRPr="00A30B6B">
        <w:rPr>
          <w:sz w:val="28"/>
        </w:rPr>
        <w:t>ekonomiski akt</w:t>
      </w:r>
      <w:r>
        <w:rPr>
          <w:sz w:val="28"/>
        </w:rPr>
        <w:t>īvo iedzīvotāju skaits bija 1153,4</w:t>
      </w:r>
      <w:r w:rsidRPr="00A30B6B">
        <w:rPr>
          <w:sz w:val="28"/>
        </w:rPr>
        <w:t> tūkstoši,</w:t>
      </w:r>
      <w:r w:rsidR="001D062A">
        <w:rPr>
          <w:sz w:val="28"/>
        </w:rPr>
        <w:t xml:space="preserve"> jeb par</w:t>
      </w:r>
      <w:r w:rsidR="001A5EAD">
        <w:rPr>
          <w:sz w:val="28"/>
        </w:rPr>
        <w:t xml:space="preserve"> </w:t>
      </w:r>
      <w:r w:rsidR="001D062A">
        <w:rPr>
          <w:sz w:val="28"/>
        </w:rPr>
        <w:t>0,7% mazāk</w:t>
      </w:r>
      <w:r w:rsidR="001D062A" w:rsidRPr="00A30B6B">
        <w:rPr>
          <w:sz w:val="28"/>
        </w:rPr>
        <w:t xml:space="preserve"> </w:t>
      </w:r>
      <w:r w:rsidR="001D062A">
        <w:rPr>
          <w:sz w:val="28"/>
        </w:rPr>
        <w:t xml:space="preserve">nekā </w:t>
      </w:r>
      <w:r>
        <w:rPr>
          <w:sz w:val="28"/>
        </w:rPr>
        <w:t>2010.</w:t>
      </w:r>
      <w:r w:rsidRPr="00A30B6B">
        <w:rPr>
          <w:sz w:val="28"/>
        </w:rPr>
        <w:t>gada</w:t>
      </w:r>
      <w:r>
        <w:rPr>
          <w:sz w:val="28"/>
        </w:rPr>
        <w:t xml:space="preserve"> 2.ceturksn</w:t>
      </w:r>
      <w:r w:rsidR="001D062A">
        <w:rPr>
          <w:sz w:val="28"/>
        </w:rPr>
        <w:t>ī.</w:t>
      </w:r>
      <w:r>
        <w:rPr>
          <w:sz w:val="28"/>
        </w:rPr>
        <w:t xml:space="preserve"> </w:t>
      </w:r>
      <w:r w:rsidRPr="00A30B6B">
        <w:rPr>
          <w:sz w:val="28"/>
        </w:rPr>
        <w:t>Saskaņā ar darbaspēka apsekojuma datiem, bezdarba līmenis 201</w:t>
      </w:r>
      <w:r>
        <w:rPr>
          <w:sz w:val="28"/>
        </w:rPr>
        <w:t>1</w:t>
      </w:r>
      <w:r w:rsidRPr="00A30B6B">
        <w:rPr>
          <w:sz w:val="28"/>
        </w:rPr>
        <w:t xml:space="preserve">.gada </w:t>
      </w:r>
      <w:r>
        <w:rPr>
          <w:sz w:val="28"/>
        </w:rPr>
        <w:t>2</w:t>
      </w:r>
      <w:r w:rsidRPr="00A30B6B">
        <w:rPr>
          <w:sz w:val="28"/>
        </w:rPr>
        <w:t>.ceturksnī samazinājās līdz 16,</w:t>
      </w:r>
      <w:r>
        <w:rPr>
          <w:sz w:val="28"/>
        </w:rPr>
        <w:t>2</w:t>
      </w:r>
      <w:r w:rsidRPr="00A30B6B">
        <w:rPr>
          <w:sz w:val="28"/>
        </w:rPr>
        <w:t>%</w:t>
      </w:r>
      <w:r>
        <w:rPr>
          <w:sz w:val="28"/>
        </w:rPr>
        <w:t xml:space="preserve">, kas ir par </w:t>
      </w:r>
      <w:r w:rsidR="00120F26">
        <w:rPr>
          <w:sz w:val="28"/>
        </w:rPr>
        <w:t>3,2</w:t>
      </w:r>
      <w:r>
        <w:rPr>
          <w:sz w:val="28"/>
        </w:rPr>
        <w:t xml:space="preserve"> procentpunktiem mazāk nekā pirms gada</w:t>
      </w:r>
      <w:r w:rsidR="00120F26">
        <w:rPr>
          <w:sz w:val="28"/>
        </w:rPr>
        <w:t>.</w:t>
      </w:r>
    </w:p>
    <w:p w:rsidR="000A1029" w:rsidRPr="00A30B6B" w:rsidRDefault="000A1029" w:rsidP="00DA272A">
      <w:pPr>
        <w:ind w:firstLine="426"/>
        <w:jc w:val="both"/>
        <w:rPr>
          <w:sz w:val="28"/>
        </w:rPr>
      </w:pPr>
      <w:r w:rsidRPr="00A30B6B">
        <w:rPr>
          <w:sz w:val="28"/>
        </w:rPr>
        <w:t>Kopš 2010.gada marta pakāpeniski mazinās arī reģistrētā bezdarba līmenis</w:t>
      </w:r>
      <w:r>
        <w:rPr>
          <w:sz w:val="28"/>
        </w:rPr>
        <w:t xml:space="preserve">. Līdz </w:t>
      </w:r>
      <w:r w:rsidRPr="00A30B6B">
        <w:rPr>
          <w:sz w:val="28"/>
        </w:rPr>
        <w:t xml:space="preserve">2011.gada </w:t>
      </w:r>
      <w:r>
        <w:rPr>
          <w:sz w:val="28"/>
        </w:rPr>
        <w:t>augusta</w:t>
      </w:r>
      <w:r w:rsidRPr="00A30B6B">
        <w:rPr>
          <w:sz w:val="28"/>
        </w:rPr>
        <w:t xml:space="preserve"> </w:t>
      </w:r>
      <w:r>
        <w:rPr>
          <w:sz w:val="28"/>
        </w:rPr>
        <w:t xml:space="preserve">beigām </w:t>
      </w:r>
      <w:r w:rsidRPr="00A30B6B">
        <w:rPr>
          <w:sz w:val="28"/>
        </w:rPr>
        <w:t xml:space="preserve">reģistrētā bezdarba līmenis </w:t>
      </w:r>
      <w:r>
        <w:rPr>
          <w:sz w:val="28"/>
        </w:rPr>
        <w:t>saruka līdz 11</w:t>
      </w:r>
      <w:r w:rsidRPr="00A30B6B">
        <w:rPr>
          <w:sz w:val="28"/>
        </w:rPr>
        <w:t>,</w:t>
      </w:r>
      <w:r>
        <w:rPr>
          <w:sz w:val="28"/>
        </w:rPr>
        <w:t>8</w:t>
      </w:r>
      <w:r w:rsidRPr="00A30B6B">
        <w:rPr>
          <w:sz w:val="28"/>
        </w:rPr>
        <w:t xml:space="preserve">% jeb </w:t>
      </w:r>
      <w:r>
        <w:rPr>
          <w:sz w:val="28"/>
        </w:rPr>
        <w:t>134,2</w:t>
      </w:r>
      <w:r w:rsidR="00F73E6B">
        <w:rPr>
          <w:sz w:val="28"/>
        </w:rPr>
        <w:t> </w:t>
      </w:r>
      <w:r w:rsidRPr="00A30B6B">
        <w:rPr>
          <w:sz w:val="28"/>
        </w:rPr>
        <w:t>tūkstoši</w:t>
      </w:r>
      <w:r>
        <w:rPr>
          <w:sz w:val="28"/>
        </w:rPr>
        <w:t>em</w:t>
      </w:r>
      <w:r w:rsidRPr="00A30B6B">
        <w:rPr>
          <w:sz w:val="28"/>
        </w:rPr>
        <w:t xml:space="preserve"> bezdarbnieku, kas ir zemākais reģistrētā bezdarba rādītājs kopš </w:t>
      </w:r>
      <w:r w:rsidR="007C6B3C">
        <w:rPr>
          <w:sz w:val="28"/>
        </w:rPr>
        <w:t>2009.gada vidus</w:t>
      </w:r>
      <w:r w:rsidRPr="00A30B6B">
        <w:rPr>
          <w:sz w:val="28"/>
        </w:rPr>
        <w:t xml:space="preserve">. Augstākais reģistrētais bezdarba līmenis 2011.gada </w:t>
      </w:r>
      <w:r>
        <w:rPr>
          <w:sz w:val="28"/>
        </w:rPr>
        <w:t>augusta</w:t>
      </w:r>
      <w:r w:rsidRPr="00A30B6B">
        <w:rPr>
          <w:sz w:val="28"/>
        </w:rPr>
        <w:t xml:space="preserve"> beigās bija Latgales reģionā (2</w:t>
      </w:r>
      <w:r>
        <w:rPr>
          <w:sz w:val="28"/>
        </w:rPr>
        <w:t>0%), bet zemākais – Rīgā (8</w:t>
      </w:r>
      <w:r w:rsidRPr="00A30B6B">
        <w:rPr>
          <w:sz w:val="28"/>
        </w:rPr>
        <w:t>,</w:t>
      </w:r>
      <w:r>
        <w:rPr>
          <w:sz w:val="28"/>
        </w:rPr>
        <w:t>8</w:t>
      </w:r>
      <w:r w:rsidRPr="00A30B6B">
        <w:rPr>
          <w:sz w:val="28"/>
        </w:rPr>
        <w:t>%).</w:t>
      </w:r>
    </w:p>
    <w:p w:rsidR="000A1029" w:rsidRDefault="007C6B3C" w:rsidP="00DA272A">
      <w:pPr>
        <w:ind w:firstLine="426"/>
        <w:jc w:val="both"/>
        <w:rPr>
          <w:sz w:val="28"/>
        </w:rPr>
      </w:pPr>
      <w:r>
        <w:rPr>
          <w:sz w:val="28"/>
        </w:rPr>
        <w:t>Kopš 2010.gada sākuma palielinājās r</w:t>
      </w:r>
      <w:r w:rsidR="000A1029">
        <w:rPr>
          <w:sz w:val="28"/>
        </w:rPr>
        <w:t>eģistrēto brīvo darbavietu skait</w:t>
      </w:r>
      <w:r>
        <w:rPr>
          <w:sz w:val="28"/>
        </w:rPr>
        <w:t>s un 2010.</w:t>
      </w:r>
      <w:r w:rsidR="000A1029">
        <w:rPr>
          <w:sz w:val="28"/>
        </w:rPr>
        <w:t xml:space="preserve">gada augustā beigās </w:t>
      </w:r>
      <w:r w:rsidR="00F73E6B">
        <w:rPr>
          <w:sz w:val="28"/>
        </w:rPr>
        <w:t>to skaits</w:t>
      </w:r>
      <w:r w:rsidR="000A1029" w:rsidRPr="00A30B6B">
        <w:rPr>
          <w:sz w:val="28"/>
        </w:rPr>
        <w:t xml:space="preserve"> </w:t>
      </w:r>
      <w:r w:rsidR="000A1029">
        <w:rPr>
          <w:sz w:val="28"/>
        </w:rPr>
        <w:t>sasniedza 3,6 tūkstošus. M</w:t>
      </w:r>
      <w:r w:rsidR="000A1029" w:rsidRPr="00A30B6B">
        <w:rPr>
          <w:sz w:val="28"/>
        </w:rPr>
        <w:t xml:space="preserve">azinoties sezonālā rakstura </w:t>
      </w:r>
      <w:r w:rsidR="000A1029">
        <w:rPr>
          <w:sz w:val="28"/>
        </w:rPr>
        <w:t>darbiem</w:t>
      </w:r>
      <w:r w:rsidR="000A1029" w:rsidRPr="00A30B6B">
        <w:rPr>
          <w:sz w:val="28"/>
        </w:rPr>
        <w:t xml:space="preserve">, </w:t>
      </w:r>
      <w:r w:rsidR="000A1029">
        <w:rPr>
          <w:sz w:val="28"/>
        </w:rPr>
        <w:t>laika periodā no 2010.gada septembra līdz 2011.gada februārim, brīvo darbavietu skaits samazinājās. Sākot ar 2011.gada martu</w:t>
      </w:r>
      <w:r w:rsidR="00120F26">
        <w:rPr>
          <w:sz w:val="28"/>
        </w:rPr>
        <w:t>,</w:t>
      </w:r>
      <w:r w:rsidR="000A1029">
        <w:rPr>
          <w:sz w:val="28"/>
        </w:rPr>
        <w:t xml:space="preserve"> brīvo darbavietu skaits atkal pieaug un augusta </w:t>
      </w:r>
      <w:r w:rsidR="000A1029" w:rsidRPr="00A30B6B">
        <w:rPr>
          <w:sz w:val="28"/>
        </w:rPr>
        <w:t xml:space="preserve">beigās </w:t>
      </w:r>
      <w:r w:rsidR="000A1029">
        <w:rPr>
          <w:sz w:val="28"/>
        </w:rPr>
        <w:t>veidoja 4</w:t>
      </w:r>
      <w:r w:rsidR="00F73E6B">
        <w:rPr>
          <w:sz w:val="28"/>
        </w:rPr>
        <w:t>,</w:t>
      </w:r>
      <w:r w:rsidR="000A1029">
        <w:rPr>
          <w:sz w:val="28"/>
        </w:rPr>
        <w:t>5 tūkstošus.</w:t>
      </w:r>
    </w:p>
    <w:p w:rsidR="000A1029" w:rsidRPr="00A30B6B" w:rsidRDefault="000A1029" w:rsidP="00DA272A">
      <w:pPr>
        <w:ind w:firstLine="426"/>
        <w:jc w:val="both"/>
        <w:rPr>
          <w:sz w:val="16"/>
        </w:rPr>
      </w:pPr>
    </w:p>
    <w:p w:rsidR="000A1029" w:rsidRPr="00A30B6B" w:rsidRDefault="000A1029" w:rsidP="00DA272A">
      <w:pPr>
        <w:spacing w:after="80"/>
        <w:ind w:firstLine="425"/>
        <w:jc w:val="both"/>
        <w:rPr>
          <w:sz w:val="28"/>
          <w:u w:val="single"/>
        </w:rPr>
      </w:pPr>
      <w:r w:rsidRPr="00A30B6B">
        <w:rPr>
          <w:sz w:val="28"/>
          <w:u w:val="single"/>
        </w:rPr>
        <w:t>Iedzīvotāju ienākumi</w:t>
      </w:r>
    </w:p>
    <w:p w:rsidR="000A1029" w:rsidRDefault="000A1029" w:rsidP="00DA272A">
      <w:pPr>
        <w:ind w:firstLine="426"/>
        <w:jc w:val="both"/>
        <w:rPr>
          <w:sz w:val="28"/>
        </w:rPr>
      </w:pPr>
      <w:r w:rsidRPr="00A30B6B">
        <w:rPr>
          <w:sz w:val="28"/>
        </w:rPr>
        <w:t>2010.gadā tautsaimniecībā vidējā</w:t>
      </w:r>
      <w:r w:rsidR="00F73E6B">
        <w:rPr>
          <w:sz w:val="28"/>
        </w:rPr>
        <w:t>s</w:t>
      </w:r>
      <w:r w:rsidRPr="00A30B6B">
        <w:rPr>
          <w:sz w:val="28"/>
        </w:rPr>
        <w:t xml:space="preserve"> bruto darba alga</w:t>
      </w:r>
      <w:r w:rsidR="00F73E6B">
        <w:rPr>
          <w:sz w:val="28"/>
        </w:rPr>
        <w:t>s apmērs</w:t>
      </w:r>
      <w:r w:rsidRPr="00A30B6B">
        <w:rPr>
          <w:sz w:val="28"/>
        </w:rPr>
        <w:t xml:space="preserve"> </w:t>
      </w:r>
      <w:r w:rsidR="00F73E6B">
        <w:rPr>
          <w:sz w:val="28"/>
        </w:rPr>
        <w:t>bija</w:t>
      </w:r>
      <w:r w:rsidRPr="00A30B6B">
        <w:rPr>
          <w:sz w:val="28"/>
        </w:rPr>
        <w:t xml:space="preserve"> 445 lati, kas bija par 3,5% mazāk nekā 2009.gadā.</w:t>
      </w:r>
      <w:r>
        <w:rPr>
          <w:sz w:val="28"/>
        </w:rPr>
        <w:t xml:space="preserve"> </w:t>
      </w:r>
      <w:r w:rsidRPr="00A30B6B">
        <w:rPr>
          <w:sz w:val="28"/>
        </w:rPr>
        <w:t>2010.gadā sabiedriskajā sektorā strādājošo algas samazinājās straujāk nekā privātajā sektorā (attiecīgi par 6,8% un 1,4%)</w:t>
      </w:r>
      <w:r>
        <w:rPr>
          <w:sz w:val="28"/>
        </w:rPr>
        <w:t>.</w:t>
      </w:r>
    </w:p>
    <w:p w:rsidR="000A1029" w:rsidRDefault="000A1029" w:rsidP="00DA272A">
      <w:pPr>
        <w:ind w:firstLine="426"/>
        <w:jc w:val="both"/>
        <w:rPr>
          <w:sz w:val="28"/>
        </w:rPr>
      </w:pPr>
      <w:r>
        <w:rPr>
          <w:sz w:val="28"/>
        </w:rPr>
        <w:t>Sākot ar 2010.gada beigām</w:t>
      </w:r>
      <w:r w:rsidR="001D062A">
        <w:rPr>
          <w:sz w:val="28"/>
        </w:rPr>
        <w:t>,</w:t>
      </w:r>
      <w:r>
        <w:rPr>
          <w:sz w:val="28"/>
        </w:rPr>
        <w:t xml:space="preserve"> vidējais atalgojums pakāpeniski palielinās. 2011.gada 2</w:t>
      </w:r>
      <w:r w:rsidRPr="00A30B6B">
        <w:rPr>
          <w:sz w:val="28"/>
        </w:rPr>
        <w:t xml:space="preserve">.ceturksnī </w:t>
      </w:r>
      <w:r>
        <w:rPr>
          <w:sz w:val="28"/>
        </w:rPr>
        <w:t xml:space="preserve">bruto </w:t>
      </w:r>
      <w:r w:rsidRPr="00A30B6B">
        <w:rPr>
          <w:sz w:val="28"/>
        </w:rPr>
        <w:t xml:space="preserve">darba </w:t>
      </w:r>
      <w:r>
        <w:rPr>
          <w:sz w:val="28"/>
        </w:rPr>
        <w:t xml:space="preserve">alga pieauga </w:t>
      </w:r>
      <w:r w:rsidRPr="00A30B6B">
        <w:rPr>
          <w:sz w:val="28"/>
        </w:rPr>
        <w:t xml:space="preserve">par </w:t>
      </w:r>
      <w:r>
        <w:rPr>
          <w:sz w:val="28"/>
        </w:rPr>
        <w:t>5,6</w:t>
      </w:r>
      <w:r w:rsidRPr="00A30B6B">
        <w:rPr>
          <w:sz w:val="28"/>
        </w:rPr>
        <w:t>%</w:t>
      </w:r>
      <w:r>
        <w:rPr>
          <w:sz w:val="28"/>
        </w:rPr>
        <w:t>,</w:t>
      </w:r>
      <w:r w:rsidRPr="00A30B6B">
        <w:rPr>
          <w:sz w:val="28"/>
        </w:rPr>
        <w:t xml:space="preserve"> </w:t>
      </w:r>
      <w:r>
        <w:rPr>
          <w:sz w:val="28"/>
        </w:rPr>
        <w:t xml:space="preserve">salīdzinot ar </w:t>
      </w:r>
      <w:r w:rsidRPr="00A30B6B">
        <w:rPr>
          <w:sz w:val="28"/>
        </w:rPr>
        <w:t xml:space="preserve">2010.gada </w:t>
      </w:r>
      <w:r w:rsidR="00DA272A">
        <w:rPr>
          <w:sz w:val="28"/>
        </w:rPr>
        <w:t>2.ceturks</w:t>
      </w:r>
      <w:r>
        <w:rPr>
          <w:sz w:val="28"/>
        </w:rPr>
        <w:t>ni</w:t>
      </w:r>
      <w:r w:rsidRPr="00A30B6B">
        <w:rPr>
          <w:sz w:val="28"/>
        </w:rPr>
        <w:t xml:space="preserve">. </w:t>
      </w:r>
      <w:r>
        <w:rPr>
          <w:sz w:val="28"/>
        </w:rPr>
        <w:t xml:space="preserve">Atalgojumam ir tendence palielināties gan sabiedriskā, gan privātā sektorā. </w:t>
      </w:r>
      <w:r w:rsidRPr="00A30B6B">
        <w:rPr>
          <w:sz w:val="28"/>
        </w:rPr>
        <w:t xml:space="preserve">Kopumā 2011.gada </w:t>
      </w:r>
      <w:r>
        <w:rPr>
          <w:sz w:val="28"/>
        </w:rPr>
        <w:t>2.ceturksnī</w:t>
      </w:r>
      <w:r w:rsidRPr="00A30B6B">
        <w:rPr>
          <w:sz w:val="28"/>
        </w:rPr>
        <w:t xml:space="preserve"> vidējā bruto darba alga </w:t>
      </w:r>
      <w:r w:rsidR="00DA272A">
        <w:rPr>
          <w:sz w:val="28"/>
        </w:rPr>
        <w:t>bija</w:t>
      </w:r>
      <w:r w:rsidRPr="00A30B6B">
        <w:rPr>
          <w:sz w:val="28"/>
        </w:rPr>
        <w:t xml:space="preserve"> 4</w:t>
      </w:r>
      <w:r>
        <w:rPr>
          <w:sz w:val="28"/>
        </w:rPr>
        <w:t>69</w:t>
      </w:r>
      <w:r w:rsidRPr="00A30B6B">
        <w:rPr>
          <w:sz w:val="28"/>
        </w:rPr>
        <w:t xml:space="preserve"> lat</w:t>
      </w:r>
      <w:r w:rsidR="00DA272A">
        <w:rPr>
          <w:sz w:val="28"/>
        </w:rPr>
        <w:t>i</w:t>
      </w:r>
      <w:r w:rsidRPr="00A30B6B">
        <w:rPr>
          <w:sz w:val="28"/>
        </w:rPr>
        <w:t>.</w:t>
      </w:r>
    </w:p>
    <w:p w:rsidR="00DA272A" w:rsidRPr="00DA272A" w:rsidRDefault="00DA272A" w:rsidP="00DA272A">
      <w:pPr>
        <w:ind w:firstLine="426"/>
        <w:jc w:val="both"/>
        <w:rPr>
          <w:sz w:val="28"/>
        </w:rPr>
      </w:pPr>
      <w:r>
        <w:rPr>
          <w:sz w:val="28"/>
        </w:rPr>
        <w:t>Pēc krīzes pārvarēšanas a</w:t>
      </w:r>
      <w:r w:rsidRPr="00DA272A">
        <w:rPr>
          <w:sz w:val="28"/>
        </w:rPr>
        <w:t xml:space="preserve">talgojums visātrāk atsāka pieaugt </w:t>
      </w:r>
      <w:r>
        <w:rPr>
          <w:sz w:val="28"/>
        </w:rPr>
        <w:t>lauksaimniecības un mežsaimniecības</w:t>
      </w:r>
      <w:r w:rsidRPr="00DA272A">
        <w:rPr>
          <w:sz w:val="28"/>
        </w:rPr>
        <w:t xml:space="preserve"> nozarēs un elektroenerģijas, gāzes un siltumapgādes nozarēs. S</w:t>
      </w:r>
      <w:r w:rsidR="00120F26">
        <w:rPr>
          <w:sz w:val="28"/>
        </w:rPr>
        <w:t>traujākais atalgojuma pieaugums</w:t>
      </w:r>
      <w:r>
        <w:rPr>
          <w:sz w:val="28"/>
        </w:rPr>
        <w:t xml:space="preserve"> kopš 2011.</w:t>
      </w:r>
      <w:r w:rsidRPr="00DA272A">
        <w:rPr>
          <w:sz w:val="28"/>
        </w:rPr>
        <w:t xml:space="preserve">gada sākuma ir vērojams izglītības nozarē, kas lielā mērā saistīts ar izglītības sistēmas </w:t>
      </w:r>
      <w:proofErr w:type="spellStart"/>
      <w:r w:rsidRPr="00DA272A">
        <w:rPr>
          <w:sz w:val="28"/>
        </w:rPr>
        <w:t>efektivizācij</w:t>
      </w:r>
      <w:r w:rsidR="00120F26">
        <w:rPr>
          <w:sz w:val="28"/>
        </w:rPr>
        <w:t>u</w:t>
      </w:r>
      <w:proofErr w:type="spellEnd"/>
      <w:r w:rsidRPr="00DA272A">
        <w:rPr>
          <w:sz w:val="28"/>
        </w:rPr>
        <w:t xml:space="preserve">. Salīdzinoši strauji </w:t>
      </w:r>
      <w:r>
        <w:rPr>
          <w:sz w:val="28"/>
        </w:rPr>
        <w:t xml:space="preserve">2011.gadā </w:t>
      </w:r>
      <w:r w:rsidRPr="00DA272A">
        <w:rPr>
          <w:sz w:val="28"/>
        </w:rPr>
        <w:t>atalgojuma līmenis palielinās arī primārajās nozarēs, nekustāmo īpašuma un profesionālo, zinātnisko un</w:t>
      </w:r>
      <w:r w:rsidR="00AD1713">
        <w:rPr>
          <w:sz w:val="28"/>
        </w:rPr>
        <w:t xml:space="preserve"> </w:t>
      </w:r>
      <w:r w:rsidRPr="00DA272A">
        <w:rPr>
          <w:sz w:val="28"/>
        </w:rPr>
        <w:t>tehnisko pakalpojumu nozarēs. Savukārt lēnākais atalgojuma pieaugums ir bijis tra</w:t>
      </w:r>
      <w:r w:rsidR="00120F26">
        <w:rPr>
          <w:sz w:val="28"/>
        </w:rPr>
        <w:t>nsporta un uzglabāšanas nozarē.</w:t>
      </w:r>
    </w:p>
    <w:p w:rsidR="00DA272A" w:rsidRPr="00DA272A" w:rsidRDefault="00DA272A" w:rsidP="00DA272A">
      <w:pPr>
        <w:ind w:firstLine="426"/>
        <w:jc w:val="both"/>
        <w:rPr>
          <w:sz w:val="16"/>
        </w:rPr>
      </w:pPr>
    </w:p>
    <w:p w:rsidR="000A1029" w:rsidRPr="00A30B6B" w:rsidRDefault="000A1029" w:rsidP="00DA272A">
      <w:pPr>
        <w:ind w:firstLine="426"/>
        <w:jc w:val="both"/>
        <w:rPr>
          <w:sz w:val="28"/>
        </w:rPr>
      </w:pPr>
      <w:r w:rsidRPr="00A30B6B">
        <w:rPr>
          <w:sz w:val="28"/>
        </w:rPr>
        <w:t>Nodaļas turpinājumā ir sniegti dati par nodarbināto skaita izmaiņām, bezdarba līmeni, brīvo darba vietu skaita izmaiņām pa ceturkšņiem un strādājošo mēneša vidējo bruto darba samaksu.</w:t>
      </w:r>
    </w:p>
    <w:p w:rsidR="006B3274" w:rsidRPr="00A30B6B" w:rsidRDefault="006B3274" w:rsidP="006B3274">
      <w:pPr>
        <w:pStyle w:val="Heading2"/>
      </w:pPr>
      <w:bookmarkStart w:id="347" w:name="_Toc305421452"/>
      <w:r w:rsidRPr="00A30B6B">
        <w:rPr>
          <w:b w:val="0"/>
        </w:rPr>
        <w:lastRenderedPageBreak/>
        <w:t>6.1.attēls.</w:t>
      </w:r>
      <w:r w:rsidRPr="00A30B6B">
        <w:t xml:space="preserve"> </w:t>
      </w:r>
      <w:r w:rsidR="00E701AA">
        <w:t>Nodarbinātība</w:t>
      </w:r>
      <w:bookmarkEnd w:id="347"/>
    </w:p>
    <w:p w:rsidR="006B3274" w:rsidRPr="00A30B6B" w:rsidRDefault="006B3274" w:rsidP="006B32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7"/>
        <w:gridCol w:w="4928"/>
      </w:tblGrid>
      <w:tr w:rsidR="006B3274" w:rsidRPr="00A30B6B" w:rsidTr="006B3274">
        <w:tc>
          <w:tcPr>
            <w:tcW w:w="4927" w:type="dxa"/>
          </w:tcPr>
          <w:p w:rsidR="006B3274" w:rsidRPr="00A30B6B" w:rsidRDefault="006B3274" w:rsidP="006B3274">
            <w:pPr>
              <w:jc w:val="center"/>
              <w:rPr>
                <w:b/>
                <w:sz w:val="22"/>
                <w:szCs w:val="18"/>
              </w:rPr>
            </w:pPr>
            <w:r w:rsidRPr="00A30B6B">
              <w:rPr>
                <w:b/>
                <w:sz w:val="22"/>
                <w:szCs w:val="18"/>
              </w:rPr>
              <w:t>Nodarbināto skaita izmaiņas pa ceturkšņiem</w:t>
            </w:r>
          </w:p>
          <w:p w:rsidR="006B3274" w:rsidRPr="00A30B6B" w:rsidRDefault="006B3274" w:rsidP="006B3274">
            <w:pPr>
              <w:jc w:val="center"/>
              <w:rPr>
                <w:b/>
                <w:sz w:val="22"/>
                <w:szCs w:val="18"/>
              </w:rPr>
            </w:pPr>
            <w:r w:rsidRPr="00A30B6B">
              <w:rPr>
                <w:rFonts w:eastAsia="Times New Roman"/>
                <w:bCs/>
                <w:color w:val="000000"/>
                <w:sz w:val="22"/>
                <w:szCs w:val="18"/>
              </w:rPr>
              <w:t>2006.g IV ceturksnis=100</w:t>
            </w:r>
          </w:p>
        </w:tc>
        <w:tc>
          <w:tcPr>
            <w:tcW w:w="4928" w:type="dxa"/>
          </w:tcPr>
          <w:p w:rsidR="006B3274" w:rsidRPr="00A30B6B" w:rsidRDefault="006B3274" w:rsidP="006B3274">
            <w:pPr>
              <w:jc w:val="center"/>
              <w:rPr>
                <w:sz w:val="22"/>
                <w:szCs w:val="18"/>
              </w:rPr>
            </w:pPr>
            <w:r w:rsidRPr="00A30B6B">
              <w:rPr>
                <w:b/>
                <w:sz w:val="22"/>
                <w:szCs w:val="18"/>
              </w:rPr>
              <w:t>Nodarbināto un ekonomiski aktīvo iedzīvotāju skaits</w:t>
            </w:r>
            <w:r w:rsidRPr="00A30B6B">
              <w:rPr>
                <w:sz w:val="22"/>
                <w:szCs w:val="18"/>
              </w:rPr>
              <w:t>, tūkstošos, vecuma grupā 15-74 gadi</w:t>
            </w:r>
          </w:p>
        </w:tc>
      </w:tr>
      <w:tr w:rsidR="006B3274" w:rsidRPr="00A30B6B" w:rsidTr="006B3274">
        <w:tc>
          <w:tcPr>
            <w:tcW w:w="4927" w:type="dxa"/>
          </w:tcPr>
          <w:p w:rsidR="006B3274" w:rsidRPr="00A30B6B" w:rsidRDefault="006B3274" w:rsidP="006B3274">
            <w:pPr>
              <w:rPr>
                <w:b/>
                <w:sz w:val="20"/>
                <w:szCs w:val="20"/>
              </w:rPr>
            </w:pPr>
            <w:r w:rsidRPr="00A30B6B">
              <w:rPr>
                <w:b/>
                <w:noProof/>
                <w:sz w:val="20"/>
                <w:szCs w:val="20"/>
              </w:rPr>
              <w:drawing>
                <wp:inline distT="0" distB="0" distL="0" distR="0">
                  <wp:extent cx="3019245" cy="2232000"/>
                  <wp:effectExtent l="0" t="0" r="0" b="0"/>
                  <wp:docPr id="33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4928" w:type="dxa"/>
          </w:tcPr>
          <w:p w:rsidR="006B3274" w:rsidRPr="00A30B6B" w:rsidRDefault="006B3274" w:rsidP="006B3274">
            <w:pPr>
              <w:rPr>
                <w:b/>
                <w:sz w:val="20"/>
                <w:szCs w:val="20"/>
              </w:rPr>
            </w:pPr>
            <w:r w:rsidRPr="00A30B6B">
              <w:rPr>
                <w:b/>
                <w:noProof/>
                <w:sz w:val="20"/>
                <w:szCs w:val="20"/>
              </w:rPr>
              <w:drawing>
                <wp:inline distT="0" distB="0" distL="0" distR="0">
                  <wp:extent cx="3017448" cy="2232000"/>
                  <wp:effectExtent l="19050" t="0" r="0" b="0"/>
                  <wp:docPr id="33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rsidR="006B3274" w:rsidRDefault="006B3274" w:rsidP="006B3274">
      <w:pPr>
        <w:rPr>
          <w:b/>
          <w:sz w:val="20"/>
          <w:szCs w:val="20"/>
        </w:rPr>
      </w:pPr>
    </w:p>
    <w:p w:rsidR="00E701AA" w:rsidRPr="00A30B6B" w:rsidRDefault="00E701AA" w:rsidP="00E701AA">
      <w:pPr>
        <w:pStyle w:val="Heading2"/>
      </w:pPr>
      <w:bookmarkStart w:id="348" w:name="_Toc305421453"/>
      <w:r w:rsidRPr="00A30B6B">
        <w:rPr>
          <w:b w:val="0"/>
        </w:rPr>
        <w:t>6.</w:t>
      </w:r>
      <w:r>
        <w:rPr>
          <w:b w:val="0"/>
        </w:rPr>
        <w:t>2</w:t>
      </w:r>
      <w:r w:rsidRPr="00A30B6B">
        <w:rPr>
          <w:b w:val="0"/>
        </w:rPr>
        <w:t>.attēls.</w:t>
      </w:r>
      <w:r w:rsidRPr="00A30B6B">
        <w:t xml:space="preserve"> </w:t>
      </w:r>
      <w:r>
        <w:t>Bezdarbs</w:t>
      </w:r>
      <w:bookmarkEnd w:id="348"/>
    </w:p>
    <w:p w:rsidR="00E701AA" w:rsidRPr="00A30B6B" w:rsidRDefault="00E701AA" w:rsidP="006B3274">
      <w:pPr>
        <w:rPr>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5002"/>
      </w:tblGrid>
      <w:tr w:rsidR="006B3274" w:rsidRPr="00A30B6B" w:rsidTr="006B3274">
        <w:tc>
          <w:tcPr>
            <w:tcW w:w="2500" w:type="pct"/>
          </w:tcPr>
          <w:p w:rsidR="006B3274" w:rsidRPr="00A30B6B" w:rsidRDefault="006B3274" w:rsidP="006B3274">
            <w:pPr>
              <w:jc w:val="center"/>
              <w:rPr>
                <w:b/>
                <w:sz w:val="22"/>
                <w:szCs w:val="18"/>
              </w:rPr>
            </w:pPr>
            <w:r w:rsidRPr="00A30B6B">
              <w:rPr>
                <w:b/>
                <w:sz w:val="22"/>
                <w:szCs w:val="18"/>
              </w:rPr>
              <w:t>Reģistrētais bezdarba līmenis</w:t>
            </w:r>
          </w:p>
          <w:p w:rsidR="006B3274" w:rsidRPr="00A30B6B" w:rsidRDefault="006B3274" w:rsidP="006B3274">
            <w:pPr>
              <w:jc w:val="center"/>
              <w:rPr>
                <w:b/>
                <w:sz w:val="22"/>
                <w:szCs w:val="18"/>
              </w:rPr>
            </w:pPr>
            <w:r w:rsidRPr="00A30B6B">
              <w:rPr>
                <w:sz w:val="22"/>
                <w:szCs w:val="18"/>
              </w:rPr>
              <w:t>% no ekonomiski aktīvo iedzīvotāju skaita</w:t>
            </w:r>
          </w:p>
        </w:tc>
        <w:tc>
          <w:tcPr>
            <w:tcW w:w="2500" w:type="pct"/>
          </w:tcPr>
          <w:p w:rsidR="006B3274" w:rsidRPr="00A30B6B" w:rsidRDefault="006B3274" w:rsidP="006B3274">
            <w:pPr>
              <w:jc w:val="center"/>
              <w:rPr>
                <w:sz w:val="22"/>
                <w:szCs w:val="18"/>
              </w:rPr>
            </w:pPr>
            <w:r w:rsidRPr="00A30B6B">
              <w:rPr>
                <w:b/>
                <w:sz w:val="22"/>
                <w:szCs w:val="18"/>
              </w:rPr>
              <w:t>Bezdarba līmenis pēc darbaspēka apsekojumu datiem</w:t>
            </w:r>
            <w:r w:rsidRPr="00A30B6B">
              <w:rPr>
                <w:sz w:val="20"/>
                <w:szCs w:val="18"/>
              </w:rPr>
              <w:t xml:space="preserve">, </w:t>
            </w:r>
            <w:r w:rsidRPr="00A30B6B">
              <w:rPr>
                <w:sz w:val="22"/>
                <w:szCs w:val="18"/>
              </w:rPr>
              <w:t>sezonāli neizlīdzināti dati</w:t>
            </w:r>
          </w:p>
        </w:tc>
      </w:tr>
      <w:tr w:rsidR="006B3274" w:rsidRPr="00A30B6B" w:rsidTr="006B3274">
        <w:tc>
          <w:tcPr>
            <w:tcW w:w="2500" w:type="pct"/>
          </w:tcPr>
          <w:p w:rsidR="006B3274" w:rsidRPr="00A30B6B" w:rsidRDefault="006B3274" w:rsidP="006B3274">
            <w:pPr>
              <w:rPr>
                <w:b/>
                <w:sz w:val="22"/>
                <w:szCs w:val="18"/>
              </w:rPr>
            </w:pPr>
            <w:r w:rsidRPr="00A30B6B">
              <w:rPr>
                <w:rFonts w:eastAsia="Times New Roman"/>
                <w:b/>
                <w:noProof/>
                <w:sz w:val="22"/>
                <w:szCs w:val="20"/>
              </w:rPr>
              <w:drawing>
                <wp:inline distT="0" distB="0" distL="0" distR="0">
                  <wp:extent cx="2849526" cy="2232837"/>
                  <wp:effectExtent l="0" t="0" r="0" b="0"/>
                  <wp:docPr id="3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c>
          <w:tcPr>
            <w:tcW w:w="2500" w:type="pct"/>
            <w:vAlign w:val="bottom"/>
          </w:tcPr>
          <w:p w:rsidR="006B3274" w:rsidRPr="00A30B6B" w:rsidRDefault="006B3274" w:rsidP="006B3274">
            <w:pPr>
              <w:jc w:val="center"/>
              <w:rPr>
                <w:b/>
                <w:sz w:val="20"/>
                <w:szCs w:val="20"/>
              </w:rPr>
            </w:pPr>
            <w:r w:rsidRPr="00A30B6B">
              <w:rPr>
                <w:rFonts w:eastAsia="Times New Roman"/>
                <w:noProof/>
                <w:sz w:val="20"/>
                <w:szCs w:val="20"/>
              </w:rPr>
              <w:drawing>
                <wp:inline distT="0" distB="0" distL="0" distR="0">
                  <wp:extent cx="3019646" cy="2232837"/>
                  <wp:effectExtent l="19050" t="0" r="0" b="0"/>
                  <wp:docPr id="336"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bl>
    <w:p w:rsidR="006B3274" w:rsidRPr="00A30B6B" w:rsidRDefault="006B3274" w:rsidP="006B3274">
      <w:pPr>
        <w:rPr>
          <w:b/>
          <w:sz w:val="20"/>
          <w:szCs w:val="20"/>
        </w:rPr>
      </w:pPr>
    </w:p>
    <w:p w:rsidR="00E701AA" w:rsidRPr="00E701AA" w:rsidRDefault="00E701AA" w:rsidP="00E701AA">
      <w:pPr>
        <w:pStyle w:val="Heading2"/>
        <w:rPr>
          <w:b w:val="0"/>
          <w:sz w:val="8"/>
          <w:szCs w:val="8"/>
        </w:rPr>
      </w:pPr>
    </w:p>
    <w:p w:rsidR="00E701AA" w:rsidRPr="00A30B6B" w:rsidRDefault="00E701AA" w:rsidP="00E701AA">
      <w:pPr>
        <w:pStyle w:val="Heading2"/>
        <w:rPr>
          <w:rFonts w:eastAsia="Times New Roman"/>
        </w:rPr>
      </w:pPr>
      <w:bookmarkStart w:id="349" w:name="_Toc305421454"/>
      <w:r w:rsidRPr="00A30B6B">
        <w:rPr>
          <w:b w:val="0"/>
        </w:rPr>
        <w:t>6.</w:t>
      </w:r>
      <w:r>
        <w:rPr>
          <w:b w:val="0"/>
        </w:rPr>
        <w:t>3</w:t>
      </w:r>
      <w:r w:rsidRPr="00A30B6B">
        <w:rPr>
          <w:b w:val="0"/>
        </w:rPr>
        <w:t>.attēls.</w:t>
      </w:r>
      <w:r w:rsidRPr="00A30B6B">
        <w:t xml:space="preserve"> </w:t>
      </w:r>
      <w:r w:rsidRPr="00A30B6B">
        <w:rPr>
          <w:rFonts w:eastAsia="Times New Roman"/>
        </w:rPr>
        <w:t>Strādājošo mēneša vidējā bruto darba samaksa</w:t>
      </w:r>
      <w:bookmarkEnd w:id="3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85"/>
        <w:gridCol w:w="3285"/>
        <w:gridCol w:w="3285"/>
      </w:tblGrid>
      <w:tr w:rsidR="006B3274" w:rsidRPr="00A30B6B" w:rsidTr="006B3274">
        <w:trPr>
          <w:jc w:val="center"/>
        </w:trPr>
        <w:tc>
          <w:tcPr>
            <w:tcW w:w="3285" w:type="dxa"/>
            <w:vAlign w:val="bottom"/>
          </w:tcPr>
          <w:p w:rsidR="006B3274" w:rsidRPr="00A30B6B" w:rsidRDefault="006B3274" w:rsidP="006B3274">
            <w:pPr>
              <w:spacing w:before="120"/>
              <w:ind w:left="-142" w:right="-51" w:firstLine="142"/>
              <w:jc w:val="center"/>
              <w:rPr>
                <w:sz w:val="20"/>
                <w:szCs w:val="20"/>
              </w:rPr>
            </w:pPr>
            <w:r w:rsidRPr="00A30B6B">
              <w:rPr>
                <w:rFonts w:eastAsia="Times New Roman"/>
                <w:sz w:val="20"/>
                <w:szCs w:val="20"/>
              </w:rPr>
              <w:t>latos</w:t>
            </w:r>
          </w:p>
        </w:tc>
        <w:tc>
          <w:tcPr>
            <w:tcW w:w="3285" w:type="dxa"/>
            <w:vAlign w:val="bottom"/>
          </w:tcPr>
          <w:p w:rsidR="006B3274" w:rsidRPr="00A30B6B" w:rsidRDefault="006B3274" w:rsidP="006B3274">
            <w:pPr>
              <w:spacing w:before="120"/>
              <w:ind w:left="-142" w:right="-51" w:firstLine="142"/>
              <w:jc w:val="center"/>
              <w:rPr>
                <w:sz w:val="20"/>
                <w:szCs w:val="20"/>
              </w:rPr>
            </w:pPr>
            <w:r w:rsidRPr="00A30B6B">
              <w:rPr>
                <w:sz w:val="20"/>
                <w:szCs w:val="20"/>
              </w:rPr>
              <w:t>izmaiņas pret iepriekšējā gada atbilstošo periodu, %</w:t>
            </w:r>
          </w:p>
        </w:tc>
        <w:tc>
          <w:tcPr>
            <w:tcW w:w="3285" w:type="dxa"/>
            <w:vAlign w:val="bottom"/>
          </w:tcPr>
          <w:p w:rsidR="006B3274" w:rsidRPr="00A30B6B" w:rsidRDefault="006B3274" w:rsidP="006B3274">
            <w:pPr>
              <w:spacing w:before="120"/>
              <w:ind w:left="-142" w:right="-51" w:firstLine="142"/>
              <w:jc w:val="center"/>
              <w:rPr>
                <w:sz w:val="20"/>
                <w:szCs w:val="20"/>
              </w:rPr>
            </w:pPr>
            <w:r w:rsidRPr="00A30B6B">
              <w:rPr>
                <w:rFonts w:eastAsia="Times New Roman"/>
                <w:sz w:val="20"/>
                <w:szCs w:val="20"/>
              </w:rPr>
              <w:t>12 mēnešu slīdošais vidējais indekss, 2007.gada decembris = 100</w:t>
            </w:r>
          </w:p>
        </w:tc>
      </w:tr>
      <w:tr w:rsidR="006B3274" w:rsidTr="006B3274">
        <w:trPr>
          <w:jc w:val="center"/>
        </w:trPr>
        <w:tc>
          <w:tcPr>
            <w:tcW w:w="3285" w:type="dxa"/>
          </w:tcPr>
          <w:p w:rsidR="006B3274" w:rsidRPr="00A30B6B" w:rsidRDefault="006B3274" w:rsidP="006B3274">
            <w:pPr>
              <w:ind w:left="-142" w:right="-50" w:firstLine="142"/>
              <w:rPr>
                <w:b/>
                <w:sz w:val="22"/>
                <w:szCs w:val="20"/>
              </w:rPr>
            </w:pPr>
            <w:r w:rsidRPr="00A30B6B">
              <w:rPr>
                <w:b/>
                <w:noProof/>
                <w:sz w:val="22"/>
                <w:szCs w:val="20"/>
              </w:rPr>
              <w:drawing>
                <wp:inline distT="0" distB="0" distL="0" distR="0">
                  <wp:extent cx="2088046" cy="1995777"/>
                  <wp:effectExtent l="19050" t="0" r="0" b="0"/>
                  <wp:docPr id="33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3285" w:type="dxa"/>
          </w:tcPr>
          <w:p w:rsidR="006B3274" w:rsidRPr="00A30B6B" w:rsidRDefault="006B3274" w:rsidP="006B3274">
            <w:pPr>
              <w:ind w:left="-142" w:right="-50" w:firstLine="142"/>
              <w:jc w:val="center"/>
              <w:rPr>
                <w:b/>
                <w:sz w:val="22"/>
                <w:szCs w:val="20"/>
              </w:rPr>
            </w:pPr>
            <w:r w:rsidRPr="00A30B6B">
              <w:rPr>
                <w:b/>
                <w:noProof/>
                <w:sz w:val="22"/>
                <w:szCs w:val="20"/>
              </w:rPr>
              <w:drawing>
                <wp:inline distT="0" distB="0" distL="0" distR="0">
                  <wp:extent cx="2043486" cy="1995777"/>
                  <wp:effectExtent l="0" t="0" r="0" b="0"/>
                  <wp:docPr id="33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3285" w:type="dxa"/>
          </w:tcPr>
          <w:p w:rsidR="006B3274" w:rsidRDefault="006B3274" w:rsidP="006B3274">
            <w:pPr>
              <w:ind w:left="-142" w:right="-50" w:firstLine="142"/>
              <w:rPr>
                <w:b/>
                <w:sz w:val="22"/>
                <w:szCs w:val="20"/>
              </w:rPr>
            </w:pPr>
            <w:r w:rsidRPr="00A30B6B">
              <w:rPr>
                <w:b/>
                <w:noProof/>
                <w:sz w:val="22"/>
                <w:szCs w:val="20"/>
              </w:rPr>
              <w:drawing>
                <wp:inline distT="0" distB="0" distL="0" distR="0">
                  <wp:extent cx="2040338" cy="1963972"/>
                  <wp:effectExtent l="19050" t="0" r="0" b="0"/>
                  <wp:docPr id="33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bl>
    <w:p w:rsidR="006B3274" w:rsidRPr="00F37D39" w:rsidRDefault="006B3274" w:rsidP="006B3274">
      <w:pPr>
        <w:rPr>
          <w:b/>
          <w:sz w:val="22"/>
          <w:szCs w:val="20"/>
        </w:rPr>
      </w:pPr>
    </w:p>
    <w:p w:rsidR="00A038F9" w:rsidRDefault="00A038F9" w:rsidP="00BE41C7">
      <w:pPr>
        <w:rPr>
          <w:b/>
          <w:sz w:val="20"/>
          <w:szCs w:val="20"/>
        </w:rPr>
      </w:pPr>
    </w:p>
    <w:p w:rsidR="00BE41C7" w:rsidRPr="009F6E8E" w:rsidRDefault="00CD3CE6" w:rsidP="00BE41C7">
      <w:pPr>
        <w:pStyle w:val="Heading1"/>
      </w:pPr>
      <w:bookmarkStart w:id="350" w:name="_Toc305069156"/>
      <w:bookmarkStart w:id="351" w:name="_Toc305421455"/>
      <w:r>
        <w:lastRenderedPageBreak/>
        <w:t>7</w:t>
      </w:r>
      <w:r w:rsidR="00BE41C7" w:rsidRPr="009F6E8E">
        <w:t xml:space="preserve">. </w:t>
      </w:r>
      <w:bookmarkEnd w:id="243"/>
      <w:bookmarkEnd w:id="244"/>
      <w:bookmarkEnd w:id="245"/>
      <w:bookmarkEnd w:id="246"/>
      <w:bookmarkEnd w:id="247"/>
      <w:bookmarkEnd w:id="248"/>
      <w:bookmarkEnd w:id="249"/>
      <w:r w:rsidR="00F77E00">
        <w:t>Cenas</w:t>
      </w:r>
      <w:bookmarkEnd w:id="350"/>
      <w:bookmarkEnd w:id="351"/>
    </w:p>
    <w:p w:rsidR="005D5DF1" w:rsidRDefault="005D5DF1" w:rsidP="005D5DF1">
      <w:pPr>
        <w:ind w:firstLine="709"/>
        <w:rPr>
          <w:rFonts w:eastAsia="Times New Roman"/>
          <w:b/>
          <w:sz w:val="6"/>
          <w:szCs w:val="24"/>
        </w:rPr>
      </w:pPr>
      <w:bookmarkStart w:id="352" w:name="_Toc216077887"/>
      <w:bookmarkStart w:id="353" w:name="_Toc216079555"/>
      <w:bookmarkStart w:id="354" w:name="_Toc216079623"/>
      <w:bookmarkStart w:id="355" w:name="_Toc216079685"/>
      <w:bookmarkStart w:id="356" w:name="_Toc216079741"/>
      <w:bookmarkStart w:id="357" w:name="_Toc216079797"/>
      <w:bookmarkStart w:id="358" w:name="_Toc216079853"/>
    </w:p>
    <w:p w:rsidR="00BD1C6A" w:rsidRPr="003F5B41" w:rsidRDefault="00BD1C6A" w:rsidP="005D5DF1">
      <w:pPr>
        <w:ind w:firstLine="709"/>
        <w:rPr>
          <w:rFonts w:eastAsia="Times New Roman"/>
          <w:b/>
          <w:sz w:val="6"/>
          <w:szCs w:val="24"/>
        </w:rPr>
      </w:pPr>
    </w:p>
    <w:p w:rsidR="00E701AA" w:rsidRDefault="0049583C" w:rsidP="0049583C">
      <w:pPr>
        <w:ind w:firstLine="426"/>
        <w:jc w:val="both"/>
        <w:rPr>
          <w:sz w:val="28"/>
        </w:rPr>
      </w:pPr>
      <w:bookmarkStart w:id="359" w:name="_Toc216079547"/>
      <w:bookmarkStart w:id="360" w:name="_Toc216079615"/>
      <w:bookmarkStart w:id="361" w:name="_Toc216079677"/>
      <w:bookmarkStart w:id="362" w:name="_Toc216079733"/>
      <w:bookmarkStart w:id="363" w:name="_Toc216079789"/>
      <w:bookmarkStart w:id="364" w:name="_Toc216079845"/>
      <w:bookmarkStart w:id="365" w:name="_Toc216077878"/>
      <w:r>
        <w:rPr>
          <w:sz w:val="28"/>
        </w:rPr>
        <w:t>2010.g</w:t>
      </w:r>
      <w:r w:rsidRPr="00412659">
        <w:rPr>
          <w:sz w:val="28"/>
        </w:rPr>
        <w:t>ad</w:t>
      </w:r>
      <w:r>
        <w:rPr>
          <w:sz w:val="28"/>
        </w:rPr>
        <w:t xml:space="preserve">a laikā </w:t>
      </w:r>
      <w:r w:rsidRPr="00412659">
        <w:rPr>
          <w:b/>
          <w:sz w:val="28"/>
        </w:rPr>
        <w:t>patēriņa cenu</w:t>
      </w:r>
      <w:r w:rsidRPr="00412659">
        <w:rPr>
          <w:sz w:val="28"/>
        </w:rPr>
        <w:t xml:space="preserve"> līmenis pieauga p</w:t>
      </w:r>
      <w:r>
        <w:rPr>
          <w:sz w:val="28"/>
        </w:rPr>
        <w:t>ar 2,5%</w:t>
      </w:r>
      <w:r w:rsidR="00E701AA">
        <w:rPr>
          <w:sz w:val="28"/>
        </w:rPr>
        <w:t xml:space="preserve">, tajā pašā laikā gada </w:t>
      </w:r>
      <w:r w:rsidRPr="00412659">
        <w:rPr>
          <w:sz w:val="28"/>
        </w:rPr>
        <w:t xml:space="preserve">vidējais cenu līmenis bija par 1,1% mazāks nekā </w:t>
      </w:r>
      <w:r>
        <w:rPr>
          <w:sz w:val="28"/>
        </w:rPr>
        <w:t>2009.</w:t>
      </w:r>
      <w:r w:rsidRPr="00412659">
        <w:rPr>
          <w:sz w:val="28"/>
        </w:rPr>
        <w:t>gadā.</w:t>
      </w:r>
    </w:p>
    <w:p w:rsidR="0049583C" w:rsidRDefault="005C599D" w:rsidP="0049583C">
      <w:pPr>
        <w:ind w:firstLine="426"/>
        <w:jc w:val="both"/>
        <w:rPr>
          <w:sz w:val="28"/>
        </w:rPr>
      </w:pPr>
      <w:r>
        <w:rPr>
          <w:sz w:val="28"/>
        </w:rPr>
        <w:t>2011.gadā</w:t>
      </w:r>
      <w:r w:rsidR="0049583C" w:rsidRPr="00412659">
        <w:rPr>
          <w:sz w:val="28"/>
        </w:rPr>
        <w:t xml:space="preserve"> </w:t>
      </w:r>
      <w:r>
        <w:rPr>
          <w:sz w:val="28"/>
        </w:rPr>
        <w:t xml:space="preserve">patēriņa cenas </w:t>
      </w:r>
      <w:r w:rsidR="002307F6">
        <w:rPr>
          <w:sz w:val="28"/>
        </w:rPr>
        <w:t>sāka pieaugt straujāk</w:t>
      </w:r>
      <w:r w:rsidR="0049583C">
        <w:rPr>
          <w:sz w:val="28"/>
        </w:rPr>
        <w:t>. To no</w:t>
      </w:r>
      <w:r w:rsidR="002307F6">
        <w:rPr>
          <w:sz w:val="28"/>
        </w:rPr>
        <w:t>teica</w:t>
      </w:r>
      <w:r>
        <w:rPr>
          <w:sz w:val="28"/>
        </w:rPr>
        <w:t xml:space="preserve"> </w:t>
      </w:r>
      <w:r w:rsidR="0049583C">
        <w:rPr>
          <w:sz w:val="28"/>
        </w:rPr>
        <w:t xml:space="preserve">gan situācija iekšējā tirgū (nodokļu likmju palielinājums, privātā patēriņa pakāpenisks pieaugums), gan cenu tendences pasaulē (cenu kāpums </w:t>
      </w:r>
      <w:r w:rsidR="0049583C" w:rsidRPr="00646C04">
        <w:rPr>
          <w:sz w:val="28"/>
        </w:rPr>
        <w:t>pārtikai un enerģētikas resursiem</w:t>
      </w:r>
      <w:r w:rsidR="0049583C">
        <w:rPr>
          <w:sz w:val="28"/>
        </w:rPr>
        <w:t>).</w:t>
      </w:r>
      <w:r>
        <w:rPr>
          <w:sz w:val="28"/>
        </w:rPr>
        <w:t xml:space="preserve"> Jāatzīmē, ka gan sezonālu faktoru ietekmē, gan mazinoties cenu kāpumam pasaulē, vasaras mēnešos cenu pieaugums Latvijā nedaudz piebremzējās.</w:t>
      </w:r>
    </w:p>
    <w:p w:rsidR="0049583C" w:rsidRDefault="0049583C" w:rsidP="0049583C">
      <w:pPr>
        <w:pStyle w:val="BodyText"/>
        <w:spacing w:after="0"/>
        <w:ind w:firstLine="426"/>
        <w:jc w:val="both"/>
        <w:rPr>
          <w:bCs/>
          <w:sz w:val="28"/>
          <w:szCs w:val="28"/>
        </w:rPr>
      </w:pPr>
      <w:r w:rsidRPr="006F5355">
        <w:rPr>
          <w:bCs/>
          <w:sz w:val="28"/>
          <w:szCs w:val="28"/>
        </w:rPr>
        <w:t xml:space="preserve">2011.gada </w:t>
      </w:r>
      <w:r>
        <w:rPr>
          <w:bCs/>
          <w:sz w:val="28"/>
          <w:szCs w:val="28"/>
        </w:rPr>
        <w:t>astoņos</w:t>
      </w:r>
      <w:r w:rsidRPr="006F5355">
        <w:rPr>
          <w:bCs/>
          <w:sz w:val="28"/>
          <w:szCs w:val="28"/>
        </w:rPr>
        <w:t xml:space="preserve"> mēnešos patēriņa cenas </w:t>
      </w:r>
      <w:r>
        <w:rPr>
          <w:bCs/>
          <w:sz w:val="28"/>
          <w:szCs w:val="28"/>
        </w:rPr>
        <w:t xml:space="preserve">ir </w:t>
      </w:r>
      <w:r w:rsidRPr="006F5355">
        <w:rPr>
          <w:bCs/>
          <w:sz w:val="28"/>
          <w:szCs w:val="28"/>
        </w:rPr>
        <w:t>palielināj</w:t>
      </w:r>
      <w:r>
        <w:rPr>
          <w:bCs/>
          <w:sz w:val="28"/>
          <w:szCs w:val="28"/>
        </w:rPr>
        <w:t xml:space="preserve">ušās </w:t>
      </w:r>
      <w:r w:rsidRPr="006F5355">
        <w:rPr>
          <w:bCs/>
          <w:sz w:val="28"/>
          <w:szCs w:val="28"/>
        </w:rPr>
        <w:t xml:space="preserve">par </w:t>
      </w:r>
      <w:r>
        <w:rPr>
          <w:bCs/>
          <w:sz w:val="28"/>
          <w:szCs w:val="28"/>
        </w:rPr>
        <w:t>3,5% (salīdzinājumam 2010.gada astoņos mēnešos patēriņa cenas pieauga par 1,3%). 2011.gada augustā 12-mēnešu inflācija bija 4,7%, kas nozīmē, ka vidēji gada laikā cenu līmenis ir pieaudzis jau par 3,4 procentiem.</w:t>
      </w:r>
    </w:p>
    <w:p w:rsidR="005C599D" w:rsidRDefault="0049583C" w:rsidP="0049583C">
      <w:pPr>
        <w:pStyle w:val="BodyText"/>
        <w:spacing w:after="0"/>
        <w:ind w:firstLine="426"/>
        <w:jc w:val="both"/>
        <w:rPr>
          <w:sz w:val="28"/>
        </w:rPr>
      </w:pPr>
      <w:r>
        <w:rPr>
          <w:bCs/>
          <w:sz w:val="28"/>
          <w:szCs w:val="28"/>
        </w:rPr>
        <w:t xml:space="preserve">Visbūtiskākā ietekme uz patēriņa cenām ir degvielai un administratīvi regulējamām cenām. Šo preču grupu cenas kopš 2010.gada decembra ir pieaugušas attiecīgi par 12,2% un 7,2%. Administratīvi regulējamo cenu kāpumu galvenokārt ietekmēja elektroenerģijas </w:t>
      </w:r>
      <w:r w:rsidR="005C599D">
        <w:rPr>
          <w:bCs/>
          <w:sz w:val="28"/>
          <w:szCs w:val="28"/>
        </w:rPr>
        <w:t>un dabasgāzes cenu pieaugums</w:t>
      </w:r>
      <w:r>
        <w:rPr>
          <w:bCs/>
          <w:sz w:val="28"/>
          <w:szCs w:val="28"/>
        </w:rPr>
        <w:t>. Ņemot vērā pārtikas cenu kāpuma apstāšanos pasaulē, arī Latvijā pārtikas cenu kāpums ir apstājies</w:t>
      </w:r>
      <w:bookmarkEnd w:id="359"/>
      <w:bookmarkEnd w:id="360"/>
      <w:bookmarkEnd w:id="361"/>
      <w:bookmarkEnd w:id="362"/>
      <w:bookmarkEnd w:id="363"/>
      <w:bookmarkEnd w:id="364"/>
      <w:bookmarkEnd w:id="365"/>
      <w:r>
        <w:rPr>
          <w:sz w:val="28"/>
        </w:rPr>
        <w:t xml:space="preserve">. </w:t>
      </w:r>
    </w:p>
    <w:p w:rsidR="0049583C" w:rsidRPr="00DE48C0" w:rsidRDefault="005C599D" w:rsidP="0049583C">
      <w:pPr>
        <w:pStyle w:val="BodyText"/>
        <w:spacing w:after="0"/>
        <w:ind w:firstLine="426"/>
        <w:jc w:val="both"/>
        <w:rPr>
          <w:sz w:val="28"/>
        </w:rPr>
      </w:pPr>
      <w:r>
        <w:rPr>
          <w:sz w:val="28"/>
        </w:rPr>
        <w:t xml:space="preserve">Kopējo cenu līmeni būtiski ietekmē arī </w:t>
      </w:r>
      <w:r w:rsidRPr="005C599D">
        <w:rPr>
          <w:sz w:val="28"/>
        </w:rPr>
        <w:t xml:space="preserve">apģērbu un apavu cenu </w:t>
      </w:r>
      <w:r w:rsidR="005F26C5">
        <w:rPr>
          <w:sz w:val="28"/>
        </w:rPr>
        <w:t>izmaiņas</w:t>
      </w:r>
      <w:r w:rsidRPr="005C599D">
        <w:rPr>
          <w:sz w:val="28"/>
        </w:rPr>
        <w:t xml:space="preserve">. </w:t>
      </w:r>
      <w:r>
        <w:rPr>
          <w:sz w:val="28"/>
        </w:rPr>
        <w:t>Gada p</w:t>
      </w:r>
      <w:r w:rsidRPr="005C599D">
        <w:rPr>
          <w:sz w:val="28"/>
        </w:rPr>
        <w:t xml:space="preserve">irmajos divos mēnešos cenas apģērbiem un apaviem samazinājās, turpretim </w:t>
      </w:r>
      <w:r w:rsidR="005F26C5">
        <w:rPr>
          <w:sz w:val="28"/>
        </w:rPr>
        <w:t xml:space="preserve">turpmākajos mēnešos </w:t>
      </w:r>
      <w:r w:rsidRPr="005C599D">
        <w:rPr>
          <w:sz w:val="28"/>
        </w:rPr>
        <w:t>šajā preču grupā jau bija vērojams neraksturīgi augsts cenu palielinājums</w:t>
      </w:r>
      <w:r w:rsidR="005F26C5">
        <w:rPr>
          <w:sz w:val="28"/>
        </w:rPr>
        <w:t>.</w:t>
      </w:r>
      <w:r w:rsidRPr="005C599D">
        <w:rPr>
          <w:sz w:val="28"/>
        </w:rPr>
        <w:t xml:space="preserve"> </w:t>
      </w:r>
      <w:r w:rsidR="005F26C5">
        <w:rPr>
          <w:sz w:val="28"/>
        </w:rPr>
        <w:t>J</w:t>
      </w:r>
      <w:r w:rsidR="0049583C">
        <w:rPr>
          <w:sz w:val="28"/>
        </w:rPr>
        <w:t>ūnij</w:t>
      </w:r>
      <w:r w:rsidR="005F26C5">
        <w:rPr>
          <w:sz w:val="28"/>
        </w:rPr>
        <w:t>ā un jūlijā</w:t>
      </w:r>
      <w:r w:rsidR="0049583C">
        <w:rPr>
          <w:sz w:val="28"/>
        </w:rPr>
        <w:t xml:space="preserve"> cenas apģērbiem samazinājās, tomēr cenu kritums bija neliels</w:t>
      </w:r>
      <w:r w:rsidR="00120F26">
        <w:rPr>
          <w:sz w:val="28"/>
        </w:rPr>
        <w:t>,</w:t>
      </w:r>
      <w:r w:rsidR="0049583C">
        <w:rPr>
          <w:sz w:val="28"/>
        </w:rPr>
        <w:t xml:space="preserve"> salīdzinot ar kritumu iepriekšējos gados šajā periodā.</w:t>
      </w:r>
    </w:p>
    <w:p w:rsidR="0049583C" w:rsidRDefault="005F26C5" w:rsidP="0049583C">
      <w:pPr>
        <w:ind w:firstLine="426"/>
        <w:jc w:val="both"/>
        <w:rPr>
          <w:sz w:val="28"/>
        </w:rPr>
      </w:pPr>
      <w:r>
        <w:rPr>
          <w:sz w:val="28"/>
        </w:rPr>
        <w:t>Būtiskāku vasaras mēnešiem raksturīgo cenu samazinājumu ierobežo mājsaimniecību i</w:t>
      </w:r>
      <w:r w:rsidR="0049583C" w:rsidRPr="007229AE">
        <w:rPr>
          <w:sz w:val="28"/>
        </w:rPr>
        <w:t xml:space="preserve">zdevumu </w:t>
      </w:r>
      <w:r>
        <w:rPr>
          <w:sz w:val="28"/>
        </w:rPr>
        <w:t>kāpums pakalpojumiem. T</w:t>
      </w:r>
      <w:r w:rsidR="0049583C" w:rsidRPr="007229AE">
        <w:rPr>
          <w:sz w:val="28"/>
        </w:rPr>
        <w:t>o sekmē</w:t>
      </w:r>
      <w:r w:rsidR="00AD1713">
        <w:rPr>
          <w:sz w:val="28"/>
        </w:rPr>
        <w:t xml:space="preserve"> </w:t>
      </w:r>
      <w:r w:rsidR="0049583C" w:rsidRPr="007229AE">
        <w:rPr>
          <w:sz w:val="28"/>
        </w:rPr>
        <w:t xml:space="preserve">iekšējā pieprasījuma </w:t>
      </w:r>
      <w:r>
        <w:rPr>
          <w:sz w:val="28"/>
        </w:rPr>
        <w:t>atkopšanās</w:t>
      </w:r>
      <w:r w:rsidR="002307F6">
        <w:rPr>
          <w:sz w:val="28"/>
        </w:rPr>
        <w:t xml:space="preserve"> </w:t>
      </w:r>
      <w:r w:rsidR="0049583C">
        <w:rPr>
          <w:sz w:val="28"/>
        </w:rPr>
        <w:t xml:space="preserve">un </w:t>
      </w:r>
      <w:r>
        <w:rPr>
          <w:sz w:val="28"/>
        </w:rPr>
        <w:t xml:space="preserve">augošās </w:t>
      </w:r>
      <w:r w:rsidR="0049583C">
        <w:rPr>
          <w:sz w:val="28"/>
        </w:rPr>
        <w:t>inflācijas gaidas. Pakalpojumu cenu kāpumu</w:t>
      </w:r>
      <w:r w:rsidR="0049583C" w:rsidRPr="00C55AED">
        <w:rPr>
          <w:sz w:val="28"/>
        </w:rPr>
        <w:t xml:space="preserve"> daļēji ietekmē arī enerģijas resursu cenu pieaugums iepriekšējos mēnešos,</w:t>
      </w:r>
      <w:r w:rsidR="00AD1713">
        <w:rPr>
          <w:sz w:val="28"/>
        </w:rPr>
        <w:t xml:space="preserve"> </w:t>
      </w:r>
      <w:r w:rsidR="0049583C" w:rsidRPr="00C55AED">
        <w:rPr>
          <w:sz w:val="28"/>
        </w:rPr>
        <w:t>t.sk. elektroenerģijas tarifu palielinājums.</w:t>
      </w:r>
    </w:p>
    <w:p w:rsidR="0049583C" w:rsidRPr="0012035E" w:rsidRDefault="0049583C" w:rsidP="0049583C">
      <w:pPr>
        <w:ind w:left="-142" w:firstLine="426"/>
        <w:jc w:val="both"/>
        <w:rPr>
          <w:b/>
          <w:sz w:val="20"/>
        </w:rPr>
      </w:pPr>
    </w:p>
    <w:p w:rsidR="00ED338B" w:rsidRDefault="00ED338B" w:rsidP="00ED338B">
      <w:pPr>
        <w:ind w:firstLine="426"/>
        <w:jc w:val="both"/>
        <w:rPr>
          <w:sz w:val="28"/>
        </w:rPr>
      </w:pPr>
      <w:r>
        <w:rPr>
          <w:b/>
          <w:bCs/>
          <w:sz w:val="28"/>
        </w:rPr>
        <w:t>Ražotāju cenas</w:t>
      </w:r>
      <w:r>
        <w:rPr>
          <w:sz w:val="28"/>
        </w:rPr>
        <w:t xml:space="preserve"> ir atsākušas pieaugt kopš 2009.gada beigām, lai gan 2010.gada pēdējos mēnešos cenu pieaugums kļuva mērenāks. Cenas palielinājās gan vietējā tirgū realizētajai produkcijai, ko ietekmēja iekšzemes pieprasījuma stabilizēšanās, gan eksportētajai produkcijai, ko pamatā noteica Latvijas galveno eksportpreču, t. sk. kokmateriālu, metāla izstrādājumu un pārtikas preču cenu kāpums pasaules tirgos.</w:t>
      </w:r>
    </w:p>
    <w:p w:rsidR="00ED338B" w:rsidRDefault="00ED338B" w:rsidP="00ED338B">
      <w:pPr>
        <w:pStyle w:val="BodyText"/>
        <w:spacing w:after="0"/>
        <w:ind w:firstLine="426"/>
        <w:jc w:val="both"/>
        <w:rPr>
          <w:sz w:val="28"/>
          <w:szCs w:val="28"/>
        </w:rPr>
      </w:pPr>
      <w:r w:rsidRPr="002307F6">
        <w:rPr>
          <w:sz w:val="28"/>
          <w:szCs w:val="28"/>
        </w:rPr>
        <w:t xml:space="preserve">Arī 2011.gada astoņos mēnešos ražotāju cenas turpina pieaugt. </w:t>
      </w:r>
      <w:r w:rsidRPr="002307F6">
        <w:rPr>
          <w:rStyle w:val="Strong"/>
          <w:rFonts w:eastAsiaTheme="majorEastAsia"/>
          <w:b w:val="0"/>
          <w:sz w:val="28"/>
          <w:szCs w:val="28"/>
        </w:rPr>
        <w:t>2011.gada augustā, salīdzinot ar 2010.gada augustu,</w:t>
      </w:r>
      <w:r w:rsidRPr="002307F6">
        <w:rPr>
          <w:sz w:val="28"/>
          <w:szCs w:val="28"/>
        </w:rPr>
        <w:t xml:space="preserve"> ražotāju cenas palielinājās par 7,8%</w:t>
      </w:r>
      <w:r>
        <w:rPr>
          <w:sz w:val="28"/>
          <w:szCs w:val="28"/>
        </w:rPr>
        <w:t xml:space="preserve"> (t.sk. apstrādes rūpniecībā par 7,0%). Vietējā tirgū realizētās produkcijas cenas pieauga par 9,1%, savukārt eksportētajai produkcijai – par 6,1%. Būtiskākā ietekme uz cenu pārmaiņām bija ķīmisko vielu un ķīmisko produktu ražošanā – par 30,5%, metālu ražošanā – par 20,9%, pārtikas produktu ražošanā – par 10,7% un elektroenerģijā, gāzes apgādē, siltumapgādē un</w:t>
      </w:r>
      <w:r w:rsidR="0012035E">
        <w:rPr>
          <w:sz w:val="28"/>
          <w:szCs w:val="28"/>
        </w:rPr>
        <w:t xml:space="preserve"> gaisa kondicionēšanā – par 9,6 </w:t>
      </w:r>
      <w:r>
        <w:rPr>
          <w:sz w:val="28"/>
          <w:szCs w:val="28"/>
        </w:rPr>
        <w:t>procentiem.</w:t>
      </w:r>
    </w:p>
    <w:p w:rsidR="0049583C" w:rsidRPr="003F5B41" w:rsidRDefault="0049583C" w:rsidP="0049583C">
      <w:pPr>
        <w:jc w:val="both"/>
        <w:rPr>
          <w:rFonts w:eastAsia="Times New Roman"/>
          <w:sz w:val="8"/>
          <w:szCs w:val="8"/>
          <w:lang w:eastAsia="lv-LV"/>
        </w:rPr>
      </w:pPr>
    </w:p>
    <w:p w:rsidR="0049583C" w:rsidRPr="0049583C" w:rsidRDefault="0049583C" w:rsidP="0049583C">
      <w:pPr>
        <w:ind w:firstLine="284"/>
        <w:rPr>
          <w:rFonts w:eastAsia="Times New Roman"/>
          <w:sz w:val="14"/>
          <w:lang w:eastAsia="lv-LV"/>
        </w:rPr>
      </w:pPr>
    </w:p>
    <w:p w:rsidR="0049583C" w:rsidRDefault="0049583C" w:rsidP="0049583C">
      <w:pPr>
        <w:ind w:firstLine="284"/>
      </w:pPr>
      <w:r w:rsidRPr="0086370B">
        <w:rPr>
          <w:rFonts w:eastAsia="Times New Roman"/>
          <w:sz w:val="28"/>
          <w:lang w:eastAsia="lv-LV"/>
        </w:rPr>
        <w:t>Turpinājumā ir sniegta vispusīga statistiskā informācija par patēriņa un ražotāju cenu pārmaiņām.</w:t>
      </w:r>
    </w:p>
    <w:p w:rsidR="005F26C5" w:rsidRDefault="005F26C5">
      <w:pPr>
        <w:rPr>
          <w:rStyle w:val="Heading2Char"/>
          <w:b w:val="0"/>
        </w:rPr>
      </w:pPr>
      <w:r>
        <w:rPr>
          <w:rStyle w:val="Heading2Char"/>
          <w:b w:val="0"/>
        </w:rPr>
        <w:br w:type="page"/>
      </w:r>
    </w:p>
    <w:p w:rsidR="005D5DF1" w:rsidRDefault="005D5DF1" w:rsidP="005D5DF1">
      <w:bookmarkStart w:id="366" w:name="_Toc305421456"/>
      <w:r>
        <w:rPr>
          <w:rStyle w:val="Heading2Char"/>
          <w:b w:val="0"/>
        </w:rPr>
        <w:lastRenderedPageBreak/>
        <w:t>7</w:t>
      </w:r>
      <w:r w:rsidRPr="00CD3CE6">
        <w:rPr>
          <w:rStyle w:val="Heading2Char"/>
          <w:b w:val="0"/>
        </w:rPr>
        <w:t>.1.attēls.</w:t>
      </w:r>
      <w:r w:rsidRPr="009F6E8E">
        <w:rPr>
          <w:rStyle w:val="Heading2Char"/>
        </w:rPr>
        <w:t xml:space="preserve"> Patēriņa cenu pārmaiņas</w:t>
      </w:r>
      <w:bookmarkEnd w:id="366"/>
      <w:r w:rsidRPr="009F6E8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03"/>
      </w:tblGrid>
      <w:tr w:rsidR="005D5DF1" w:rsidTr="005D5DF1">
        <w:tc>
          <w:tcPr>
            <w:tcW w:w="4952" w:type="dxa"/>
            <w:vAlign w:val="bottom"/>
          </w:tcPr>
          <w:p w:rsidR="005D5DF1" w:rsidRDefault="005D5DF1" w:rsidP="005D5DF1">
            <w:pPr>
              <w:jc w:val="center"/>
            </w:pPr>
            <w:r>
              <w:t>Izmaiņas % pret iepriekšējā gada atbilstošo mēnesi (</w:t>
            </w:r>
            <w:r w:rsidRPr="009F6E8E">
              <w:t>12 mēnešu inflācija</w:t>
            </w:r>
            <w:r>
              <w:t>)</w:t>
            </w:r>
          </w:p>
        </w:tc>
        <w:tc>
          <w:tcPr>
            <w:tcW w:w="4903" w:type="dxa"/>
            <w:vAlign w:val="bottom"/>
          </w:tcPr>
          <w:p w:rsidR="005D5DF1" w:rsidRDefault="005D5DF1" w:rsidP="005D5DF1">
            <w:pPr>
              <w:jc w:val="center"/>
            </w:pPr>
            <w:r>
              <w:t>2006.gada decembris = 100</w:t>
            </w:r>
          </w:p>
        </w:tc>
      </w:tr>
      <w:tr w:rsidR="005D5DF1" w:rsidTr="005D5DF1">
        <w:tc>
          <w:tcPr>
            <w:tcW w:w="4952" w:type="dxa"/>
          </w:tcPr>
          <w:p w:rsidR="005D5DF1" w:rsidRDefault="005D5DF1" w:rsidP="005D5DF1">
            <w:r w:rsidRPr="009F6E8E">
              <w:rPr>
                <w:noProof/>
              </w:rPr>
              <w:drawing>
                <wp:inline distT="0" distB="0" distL="0" distR="0">
                  <wp:extent cx="3003550" cy="2787650"/>
                  <wp:effectExtent l="19050" t="0" r="0" b="0"/>
                  <wp:docPr id="2"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903" w:type="dxa"/>
          </w:tcPr>
          <w:p w:rsidR="005D5DF1" w:rsidRDefault="005D5DF1" w:rsidP="005D5DF1">
            <w:r w:rsidRPr="00CE5FF6">
              <w:rPr>
                <w:noProof/>
              </w:rPr>
              <w:drawing>
                <wp:inline distT="0" distB="0" distL="0" distR="0">
                  <wp:extent cx="2971800" cy="2755900"/>
                  <wp:effectExtent l="19050" t="0" r="0" b="0"/>
                  <wp:docPr id="2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rsidR="00072D1C" w:rsidRDefault="00072D1C" w:rsidP="005D5DF1">
      <w:pPr>
        <w:pStyle w:val="Heading2"/>
        <w:rPr>
          <w:b w:val="0"/>
        </w:rPr>
      </w:pPr>
      <w:bookmarkStart w:id="367" w:name="_Toc216077879"/>
      <w:bookmarkStart w:id="368" w:name="_Toc216079548"/>
      <w:bookmarkStart w:id="369" w:name="_Toc216079616"/>
      <w:bookmarkStart w:id="370" w:name="_Toc216079678"/>
      <w:bookmarkStart w:id="371" w:name="_Toc216079734"/>
      <w:bookmarkStart w:id="372" w:name="_Toc216079790"/>
      <w:bookmarkStart w:id="373" w:name="_Toc216079846"/>
    </w:p>
    <w:p w:rsidR="005D5DF1" w:rsidRPr="009F6E8E" w:rsidRDefault="005D5DF1" w:rsidP="005D5DF1">
      <w:pPr>
        <w:pStyle w:val="Heading2"/>
      </w:pPr>
      <w:bookmarkStart w:id="374" w:name="_Toc305421457"/>
      <w:r>
        <w:rPr>
          <w:b w:val="0"/>
        </w:rPr>
        <w:t>7</w:t>
      </w:r>
      <w:r w:rsidRPr="009F6E8E">
        <w:rPr>
          <w:b w:val="0"/>
        </w:rPr>
        <w:t>.1.tabula.</w:t>
      </w:r>
      <w:r w:rsidRPr="009F6E8E">
        <w:t xml:space="preserve"> Patēriņa cenu pārmaiņas pa mēnešiem</w:t>
      </w:r>
      <w:bookmarkEnd w:id="367"/>
      <w:bookmarkEnd w:id="368"/>
      <w:bookmarkEnd w:id="369"/>
      <w:bookmarkEnd w:id="370"/>
      <w:bookmarkEnd w:id="371"/>
      <w:bookmarkEnd w:id="372"/>
      <w:bookmarkEnd w:id="373"/>
      <w:bookmarkEnd w:id="374"/>
    </w:p>
    <w:p w:rsidR="005D5DF1" w:rsidRPr="009F6E8E" w:rsidRDefault="005D5DF1" w:rsidP="005D5DF1">
      <w:pPr>
        <w:pStyle w:val="BodyTextIndent"/>
        <w:spacing w:after="0"/>
        <w:ind w:left="0"/>
        <w:jc w:val="center"/>
        <w:rPr>
          <w:b/>
          <w:sz w:val="6"/>
          <w:szCs w:val="20"/>
        </w:rPr>
      </w:pPr>
    </w:p>
    <w:tbl>
      <w:tblPr>
        <w:tblStyle w:val="LightShading1"/>
        <w:tblW w:w="7986" w:type="dxa"/>
        <w:jc w:val="center"/>
        <w:tblLayout w:type="fixed"/>
        <w:tblLook w:val="0400"/>
      </w:tblPr>
      <w:tblGrid>
        <w:gridCol w:w="734"/>
        <w:gridCol w:w="1441"/>
        <w:gridCol w:w="1937"/>
        <w:gridCol w:w="2433"/>
        <w:gridCol w:w="1441"/>
      </w:tblGrid>
      <w:tr w:rsidR="005D5DF1" w:rsidRPr="00E701AA" w:rsidTr="00372FEC">
        <w:trPr>
          <w:tblHeader/>
          <w:jc w:val="center"/>
        </w:trPr>
        <w:tc>
          <w:tcPr>
            <w:tcW w:w="734" w:type="dxa"/>
            <w:tcBorders>
              <w:top w:val="single" w:sz="4" w:space="0" w:color="FF0000"/>
              <w:bottom w:val="nil"/>
            </w:tcBorders>
            <w:noWrap/>
          </w:tcPr>
          <w:p w:rsidR="005D5DF1" w:rsidRPr="00E701AA" w:rsidRDefault="005D5DF1" w:rsidP="005D5DF1">
            <w:pPr>
              <w:spacing w:before="20" w:after="20"/>
              <w:ind w:left="-288" w:firstLine="288"/>
              <w:jc w:val="center"/>
              <w:rPr>
                <w:bCs/>
                <w:color w:val="auto"/>
                <w:sz w:val="22"/>
                <w:szCs w:val="22"/>
                <w:u w:val="single"/>
              </w:rPr>
            </w:pPr>
            <w:r w:rsidRPr="00E701AA">
              <w:rPr>
                <w:bCs/>
                <w:color w:val="auto"/>
                <w:sz w:val="22"/>
                <w:szCs w:val="22"/>
                <w:u w:val="single"/>
              </w:rPr>
              <w:t>Gads</w:t>
            </w:r>
          </w:p>
        </w:tc>
        <w:tc>
          <w:tcPr>
            <w:tcW w:w="1441" w:type="dxa"/>
            <w:tcBorders>
              <w:top w:val="single" w:sz="4" w:space="0" w:color="FF0000"/>
              <w:bottom w:val="nil"/>
            </w:tcBorders>
            <w:noWrap/>
          </w:tcPr>
          <w:p w:rsidR="005D5DF1" w:rsidRPr="00E701AA" w:rsidRDefault="005D5DF1" w:rsidP="005D5DF1">
            <w:pPr>
              <w:spacing w:before="20" w:after="20"/>
              <w:jc w:val="center"/>
              <w:rPr>
                <w:bCs/>
                <w:color w:val="auto"/>
                <w:sz w:val="22"/>
                <w:szCs w:val="22"/>
                <w:u w:val="single"/>
              </w:rPr>
            </w:pPr>
            <w:r w:rsidRPr="00E701AA">
              <w:rPr>
                <w:bCs/>
                <w:color w:val="auto"/>
                <w:sz w:val="22"/>
                <w:szCs w:val="22"/>
                <w:u w:val="single"/>
              </w:rPr>
              <w:t>Mēnesis</w:t>
            </w:r>
          </w:p>
        </w:tc>
        <w:tc>
          <w:tcPr>
            <w:tcW w:w="5811" w:type="dxa"/>
            <w:gridSpan w:val="3"/>
            <w:tcBorders>
              <w:top w:val="single" w:sz="4" w:space="0" w:color="FF0000"/>
              <w:bottom w:val="nil"/>
            </w:tcBorders>
            <w:noWrap/>
          </w:tcPr>
          <w:p w:rsidR="005D5DF1" w:rsidRPr="00E701AA" w:rsidRDefault="005D5DF1" w:rsidP="005D5DF1">
            <w:pPr>
              <w:spacing w:before="20" w:after="20"/>
              <w:jc w:val="center"/>
              <w:rPr>
                <w:bCs/>
                <w:color w:val="auto"/>
                <w:sz w:val="22"/>
                <w:szCs w:val="22"/>
                <w:u w:val="single"/>
              </w:rPr>
            </w:pPr>
            <w:r w:rsidRPr="00E701AA">
              <w:rPr>
                <w:bCs/>
                <w:color w:val="auto"/>
                <w:sz w:val="22"/>
                <w:szCs w:val="22"/>
                <w:u w:val="single"/>
              </w:rPr>
              <w:t>Cenu izmaiņas %</w:t>
            </w:r>
          </w:p>
        </w:tc>
      </w:tr>
      <w:tr w:rsidR="005D5DF1" w:rsidRPr="0028053D" w:rsidTr="00372FEC">
        <w:trPr>
          <w:tblHeader/>
          <w:jc w:val="center"/>
        </w:trPr>
        <w:tc>
          <w:tcPr>
            <w:tcW w:w="734" w:type="dxa"/>
            <w:tcBorders>
              <w:top w:val="nil"/>
              <w:bottom w:val="single" w:sz="4" w:space="0" w:color="FF0000"/>
            </w:tcBorders>
          </w:tcPr>
          <w:p w:rsidR="005D5DF1" w:rsidRPr="0028053D" w:rsidRDefault="005D5DF1" w:rsidP="005D5DF1">
            <w:pPr>
              <w:spacing w:before="20" w:after="20"/>
              <w:jc w:val="center"/>
              <w:rPr>
                <w:b/>
                <w:bCs/>
                <w:color w:val="auto"/>
                <w:sz w:val="22"/>
                <w:szCs w:val="22"/>
              </w:rPr>
            </w:pPr>
          </w:p>
        </w:tc>
        <w:tc>
          <w:tcPr>
            <w:tcW w:w="1441" w:type="dxa"/>
            <w:tcBorders>
              <w:top w:val="nil"/>
              <w:bottom w:val="single" w:sz="4" w:space="0" w:color="FF0000"/>
            </w:tcBorders>
          </w:tcPr>
          <w:p w:rsidR="005D5DF1" w:rsidRPr="0028053D" w:rsidRDefault="005D5DF1" w:rsidP="005D5DF1">
            <w:pPr>
              <w:spacing w:before="20" w:after="20"/>
              <w:jc w:val="center"/>
              <w:rPr>
                <w:b/>
                <w:bCs/>
                <w:color w:val="auto"/>
                <w:sz w:val="22"/>
                <w:szCs w:val="22"/>
              </w:rPr>
            </w:pPr>
          </w:p>
        </w:tc>
        <w:tc>
          <w:tcPr>
            <w:tcW w:w="1937" w:type="dxa"/>
            <w:tcBorders>
              <w:top w:val="nil"/>
              <w:bottom w:val="single" w:sz="4" w:space="0" w:color="FF0000"/>
            </w:tcBorders>
          </w:tcPr>
          <w:p w:rsidR="005D5DF1" w:rsidRPr="0028053D" w:rsidRDefault="005D5DF1" w:rsidP="005D5DF1">
            <w:pPr>
              <w:spacing w:before="20" w:after="20"/>
              <w:jc w:val="center"/>
              <w:rPr>
                <w:bCs/>
                <w:color w:val="auto"/>
                <w:sz w:val="22"/>
                <w:szCs w:val="22"/>
              </w:rPr>
            </w:pPr>
            <w:r w:rsidRPr="0028053D">
              <w:rPr>
                <w:bCs/>
                <w:color w:val="auto"/>
                <w:sz w:val="22"/>
                <w:szCs w:val="22"/>
              </w:rPr>
              <w:t>salīdzinot ar iepriekšējo mēnesi</w:t>
            </w:r>
          </w:p>
        </w:tc>
        <w:tc>
          <w:tcPr>
            <w:tcW w:w="2433" w:type="dxa"/>
            <w:tcBorders>
              <w:top w:val="nil"/>
              <w:bottom w:val="single" w:sz="4" w:space="0" w:color="FF0000"/>
            </w:tcBorders>
          </w:tcPr>
          <w:p w:rsidR="005D5DF1" w:rsidRPr="0028053D" w:rsidRDefault="005D5DF1" w:rsidP="005D5DF1">
            <w:pPr>
              <w:spacing w:before="20" w:after="20"/>
              <w:jc w:val="center"/>
              <w:rPr>
                <w:bCs/>
                <w:color w:val="auto"/>
                <w:sz w:val="22"/>
                <w:szCs w:val="22"/>
              </w:rPr>
            </w:pPr>
            <w:r w:rsidRPr="0028053D">
              <w:rPr>
                <w:bCs/>
                <w:color w:val="auto"/>
                <w:sz w:val="22"/>
                <w:szCs w:val="22"/>
              </w:rPr>
              <w:t>salīdzinot ar iepriekšējā gada attiecīgo mēnesi</w:t>
            </w:r>
          </w:p>
        </w:tc>
        <w:tc>
          <w:tcPr>
            <w:tcW w:w="1441" w:type="dxa"/>
            <w:tcBorders>
              <w:top w:val="nil"/>
              <w:bottom w:val="single" w:sz="4" w:space="0" w:color="FF0000"/>
            </w:tcBorders>
          </w:tcPr>
          <w:p w:rsidR="005D5DF1" w:rsidRPr="0028053D" w:rsidRDefault="005D5DF1" w:rsidP="005D5DF1">
            <w:pPr>
              <w:spacing w:before="20" w:after="20"/>
              <w:jc w:val="center"/>
              <w:rPr>
                <w:bCs/>
                <w:color w:val="auto"/>
                <w:sz w:val="22"/>
                <w:szCs w:val="22"/>
              </w:rPr>
            </w:pPr>
            <w:r w:rsidRPr="0028053D">
              <w:rPr>
                <w:bCs/>
                <w:color w:val="auto"/>
                <w:sz w:val="22"/>
                <w:szCs w:val="22"/>
              </w:rPr>
              <w:t>vidēji gada laikā</w:t>
            </w:r>
          </w:p>
        </w:tc>
      </w:tr>
      <w:tr w:rsidR="007113B3" w:rsidRPr="0028053D" w:rsidTr="00372FEC">
        <w:trPr>
          <w:cnfStyle w:val="000000100000"/>
          <w:trHeight w:val="303"/>
          <w:jc w:val="center"/>
        </w:trPr>
        <w:tc>
          <w:tcPr>
            <w:tcW w:w="734" w:type="dxa"/>
            <w:tcBorders>
              <w:top w:val="single" w:sz="4" w:space="0" w:color="FF0000"/>
              <w:bottom w:val="nil"/>
            </w:tcBorders>
            <w:noWrap/>
          </w:tcPr>
          <w:p w:rsidR="007113B3" w:rsidRPr="0028053D" w:rsidRDefault="007113B3" w:rsidP="005D5DF1">
            <w:pPr>
              <w:spacing w:before="20" w:after="20"/>
              <w:jc w:val="center"/>
              <w:rPr>
                <w:b/>
                <w:color w:val="auto"/>
                <w:sz w:val="22"/>
                <w:szCs w:val="20"/>
              </w:rPr>
            </w:pPr>
            <w:r w:rsidRPr="0028053D">
              <w:rPr>
                <w:b/>
                <w:color w:val="auto"/>
                <w:sz w:val="22"/>
                <w:szCs w:val="22"/>
              </w:rPr>
              <w:t>2009</w:t>
            </w:r>
          </w:p>
        </w:tc>
        <w:tc>
          <w:tcPr>
            <w:tcW w:w="1441" w:type="dxa"/>
            <w:tcBorders>
              <w:top w:val="single" w:sz="4" w:space="0" w:color="FF0000"/>
              <w:bottom w:val="nil"/>
            </w:tcBorders>
            <w:noWrap/>
          </w:tcPr>
          <w:p w:rsidR="007113B3" w:rsidRPr="0028053D" w:rsidRDefault="007113B3" w:rsidP="00954DE9">
            <w:pPr>
              <w:spacing w:before="20" w:after="20"/>
              <w:ind w:left="212"/>
              <w:rPr>
                <w:color w:val="auto"/>
                <w:sz w:val="22"/>
                <w:szCs w:val="20"/>
              </w:rPr>
            </w:pPr>
            <w:r w:rsidRPr="0028053D">
              <w:rPr>
                <w:color w:val="auto"/>
                <w:sz w:val="22"/>
                <w:szCs w:val="20"/>
              </w:rPr>
              <w:t>Augusts</w:t>
            </w:r>
          </w:p>
        </w:tc>
        <w:tc>
          <w:tcPr>
            <w:tcW w:w="1937" w:type="dxa"/>
            <w:tcBorders>
              <w:top w:val="single" w:sz="4" w:space="0" w:color="FF0000"/>
              <w:bottom w:val="nil"/>
            </w:tcBorders>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-1,0</w:t>
            </w:r>
          </w:p>
        </w:tc>
        <w:tc>
          <w:tcPr>
            <w:tcW w:w="2433" w:type="dxa"/>
            <w:tcBorders>
              <w:top w:val="single" w:sz="4" w:space="0" w:color="FF0000"/>
              <w:bottom w:val="nil"/>
            </w:tcBorders>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1,8</w:t>
            </w:r>
          </w:p>
        </w:tc>
        <w:tc>
          <w:tcPr>
            <w:tcW w:w="1441" w:type="dxa"/>
            <w:tcBorders>
              <w:top w:val="single" w:sz="4" w:space="0" w:color="FF0000"/>
              <w:bottom w:val="nil"/>
            </w:tcBorders>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7,9</w:t>
            </w:r>
          </w:p>
        </w:tc>
      </w:tr>
      <w:tr w:rsidR="007113B3" w:rsidRPr="0028053D" w:rsidTr="00372FEC">
        <w:trPr>
          <w:trHeight w:val="287"/>
          <w:jc w:val="center"/>
        </w:trPr>
        <w:tc>
          <w:tcPr>
            <w:tcW w:w="734" w:type="dxa"/>
            <w:tcBorders>
              <w:top w:val="nil"/>
            </w:tcBorders>
            <w:noWrap/>
          </w:tcPr>
          <w:p w:rsidR="007113B3" w:rsidRPr="0028053D" w:rsidRDefault="007113B3" w:rsidP="005D5DF1">
            <w:pPr>
              <w:spacing w:before="20" w:after="20"/>
              <w:jc w:val="center"/>
              <w:rPr>
                <w:b/>
                <w:color w:val="auto"/>
                <w:sz w:val="22"/>
                <w:szCs w:val="20"/>
              </w:rPr>
            </w:pPr>
          </w:p>
        </w:tc>
        <w:tc>
          <w:tcPr>
            <w:tcW w:w="1441" w:type="dxa"/>
            <w:tcBorders>
              <w:top w:val="nil"/>
            </w:tcBorders>
            <w:noWrap/>
          </w:tcPr>
          <w:p w:rsidR="007113B3" w:rsidRPr="0028053D" w:rsidRDefault="007113B3" w:rsidP="00954DE9">
            <w:pPr>
              <w:spacing w:before="20" w:after="20"/>
              <w:ind w:left="212"/>
              <w:rPr>
                <w:color w:val="auto"/>
                <w:sz w:val="22"/>
                <w:szCs w:val="22"/>
              </w:rPr>
            </w:pPr>
            <w:r w:rsidRPr="0028053D">
              <w:rPr>
                <w:color w:val="auto"/>
                <w:sz w:val="22"/>
                <w:szCs w:val="22"/>
              </w:rPr>
              <w:t>Septembris</w:t>
            </w:r>
          </w:p>
        </w:tc>
        <w:tc>
          <w:tcPr>
            <w:tcW w:w="1937" w:type="dxa"/>
            <w:tcBorders>
              <w:top w:val="nil"/>
            </w:tcBorders>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-0,1</w:t>
            </w:r>
          </w:p>
        </w:tc>
        <w:tc>
          <w:tcPr>
            <w:tcW w:w="2433" w:type="dxa"/>
            <w:tcBorders>
              <w:top w:val="nil"/>
            </w:tcBorders>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0,5</w:t>
            </w:r>
          </w:p>
        </w:tc>
        <w:tc>
          <w:tcPr>
            <w:tcW w:w="1441" w:type="dxa"/>
            <w:tcBorders>
              <w:top w:val="nil"/>
            </w:tcBorders>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6,7</w:t>
            </w:r>
          </w:p>
        </w:tc>
      </w:tr>
      <w:tr w:rsidR="007113B3" w:rsidRPr="0028053D" w:rsidTr="005D5DF1">
        <w:trPr>
          <w:cnfStyle w:val="000000100000"/>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Oktobris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-0,2</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-0,9</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5,5</w:t>
            </w:r>
          </w:p>
        </w:tc>
      </w:tr>
      <w:tr w:rsidR="007113B3" w:rsidRPr="0028053D" w:rsidTr="005D5DF1">
        <w:trPr>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Novembris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-0,7</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-1,2</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4,5</w:t>
            </w:r>
          </w:p>
        </w:tc>
      </w:tr>
      <w:tr w:rsidR="007113B3" w:rsidRPr="0028053D" w:rsidTr="005D5DF1">
        <w:trPr>
          <w:cnfStyle w:val="000000100000"/>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Decembris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-0,5</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-1,2</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3,5</w:t>
            </w:r>
          </w:p>
        </w:tc>
      </w:tr>
      <w:tr w:rsidR="007113B3" w:rsidRPr="0028053D" w:rsidTr="005D5DF1">
        <w:trPr>
          <w:trHeight w:val="236"/>
          <w:jc w:val="center"/>
        </w:trPr>
        <w:tc>
          <w:tcPr>
            <w:tcW w:w="734" w:type="dxa"/>
            <w:noWrap/>
          </w:tcPr>
          <w:p w:rsidR="007113B3" w:rsidRPr="0028053D" w:rsidRDefault="007113B3" w:rsidP="005D5DF1">
            <w:pPr>
              <w:spacing w:before="20" w:after="20"/>
              <w:jc w:val="center"/>
              <w:rPr>
                <w:b/>
                <w:color w:val="auto"/>
                <w:sz w:val="22"/>
                <w:szCs w:val="20"/>
              </w:rPr>
            </w:pPr>
            <w:r w:rsidRPr="0028053D">
              <w:rPr>
                <w:b/>
                <w:color w:val="auto"/>
                <w:sz w:val="22"/>
                <w:szCs w:val="20"/>
              </w:rPr>
              <w:t>2010</w:t>
            </w: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Janvāris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0,2</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-3,1</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2,5</w:t>
            </w:r>
          </w:p>
        </w:tc>
      </w:tr>
      <w:tr w:rsidR="007113B3" w:rsidRPr="0028053D" w:rsidTr="005D5DF1">
        <w:trPr>
          <w:cnfStyle w:val="000000100000"/>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Februāris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0,0</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-4,2</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1,3</w:t>
            </w:r>
          </w:p>
        </w:tc>
      </w:tr>
      <w:tr w:rsidR="007113B3" w:rsidRPr="0028053D" w:rsidTr="005D5DF1">
        <w:trPr>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Marts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0,5</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-3,9</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0,3</w:t>
            </w:r>
          </w:p>
        </w:tc>
      </w:tr>
      <w:tr w:rsidR="007113B3" w:rsidRPr="0028053D" w:rsidTr="005D5DF1">
        <w:trPr>
          <w:cnfStyle w:val="000000100000"/>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2"/>
              </w:rPr>
            </w:pPr>
            <w:r w:rsidRPr="0028053D">
              <w:rPr>
                <w:color w:val="auto"/>
                <w:sz w:val="22"/>
                <w:szCs w:val="22"/>
              </w:rPr>
              <w:t>Aprīlis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0,9</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-2,7</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-0,4</w:t>
            </w:r>
          </w:p>
        </w:tc>
      </w:tr>
      <w:tr w:rsidR="007113B3" w:rsidRPr="0028053D" w:rsidTr="005D5DF1">
        <w:trPr>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0"/>
              </w:rPr>
            </w:pPr>
            <w:r w:rsidRPr="0028053D">
              <w:rPr>
                <w:color w:val="auto"/>
                <w:sz w:val="22"/>
                <w:szCs w:val="20"/>
              </w:rPr>
              <w:t>Maijs</w:t>
            </w:r>
          </w:p>
        </w:tc>
        <w:tc>
          <w:tcPr>
            <w:tcW w:w="1937" w:type="dxa"/>
            <w:noWrap/>
          </w:tcPr>
          <w:p w:rsidR="007113B3" w:rsidRPr="0028053D" w:rsidRDefault="007113B3" w:rsidP="00954DE9">
            <w:pPr>
              <w:tabs>
                <w:tab w:val="decimal" w:pos="860"/>
              </w:tabs>
              <w:spacing w:before="20" w:after="20"/>
              <w:rPr>
                <w:color w:val="auto"/>
                <w:sz w:val="20"/>
                <w:szCs w:val="18"/>
              </w:rPr>
            </w:pPr>
            <w:r w:rsidRPr="0028053D">
              <w:rPr>
                <w:color w:val="auto"/>
                <w:sz w:val="20"/>
                <w:szCs w:val="18"/>
              </w:rPr>
              <w:t>-0,1</w:t>
            </w:r>
          </w:p>
        </w:tc>
        <w:tc>
          <w:tcPr>
            <w:tcW w:w="2433" w:type="dxa"/>
            <w:noWrap/>
          </w:tcPr>
          <w:p w:rsidR="007113B3" w:rsidRPr="0028053D" w:rsidRDefault="007113B3" w:rsidP="00954DE9">
            <w:pPr>
              <w:tabs>
                <w:tab w:val="decimal" w:pos="1050"/>
              </w:tabs>
              <w:spacing w:before="20" w:after="20"/>
              <w:rPr>
                <w:color w:val="auto"/>
                <w:sz w:val="20"/>
                <w:szCs w:val="18"/>
              </w:rPr>
            </w:pPr>
            <w:r w:rsidRPr="0028053D">
              <w:rPr>
                <w:color w:val="auto"/>
                <w:sz w:val="20"/>
                <w:szCs w:val="18"/>
              </w:rPr>
              <w:t>-2,3</w:t>
            </w:r>
          </w:p>
        </w:tc>
        <w:tc>
          <w:tcPr>
            <w:tcW w:w="1441" w:type="dxa"/>
            <w:noWrap/>
          </w:tcPr>
          <w:p w:rsidR="007113B3" w:rsidRPr="0028053D" w:rsidRDefault="007113B3" w:rsidP="00954DE9">
            <w:pPr>
              <w:tabs>
                <w:tab w:val="decimal" w:pos="459"/>
              </w:tabs>
              <w:spacing w:before="20" w:after="20"/>
              <w:jc w:val="center"/>
              <w:rPr>
                <w:color w:val="auto"/>
                <w:sz w:val="20"/>
                <w:szCs w:val="18"/>
              </w:rPr>
            </w:pPr>
            <w:r w:rsidRPr="0028053D">
              <w:rPr>
                <w:color w:val="auto"/>
                <w:sz w:val="20"/>
                <w:szCs w:val="18"/>
              </w:rPr>
              <w:t>-1,0</w:t>
            </w:r>
          </w:p>
        </w:tc>
      </w:tr>
      <w:tr w:rsidR="007113B3" w:rsidRPr="0028053D" w:rsidTr="005D5DF1">
        <w:trPr>
          <w:cnfStyle w:val="000000100000"/>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0"/>
              </w:rPr>
            </w:pPr>
            <w:r w:rsidRPr="0028053D">
              <w:rPr>
                <w:color w:val="auto"/>
                <w:sz w:val="22"/>
                <w:szCs w:val="20"/>
              </w:rPr>
              <w:t>Jūnijs</w:t>
            </w:r>
          </w:p>
        </w:tc>
        <w:tc>
          <w:tcPr>
            <w:tcW w:w="1937" w:type="dxa"/>
            <w:noWrap/>
          </w:tcPr>
          <w:p w:rsidR="007113B3" w:rsidRPr="00A22198" w:rsidRDefault="007113B3" w:rsidP="00954DE9">
            <w:pPr>
              <w:tabs>
                <w:tab w:val="decimal" w:pos="860"/>
              </w:tabs>
              <w:spacing w:before="20" w:after="20"/>
              <w:rPr>
                <w:color w:val="auto"/>
                <w:sz w:val="20"/>
                <w:szCs w:val="18"/>
              </w:rPr>
            </w:pPr>
            <w:r w:rsidRPr="00A22198">
              <w:rPr>
                <w:color w:val="auto"/>
                <w:sz w:val="20"/>
                <w:szCs w:val="18"/>
              </w:rPr>
              <w:t>0,4</w:t>
            </w:r>
          </w:p>
        </w:tc>
        <w:tc>
          <w:tcPr>
            <w:tcW w:w="2433" w:type="dxa"/>
            <w:noWrap/>
          </w:tcPr>
          <w:p w:rsidR="007113B3" w:rsidRPr="00A22198" w:rsidRDefault="007113B3" w:rsidP="00954DE9">
            <w:pPr>
              <w:tabs>
                <w:tab w:val="decimal" w:pos="1050"/>
              </w:tabs>
              <w:spacing w:before="20" w:after="20"/>
              <w:rPr>
                <w:color w:val="auto"/>
                <w:sz w:val="20"/>
                <w:szCs w:val="18"/>
              </w:rPr>
            </w:pPr>
            <w:r>
              <w:rPr>
                <w:color w:val="auto"/>
                <w:sz w:val="20"/>
                <w:szCs w:val="18"/>
              </w:rPr>
              <w:t>-1,4</w:t>
            </w:r>
          </w:p>
        </w:tc>
        <w:tc>
          <w:tcPr>
            <w:tcW w:w="1441" w:type="dxa"/>
            <w:noWrap/>
          </w:tcPr>
          <w:p w:rsidR="007113B3" w:rsidRPr="00A22198" w:rsidRDefault="007113B3" w:rsidP="00954DE9">
            <w:pPr>
              <w:tabs>
                <w:tab w:val="decimal" w:pos="459"/>
              </w:tabs>
              <w:spacing w:before="20" w:after="20"/>
              <w:jc w:val="center"/>
              <w:rPr>
                <w:color w:val="auto"/>
                <w:sz w:val="20"/>
                <w:szCs w:val="18"/>
              </w:rPr>
            </w:pPr>
            <w:r>
              <w:rPr>
                <w:color w:val="auto"/>
                <w:sz w:val="20"/>
                <w:szCs w:val="18"/>
              </w:rPr>
              <w:t>-1,4</w:t>
            </w:r>
          </w:p>
        </w:tc>
      </w:tr>
      <w:tr w:rsidR="007113B3" w:rsidRPr="0028053D" w:rsidTr="005D5DF1">
        <w:trPr>
          <w:trHeight w:val="236"/>
          <w:jc w:val="center"/>
        </w:trPr>
        <w:tc>
          <w:tcPr>
            <w:tcW w:w="734" w:type="dxa"/>
            <w:noWrap/>
          </w:tcPr>
          <w:p w:rsidR="007113B3" w:rsidRPr="0028053D" w:rsidRDefault="007113B3" w:rsidP="005D5DF1">
            <w:pPr>
              <w:spacing w:before="20" w:after="20"/>
              <w:jc w:val="center"/>
              <w:rPr>
                <w:b/>
                <w:color w:val="auto"/>
                <w:sz w:val="22"/>
                <w:szCs w:val="20"/>
              </w:rPr>
            </w:pPr>
          </w:p>
        </w:tc>
        <w:tc>
          <w:tcPr>
            <w:tcW w:w="1441" w:type="dxa"/>
            <w:noWrap/>
          </w:tcPr>
          <w:p w:rsidR="007113B3" w:rsidRPr="0028053D" w:rsidRDefault="007113B3" w:rsidP="00954DE9">
            <w:pPr>
              <w:spacing w:before="20" w:after="20"/>
              <w:ind w:left="212"/>
              <w:rPr>
                <w:color w:val="auto"/>
                <w:sz w:val="22"/>
                <w:szCs w:val="20"/>
              </w:rPr>
            </w:pPr>
            <w:r w:rsidRPr="0028053D">
              <w:rPr>
                <w:color w:val="auto"/>
                <w:sz w:val="22"/>
                <w:szCs w:val="20"/>
              </w:rPr>
              <w:t>Jūlijs</w:t>
            </w:r>
          </w:p>
        </w:tc>
        <w:tc>
          <w:tcPr>
            <w:tcW w:w="1937" w:type="dxa"/>
            <w:noWrap/>
          </w:tcPr>
          <w:p w:rsidR="007113B3" w:rsidRPr="00A22198" w:rsidRDefault="007113B3" w:rsidP="00954DE9">
            <w:pPr>
              <w:tabs>
                <w:tab w:val="decimal" w:pos="860"/>
              </w:tabs>
              <w:spacing w:before="20" w:after="20"/>
              <w:rPr>
                <w:color w:val="auto"/>
                <w:sz w:val="20"/>
                <w:szCs w:val="18"/>
              </w:rPr>
            </w:pPr>
            <w:r w:rsidRPr="00A22198">
              <w:rPr>
                <w:color w:val="auto"/>
                <w:sz w:val="20"/>
                <w:szCs w:val="18"/>
              </w:rPr>
              <w:t>0,2</w:t>
            </w:r>
          </w:p>
        </w:tc>
        <w:tc>
          <w:tcPr>
            <w:tcW w:w="2433" w:type="dxa"/>
            <w:noWrap/>
          </w:tcPr>
          <w:p w:rsidR="007113B3" w:rsidRPr="00A22198" w:rsidRDefault="007113B3" w:rsidP="00954DE9">
            <w:pPr>
              <w:tabs>
                <w:tab w:val="decimal" w:pos="1050"/>
              </w:tabs>
              <w:spacing w:before="20" w:after="20"/>
              <w:rPr>
                <w:color w:val="auto"/>
                <w:sz w:val="20"/>
                <w:szCs w:val="18"/>
              </w:rPr>
            </w:pPr>
            <w:r>
              <w:rPr>
                <w:color w:val="auto"/>
                <w:sz w:val="20"/>
                <w:szCs w:val="18"/>
              </w:rPr>
              <w:t>-0,6</w:t>
            </w:r>
          </w:p>
        </w:tc>
        <w:tc>
          <w:tcPr>
            <w:tcW w:w="1441" w:type="dxa"/>
            <w:noWrap/>
          </w:tcPr>
          <w:p w:rsidR="007113B3" w:rsidRPr="00A22198" w:rsidRDefault="007113B3" w:rsidP="00954DE9">
            <w:pPr>
              <w:tabs>
                <w:tab w:val="decimal" w:pos="459"/>
              </w:tabs>
              <w:spacing w:before="20" w:after="20"/>
              <w:jc w:val="center"/>
              <w:rPr>
                <w:color w:val="auto"/>
                <w:sz w:val="20"/>
                <w:szCs w:val="18"/>
              </w:rPr>
            </w:pPr>
            <w:r>
              <w:rPr>
                <w:color w:val="auto"/>
                <w:sz w:val="20"/>
                <w:szCs w:val="18"/>
              </w:rPr>
              <w:t>-1,6</w:t>
            </w:r>
          </w:p>
        </w:tc>
      </w:tr>
      <w:tr w:rsidR="007113B3" w:rsidRPr="0028053D" w:rsidTr="00954DE9">
        <w:trPr>
          <w:cnfStyle w:val="000000100000"/>
          <w:trHeight w:val="236"/>
          <w:jc w:val="center"/>
        </w:trPr>
        <w:tc>
          <w:tcPr>
            <w:tcW w:w="734" w:type="dxa"/>
            <w:noWrap/>
          </w:tcPr>
          <w:p w:rsidR="007113B3" w:rsidRPr="0028053D" w:rsidRDefault="007113B3" w:rsidP="005D5DF1">
            <w:pPr>
              <w:spacing w:before="20" w:after="20"/>
              <w:jc w:val="center"/>
              <w:rPr>
                <w:b/>
                <w:sz w:val="22"/>
                <w:szCs w:val="20"/>
              </w:rPr>
            </w:pPr>
          </w:p>
        </w:tc>
        <w:tc>
          <w:tcPr>
            <w:tcW w:w="1441" w:type="dxa"/>
            <w:noWrap/>
          </w:tcPr>
          <w:p w:rsidR="007113B3" w:rsidRPr="0028053D" w:rsidRDefault="007113B3" w:rsidP="00954DE9">
            <w:pPr>
              <w:spacing w:before="20" w:after="20"/>
              <w:ind w:left="212"/>
              <w:rPr>
                <w:color w:val="auto"/>
                <w:sz w:val="22"/>
                <w:szCs w:val="20"/>
              </w:rPr>
            </w:pPr>
            <w:r w:rsidRPr="0028053D">
              <w:rPr>
                <w:color w:val="auto"/>
                <w:sz w:val="22"/>
                <w:szCs w:val="20"/>
              </w:rPr>
              <w:t>Augusts</w:t>
            </w:r>
          </w:p>
        </w:tc>
        <w:tc>
          <w:tcPr>
            <w:tcW w:w="1937" w:type="dxa"/>
            <w:noWrap/>
            <w:vAlign w:val="bottom"/>
          </w:tcPr>
          <w:p w:rsidR="007113B3" w:rsidRPr="001C74F0" w:rsidRDefault="007113B3" w:rsidP="00954DE9">
            <w:pPr>
              <w:tabs>
                <w:tab w:val="decimal" w:pos="860"/>
              </w:tabs>
              <w:spacing w:before="20" w:after="20"/>
              <w:rPr>
                <w:color w:val="auto"/>
                <w:sz w:val="20"/>
                <w:szCs w:val="18"/>
              </w:rPr>
            </w:pPr>
            <w:r w:rsidRPr="001C74F0">
              <w:rPr>
                <w:color w:val="auto"/>
                <w:sz w:val="20"/>
                <w:szCs w:val="18"/>
              </w:rPr>
              <w:t>-0,7</w:t>
            </w:r>
          </w:p>
        </w:tc>
        <w:tc>
          <w:tcPr>
            <w:tcW w:w="2433" w:type="dxa"/>
            <w:noWrap/>
            <w:vAlign w:val="bottom"/>
          </w:tcPr>
          <w:p w:rsidR="007113B3" w:rsidRPr="001C74F0" w:rsidRDefault="007113B3" w:rsidP="00954DE9">
            <w:pPr>
              <w:tabs>
                <w:tab w:val="decimal" w:pos="1050"/>
              </w:tabs>
              <w:spacing w:before="20" w:after="20"/>
              <w:rPr>
                <w:color w:val="auto"/>
                <w:sz w:val="20"/>
                <w:szCs w:val="18"/>
              </w:rPr>
            </w:pPr>
            <w:r w:rsidRPr="001C74F0">
              <w:rPr>
                <w:color w:val="auto"/>
                <w:sz w:val="20"/>
                <w:szCs w:val="18"/>
              </w:rPr>
              <w:t>-0,3</w:t>
            </w:r>
          </w:p>
        </w:tc>
        <w:tc>
          <w:tcPr>
            <w:tcW w:w="1441" w:type="dxa"/>
            <w:noWrap/>
            <w:vAlign w:val="bottom"/>
          </w:tcPr>
          <w:p w:rsidR="007113B3" w:rsidRPr="001C74F0" w:rsidRDefault="007113B3" w:rsidP="00954DE9">
            <w:pPr>
              <w:tabs>
                <w:tab w:val="decimal" w:pos="459"/>
              </w:tabs>
              <w:spacing w:before="20" w:after="20"/>
              <w:jc w:val="center"/>
              <w:rPr>
                <w:color w:val="auto"/>
                <w:sz w:val="20"/>
                <w:szCs w:val="18"/>
              </w:rPr>
            </w:pPr>
            <w:r w:rsidRPr="001C74F0">
              <w:rPr>
                <w:color w:val="auto"/>
                <w:sz w:val="20"/>
                <w:szCs w:val="18"/>
              </w:rPr>
              <w:t>-1,8</w:t>
            </w:r>
          </w:p>
        </w:tc>
      </w:tr>
      <w:tr w:rsidR="007113B3" w:rsidRPr="0028053D" w:rsidTr="00954DE9">
        <w:trPr>
          <w:trHeight w:val="236"/>
          <w:jc w:val="center"/>
        </w:trPr>
        <w:tc>
          <w:tcPr>
            <w:tcW w:w="734" w:type="dxa"/>
            <w:noWrap/>
          </w:tcPr>
          <w:p w:rsidR="007113B3" w:rsidRPr="0028053D" w:rsidRDefault="007113B3" w:rsidP="005D5DF1">
            <w:pPr>
              <w:spacing w:before="20" w:after="20"/>
              <w:jc w:val="center"/>
              <w:rPr>
                <w:b/>
                <w:sz w:val="22"/>
                <w:szCs w:val="20"/>
              </w:rPr>
            </w:pPr>
          </w:p>
        </w:tc>
        <w:tc>
          <w:tcPr>
            <w:tcW w:w="1441" w:type="dxa"/>
            <w:noWrap/>
          </w:tcPr>
          <w:p w:rsidR="007113B3" w:rsidRPr="0028053D" w:rsidRDefault="007113B3" w:rsidP="00954DE9">
            <w:pPr>
              <w:spacing w:before="20" w:after="20"/>
              <w:ind w:left="212"/>
              <w:rPr>
                <w:sz w:val="22"/>
                <w:szCs w:val="20"/>
              </w:rPr>
            </w:pPr>
            <w:r w:rsidRPr="0028053D">
              <w:rPr>
                <w:color w:val="auto"/>
                <w:sz w:val="22"/>
                <w:szCs w:val="22"/>
              </w:rPr>
              <w:t>Septembris</w:t>
            </w:r>
          </w:p>
        </w:tc>
        <w:tc>
          <w:tcPr>
            <w:tcW w:w="1937" w:type="dxa"/>
            <w:noWrap/>
            <w:vAlign w:val="bottom"/>
          </w:tcPr>
          <w:p w:rsidR="007113B3" w:rsidRPr="001C74F0" w:rsidRDefault="007113B3" w:rsidP="00954DE9">
            <w:pPr>
              <w:tabs>
                <w:tab w:val="decimal" w:pos="860"/>
              </w:tabs>
              <w:spacing w:before="20" w:after="20"/>
              <w:rPr>
                <w:color w:val="auto"/>
                <w:sz w:val="20"/>
                <w:szCs w:val="18"/>
              </w:rPr>
            </w:pPr>
            <w:r w:rsidRPr="001C74F0">
              <w:rPr>
                <w:color w:val="auto"/>
                <w:sz w:val="20"/>
                <w:szCs w:val="18"/>
              </w:rPr>
              <w:t>0,4</w:t>
            </w:r>
          </w:p>
        </w:tc>
        <w:tc>
          <w:tcPr>
            <w:tcW w:w="2433" w:type="dxa"/>
            <w:noWrap/>
            <w:vAlign w:val="bottom"/>
          </w:tcPr>
          <w:p w:rsidR="007113B3" w:rsidRPr="001C74F0" w:rsidRDefault="007113B3" w:rsidP="00954DE9">
            <w:pPr>
              <w:tabs>
                <w:tab w:val="decimal" w:pos="1050"/>
              </w:tabs>
              <w:spacing w:before="20" w:after="20"/>
              <w:rPr>
                <w:color w:val="auto"/>
                <w:sz w:val="20"/>
                <w:szCs w:val="18"/>
              </w:rPr>
            </w:pPr>
            <w:r w:rsidRPr="001C74F0">
              <w:rPr>
                <w:color w:val="auto"/>
                <w:sz w:val="20"/>
                <w:szCs w:val="18"/>
              </w:rPr>
              <w:t>0,4</w:t>
            </w:r>
          </w:p>
        </w:tc>
        <w:tc>
          <w:tcPr>
            <w:tcW w:w="1441" w:type="dxa"/>
            <w:noWrap/>
            <w:vAlign w:val="bottom"/>
          </w:tcPr>
          <w:p w:rsidR="007113B3" w:rsidRPr="001C74F0" w:rsidRDefault="007113B3" w:rsidP="00954DE9">
            <w:pPr>
              <w:tabs>
                <w:tab w:val="decimal" w:pos="459"/>
              </w:tabs>
              <w:spacing w:before="20" w:after="20"/>
              <w:jc w:val="center"/>
              <w:rPr>
                <w:color w:val="auto"/>
                <w:sz w:val="20"/>
                <w:szCs w:val="18"/>
              </w:rPr>
            </w:pPr>
            <w:r w:rsidRPr="001C74F0">
              <w:rPr>
                <w:color w:val="auto"/>
                <w:sz w:val="20"/>
                <w:szCs w:val="18"/>
              </w:rPr>
              <w:t>-1,8</w:t>
            </w:r>
          </w:p>
        </w:tc>
      </w:tr>
      <w:tr w:rsidR="007113B3" w:rsidRPr="0028053D" w:rsidTr="005D5DF1">
        <w:trPr>
          <w:cnfStyle w:val="000000100000"/>
          <w:trHeight w:val="236"/>
          <w:jc w:val="center"/>
        </w:trPr>
        <w:tc>
          <w:tcPr>
            <w:tcW w:w="734" w:type="dxa"/>
            <w:tcBorders>
              <w:bottom w:val="nil"/>
            </w:tcBorders>
            <w:noWrap/>
          </w:tcPr>
          <w:p w:rsidR="007113B3" w:rsidRPr="0028053D" w:rsidRDefault="007113B3" w:rsidP="005D5DF1">
            <w:pPr>
              <w:spacing w:before="20" w:after="20"/>
              <w:jc w:val="center"/>
              <w:rPr>
                <w:b/>
                <w:sz w:val="22"/>
                <w:szCs w:val="20"/>
              </w:rPr>
            </w:pPr>
          </w:p>
        </w:tc>
        <w:tc>
          <w:tcPr>
            <w:tcW w:w="1441" w:type="dxa"/>
            <w:tcBorders>
              <w:bottom w:val="nil"/>
            </w:tcBorders>
            <w:noWrap/>
          </w:tcPr>
          <w:p w:rsidR="007113B3" w:rsidRPr="0028053D" w:rsidRDefault="007113B3" w:rsidP="00954DE9">
            <w:pPr>
              <w:spacing w:before="20" w:after="20"/>
              <w:ind w:left="212"/>
              <w:rPr>
                <w:sz w:val="22"/>
                <w:szCs w:val="22"/>
              </w:rPr>
            </w:pPr>
            <w:r>
              <w:rPr>
                <w:sz w:val="22"/>
                <w:szCs w:val="22"/>
              </w:rPr>
              <w:t>Oktobris</w:t>
            </w:r>
          </w:p>
        </w:tc>
        <w:tc>
          <w:tcPr>
            <w:tcW w:w="1937" w:type="dxa"/>
            <w:tcBorders>
              <w:bottom w:val="nil"/>
            </w:tcBorders>
            <w:noWrap/>
            <w:vAlign w:val="bottom"/>
          </w:tcPr>
          <w:p w:rsidR="007113B3" w:rsidRPr="001C74F0" w:rsidRDefault="007113B3" w:rsidP="00954DE9">
            <w:pPr>
              <w:tabs>
                <w:tab w:val="decimal" w:pos="860"/>
              </w:tabs>
              <w:spacing w:before="20" w:after="20"/>
              <w:rPr>
                <w:color w:val="auto"/>
                <w:sz w:val="20"/>
                <w:szCs w:val="18"/>
              </w:rPr>
            </w:pPr>
            <w:r w:rsidRPr="001C74F0">
              <w:rPr>
                <w:color w:val="auto"/>
                <w:sz w:val="20"/>
                <w:szCs w:val="18"/>
              </w:rPr>
              <w:t>0,4</w:t>
            </w:r>
          </w:p>
        </w:tc>
        <w:tc>
          <w:tcPr>
            <w:tcW w:w="2433" w:type="dxa"/>
            <w:tcBorders>
              <w:bottom w:val="nil"/>
            </w:tcBorders>
            <w:noWrap/>
            <w:vAlign w:val="bottom"/>
          </w:tcPr>
          <w:p w:rsidR="007113B3" w:rsidRPr="001C74F0" w:rsidRDefault="007113B3" w:rsidP="00954DE9">
            <w:pPr>
              <w:tabs>
                <w:tab w:val="decimal" w:pos="1050"/>
              </w:tabs>
              <w:spacing w:before="20" w:after="20"/>
              <w:rPr>
                <w:color w:val="auto"/>
                <w:sz w:val="20"/>
                <w:szCs w:val="18"/>
              </w:rPr>
            </w:pPr>
            <w:r w:rsidRPr="001C74F0">
              <w:rPr>
                <w:color w:val="auto"/>
                <w:sz w:val="20"/>
                <w:szCs w:val="18"/>
              </w:rPr>
              <w:t>1,0</w:t>
            </w:r>
          </w:p>
        </w:tc>
        <w:tc>
          <w:tcPr>
            <w:tcW w:w="1441" w:type="dxa"/>
            <w:tcBorders>
              <w:bottom w:val="nil"/>
            </w:tcBorders>
            <w:noWrap/>
            <w:vAlign w:val="bottom"/>
          </w:tcPr>
          <w:p w:rsidR="007113B3" w:rsidRPr="001C74F0" w:rsidRDefault="007113B3" w:rsidP="00954DE9">
            <w:pPr>
              <w:tabs>
                <w:tab w:val="decimal" w:pos="459"/>
              </w:tabs>
              <w:spacing w:before="20" w:after="20"/>
              <w:jc w:val="center"/>
              <w:rPr>
                <w:color w:val="auto"/>
                <w:sz w:val="20"/>
                <w:szCs w:val="18"/>
              </w:rPr>
            </w:pPr>
            <w:r w:rsidRPr="001C74F0">
              <w:rPr>
                <w:color w:val="auto"/>
                <w:sz w:val="20"/>
                <w:szCs w:val="18"/>
              </w:rPr>
              <w:t>-1,6</w:t>
            </w:r>
          </w:p>
        </w:tc>
      </w:tr>
      <w:tr w:rsidR="007113B3" w:rsidRPr="0028053D" w:rsidTr="005D5DF1">
        <w:trPr>
          <w:trHeight w:val="236"/>
          <w:jc w:val="center"/>
        </w:trPr>
        <w:tc>
          <w:tcPr>
            <w:tcW w:w="734" w:type="dxa"/>
            <w:tcBorders>
              <w:top w:val="nil"/>
              <w:bottom w:val="nil"/>
            </w:tcBorders>
            <w:noWrap/>
          </w:tcPr>
          <w:p w:rsidR="007113B3" w:rsidRPr="0028053D" w:rsidRDefault="007113B3" w:rsidP="005D5DF1">
            <w:pPr>
              <w:spacing w:before="20" w:after="20"/>
              <w:jc w:val="center"/>
              <w:rPr>
                <w:b/>
                <w:sz w:val="22"/>
                <w:szCs w:val="20"/>
              </w:rPr>
            </w:pPr>
          </w:p>
        </w:tc>
        <w:tc>
          <w:tcPr>
            <w:tcW w:w="1441" w:type="dxa"/>
            <w:tcBorders>
              <w:top w:val="nil"/>
              <w:bottom w:val="nil"/>
            </w:tcBorders>
            <w:noWrap/>
          </w:tcPr>
          <w:p w:rsidR="007113B3" w:rsidRPr="0028053D" w:rsidRDefault="007113B3" w:rsidP="00954DE9">
            <w:pPr>
              <w:spacing w:before="20" w:after="20"/>
              <w:ind w:left="212"/>
              <w:rPr>
                <w:sz w:val="22"/>
                <w:szCs w:val="22"/>
              </w:rPr>
            </w:pPr>
            <w:r>
              <w:rPr>
                <w:sz w:val="22"/>
                <w:szCs w:val="22"/>
              </w:rPr>
              <w:t>Novembris</w:t>
            </w:r>
          </w:p>
        </w:tc>
        <w:tc>
          <w:tcPr>
            <w:tcW w:w="1937" w:type="dxa"/>
            <w:tcBorders>
              <w:top w:val="nil"/>
              <w:bottom w:val="nil"/>
            </w:tcBorders>
            <w:noWrap/>
            <w:vAlign w:val="bottom"/>
          </w:tcPr>
          <w:p w:rsidR="007113B3" w:rsidRPr="001C74F0" w:rsidRDefault="007113B3" w:rsidP="00954DE9">
            <w:pPr>
              <w:tabs>
                <w:tab w:val="decimal" w:pos="860"/>
              </w:tabs>
              <w:spacing w:before="20" w:after="20"/>
              <w:rPr>
                <w:color w:val="auto"/>
                <w:sz w:val="20"/>
                <w:szCs w:val="18"/>
              </w:rPr>
            </w:pPr>
            <w:r w:rsidRPr="001C74F0">
              <w:rPr>
                <w:color w:val="auto"/>
                <w:sz w:val="20"/>
                <w:szCs w:val="18"/>
              </w:rPr>
              <w:t>0,2</w:t>
            </w:r>
          </w:p>
        </w:tc>
        <w:tc>
          <w:tcPr>
            <w:tcW w:w="2433" w:type="dxa"/>
            <w:tcBorders>
              <w:top w:val="nil"/>
              <w:bottom w:val="nil"/>
            </w:tcBorders>
            <w:noWrap/>
            <w:vAlign w:val="bottom"/>
          </w:tcPr>
          <w:p w:rsidR="007113B3" w:rsidRPr="001C74F0" w:rsidRDefault="007113B3" w:rsidP="00954DE9">
            <w:pPr>
              <w:tabs>
                <w:tab w:val="decimal" w:pos="1050"/>
              </w:tabs>
              <w:spacing w:before="20" w:after="20"/>
              <w:rPr>
                <w:color w:val="auto"/>
                <w:sz w:val="20"/>
                <w:szCs w:val="18"/>
              </w:rPr>
            </w:pPr>
            <w:r w:rsidRPr="001C74F0">
              <w:rPr>
                <w:color w:val="auto"/>
                <w:sz w:val="20"/>
                <w:szCs w:val="18"/>
              </w:rPr>
              <w:t>1,9</w:t>
            </w:r>
          </w:p>
        </w:tc>
        <w:tc>
          <w:tcPr>
            <w:tcW w:w="1441" w:type="dxa"/>
            <w:tcBorders>
              <w:top w:val="nil"/>
              <w:bottom w:val="nil"/>
            </w:tcBorders>
            <w:noWrap/>
            <w:vAlign w:val="bottom"/>
          </w:tcPr>
          <w:p w:rsidR="007113B3" w:rsidRPr="001C74F0" w:rsidRDefault="007113B3" w:rsidP="00954DE9">
            <w:pPr>
              <w:tabs>
                <w:tab w:val="decimal" w:pos="459"/>
              </w:tabs>
              <w:spacing w:before="20" w:after="20"/>
              <w:jc w:val="center"/>
              <w:rPr>
                <w:color w:val="auto"/>
                <w:sz w:val="20"/>
                <w:szCs w:val="18"/>
              </w:rPr>
            </w:pPr>
            <w:r w:rsidRPr="001C74F0">
              <w:rPr>
                <w:color w:val="auto"/>
                <w:sz w:val="20"/>
                <w:szCs w:val="18"/>
              </w:rPr>
              <w:t>-1,4</w:t>
            </w:r>
          </w:p>
        </w:tc>
      </w:tr>
      <w:tr w:rsidR="007113B3" w:rsidRPr="0028053D" w:rsidTr="005D5DF1">
        <w:trPr>
          <w:cnfStyle w:val="000000100000"/>
          <w:trHeight w:val="236"/>
          <w:jc w:val="center"/>
        </w:trPr>
        <w:tc>
          <w:tcPr>
            <w:tcW w:w="734" w:type="dxa"/>
            <w:tcBorders>
              <w:top w:val="nil"/>
              <w:bottom w:val="nil"/>
            </w:tcBorders>
            <w:noWrap/>
          </w:tcPr>
          <w:p w:rsidR="007113B3" w:rsidRPr="0028053D" w:rsidRDefault="007113B3" w:rsidP="005D5DF1">
            <w:pPr>
              <w:spacing w:before="20" w:after="20"/>
              <w:jc w:val="center"/>
              <w:rPr>
                <w:b/>
                <w:sz w:val="22"/>
                <w:szCs w:val="20"/>
              </w:rPr>
            </w:pPr>
          </w:p>
        </w:tc>
        <w:tc>
          <w:tcPr>
            <w:tcW w:w="1441" w:type="dxa"/>
            <w:tcBorders>
              <w:top w:val="nil"/>
              <w:bottom w:val="nil"/>
            </w:tcBorders>
            <w:noWrap/>
          </w:tcPr>
          <w:p w:rsidR="007113B3" w:rsidRDefault="007113B3" w:rsidP="00954DE9">
            <w:pPr>
              <w:spacing w:before="20" w:after="20"/>
              <w:ind w:left="212"/>
              <w:rPr>
                <w:sz w:val="22"/>
                <w:szCs w:val="22"/>
              </w:rPr>
            </w:pPr>
            <w:r>
              <w:rPr>
                <w:sz w:val="22"/>
                <w:szCs w:val="22"/>
              </w:rPr>
              <w:t>Decembris</w:t>
            </w:r>
          </w:p>
        </w:tc>
        <w:tc>
          <w:tcPr>
            <w:tcW w:w="1937" w:type="dxa"/>
            <w:tcBorders>
              <w:top w:val="nil"/>
              <w:bottom w:val="nil"/>
            </w:tcBorders>
            <w:noWrap/>
            <w:vAlign w:val="bottom"/>
          </w:tcPr>
          <w:p w:rsidR="007113B3" w:rsidRPr="00151AD6" w:rsidRDefault="007113B3" w:rsidP="00954DE9">
            <w:pPr>
              <w:tabs>
                <w:tab w:val="decimal" w:pos="860"/>
              </w:tabs>
              <w:spacing w:before="20" w:after="20"/>
              <w:rPr>
                <w:color w:val="auto"/>
                <w:sz w:val="20"/>
                <w:szCs w:val="18"/>
              </w:rPr>
            </w:pPr>
            <w:r w:rsidRPr="00151AD6">
              <w:rPr>
                <w:color w:val="auto"/>
                <w:sz w:val="20"/>
                <w:szCs w:val="18"/>
              </w:rPr>
              <w:t>0,</w:t>
            </w:r>
            <w:r>
              <w:rPr>
                <w:color w:val="auto"/>
                <w:sz w:val="20"/>
                <w:szCs w:val="18"/>
              </w:rPr>
              <w:t>1</w:t>
            </w:r>
          </w:p>
        </w:tc>
        <w:tc>
          <w:tcPr>
            <w:tcW w:w="2433" w:type="dxa"/>
            <w:tcBorders>
              <w:top w:val="nil"/>
              <w:bottom w:val="nil"/>
            </w:tcBorders>
            <w:noWrap/>
            <w:vAlign w:val="bottom"/>
          </w:tcPr>
          <w:p w:rsidR="007113B3" w:rsidRPr="00151AD6" w:rsidRDefault="007113B3" w:rsidP="00954DE9">
            <w:pPr>
              <w:tabs>
                <w:tab w:val="decimal" w:pos="1050"/>
              </w:tabs>
              <w:spacing w:before="20" w:after="20"/>
              <w:rPr>
                <w:color w:val="auto"/>
                <w:sz w:val="20"/>
                <w:szCs w:val="18"/>
              </w:rPr>
            </w:pPr>
            <w:r w:rsidRPr="00151AD6">
              <w:rPr>
                <w:color w:val="auto"/>
                <w:sz w:val="20"/>
                <w:szCs w:val="18"/>
              </w:rPr>
              <w:t>2,5</w:t>
            </w:r>
          </w:p>
        </w:tc>
        <w:tc>
          <w:tcPr>
            <w:tcW w:w="1441" w:type="dxa"/>
            <w:tcBorders>
              <w:top w:val="nil"/>
              <w:bottom w:val="nil"/>
            </w:tcBorders>
            <w:noWrap/>
            <w:vAlign w:val="bottom"/>
          </w:tcPr>
          <w:p w:rsidR="007113B3" w:rsidRPr="00151AD6" w:rsidRDefault="007113B3" w:rsidP="00954DE9">
            <w:pPr>
              <w:tabs>
                <w:tab w:val="decimal" w:pos="459"/>
              </w:tabs>
              <w:spacing w:before="20" w:after="20"/>
              <w:jc w:val="center"/>
              <w:rPr>
                <w:color w:val="auto"/>
                <w:sz w:val="20"/>
                <w:szCs w:val="18"/>
              </w:rPr>
            </w:pPr>
            <w:r w:rsidRPr="00151AD6">
              <w:rPr>
                <w:color w:val="auto"/>
                <w:sz w:val="20"/>
                <w:szCs w:val="18"/>
              </w:rPr>
              <w:t>-1,1</w:t>
            </w:r>
          </w:p>
        </w:tc>
      </w:tr>
      <w:tr w:rsidR="007113B3" w:rsidRPr="0028053D" w:rsidTr="007113B3">
        <w:trPr>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r>
              <w:rPr>
                <w:b/>
                <w:sz w:val="22"/>
                <w:szCs w:val="20"/>
              </w:rPr>
              <w:t>2011</w:t>
            </w:r>
          </w:p>
        </w:tc>
        <w:tc>
          <w:tcPr>
            <w:tcW w:w="1441" w:type="dxa"/>
            <w:tcBorders>
              <w:top w:val="nil"/>
              <w:bottom w:val="nil"/>
            </w:tcBorders>
            <w:noWrap/>
          </w:tcPr>
          <w:p w:rsidR="007113B3" w:rsidRPr="0028053D" w:rsidRDefault="007113B3" w:rsidP="00954DE9">
            <w:pPr>
              <w:spacing w:before="20" w:after="20"/>
              <w:ind w:left="212"/>
              <w:rPr>
                <w:sz w:val="22"/>
                <w:szCs w:val="22"/>
              </w:rPr>
            </w:pPr>
            <w:r>
              <w:rPr>
                <w:sz w:val="22"/>
                <w:szCs w:val="22"/>
              </w:rPr>
              <w:t>Janvāris</w:t>
            </w:r>
          </w:p>
        </w:tc>
        <w:tc>
          <w:tcPr>
            <w:tcW w:w="1937" w:type="dxa"/>
            <w:tcBorders>
              <w:top w:val="nil"/>
              <w:bottom w:val="nil"/>
            </w:tcBorders>
            <w:noWrap/>
            <w:vAlign w:val="bottom"/>
          </w:tcPr>
          <w:p w:rsidR="007113B3" w:rsidRPr="001C74F0" w:rsidRDefault="007113B3" w:rsidP="00954DE9">
            <w:pPr>
              <w:tabs>
                <w:tab w:val="decimal" w:pos="860"/>
              </w:tabs>
              <w:spacing w:before="20" w:after="20"/>
              <w:rPr>
                <w:color w:val="auto"/>
                <w:sz w:val="20"/>
                <w:szCs w:val="18"/>
              </w:rPr>
            </w:pPr>
            <w:r>
              <w:rPr>
                <w:color w:val="auto"/>
                <w:sz w:val="20"/>
                <w:szCs w:val="18"/>
              </w:rPr>
              <w:t>1,3</w:t>
            </w:r>
          </w:p>
        </w:tc>
        <w:tc>
          <w:tcPr>
            <w:tcW w:w="2433" w:type="dxa"/>
            <w:tcBorders>
              <w:top w:val="nil"/>
              <w:bottom w:val="nil"/>
            </w:tcBorders>
            <w:noWrap/>
            <w:vAlign w:val="bottom"/>
          </w:tcPr>
          <w:p w:rsidR="007113B3" w:rsidRPr="001C74F0" w:rsidRDefault="007113B3" w:rsidP="00954DE9">
            <w:pPr>
              <w:tabs>
                <w:tab w:val="decimal" w:pos="1050"/>
              </w:tabs>
              <w:spacing w:before="20" w:after="20"/>
              <w:rPr>
                <w:color w:val="auto"/>
                <w:sz w:val="20"/>
                <w:szCs w:val="18"/>
              </w:rPr>
            </w:pPr>
            <w:r>
              <w:rPr>
                <w:color w:val="auto"/>
                <w:sz w:val="20"/>
                <w:szCs w:val="18"/>
              </w:rPr>
              <w:t>3,7</w:t>
            </w:r>
          </w:p>
        </w:tc>
        <w:tc>
          <w:tcPr>
            <w:tcW w:w="1441" w:type="dxa"/>
            <w:tcBorders>
              <w:top w:val="nil"/>
              <w:bottom w:val="nil"/>
            </w:tcBorders>
            <w:noWrap/>
            <w:vAlign w:val="bottom"/>
          </w:tcPr>
          <w:p w:rsidR="007113B3" w:rsidRPr="001C74F0" w:rsidRDefault="007113B3" w:rsidP="00954DE9">
            <w:pPr>
              <w:tabs>
                <w:tab w:val="decimal" w:pos="459"/>
              </w:tabs>
              <w:spacing w:before="20" w:after="20"/>
              <w:jc w:val="center"/>
              <w:rPr>
                <w:color w:val="auto"/>
                <w:sz w:val="20"/>
                <w:szCs w:val="18"/>
              </w:rPr>
            </w:pPr>
            <w:r>
              <w:rPr>
                <w:color w:val="auto"/>
                <w:sz w:val="20"/>
                <w:szCs w:val="18"/>
              </w:rPr>
              <w:t>-0,5</w:t>
            </w:r>
          </w:p>
        </w:tc>
      </w:tr>
      <w:tr w:rsidR="007113B3" w:rsidRPr="0028053D" w:rsidTr="007113B3">
        <w:trPr>
          <w:cnfStyle w:val="000000100000"/>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p>
        </w:tc>
        <w:tc>
          <w:tcPr>
            <w:tcW w:w="1441" w:type="dxa"/>
            <w:tcBorders>
              <w:top w:val="nil"/>
              <w:bottom w:val="nil"/>
            </w:tcBorders>
            <w:noWrap/>
          </w:tcPr>
          <w:p w:rsidR="007113B3" w:rsidRDefault="007113B3" w:rsidP="00954DE9">
            <w:pPr>
              <w:spacing w:before="20" w:after="20"/>
              <w:ind w:left="212"/>
              <w:rPr>
                <w:sz w:val="22"/>
                <w:szCs w:val="22"/>
              </w:rPr>
            </w:pPr>
            <w:r>
              <w:rPr>
                <w:sz w:val="22"/>
                <w:szCs w:val="22"/>
              </w:rPr>
              <w:t>Februāris</w:t>
            </w:r>
          </w:p>
        </w:tc>
        <w:tc>
          <w:tcPr>
            <w:tcW w:w="1937" w:type="dxa"/>
            <w:tcBorders>
              <w:top w:val="nil"/>
              <w:bottom w:val="nil"/>
            </w:tcBorders>
            <w:noWrap/>
            <w:vAlign w:val="bottom"/>
          </w:tcPr>
          <w:p w:rsidR="007113B3" w:rsidRPr="00151AD6" w:rsidRDefault="007113B3" w:rsidP="00954DE9">
            <w:pPr>
              <w:tabs>
                <w:tab w:val="decimal" w:pos="860"/>
              </w:tabs>
              <w:spacing w:before="20" w:after="20"/>
              <w:rPr>
                <w:color w:val="auto"/>
                <w:sz w:val="20"/>
                <w:szCs w:val="18"/>
              </w:rPr>
            </w:pPr>
            <w:r>
              <w:rPr>
                <w:color w:val="auto"/>
                <w:sz w:val="20"/>
                <w:szCs w:val="18"/>
              </w:rPr>
              <w:t>0,3</w:t>
            </w:r>
          </w:p>
        </w:tc>
        <w:tc>
          <w:tcPr>
            <w:tcW w:w="2433" w:type="dxa"/>
            <w:tcBorders>
              <w:top w:val="nil"/>
              <w:bottom w:val="nil"/>
            </w:tcBorders>
            <w:noWrap/>
            <w:vAlign w:val="bottom"/>
          </w:tcPr>
          <w:p w:rsidR="007113B3" w:rsidRPr="00151AD6" w:rsidRDefault="007113B3" w:rsidP="00954DE9">
            <w:pPr>
              <w:tabs>
                <w:tab w:val="decimal" w:pos="1050"/>
              </w:tabs>
              <w:spacing w:before="20" w:after="20"/>
              <w:rPr>
                <w:color w:val="auto"/>
                <w:sz w:val="20"/>
                <w:szCs w:val="18"/>
              </w:rPr>
            </w:pPr>
            <w:r>
              <w:rPr>
                <w:color w:val="auto"/>
                <w:sz w:val="20"/>
                <w:szCs w:val="18"/>
              </w:rPr>
              <w:t>4,0</w:t>
            </w:r>
          </w:p>
        </w:tc>
        <w:tc>
          <w:tcPr>
            <w:tcW w:w="1441" w:type="dxa"/>
            <w:tcBorders>
              <w:top w:val="nil"/>
              <w:bottom w:val="nil"/>
            </w:tcBorders>
            <w:noWrap/>
            <w:vAlign w:val="bottom"/>
          </w:tcPr>
          <w:p w:rsidR="007113B3" w:rsidRPr="00151AD6" w:rsidRDefault="007113B3" w:rsidP="00954DE9">
            <w:pPr>
              <w:tabs>
                <w:tab w:val="decimal" w:pos="459"/>
              </w:tabs>
              <w:spacing w:before="20" w:after="20"/>
              <w:jc w:val="center"/>
              <w:rPr>
                <w:color w:val="auto"/>
                <w:sz w:val="20"/>
                <w:szCs w:val="18"/>
              </w:rPr>
            </w:pPr>
            <w:r>
              <w:rPr>
                <w:color w:val="auto"/>
                <w:sz w:val="20"/>
                <w:szCs w:val="18"/>
              </w:rPr>
              <w:t>0,2</w:t>
            </w:r>
          </w:p>
        </w:tc>
      </w:tr>
      <w:tr w:rsidR="007113B3" w:rsidRPr="0028053D" w:rsidTr="007113B3">
        <w:trPr>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p>
        </w:tc>
        <w:tc>
          <w:tcPr>
            <w:tcW w:w="1441" w:type="dxa"/>
            <w:tcBorders>
              <w:top w:val="nil"/>
              <w:bottom w:val="nil"/>
            </w:tcBorders>
            <w:noWrap/>
          </w:tcPr>
          <w:p w:rsidR="007113B3" w:rsidRDefault="007113B3" w:rsidP="00954DE9">
            <w:pPr>
              <w:spacing w:before="20" w:after="20"/>
              <w:ind w:left="212"/>
              <w:rPr>
                <w:sz w:val="22"/>
                <w:szCs w:val="22"/>
              </w:rPr>
            </w:pPr>
            <w:r>
              <w:rPr>
                <w:sz w:val="22"/>
                <w:szCs w:val="22"/>
              </w:rPr>
              <w:t>Marts</w:t>
            </w:r>
          </w:p>
        </w:tc>
        <w:tc>
          <w:tcPr>
            <w:tcW w:w="1937" w:type="dxa"/>
            <w:tcBorders>
              <w:top w:val="nil"/>
              <w:bottom w:val="nil"/>
            </w:tcBorders>
            <w:noWrap/>
            <w:vAlign w:val="bottom"/>
          </w:tcPr>
          <w:p w:rsidR="007113B3" w:rsidRDefault="007113B3" w:rsidP="00954DE9">
            <w:pPr>
              <w:tabs>
                <w:tab w:val="decimal" w:pos="860"/>
              </w:tabs>
              <w:spacing w:before="20" w:after="20"/>
              <w:rPr>
                <w:sz w:val="20"/>
                <w:szCs w:val="18"/>
              </w:rPr>
            </w:pPr>
            <w:r>
              <w:rPr>
                <w:sz w:val="20"/>
                <w:szCs w:val="18"/>
              </w:rPr>
              <w:t>0,7</w:t>
            </w:r>
          </w:p>
        </w:tc>
        <w:tc>
          <w:tcPr>
            <w:tcW w:w="2433" w:type="dxa"/>
            <w:tcBorders>
              <w:top w:val="nil"/>
              <w:bottom w:val="nil"/>
            </w:tcBorders>
            <w:noWrap/>
            <w:vAlign w:val="bottom"/>
          </w:tcPr>
          <w:p w:rsidR="007113B3" w:rsidRDefault="007113B3" w:rsidP="00954DE9">
            <w:pPr>
              <w:tabs>
                <w:tab w:val="decimal" w:pos="1050"/>
              </w:tabs>
              <w:spacing w:before="20" w:after="20"/>
              <w:rPr>
                <w:sz w:val="20"/>
                <w:szCs w:val="18"/>
              </w:rPr>
            </w:pPr>
            <w:r>
              <w:rPr>
                <w:sz w:val="20"/>
                <w:szCs w:val="18"/>
              </w:rPr>
              <w:t>4,2</w:t>
            </w:r>
          </w:p>
        </w:tc>
        <w:tc>
          <w:tcPr>
            <w:tcW w:w="1441" w:type="dxa"/>
            <w:tcBorders>
              <w:top w:val="nil"/>
              <w:bottom w:val="nil"/>
            </w:tcBorders>
            <w:noWrap/>
            <w:vAlign w:val="bottom"/>
          </w:tcPr>
          <w:p w:rsidR="007113B3" w:rsidRDefault="007113B3" w:rsidP="00954DE9">
            <w:pPr>
              <w:tabs>
                <w:tab w:val="decimal" w:pos="459"/>
              </w:tabs>
              <w:spacing w:before="20" w:after="20"/>
              <w:jc w:val="center"/>
              <w:rPr>
                <w:sz w:val="20"/>
                <w:szCs w:val="18"/>
              </w:rPr>
            </w:pPr>
            <w:r>
              <w:rPr>
                <w:sz w:val="20"/>
                <w:szCs w:val="18"/>
              </w:rPr>
              <w:t>0,8</w:t>
            </w:r>
          </w:p>
        </w:tc>
      </w:tr>
      <w:tr w:rsidR="007113B3" w:rsidRPr="0028053D" w:rsidTr="00CF615A">
        <w:trPr>
          <w:cnfStyle w:val="000000100000"/>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p>
        </w:tc>
        <w:tc>
          <w:tcPr>
            <w:tcW w:w="1441" w:type="dxa"/>
            <w:tcBorders>
              <w:top w:val="nil"/>
              <w:bottom w:val="nil"/>
            </w:tcBorders>
            <w:noWrap/>
          </w:tcPr>
          <w:p w:rsidR="007113B3" w:rsidRPr="0028053D" w:rsidRDefault="007113B3" w:rsidP="00954DE9">
            <w:pPr>
              <w:spacing w:before="20" w:after="20"/>
              <w:ind w:left="212"/>
              <w:rPr>
                <w:color w:val="auto"/>
                <w:sz w:val="22"/>
                <w:szCs w:val="22"/>
              </w:rPr>
            </w:pPr>
            <w:r w:rsidRPr="0028053D">
              <w:rPr>
                <w:color w:val="auto"/>
                <w:sz w:val="22"/>
                <w:szCs w:val="22"/>
              </w:rPr>
              <w:t>Aprīlis</w:t>
            </w:r>
          </w:p>
        </w:tc>
        <w:tc>
          <w:tcPr>
            <w:tcW w:w="1937" w:type="dxa"/>
            <w:tcBorders>
              <w:top w:val="nil"/>
              <w:bottom w:val="nil"/>
            </w:tcBorders>
            <w:noWrap/>
            <w:vAlign w:val="bottom"/>
          </w:tcPr>
          <w:p w:rsidR="007113B3" w:rsidRDefault="007113B3" w:rsidP="00954DE9">
            <w:pPr>
              <w:tabs>
                <w:tab w:val="decimal" w:pos="860"/>
              </w:tabs>
              <w:spacing w:before="20" w:after="20"/>
              <w:rPr>
                <w:sz w:val="20"/>
                <w:szCs w:val="18"/>
              </w:rPr>
            </w:pPr>
            <w:r>
              <w:rPr>
                <w:sz w:val="20"/>
                <w:szCs w:val="18"/>
              </w:rPr>
              <w:t>1,1</w:t>
            </w:r>
          </w:p>
        </w:tc>
        <w:tc>
          <w:tcPr>
            <w:tcW w:w="2433" w:type="dxa"/>
            <w:tcBorders>
              <w:top w:val="nil"/>
              <w:bottom w:val="nil"/>
            </w:tcBorders>
            <w:noWrap/>
            <w:vAlign w:val="bottom"/>
          </w:tcPr>
          <w:p w:rsidR="007113B3" w:rsidRDefault="007113B3" w:rsidP="00954DE9">
            <w:pPr>
              <w:tabs>
                <w:tab w:val="decimal" w:pos="1050"/>
              </w:tabs>
              <w:spacing w:before="20" w:after="20"/>
              <w:rPr>
                <w:sz w:val="20"/>
                <w:szCs w:val="18"/>
              </w:rPr>
            </w:pPr>
            <w:r>
              <w:rPr>
                <w:sz w:val="20"/>
                <w:szCs w:val="18"/>
              </w:rPr>
              <w:t>4,5</w:t>
            </w:r>
          </w:p>
        </w:tc>
        <w:tc>
          <w:tcPr>
            <w:tcW w:w="1441" w:type="dxa"/>
            <w:tcBorders>
              <w:top w:val="nil"/>
              <w:bottom w:val="nil"/>
            </w:tcBorders>
            <w:noWrap/>
            <w:vAlign w:val="bottom"/>
          </w:tcPr>
          <w:p w:rsidR="007113B3" w:rsidRDefault="007113B3" w:rsidP="00954DE9">
            <w:pPr>
              <w:tabs>
                <w:tab w:val="decimal" w:pos="459"/>
              </w:tabs>
              <w:spacing w:before="20" w:after="20"/>
              <w:jc w:val="center"/>
              <w:rPr>
                <w:sz w:val="20"/>
                <w:szCs w:val="18"/>
              </w:rPr>
            </w:pPr>
            <w:r>
              <w:rPr>
                <w:sz w:val="20"/>
                <w:szCs w:val="18"/>
              </w:rPr>
              <w:t>1,5</w:t>
            </w:r>
          </w:p>
        </w:tc>
      </w:tr>
      <w:tr w:rsidR="007113B3" w:rsidRPr="0028053D" w:rsidTr="00072D1C">
        <w:trPr>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p>
        </w:tc>
        <w:tc>
          <w:tcPr>
            <w:tcW w:w="1441" w:type="dxa"/>
            <w:tcBorders>
              <w:top w:val="nil"/>
              <w:bottom w:val="nil"/>
            </w:tcBorders>
            <w:noWrap/>
          </w:tcPr>
          <w:p w:rsidR="007113B3" w:rsidRPr="0028053D" w:rsidRDefault="007113B3" w:rsidP="00954DE9">
            <w:pPr>
              <w:spacing w:before="20" w:after="20"/>
              <w:ind w:left="212"/>
              <w:rPr>
                <w:color w:val="auto"/>
                <w:sz w:val="22"/>
                <w:szCs w:val="20"/>
              </w:rPr>
            </w:pPr>
            <w:r w:rsidRPr="0028053D">
              <w:rPr>
                <w:color w:val="auto"/>
                <w:sz w:val="22"/>
                <w:szCs w:val="20"/>
              </w:rPr>
              <w:t>Maijs</w:t>
            </w:r>
          </w:p>
        </w:tc>
        <w:tc>
          <w:tcPr>
            <w:tcW w:w="1937" w:type="dxa"/>
            <w:tcBorders>
              <w:top w:val="nil"/>
              <w:bottom w:val="nil"/>
            </w:tcBorders>
            <w:noWrap/>
            <w:vAlign w:val="bottom"/>
          </w:tcPr>
          <w:p w:rsidR="007113B3" w:rsidRDefault="007113B3" w:rsidP="00954DE9">
            <w:pPr>
              <w:tabs>
                <w:tab w:val="decimal" w:pos="860"/>
              </w:tabs>
              <w:spacing w:before="20" w:after="20"/>
              <w:rPr>
                <w:sz w:val="20"/>
                <w:szCs w:val="18"/>
              </w:rPr>
            </w:pPr>
            <w:r>
              <w:rPr>
                <w:sz w:val="20"/>
                <w:szCs w:val="18"/>
              </w:rPr>
              <w:t>0,4</w:t>
            </w:r>
          </w:p>
        </w:tc>
        <w:tc>
          <w:tcPr>
            <w:tcW w:w="2433" w:type="dxa"/>
            <w:tcBorders>
              <w:top w:val="nil"/>
              <w:bottom w:val="nil"/>
            </w:tcBorders>
            <w:noWrap/>
            <w:vAlign w:val="bottom"/>
          </w:tcPr>
          <w:p w:rsidR="007113B3" w:rsidRDefault="007113B3" w:rsidP="00954DE9">
            <w:pPr>
              <w:tabs>
                <w:tab w:val="decimal" w:pos="1050"/>
              </w:tabs>
              <w:spacing w:before="20" w:after="20"/>
              <w:rPr>
                <w:sz w:val="20"/>
                <w:szCs w:val="18"/>
              </w:rPr>
            </w:pPr>
            <w:r>
              <w:rPr>
                <w:sz w:val="20"/>
                <w:szCs w:val="18"/>
              </w:rPr>
              <w:t>5,0</w:t>
            </w:r>
          </w:p>
        </w:tc>
        <w:tc>
          <w:tcPr>
            <w:tcW w:w="1441" w:type="dxa"/>
            <w:tcBorders>
              <w:top w:val="nil"/>
              <w:bottom w:val="nil"/>
            </w:tcBorders>
            <w:noWrap/>
            <w:vAlign w:val="bottom"/>
          </w:tcPr>
          <w:p w:rsidR="007113B3" w:rsidRDefault="007113B3" w:rsidP="00954DE9">
            <w:pPr>
              <w:tabs>
                <w:tab w:val="decimal" w:pos="459"/>
              </w:tabs>
              <w:spacing w:before="20" w:after="20"/>
              <w:jc w:val="center"/>
              <w:rPr>
                <w:sz w:val="20"/>
                <w:szCs w:val="18"/>
              </w:rPr>
            </w:pPr>
            <w:r>
              <w:rPr>
                <w:sz w:val="20"/>
                <w:szCs w:val="18"/>
              </w:rPr>
              <w:t>2,1</w:t>
            </w:r>
          </w:p>
        </w:tc>
      </w:tr>
      <w:tr w:rsidR="007113B3" w:rsidRPr="0028053D" w:rsidTr="00072D1C">
        <w:trPr>
          <w:cnfStyle w:val="000000100000"/>
          <w:trHeight w:val="236"/>
          <w:jc w:val="center"/>
        </w:trPr>
        <w:tc>
          <w:tcPr>
            <w:tcW w:w="734" w:type="dxa"/>
            <w:tcBorders>
              <w:top w:val="nil"/>
              <w:bottom w:val="nil"/>
            </w:tcBorders>
            <w:noWrap/>
          </w:tcPr>
          <w:p w:rsidR="007113B3" w:rsidRPr="0028053D" w:rsidRDefault="007113B3" w:rsidP="00954DE9">
            <w:pPr>
              <w:spacing w:before="20" w:after="20"/>
              <w:jc w:val="center"/>
              <w:rPr>
                <w:b/>
                <w:sz w:val="22"/>
                <w:szCs w:val="20"/>
              </w:rPr>
            </w:pPr>
          </w:p>
        </w:tc>
        <w:tc>
          <w:tcPr>
            <w:tcW w:w="1441" w:type="dxa"/>
            <w:tcBorders>
              <w:top w:val="nil"/>
              <w:bottom w:val="nil"/>
            </w:tcBorders>
            <w:noWrap/>
          </w:tcPr>
          <w:p w:rsidR="007113B3" w:rsidRPr="0028053D" w:rsidRDefault="007113B3" w:rsidP="00954DE9">
            <w:pPr>
              <w:spacing w:before="20" w:after="20"/>
              <w:ind w:left="212"/>
              <w:rPr>
                <w:color w:val="auto"/>
                <w:sz w:val="22"/>
                <w:szCs w:val="20"/>
              </w:rPr>
            </w:pPr>
            <w:r w:rsidRPr="0028053D">
              <w:rPr>
                <w:color w:val="auto"/>
                <w:sz w:val="22"/>
                <w:szCs w:val="20"/>
              </w:rPr>
              <w:t>Jūnijs</w:t>
            </w:r>
          </w:p>
        </w:tc>
        <w:tc>
          <w:tcPr>
            <w:tcW w:w="1937" w:type="dxa"/>
            <w:tcBorders>
              <w:top w:val="nil"/>
              <w:bottom w:val="nil"/>
            </w:tcBorders>
            <w:noWrap/>
            <w:vAlign w:val="bottom"/>
          </w:tcPr>
          <w:p w:rsidR="007113B3" w:rsidRDefault="007113B3" w:rsidP="00954DE9">
            <w:pPr>
              <w:tabs>
                <w:tab w:val="decimal" w:pos="860"/>
              </w:tabs>
              <w:spacing w:before="20" w:after="20"/>
              <w:rPr>
                <w:sz w:val="20"/>
                <w:szCs w:val="18"/>
              </w:rPr>
            </w:pPr>
            <w:r>
              <w:rPr>
                <w:sz w:val="20"/>
                <w:szCs w:val="18"/>
              </w:rPr>
              <w:t>0,3</w:t>
            </w:r>
          </w:p>
        </w:tc>
        <w:tc>
          <w:tcPr>
            <w:tcW w:w="2433" w:type="dxa"/>
            <w:tcBorders>
              <w:top w:val="nil"/>
              <w:bottom w:val="nil"/>
            </w:tcBorders>
            <w:noWrap/>
            <w:vAlign w:val="bottom"/>
          </w:tcPr>
          <w:p w:rsidR="007113B3" w:rsidRDefault="007113B3" w:rsidP="00954DE9">
            <w:pPr>
              <w:tabs>
                <w:tab w:val="decimal" w:pos="1050"/>
              </w:tabs>
              <w:spacing w:before="20" w:after="20"/>
              <w:rPr>
                <w:sz w:val="20"/>
                <w:szCs w:val="18"/>
              </w:rPr>
            </w:pPr>
            <w:r>
              <w:rPr>
                <w:sz w:val="20"/>
                <w:szCs w:val="18"/>
              </w:rPr>
              <w:t>4,8</w:t>
            </w:r>
          </w:p>
        </w:tc>
        <w:tc>
          <w:tcPr>
            <w:tcW w:w="1441" w:type="dxa"/>
            <w:tcBorders>
              <w:top w:val="nil"/>
              <w:bottom w:val="nil"/>
            </w:tcBorders>
            <w:noWrap/>
            <w:vAlign w:val="bottom"/>
          </w:tcPr>
          <w:p w:rsidR="007113B3" w:rsidRDefault="007113B3" w:rsidP="00954DE9">
            <w:pPr>
              <w:tabs>
                <w:tab w:val="decimal" w:pos="459"/>
              </w:tabs>
              <w:spacing w:before="20" w:after="20"/>
              <w:jc w:val="center"/>
              <w:rPr>
                <w:sz w:val="20"/>
                <w:szCs w:val="18"/>
              </w:rPr>
            </w:pPr>
            <w:r>
              <w:rPr>
                <w:sz w:val="20"/>
                <w:szCs w:val="18"/>
              </w:rPr>
              <w:t>2,6</w:t>
            </w:r>
          </w:p>
        </w:tc>
      </w:tr>
      <w:tr w:rsidR="007113B3" w:rsidRPr="0028053D" w:rsidTr="00372FEC">
        <w:trPr>
          <w:trHeight w:val="236"/>
          <w:jc w:val="center"/>
        </w:trPr>
        <w:tc>
          <w:tcPr>
            <w:tcW w:w="734" w:type="dxa"/>
            <w:tcBorders>
              <w:top w:val="nil"/>
              <w:bottom w:val="nil"/>
            </w:tcBorders>
            <w:noWrap/>
          </w:tcPr>
          <w:p w:rsidR="007113B3" w:rsidRPr="0028053D" w:rsidRDefault="007113B3" w:rsidP="005D5DF1">
            <w:pPr>
              <w:spacing w:before="20" w:after="20"/>
              <w:jc w:val="center"/>
              <w:rPr>
                <w:b/>
                <w:sz w:val="22"/>
                <w:szCs w:val="20"/>
              </w:rPr>
            </w:pPr>
          </w:p>
        </w:tc>
        <w:tc>
          <w:tcPr>
            <w:tcW w:w="1441" w:type="dxa"/>
            <w:tcBorders>
              <w:top w:val="nil"/>
              <w:bottom w:val="nil"/>
            </w:tcBorders>
            <w:noWrap/>
          </w:tcPr>
          <w:p w:rsidR="007113B3" w:rsidRPr="0028053D" w:rsidRDefault="007113B3" w:rsidP="00954DE9">
            <w:pPr>
              <w:spacing w:before="20" w:after="20"/>
              <w:ind w:left="212"/>
              <w:rPr>
                <w:color w:val="auto"/>
                <w:sz w:val="22"/>
                <w:szCs w:val="20"/>
              </w:rPr>
            </w:pPr>
            <w:r w:rsidRPr="0028053D">
              <w:rPr>
                <w:color w:val="auto"/>
                <w:sz w:val="22"/>
                <w:szCs w:val="20"/>
              </w:rPr>
              <w:t>Jūlijs</w:t>
            </w:r>
          </w:p>
        </w:tc>
        <w:tc>
          <w:tcPr>
            <w:tcW w:w="1937" w:type="dxa"/>
            <w:tcBorders>
              <w:top w:val="nil"/>
              <w:bottom w:val="nil"/>
            </w:tcBorders>
            <w:noWrap/>
            <w:vAlign w:val="bottom"/>
          </w:tcPr>
          <w:p w:rsidR="007113B3" w:rsidRDefault="007113B3" w:rsidP="005D5DF1">
            <w:pPr>
              <w:tabs>
                <w:tab w:val="decimal" w:pos="860"/>
              </w:tabs>
              <w:spacing w:before="20" w:after="20"/>
              <w:rPr>
                <w:sz w:val="20"/>
                <w:szCs w:val="18"/>
              </w:rPr>
            </w:pPr>
            <w:r>
              <w:rPr>
                <w:sz w:val="20"/>
                <w:szCs w:val="18"/>
              </w:rPr>
              <w:t>-0,3</w:t>
            </w:r>
          </w:p>
        </w:tc>
        <w:tc>
          <w:tcPr>
            <w:tcW w:w="2433" w:type="dxa"/>
            <w:tcBorders>
              <w:top w:val="nil"/>
              <w:bottom w:val="nil"/>
            </w:tcBorders>
            <w:noWrap/>
            <w:vAlign w:val="bottom"/>
          </w:tcPr>
          <w:p w:rsidR="007113B3" w:rsidRDefault="007113B3" w:rsidP="005D5DF1">
            <w:pPr>
              <w:tabs>
                <w:tab w:val="decimal" w:pos="1050"/>
              </w:tabs>
              <w:spacing w:before="20" w:after="20"/>
              <w:rPr>
                <w:sz w:val="20"/>
                <w:szCs w:val="18"/>
              </w:rPr>
            </w:pPr>
            <w:r>
              <w:rPr>
                <w:sz w:val="20"/>
                <w:szCs w:val="18"/>
              </w:rPr>
              <w:t>4,3</w:t>
            </w:r>
          </w:p>
        </w:tc>
        <w:tc>
          <w:tcPr>
            <w:tcW w:w="1441" w:type="dxa"/>
            <w:tcBorders>
              <w:top w:val="nil"/>
              <w:bottom w:val="nil"/>
            </w:tcBorders>
            <w:noWrap/>
            <w:vAlign w:val="bottom"/>
          </w:tcPr>
          <w:p w:rsidR="007113B3" w:rsidRDefault="007113B3" w:rsidP="005D5DF1">
            <w:pPr>
              <w:tabs>
                <w:tab w:val="decimal" w:pos="459"/>
              </w:tabs>
              <w:spacing w:before="20" w:after="20"/>
              <w:jc w:val="center"/>
              <w:rPr>
                <w:sz w:val="20"/>
                <w:szCs w:val="18"/>
              </w:rPr>
            </w:pPr>
            <w:r>
              <w:rPr>
                <w:sz w:val="20"/>
                <w:szCs w:val="18"/>
              </w:rPr>
              <w:t>3,0</w:t>
            </w:r>
          </w:p>
        </w:tc>
      </w:tr>
      <w:tr w:rsidR="007113B3" w:rsidRPr="0028053D" w:rsidTr="00372FEC">
        <w:trPr>
          <w:cnfStyle w:val="000000100000"/>
          <w:trHeight w:val="236"/>
          <w:jc w:val="center"/>
        </w:trPr>
        <w:tc>
          <w:tcPr>
            <w:tcW w:w="734" w:type="dxa"/>
            <w:tcBorders>
              <w:top w:val="nil"/>
              <w:bottom w:val="single" w:sz="4" w:space="0" w:color="FF0000"/>
            </w:tcBorders>
            <w:noWrap/>
          </w:tcPr>
          <w:p w:rsidR="007113B3" w:rsidRPr="0028053D" w:rsidRDefault="007113B3" w:rsidP="005D5DF1">
            <w:pPr>
              <w:spacing w:before="20" w:after="20"/>
              <w:jc w:val="center"/>
              <w:rPr>
                <w:b/>
                <w:sz w:val="22"/>
                <w:szCs w:val="20"/>
              </w:rPr>
            </w:pPr>
          </w:p>
        </w:tc>
        <w:tc>
          <w:tcPr>
            <w:tcW w:w="1441" w:type="dxa"/>
            <w:tcBorders>
              <w:top w:val="nil"/>
              <w:bottom w:val="single" w:sz="4" w:space="0" w:color="FF0000"/>
            </w:tcBorders>
            <w:noWrap/>
          </w:tcPr>
          <w:p w:rsidR="007113B3" w:rsidRPr="0028053D" w:rsidRDefault="007113B3" w:rsidP="00954DE9">
            <w:pPr>
              <w:spacing w:before="20" w:after="20"/>
              <w:ind w:left="212"/>
              <w:rPr>
                <w:color w:val="auto"/>
                <w:sz w:val="22"/>
                <w:szCs w:val="20"/>
              </w:rPr>
            </w:pPr>
            <w:r w:rsidRPr="0028053D">
              <w:rPr>
                <w:color w:val="auto"/>
                <w:sz w:val="22"/>
                <w:szCs w:val="20"/>
              </w:rPr>
              <w:t>Augusts</w:t>
            </w:r>
          </w:p>
        </w:tc>
        <w:tc>
          <w:tcPr>
            <w:tcW w:w="1937" w:type="dxa"/>
            <w:tcBorders>
              <w:top w:val="nil"/>
              <w:bottom w:val="single" w:sz="4" w:space="0" w:color="FF0000"/>
            </w:tcBorders>
            <w:noWrap/>
            <w:vAlign w:val="bottom"/>
          </w:tcPr>
          <w:p w:rsidR="007113B3" w:rsidRDefault="007113B3" w:rsidP="005D5DF1">
            <w:pPr>
              <w:tabs>
                <w:tab w:val="decimal" w:pos="860"/>
              </w:tabs>
              <w:spacing w:before="20" w:after="20"/>
              <w:rPr>
                <w:sz w:val="20"/>
                <w:szCs w:val="18"/>
              </w:rPr>
            </w:pPr>
            <w:r>
              <w:rPr>
                <w:sz w:val="20"/>
                <w:szCs w:val="18"/>
              </w:rPr>
              <w:t>-0,3</w:t>
            </w:r>
          </w:p>
        </w:tc>
        <w:tc>
          <w:tcPr>
            <w:tcW w:w="2433" w:type="dxa"/>
            <w:tcBorders>
              <w:top w:val="nil"/>
              <w:bottom w:val="single" w:sz="4" w:space="0" w:color="FF0000"/>
            </w:tcBorders>
            <w:noWrap/>
            <w:vAlign w:val="bottom"/>
          </w:tcPr>
          <w:p w:rsidR="007113B3" w:rsidRDefault="007113B3" w:rsidP="005D5DF1">
            <w:pPr>
              <w:tabs>
                <w:tab w:val="decimal" w:pos="1050"/>
              </w:tabs>
              <w:spacing w:before="20" w:after="20"/>
              <w:rPr>
                <w:sz w:val="20"/>
                <w:szCs w:val="18"/>
              </w:rPr>
            </w:pPr>
            <w:r>
              <w:rPr>
                <w:sz w:val="20"/>
                <w:szCs w:val="18"/>
              </w:rPr>
              <w:t>4,7</w:t>
            </w:r>
          </w:p>
        </w:tc>
        <w:tc>
          <w:tcPr>
            <w:tcW w:w="1441" w:type="dxa"/>
            <w:tcBorders>
              <w:top w:val="nil"/>
              <w:bottom w:val="single" w:sz="4" w:space="0" w:color="FF0000"/>
            </w:tcBorders>
            <w:noWrap/>
            <w:vAlign w:val="bottom"/>
          </w:tcPr>
          <w:p w:rsidR="007113B3" w:rsidRDefault="007113B3" w:rsidP="005D5DF1">
            <w:pPr>
              <w:tabs>
                <w:tab w:val="decimal" w:pos="459"/>
              </w:tabs>
              <w:spacing w:before="20" w:after="20"/>
              <w:jc w:val="center"/>
              <w:rPr>
                <w:sz w:val="20"/>
                <w:szCs w:val="18"/>
              </w:rPr>
            </w:pPr>
            <w:r>
              <w:rPr>
                <w:sz w:val="20"/>
                <w:szCs w:val="18"/>
              </w:rPr>
              <w:t>3,4</w:t>
            </w:r>
          </w:p>
        </w:tc>
      </w:tr>
    </w:tbl>
    <w:p w:rsidR="005D5DF1" w:rsidRDefault="005D5DF1" w:rsidP="005D5DF1">
      <w:pPr>
        <w:keepNext/>
        <w:keepLines/>
      </w:pPr>
      <w:bookmarkStart w:id="375" w:name="_Toc216079549"/>
      <w:bookmarkStart w:id="376" w:name="_Toc216079617"/>
      <w:bookmarkStart w:id="377" w:name="_Toc216079679"/>
      <w:bookmarkStart w:id="378" w:name="_Toc216079735"/>
      <w:bookmarkStart w:id="379" w:name="_Toc216079791"/>
      <w:bookmarkStart w:id="380" w:name="_Toc216079847"/>
      <w:bookmarkStart w:id="381" w:name="_Toc216077880"/>
      <w:bookmarkStart w:id="382" w:name="_Toc305421458"/>
      <w:r w:rsidRPr="00CD3CE6">
        <w:rPr>
          <w:rStyle w:val="Heading2Char"/>
          <w:b w:val="0"/>
        </w:rPr>
        <w:lastRenderedPageBreak/>
        <w:t>7.2.attēls.</w:t>
      </w:r>
      <w:r w:rsidRPr="009F6E8E">
        <w:rPr>
          <w:rStyle w:val="Heading2Char"/>
        </w:rPr>
        <w:t xml:space="preserve"> Patēriņa cenu indekss grupās un apakšgrupās</w:t>
      </w:r>
      <w:bookmarkEnd w:id="375"/>
      <w:bookmarkEnd w:id="376"/>
      <w:bookmarkEnd w:id="377"/>
      <w:bookmarkEnd w:id="378"/>
      <w:bookmarkEnd w:id="379"/>
      <w:bookmarkEnd w:id="380"/>
      <w:bookmarkEnd w:id="382"/>
      <w:r w:rsidRPr="009F6E8E">
        <w:t xml:space="preserve">, </w:t>
      </w:r>
    </w:p>
    <w:p w:rsidR="005D5DF1" w:rsidRPr="009F6E8E" w:rsidRDefault="005D5DF1" w:rsidP="005D5DF1">
      <w:pPr>
        <w:keepNext/>
        <w:keepLines/>
      </w:pPr>
      <w:r w:rsidRPr="009F6E8E">
        <w:t>iepriekšējā gada decembris =100</w:t>
      </w:r>
      <w:bookmarkEnd w:id="381"/>
    </w:p>
    <w:p w:rsidR="005D5DF1" w:rsidRPr="009F6E8E" w:rsidRDefault="005D5DF1" w:rsidP="005D5DF1">
      <w:pPr>
        <w:keepNext/>
        <w:keepLines/>
        <w:spacing w:before="20" w:after="20"/>
        <w:jc w:val="center"/>
        <w:rPr>
          <w:sz w:val="18"/>
          <w:szCs w:val="18"/>
        </w:rPr>
      </w:pPr>
    </w:p>
    <w:p w:rsidR="005D5DF1" w:rsidRPr="009F6E8E" w:rsidRDefault="005D5DF1" w:rsidP="005D5DF1">
      <w:pPr>
        <w:keepNext/>
        <w:keepLines/>
        <w:spacing w:before="20" w:after="20"/>
        <w:jc w:val="center"/>
        <w:rPr>
          <w:sz w:val="20"/>
          <w:szCs w:val="18"/>
        </w:rPr>
      </w:pPr>
      <w:r w:rsidRPr="009F6E8E">
        <w:rPr>
          <w:sz w:val="20"/>
          <w:szCs w:val="18"/>
        </w:rPr>
        <w:t>Kopējais patēriņa cenu indekss</w:t>
      </w:r>
    </w:p>
    <w:p w:rsidR="005D5DF1" w:rsidRPr="009F6E8E" w:rsidRDefault="005D5DF1" w:rsidP="005D5DF1">
      <w:pPr>
        <w:keepNext/>
        <w:keepLines/>
        <w:jc w:val="center"/>
        <w:rPr>
          <w:szCs w:val="24"/>
        </w:rPr>
      </w:pPr>
      <w:r w:rsidRPr="009F6E8E">
        <w:rPr>
          <w:noProof/>
          <w:szCs w:val="24"/>
          <w:lang w:eastAsia="lv-LV"/>
        </w:rPr>
        <w:drawing>
          <wp:inline distT="0" distB="0" distL="0" distR="0">
            <wp:extent cx="4710224" cy="2190307"/>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D5DF1" w:rsidRPr="00D7349F" w:rsidRDefault="005D5DF1" w:rsidP="005D5DF1">
      <w:pPr>
        <w:keepNext/>
        <w:keepLines/>
        <w:jc w:val="center"/>
        <w:rPr>
          <w:sz w:val="10"/>
          <w:szCs w:val="24"/>
        </w:rPr>
      </w:pPr>
    </w:p>
    <w:tbl>
      <w:tblPr>
        <w:tblW w:w="0" w:type="auto"/>
        <w:jc w:val="center"/>
        <w:tblLook w:val="01E0"/>
      </w:tblPr>
      <w:tblGrid>
        <w:gridCol w:w="4931"/>
        <w:gridCol w:w="4924"/>
      </w:tblGrid>
      <w:tr w:rsidR="005D5DF1" w:rsidRPr="009F6E8E" w:rsidTr="00072D1C">
        <w:trPr>
          <w:jc w:val="center"/>
        </w:trPr>
        <w:tc>
          <w:tcPr>
            <w:tcW w:w="4931" w:type="dxa"/>
            <w:vAlign w:val="bottom"/>
          </w:tcPr>
          <w:p w:rsidR="005D5DF1" w:rsidRPr="009F6E8E" w:rsidRDefault="005D5DF1" w:rsidP="005D5DF1">
            <w:pPr>
              <w:tabs>
                <w:tab w:val="center" w:pos="2552"/>
              </w:tabs>
              <w:spacing w:before="120" w:after="40"/>
              <w:ind w:left="91"/>
              <w:rPr>
                <w:sz w:val="20"/>
                <w:szCs w:val="18"/>
                <w:lang w:eastAsia="lv-LV"/>
              </w:rPr>
            </w:pPr>
            <w:r w:rsidRPr="009F6E8E">
              <w:rPr>
                <w:sz w:val="20"/>
                <w:szCs w:val="18"/>
                <w:lang w:eastAsia="lv-LV"/>
              </w:rPr>
              <w:tab/>
              <w:t>Pārtika un bezalkoholiskie dzērieni</w:t>
            </w:r>
          </w:p>
        </w:tc>
        <w:tc>
          <w:tcPr>
            <w:tcW w:w="4924" w:type="dxa"/>
            <w:vAlign w:val="bottom"/>
          </w:tcPr>
          <w:p w:rsidR="005D5DF1" w:rsidRPr="009F6E8E" w:rsidRDefault="005D5DF1" w:rsidP="005D5DF1">
            <w:pPr>
              <w:tabs>
                <w:tab w:val="center" w:pos="2440"/>
              </w:tabs>
              <w:spacing w:before="120" w:after="40"/>
              <w:ind w:left="91"/>
              <w:rPr>
                <w:sz w:val="20"/>
                <w:szCs w:val="18"/>
                <w:lang w:eastAsia="lv-LV"/>
              </w:rPr>
            </w:pPr>
            <w:r w:rsidRPr="009F6E8E">
              <w:rPr>
                <w:sz w:val="20"/>
                <w:szCs w:val="18"/>
              </w:rPr>
              <w:br w:type="page"/>
            </w:r>
            <w:r w:rsidRPr="009F6E8E">
              <w:rPr>
                <w:sz w:val="20"/>
                <w:szCs w:val="18"/>
              </w:rPr>
              <w:tab/>
            </w:r>
            <w:r w:rsidRPr="009F6E8E">
              <w:rPr>
                <w:sz w:val="20"/>
                <w:szCs w:val="18"/>
                <w:lang w:eastAsia="lv-LV"/>
              </w:rPr>
              <w:t>Administratīvi regulējamās cenas</w:t>
            </w:r>
          </w:p>
        </w:tc>
      </w:tr>
      <w:tr w:rsidR="005D5DF1" w:rsidRPr="009F6E8E" w:rsidTr="00072D1C">
        <w:trPr>
          <w:jc w:val="center"/>
        </w:trPr>
        <w:tc>
          <w:tcPr>
            <w:tcW w:w="4931" w:type="dxa"/>
          </w:tcPr>
          <w:p w:rsidR="005D5DF1" w:rsidRPr="009F6E8E" w:rsidRDefault="005D5DF1" w:rsidP="005D5DF1">
            <w:pPr>
              <w:ind w:firstLine="14"/>
              <w:jc w:val="center"/>
              <w:rPr>
                <w:szCs w:val="24"/>
              </w:rPr>
            </w:pPr>
            <w:r w:rsidRPr="009F6E8E">
              <w:rPr>
                <w:noProof/>
                <w:szCs w:val="24"/>
                <w:lang w:eastAsia="lv-LV"/>
              </w:rPr>
              <w:drawing>
                <wp:inline distT="0" distB="0" distL="0" distR="0">
                  <wp:extent cx="2881423" cy="1594884"/>
                  <wp:effectExtent l="0" t="0" r="0" b="0"/>
                  <wp:docPr id="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924" w:type="dxa"/>
          </w:tcPr>
          <w:p w:rsidR="005D5DF1" w:rsidRPr="009F6E8E" w:rsidRDefault="005D5DF1" w:rsidP="005D5DF1">
            <w:pPr>
              <w:jc w:val="center"/>
              <w:rPr>
                <w:szCs w:val="24"/>
              </w:rPr>
            </w:pPr>
            <w:r w:rsidRPr="00DD25B6">
              <w:rPr>
                <w:noProof/>
                <w:szCs w:val="24"/>
                <w:lang w:eastAsia="lv-LV"/>
              </w:rPr>
              <w:drawing>
                <wp:inline distT="0" distB="0" distL="0" distR="0">
                  <wp:extent cx="2881423" cy="1594884"/>
                  <wp:effectExtent l="0" t="0" r="0" b="0"/>
                  <wp:docPr id="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r w:rsidR="005D5DF1" w:rsidRPr="009F6E8E" w:rsidTr="00072D1C">
        <w:trPr>
          <w:jc w:val="center"/>
        </w:trPr>
        <w:tc>
          <w:tcPr>
            <w:tcW w:w="4931" w:type="dxa"/>
            <w:vAlign w:val="bottom"/>
          </w:tcPr>
          <w:p w:rsidR="005D5DF1" w:rsidRPr="009F6E8E" w:rsidRDefault="005D5DF1" w:rsidP="005D5DF1">
            <w:pPr>
              <w:tabs>
                <w:tab w:val="center" w:pos="2410"/>
              </w:tabs>
              <w:spacing w:before="120" w:after="40"/>
              <w:ind w:left="91"/>
              <w:rPr>
                <w:sz w:val="20"/>
                <w:szCs w:val="18"/>
                <w:lang w:eastAsia="lv-LV"/>
              </w:rPr>
            </w:pPr>
            <w:r w:rsidRPr="009F6E8E">
              <w:rPr>
                <w:sz w:val="20"/>
                <w:szCs w:val="18"/>
                <w:lang w:eastAsia="lv-LV"/>
              </w:rPr>
              <w:tab/>
              <w:t>Apģērbs un apavi</w:t>
            </w:r>
          </w:p>
        </w:tc>
        <w:tc>
          <w:tcPr>
            <w:tcW w:w="4924" w:type="dxa"/>
            <w:vAlign w:val="bottom"/>
          </w:tcPr>
          <w:p w:rsidR="005D5DF1" w:rsidRPr="009F6E8E" w:rsidRDefault="005D5DF1" w:rsidP="005D5DF1">
            <w:pPr>
              <w:tabs>
                <w:tab w:val="center" w:pos="2582"/>
              </w:tabs>
              <w:spacing w:before="120" w:after="40"/>
              <w:ind w:left="91"/>
              <w:rPr>
                <w:sz w:val="20"/>
                <w:szCs w:val="18"/>
                <w:lang w:eastAsia="lv-LV"/>
              </w:rPr>
            </w:pPr>
            <w:r w:rsidRPr="009F6E8E">
              <w:rPr>
                <w:sz w:val="20"/>
                <w:szCs w:val="18"/>
                <w:lang w:eastAsia="lv-LV"/>
              </w:rPr>
              <w:tab/>
              <w:t>Alkoholiskie dzērieni un tabaka</w:t>
            </w:r>
          </w:p>
        </w:tc>
      </w:tr>
      <w:tr w:rsidR="005D5DF1" w:rsidRPr="009F6E8E" w:rsidTr="00072D1C">
        <w:trPr>
          <w:jc w:val="center"/>
        </w:trPr>
        <w:tc>
          <w:tcPr>
            <w:tcW w:w="4931" w:type="dxa"/>
          </w:tcPr>
          <w:p w:rsidR="005D5DF1" w:rsidRPr="009F6E8E" w:rsidRDefault="005D5DF1" w:rsidP="005D5DF1">
            <w:pPr>
              <w:ind w:firstLine="14"/>
              <w:jc w:val="center"/>
              <w:rPr>
                <w:szCs w:val="24"/>
              </w:rPr>
            </w:pPr>
            <w:r w:rsidRPr="00DD25B6">
              <w:rPr>
                <w:noProof/>
                <w:szCs w:val="24"/>
                <w:lang w:eastAsia="lv-LV"/>
              </w:rPr>
              <w:drawing>
                <wp:inline distT="0" distB="0" distL="0" distR="0">
                  <wp:extent cx="2881423" cy="1594884"/>
                  <wp:effectExtent l="0" t="0" r="0" b="0"/>
                  <wp:docPr id="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924" w:type="dxa"/>
          </w:tcPr>
          <w:p w:rsidR="005D5DF1" w:rsidRPr="009F6E8E" w:rsidRDefault="005D5DF1" w:rsidP="005D5DF1">
            <w:pPr>
              <w:jc w:val="center"/>
              <w:rPr>
                <w:szCs w:val="24"/>
                <w:lang w:eastAsia="lv-LV"/>
              </w:rPr>
            </w:pPr>
            <w:r w:rsidRPr="00DD25B6">
              <w:rPr>
                <w:noProof/>
                <w:szCs w:val="24"/>
                <w:lang w:eastAsia="lv-LV"/>
              </w:rPr>
              <w:drawing>
                <wp:inline distT="0" distB="0" distL="0" distR="0">
                  <wp:extent cx="2881423" cy="1594884"/>
                  <wp:effectExtent l="0" t="0" r="0" b="0"/>
                  <wp:docPr id="26"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5D5DF1" w:rsidRPr="009F6E8E" w:rsidTr="00072D1C">
        <w:trPr>
          <w:jc w:val="center"/>
        </w:trPr>
        <w:tc>
          <w:tcPr>
            <w:tcW w:w="4931" w:type="dxa"/>
            <w:vAlign w:val="bottom"/>
          </w:tcPr>
          <w:p w:rsidR="005D5DF1" w:rsidRPr="009F6E8E" w:rsidRDefault="005D5DF1" w:rsidP="005D5DF1">
            <w:pPr>
              <w:tabs>
                <w:tab w:val="center" w:pos="2268"/>
              </w:tabs>
              <w:spacing w:before="120" w:after="40"/>
              <w:ind w:left="91"/>
              <w:rPr>
                <w:sz w:val="20"/>
                <w:szCs w:val="18"/>
                <w:lang w:eastAsia="lv-LV"/>
              </w:rPr>
            </w:pPr>
            <w:r w:rsidRPr="009F6E8E">
              <w:rPr>
                <w:sz w:val="20"/>
                <w:szCs w:val="18"/>
                <w:lang w:eastAsia="lv-LV"/>
              </w:rPr>
              <w:tab/>
              <w:t>Degviela</w:t>
            </w:r>
          </w:p>
        </w:tc>
        <w:tc>
          <w:tcPr>
            <w:tcW w:w="4924" w:type="dxa"/>
            <w:vAlign w:val="bottom"/>
          </w:tcPr>
          <w:p w:rsidR="005D5DF1" w:rsidRPr="009F6E8E" w:rsidRDefault="005D5DF1" w:rsidP="005D5DF1">
            <w:pPr>
              <w:tabs>
                <w:tab w:val="center" w:pos="2391"/>
              </w:tabs>
              <w:spacing w:before="120" w:after="40"/>
              <w:ind w:left="91"/>
              <w:rPr>
                <w:sz w:val="20"/>
                <w:szCs w:val="18"/>
                <w:lang w:eastAsia="lv-LV"/>
              </w:rPr>
            </w:pPr>
            <w:r w:rsidRPr="009F6E8E">
              <w:rPr>
                <w:sz w:val="20"/>
                <w:szCs w:val="18"/>
                <w:lang w:eastAsia="lv-LV"/>
              </w:rPr>
              <w:tab/>
              <w:t>Pārējās preču un pakalpojumu grupas</w:t>
            </w:r>
          </w:p>
        </w:tc>
      </w:tr>
      <w:tr w:rsidR="005D5DF1" w:rsidRPr="009F6E8E" w:rsidTr="00072D1C">
        <w:trPr>
          <w:jc w:val="center"/>
        </w:trPr>
        <w:tc>
          <w:tcPr>
            <w:tcW w:w="4931" w:type="dxa"/>
          </w:tcPr>
          <w:p w:rsidR="005D5DF1" w:rsidRPr="009F6E8E" w:rsidRDefault="005D5DF1" w:rsidP="005D5DF1">
            <w:pPr>
              <w:ind w:firstLine="14"/>
              <w:jc w:val="center"/>
              <w:rPr>
                <w:szCs w:val="24"/>
              </w:rPr>
            </w:pPr>
            <w:r w:rsidRPr="00DD25B6">
              <w:rPr>
                <w:noProof/>
                <w:szCs w:val="24"/>
                <w:lang w:eastAsia="lv-LV"/>
              </w:rPr>
              <w:drawing>
                <wp:inline distT="0" distB="0" distL="0" distR="0">
                  <wp:extent cx="2881423" cy="1594884"/>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924" w:type="dxa"/>
          </w:tcPr>
          <w:p w:rsidR="005D5DF1" w:rsidRPr="009F6E8E" w:rsidRDefault="005D5DF1" w:rsidP="005D5DF1">
            <w:pPr>
              <w:jc w:val="center"/>
              <w:rPr>
                <w:szCs w:val="24"/>
                <w:lang w:eastAsia="lv-LV"/>
              </w:rPr>
            </w:pPr>
            <w:r w:rsidRPr="00DD25B6">
              <w:rPr>
                <w:noProof/>
                <w:szCs w:val="24"/>
                <w:lang w:eastAsia="lv-LV"/>
              </w:rPr>
              <w:drawing>
                <wp:inline distT="0" distB="0" distL="0" distR="0">
                  <wp:extent cx="2881423" cy="1594884"/>
                  <wp:effectExtent l="0" t="0" r="0" b="0"/>
                  <wp:docPr id="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rsidR="005D5DF1" w:rsidRPr="009F6E8E" w:rsidRDefault="005D5DF1" w:rsidP="005D5DF1">
      <w:pPr>
        <w:pStyle w:val="BodyText"/>
        <w:spacing w:after="0"/>
        <w:ind w:firstLine="567"/>
        <w:jc w:val="both"/>
      </w:pPr>
    </w:p>
    <w:p w:rsidR="005D5DF1" w:rsidRPr="009F6E8E" w:rsidRDefault="005D5DF1" w:rsidP="005D5DF1">
      <w:pPr>
        <w:pStyle w:val="Heading2"/>
        <w:rPr>
          <w:b w:val="0"/>
        </w:rPr>
      </w:pPr>
      <w:bookmarkStart w:id="383" w:name="_Toc216077881"/>
      <w:bookmarkStart w:id="384" w:name="_Toc216079550"/>
      <w:bookmarkStart w:id="385" w:name="_Toc216079618"/>
      <w:bookmarkStart w:id="386" w:name="_Toc216079680"/>
      <w:bookmarkStart w:id="387" w:name="_Toc216079736"/>
      <w:bookmarkStart w:id="388" w:name="_Toc216079792"/>
      <w:bookmarkStart w:id="389" w:name="_Toc216079848"/>
    </w:p>
    <w:p w:rsidR="00D7349F" w:rsidRDefault="00D7349F">
      <w:pPr>
        <w:rPr>
          <w:rFonts w:eastAsiaTheme="majorEastAsia" w:cstheme="majorBidi"/>
          <w:bCs/>
          <w:sz w:val="28"/>
          <w:szCs w:val="26"/>
        </w:rPr>
      </w:pPr>
      <w:r>
        <w:rPr>
          <w:b/>
        </w:rPr>
        <w:br w:type="page"/>
      </w:r>
    </w:p>
    <w:p w:rsidR="00D7349F" w:rsidRDefault="00D7349F" w:rsidP="005D5DF1">
      <w:pPr>
        <w:pStyle w:val="Heading2"/>
        <w:ind w:right="2268"/>
        <w:rPr>
          <w:b w:val="0"/>
        </w:rPr>
      </w:pPr>
    </w:p>
    <w:p w:rsidR="005D5DF1" w:rsidRPr="009F6E8E" w:rsidRDefault="005D5DF1" w:rsidP="005D5DF1">
      <w:pPr>
        <w:pStyle w:val="Heading2"/>
        <w:ind w:right="2268"/>
      </w:pPr>
      <w:bookmarkStart w:id="390" w:name="_Toc305421459"/>
      <w:r>
        <w:rPr>
          <w:b w:val="0"/>
        </w:rPr>
        <w:t>7</w:t>
      </w:r>
      <w:r w:rsidRPr="0044009E">
        <w:rPr>
          <w:b w:val="0"/>
        </w:rPr>
        <w:t>.3.attēls.</w:t>
      </w:r>
      <w:r w:rsidRPr="0044009E">
        <w:t xml:space="preserve"> Atsevišķu preču un pakalpojumu grupu ietekme uz kopējo patēriņa cenu indeksu</w:t>
      </w:r>
      <w:bookmarkEnd w:id="383"/>
      <w:bookmarkEnd w:id="384"/>
      <w:bookmarkEnd w:id="385"/>
      <w:bookmarkEnd w:id="386"/>
      <w:bookmarkEnd w:id="387"/>
      <w:bookmarkEnd w:id="388"/>
      <w:bookmarkEnd w:id="389"/>
      <w:bookmarkEnd w:id="390"/>
      <w:r w:rsidRPr="009F6E8E">
        <w:t xml:space="preserve"> </w:t>
      </w:r>
    </w:p>
    <w:p w:rsidR="005D5DF1" w:rsidRDefault="005D5DF1" w:rsidP="005D5DF1">
      <w:pPr>
        <w:pStyle w:val="BodyText"/>
        <w:spacing w:after="0"/>
        <w:rPr>
          <w:sz w:val="22"/>
        </w:rPr>
      </w:pPr>
    </w:p>
    <w:p w:rsidR="005D5DF1" w:rsidRDefault="005D5DF1" w:rsidP="005D5DF1">
      <w:pPr>
        <w:pStyle w:val="BodyText"/>
        <w:spacing w:after="0"/>
        <w:rPr>
          <w:sz w:val="22"/>
        </w:rPr>
      </w:pPr>
      <w:r w:rsidRPr="009F6E8E">
        <w:rPr>
          <w:sz w:val="22"/>
        </w:rPr>
        <w:t>12 mēnešu inflācija, procentpunkti</w:t>
      </w:r>
    </w:p>
    <w:p w:rsidR="00D7349F" w:rsidRDefault="00D7349F" w:rsidP="005D5DF1">
      <w:pPr>
        <w:pStyle w:val="BodyText"/>
        <w:spacing w:after="0"/>
        <w:rPr>
          <w:sz w:val="22"/>
        </w:rPr>
      </w:pPr>
    </w:p>
    <w:p w:rsidR="005D5DF1" w:rsidRDefault="005D5DF1" w:rsidP="005D5DF1">
      <w:pPr>
        <w:pStyle w:val="BodyText"/>
        <w:spacing w:after="0"/>
        <w:rPr>
          <w:sz w:val="22"/>
        </w:rPr>
      </w:pPr>
      <w:r w:rsidRPr="00A1172E">
        <w:rPr>
          <w:noProof/>
          <w:sz w:val="22"/>
        </w:rPr>
        <w:drawing>
          <wp:inline distT="0" distB="0" distL="0" distR="0">
            <wp:extent cx="6166884" cy="6539023"/>
            <wp:effectExtent l="0" t="0" r="0" b="0"/>
            <wp:docPr id="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D5DF1" w:rsidRPr="003F2E20" w:rsidRDefault="005D5DF1" w:rsidP="005D5DF1">
      <w:pPr>
        <w:rPr>
          <w:rFonts w:eastAsia="Times New Roman"/>
          <w:sz w:val="2"/>
          <w:szCs w:val="24"/>
          <w:lang w:eastAsia="lv-LV"/>
        </w:rPr>
      </w:pPr>
      <w:r w:rsidRPr="003F2E20">
        <w:rPr>
          <w:sz w:val="2"/>
        </w:rPr>
        <w:br w:type="page"/>
      </w:r>
    </w:p>
    <w:p w:rsidR="005D5DF1" w:rsidRPr="009F6E8E" w:rsidRDefault="005D5DF1" w:rsidP="005D5DF1">
      <w:bookmarkStart w:id="391" w:name="_Toc216079551"/>
      <w:bookmarkStart w:id="392" w:name="_Toc216079619"/>
      <w:bookmarkStart w:id="393" w:name="_Toc216079681"/>
      <w:bookmarkStart w:id="394" w:name="_Toc216079737"/>
      <w:bookmarkStart w:id="395" w:name="_Toc216079793"/>
      <w:bookmarkStart w:id="396" w:name="_Toc216079849"/>
      <w:bookmarkStart w:id="397" w:name="_Toc216077883"/>
      <w:bookmarkStart w:id="398" w:name="_Toc305421460"/>
      <w:r w:rsidRPr="005B4F7E">
        <w:rPr>
          <w:rStyle w:val="Heading2Char"/>
          <w:b w:val="0"/>
        </w:rPr>
        <w:lastRenderedPageBreak/>
        <w:t>7.4.attēls.</w:t>
      </w:r>
      <w:r w:rsidRPr="005B4F7E">
        <w:rPr>
          <w:rStyle w:val="Heading2Char"/>
        </w:rPr>
        <w:t xml:space="preserve"> Saskaņotais patēriņa cenu indekss pa mēnešiem</w:t>
      </w:r>
      <w:bookmarkEnd w:id="391"/>
      <w:bookmarkEnd w:id="392"/>
      <w:bookmarkEnd w:id="393"/>
      <w:bookmarkEnd w:id="394"/>
      <w:bookmarkEnd w:id="395"/>
      <w:bookmarkEnd w:id="396"/>
      <w:bookmarkEnd w:id="398"/>
      <w:r w:rsidRPr="005B4F7E">
        <w:t>, 200</w:t>
      </w:r>
      <w:r w:rsidR="00120F26">
        <w:t>9</w:t>
      </w:r>
      <w:r w:rsidRPr="005B4F7E">
        <w:t>.g</w:t>
      </w:r>
      <w:r>
        <w:t>ada</w:t>
      </w:r>
      <w:r w:rsidRPr="005B4F7E">
        <w:t xml:space="preserve"> </w:t>
      </w:r>
      <w:r>
        <w:t>decembris</w:t>
      </w:r>
      <w:r w:rsidRPr="005B4F7E">
        <w:t xml:space="preserve"> =100</w:t>
      </w:r>
      <w:bookmarkEnd w:id="397"/>
    </w:p>
    <w:p w:rsidR="005D5DF1" w:rsidRPr="009F6E8E" w:rsidRDefault="005D5DF1" w:rsidP="005D5DF1">
      <w:pPr>
        <w:spacing w:before="120"/>
        <w:jc w:val="center"/>
        <w:rPr>
          <w:rFonts w:eastAsia="Times New Roman"/>
          <w:bCs/>
          <w:color w:val="000000"/>
          <w:sz w:val="20"/>
          <w:szCs w:val="24"/>
        </w:rPr>
      </w:pPr>
      <w:r w:rsidRPr="009F6E8E">
        <w:rPr>
          <w:rFonts w:eastAsia="Times New Roman"/>
          <w:bCs/>
          <w:color w:val="000000"/>
          <w:sz w:val="20"/>
          <w:szCs w:val="24"/>
        </w:rPr>
        <w:t>Kopējais indekss</w:t>
      </w:r>
    </w:p>
    <w:p w:rsidR="005D5DF1" w:rsidRPr="009F6E8E" w:rsidRDefault="005D5DF1" w:rsidP="005D5DF1">
      <w:pPr>
        <w:jc w:val="center"/>
        <w:rPr>
          <w:b/>
          <w:szCs w:val="24"/>
        </w:rPr>
      </w:pPr>
      <w:r w:rsidRPr="009F6E8E">
        <w:rPr>
          <w:b/>
          <w:noProof/>
          <w:szCs w:val="24"/>
          <w:lang w:eastAsia="lv-LV"/>
        </w:rPr>
        <w:drawing>
          <wp:inline distT="0" distB="0" distL="0" distR="0">
            <wp:extent cx="5890161" cy="1876301"/>
            <wp:effectExtent l="0" t="0" r="0" b="0"/>
            <wp:docPr id="3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W w:w="9789" w:type="dxa"/>
        <w:tblLook w:val="01E0"/>
      </w:tblPr>
      <w:tblGrid>
        <w:gridCol w:w="4965"/>
        <w:gridCol w:w="4824"/>
      </w:tblGrid>
      <w:tr w:rsidR="005D5DF1" w:rsidRPr="009F6E8E" w:rsidTr="00E2535F">
        <w:tc>
          <w:tcPr>
            <w:tcW w:w="4965" w:type="dxa"/>
            <w:vAlign w:val="center"/>
          </w:tcPr>
          <w:p w:rsidR="005D5DF1" w:rsidRPr="009F6E8E" w:rsidRDefault="005D5DF1" w:rsidP="005D5DF1">
            <w:pPr>
              <w:tabs>
                <w:tab w:val="center" w:pos="2552"/>
              </w:tabs>
              <w:spacing w:before="120"/>
              <w:rPr>
                <w:rFonts w:eastAsia="Times New Roman"/>
                <w:sz w:val="20"/>
                <w:szCs w:val="18"/>
              </w:rPr>
            </w:pPr>
            <w:r w:rsidRPr="009F6E8E">
              <w:rPr>
                <w:sz w:val="20"/>
                <w:szCs w:val="18"/>
              </w:rPr>
              <w:tab/>
              <w:t>pārtikas precēm (ieskaitot alkoholu un tabaku)</w:t>
            </w:r>
          </w:p>
        </w:tc>
        <w:tc>
          <w:tcPr>
            <w:tcW w:w="4824" w:type="dxa"/>
            <w:vAlign w:val="center"/>
          </w:tcPr>
          <w:p w:rsidR="005D5DF1" w:rsidRPr="009F6E8E" w:rsidRDefault="005D5DF1" w:rsidP="005D5DF1">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sidRPr="009F6E8E">
              <w:rPr>
                <w:rFonts w:eastAsia="Times New Roman"/>
                <w:bCs/>
                <w:color w:val="000000"/>
                <w:sz w:val="20"/>
                <w:szCs w:val="18"/>
              </w:rPr>
              <w:t>enerģijai</w:t>
            </w:r>
          </w:p>
        </w:tc>
      </w:tr>
      <w:tr w:rsidR="005D5DF1" w:rsidRPr="009F6E8E" w:rsidTr="00E2535F">
        <w:tc>
          <w:tcPr>
            <w:tcW w:w="4965" w:type="dxa"/>
          </w:tcPr>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2926080" cy="1692000"/>
                  <wp:effectExtent l="0" t="0" r="0" b="0"/>
                  <wp:docPr id="3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824" w:type="dxa"/>
          </w:tcPr>
          <w:p w:rsidR="005D5DF1" w:rsidRPr="009F6E8E" w:rsidRDefault="005D5DF1" w:rsidP="005D5DF1">
            <w:pPr>
              <w:jc w:val="center"/>
              <w:rPr>
                <w:rFonts w:eastAsia="Times New Roman"/>
                <w:szCs w:val="24"/>
              </w:rPr>
            </w:pPr>
            <w:r w:rsidRPr="00F94E76">
              <w:rPr>
                <w:rFonts w:eastAsia="Times New Roman"/>
                <w:noProof/>
                <w:szCs w:val="24"/>
                <w:lang w:eastAsia="lv-LV"/>
              </w:rPr>
              <w:drawing>
                <wp:inline distT="0" distB="0" distL="0" distR="0">
                  <wp:extent cx="2926080" cy="1692000"/>
                  <wp:effectExtent l="0" t="0" r="0" b="0"/>
                  <wp:docPr id="10"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r w:rsidR="005D5DF1" w:rsidRPr="009F6E8E" w:rsidTr="00E2535F">
        <w:tc>
          <w:tcPr>
            <w:tcW w:w="4965" w:type="dxa"/>
            <w:vAlign w:val="center"/>
          </w:tcPr>
          <w:p w:rsidR="005D5DF1" w:rsidRPr="009F6E8E" w:rsidRDefault="005D5DF1" w:rsidP="005D5DF1">
            <w:pPr>
              <w:tabs>
                <w:tab w:val="center" w:pos="2552"/>
              </w:tabs>
              <w:spacing w:before="120"/>
              <w:rPr>
                <w:rFonts w:eastAsia="Times New Roman"/>
                <w:sz w:val="20"/>
                <w:szCs w:val="18"/>
              </w:rPr>
            </w:pPr>
            <w:r w:rsidRPr="009F6E8E">
              <w:rPr>
                <w:sz w:val="20"/>
                <w:szCs w:val="18"/>
              </w:rPr>
              <w:tab/>
            </w:r>
            <w:r>
              <w:rPr>
                <w:sz w:val="20"/>
                <w:szCs w:val="18"/>
              </w:rPr>
              <w:t>pakalpojumiem</w:t>
            </w:r>
          </w:p>
        </w:tc>
        <w:tc>
          <w:tcPr>
            <w:tcW w:w="4824" w:type="dxa"/>
            <w:vAlign w:val="center"/>
          </w:tcPr>
          <w:p w:rsidR="005D5DF1" w:rsidRPr="009F6E8E" w:rsidRDefault="005D5DF1" w:rsidP="005D5DF1">
            <w:pPr>
              <w:tabs>
                <w:tab w:val="center" w:pos="2408"/>
              </w:tabs>
              <w:spacing w:before="120"/>
              <w:rPr>
                <w:rFonts w:eastAsia="Times New Roman"/>
                <w:sz w:val="20"/>
                <w:szCs w:val="18"/>
              </w:rPr>
            </w:pPr>
            <w:r w:rsidRPr="009F6E8E">
              <w:rPr>
                <w:rFonts w:eastAsia="Times New Roman"/>
                <w:sz w:val="20"/>
                <w:szCs w:val="18"/>
              </w:rPr>
              <w:br w:type="page"/>
            </w:r>
            <w:r w:rsidRPr="009F6E8E">
              <w:rPr>
                <w:rFonts w:eastAsia="Times New Roman"/>
                <w:sz w:val="20"/>
                <w:szCs w:val="18"/>
              </w:rPr>
              <w:tab/>
            </w:r>
            <w:r>
              <w:rPr>
                <w:rFonts w:eastAsia="Times New Roman"/>
                <w:bCs/>
                <w:color w:val="000000"/>
                <w:sz w:val="20"/>
                <w:szCs w:val="18"/>
              </w:rPr>
              <w:t>administratīvi regulējamām precēm</w:t>
            </w:r>
          </w:p>
        </w:tc>
      </w:tr>
      <w:tr w:rsidR="005D5DF1" w:rsidRPr="009F6E8E" w:rsidTr="00E2535F">
        <w:tc>
          <w:tcPr>
            <w:tcW w:w="4965" w:type="dxa"/>
          </w:tcPr>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2926080" cy="1692000"/>
                  <wp:effectExtent l="0" t="0" r="0" b="0"/>
                  <wp:docPr id="11"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c>
          <w:tcPr>
            <w:tcW w:w="4824" w:type="dxa"/>
          </w:tcPr>
          <w:p w:rsidR="005D5DF1" w:rsidRPr="009F6E8E" w:rsidRDefault="00E2535F" w:rsidP="005D5DF1">
            <w:pPr>
              <w:jc w:val="center"/>
              <w:rPr>
                <w:rFonts w:eastAsia="Times New Roman"/>
                <w:szCs w:val="24"/>
              </w:rPr>
            </w:pPr>
            <w:r w:rsidRPr="00E2535F">
              <w:rPr>
                <w:rFonts w:eastAsia="Times New Roman"/>
                <w:noProof/>
                <w:szCs w:val="24"/>
                <w:lang w:eastAsia="lv-LV"/>
              </w:rPr>
              <w:drawing>
                <wp:inline distT="0" distB="0" distL="0" distR="0">
                  <wp:extent cx="2926080" cy="1692000"/>
                  <wp:effectExtent l="0" t="0" r="0" b="0"/>
                  <wp:docPr id="29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bl>
    <w:p w:rsidR="005D5DF1" w:rsidRPr="009F6E8E" w:rsidRDefault="005D5DF1" w:rsidP="005D5DF1">
      <w:pPr>
        <w:ind w:firstLine="567"/>
        <w:jc w:val="both"/>
        <w:rPr>
          <w:rFonts w:eastAsia="Times New Roman"/>
          <w:sz w:val="12"/>
          <w:szCs w:val="24"/>
        </w:rPr>
      </w:pPr>
    </w:p>
    <w:p w:rsidR="005D5DF1" w:rsidRPr="009F6E8E" w:rsidRDefault="005D5DF1" w:rsidP="005D5DF1">
      <w:pPr>
        <w:ind w:firstLine="567"/>
        <w:jc w:val="right"/>
        <w:rPr>
          <w:rFonts w:eastAsia="Times New Roman"/>
          <w:sz w:val="6"/>
          <w:szCs w:val="24"/>
        </w:rPr>
      </w:pPr>
    </w:p>
    <w:p w:rsidR="005D5DF1" w:rsidRPr="009F6E8E" w:rsidRDefault="005D5DF1" w:rsidP="005D5DF1">
      <w:pPr>
        <w:pStyle w:val="Heading2"/>
        <w:rPr>
          <w:rFonts w:eastAsia="Times New Roman"/>
        </w:rPr>
      </w:pPr>
      <w:bookmarkStart w:id="399" w:name="_Toc216077884"/>
      <w:bookmarkStart w:id="400" w:name="_Toc216079552"/>
      <w:bookmarkStart w:id="401" w:name="_Toc216079620"/>
      <w:bookmarkStart w:id="402" w:name="_Toc216079682"/>
      <w:bookmarkStart w:id="403" w:name="_Toc216079738"/>
      <w:bookmarkStart w:id="404" w:name="_Toc216079794"/>
      <w:bookmarkStart w:id="405" w:name="_Toc216079850"/>
      <w:bookmarkStart w:id="406" w:name="_Toc305421461"/>
      <w:r>
        <w:rPr>
          <w:b w:val="0"/>
        </w:rPr>
        <w:t>7</w:t>
      </w:r>
      <w:r w:rsidRPr="009F6E8E">
        <w:rPr>
          <w:b w:val="0"/>
        </w:rPr>
        <w:t>.</w:t>
      </w:r>
      <w:r>
        <w:rPr>
          <w:b w:val="0"/>
        </w:rPr>
        <w:t>5</w:t>
      </w:r>
      <w:r w:rsidRPr="009F6E8E">
        <w:rPr>
          <w:b w:val="0"/>
        </w:rPr>
        <w:t>.attēls.</w:t>
      </w:r>
      <w:r w:rsidRPr="009F6E8E">
        <w:t xml:space="preserve"> </w:t>
      </w:r>
      <w:r w:rsidRPr="009F6E8E">
        <w:rPr>
          <w:rFonts w:eastAsia="Times New Roman"/>
        </w:rPr>
        <w:t>Ražotāju cenu pārmaiņas</w:t>
      </w:r>
      <w:bookmarkEnd w:id="399"/>
      <w:bookmarkEnd w:id="400"/>
      <w:bookmarkEnd w:id="401"/>
      <w:bookmarkEnd w:id="402"/>
      <w:bookmarkEnd w:id="403"/>
      <w:bookmarkEnd w:id="404"/>
      <w:bookmarkEnd w:id="405"/>
      <w:bookmarkEnd w:id="406"/>
    </w:p>
    <w:p w:rsidR="005D5DF1" w:rsidRPr="009F6E8E" w:rsidRDefault="005D5DF1" w:rsidP="005D5DF1">
      <w:pPr>
        <w:jc w:val="center"/>
        <w:rPr>
          <w:color w:val="000000"/>
          <w:sz w:val="22"/>
          <w:szCs w:val="18"/>
        </w:rPr>
      </w:pPr>
      <w:r w:rsidRPr="009F6E8E">
        <w:rPr>
          <w:color w:val="000000"/>
          <w:sz w:val="22"/>
          <w:szCs w:val="18"/>
        </w:rPr>
        <w:t>12 mēnešu inflācija</w:t>
      </w:r>
    </w:p>
    <w:p w:rsidR="005D5DF1" w:rsidRPr="009F6E8E" w:rsidRDefault="005D5DF1" w:rsidP="005D5DF1">
      <w:pPr>
        <w:jc w:val="center"/>
        <w:rPr>
          <w:szCs w:val="24"/>
        </w:rPr>
      </w:pPr>
      <w:r w:rsidRPr="009F6E8E">
        <w:rPr>
          <w:noProof/>
          <w:szCs w:val="24"/>
          <w:lang w:eastAsia="lv-LV"/>
        </w:rPr>
        <w:drawing>
          <wp:inline distT="0" distB="0" distL="0" distR="0">
            <wp:extent cx="5865963" cy="2493034"/>
            <wp:effectExtent l="0" t="0" r="0" b="0"/>
            <wp:docPr id="13"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5D5DF1" w:rsidRPr="009F6E8E" w:rsidRDefault="005D5DF1" w:rsidP="005D5DF1">
      <w:pPr>
        <w:pStyle w:val="BodyText"/>
        <w:spacing w:after="0"/>
        <w:jc w:val="right"/>
        <w:rPr>
          <w:bCs/>
          <w:spacing w:val="-2"/>
          <w:sz w:val="8"/>
        </w:rPr>
      </w:pPr>
    </w:p>
    <w:p w:rsidR="005D5DF1" w:rsidRPr="009F6E8E" w:rsidRDefault="005D5DF1" w:rsidP="005D5DF1">
      <w:pPr>
        <w:pStyle w:val="Heading2"/>
      </w:pPr>
      <w:bookmarkStart w:id="407" w:name="_Toc305421462"/>
      <w:r w:rsidRPr="00B839A8">
        <w:rPr>
          <w:b w:val="0"/>
        </w:rPr>
        <w:lastRenderedPageBreak/>
        <w:t>7.6.attēls</w:t>
      </w:r>
      <w:r>
        <w:rPr>
          <w:b w:val="0"/>
        </w:rPr>
        <w:t>.</w:t>
      </w:r>
      <w:r w:rsidRPr="009F6E8E">
        <w:t xml:space="preserve"> Ražotāju cenu dinamika apstrādes rūpniecībā</w:t>
      </w:r>
      <w:bookmarkEnd w:id="407"/>
    </w:p>
    <w:p w:rsidR="005D5DF1" w:rsidRPr="009F6E8E" w:rsidRDefault="005D5DF1" w:rsidP="005D5DF1">
      <w:pPr>
        <w:ind w:firstLine="567"/>
        <w:jc w:val="both"/>
        <w:rPr>
          <w:sz w:val="12"/>
          <w:szCs w:val="24"/>
        </w:rPr>
      </w:pPr>
    </w:p>
    <w:p w:rsidR="005D5DF1" w:rsidRPr="009F6E8E" w:rsidRDefault="005D5DF1" w:rsidP="005D5DF1">
      <w:pPr>
        <w:tabs>
          <w:tab w:val="center" w:pos="4813"/>
        </w:tabs>
        <w:rPr>
          <w:rFonts w:eastAsia="Times New Roman"/>
          <w:bCs/>
          <w:color w:val="000000"/>
          <w:sz w:val="22"/>
          <w:szCs w:val="18"/>
        </w:rPr>
      </w:pPr>
      <w:r w:rsidRPr="009F6E8E">
        <w:rPr>
          <w:rFonts w:eastAsia="Times New Roman"/>
          <w:sz w:val="22"/>
          <w:szCs w:val="18"/>
        </w:rPr>
        <w:tab/>
      </w:r>
      <w:r w:rsidRPr="009F6E8E">
        <w:rPr>
          <w:rFonts w:eastAsia="Times New Roman"/>
          <w:bCs/>
          <w:color w:val="000000"/>
          <w:sz w:val="22"/>
          <w:szCs w:val="18"/>
        </w:rPr>
        <w:t>200</w:t>
      </w:r>
      <w:r>
        <w:rPr>
          <w:rFonts w:eastAsia="Times New Roman"/>
          <w:bCs/>
          <w:color w:val="000000"/>
          <w:sz w:val="22"/>
          <w:szCs w:val="18"/>
        </w:rPr>
        <w:t>8</w:t>
      </w:r>
      <w:r w:rsidRPr="009F6E8E">
        <w:rPr>
          <w:rFonts w:eastAsia="Times New Roman"/>
          <w:bCs/>
          <w:color w:val="000000"/>
          <w:sz w:val="22"/>
          <w:szCs w:val="18"/>
        </w:rPr>
        <w:t xml:space="preserve">.g. </w:t>
      </w:r>
      <w:r>
        <w:rPr>
          <w:rFonts w:eastAsia="Times New Roman"/>
          <w:bCs/>
          <w:color w:val="000000"/>
          <w:sz w:val="22"/>
          <w:szCs w:val="18"/>
        </w:rPr>
        <w:t>decembris</w:t>
      </w:r>
      <w:r w:rsidRPr="009F6E8E">
        <w:rPr>
          <w:rFonts w:eastAsia="Times New Roman"/>
          <w:bCs/>
          <w:color w:val="000000"/>
          <w:sz w:val="22"/>
          <w:szCs w:val="18"/>
        </w:rPr>
        <w:t>=100</w:t>
      </w:r>
    </w:p>
    <w:p w:rsidR="005D5DF1" w:rsidRPr="009F6E8E" w:rsidRDefault="005D5DF1" w:rsidP="005D5DF1">
      <w:pPr>
        <w:jc w:val="center"/>
        <w:rPr>
          <w:rFonts w:eastAsia="Times New Roman"/>
          <w:szCs w:val="24"/>
        </w:rPr>
      </w:pPr>
      <w:r w:rsidRPr="009F6E8E">
        <w:rPr>
          <w:noProof/>
          <w:szCs w:val="24"/>
          <w:lang w:eastAsia="lv-LV"/>
        </w:rPr>
        <w:drawing>
          <wp:inline distT="0" distB="0" distL="0" distR="0">
            <wp:extent cx="6115792" cy="2244436"/>
            <wp:effectExtent l="0" t="0" r="0" b="0"/>
            <wp:docPr id="14"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5D5DF1" w:rsidRPr="009F6E8E" w:rsidRDefault="005D5DF1" w:rsidP="005D5DF1">
      <w:pPr>
        <w:tabs>
          <w:tab w:val="center" w:pos="4813"/>
        </w:tabs>
        <w:jc w:val="center"/>
        <w:rPr>
          <w:rFonts w:eastAsia="Times New Roman"/>
          <w:sz w:val="22"/>
          <w:szCs w:val="18"/>
        </w:rPr>
      </w:pPr>
      <w:r w:rsidRPr="009F6E8E">
        <w:rPr>
          <w:rFonts w:eastAsia="Times New Roman"/>
          <w:bCs/>
          <w:color w:val="000000"/>
          <w:sz w:val="22"/>
          <w:szCs w:val="18"/>
        </w:rPr>
        <w:t>Pieaugums pret iepriekšējā gada attiecīgo periodu, %</w:t>
      </w:r>
    </w:p>
    <w:p w:rsidR="005D5DF1" w:rsidRPr="009F6E8E" w:rsidRDefault="005D5DF1" w:rsidP="005D5DF1">
      <w:pPr>
        <w:rPr>
          <w:rFonts w:eastAsia="Times New Roman"/>
          <w:szCs w:val="24"/>
        </w:rPr>
      </w:pPr>
      <w:r w:rsidRPr="009F6E8E">
        <w:rPr>
          <w:rFonts w:eastAsia="Times New Roman"/>
          <w:noProof/>
          <w:szCs w:val="24"/>
          <w:lang w:eastAsia="lv-LV"/>
        </w:rPr>
        <w:drawing>
          <wp:inline distT="0" distB="0" distL="0" distR="0">
            <wp:extent cx="6103917" cy="2648197"/>
            <wp:effectExtent l="19050" t="0" r="0" b="0"/>
            <wp:docPr id="15"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5D5DF1" w:rsidRPr="009F6E8E" w:rsidRDefault="005D5DF1" w:rsidP="005D5DF1">
      <w:pPr>
        <w:rPr>
          <w:rStyle w:val="Heading2Char"/>
          <w:b w:val="0"/>
        </w:rPr>
      </w:pPr>
      <w:bookmarkStart w:id="408" w:name="_Toc216079554"/>
      <w:bookmarkStart w:id="409" w:name="_Toc216079622"/>
      <w:bookmarkStart w:id="410" w:name="_Toc216079684"/>
      <w:bookmarkStart w:id="411" w:name="_Toc216079740"/>
      <w:bookmarkStart w:id="412" w:name="_Toc216079796"/>
      <w:bookmarkStart w:id="413" w:name="_Toc216079852"/>
      <w:bookmarkStart w:id="414" w:name="_Toc216077886"/>
    </w:p>
    <w:p w:rsidR="005D5DF1" w:rsidRPr="009F6E8E" w:rsidRDefault="005D5DF1" w:rsidP="005D5DF1">
      <w:bookmarkStart w:id="415" w:name="_Toc305421463"/>
      <w:r>
        <w:rPr>
          <w:rStyle w:val="Heading2Char"/>
          <w:b w:val="0"/>
        </w:rPr>
        <w:t>7</w:t>
      </w:r>
      <w:r w:rsidRPr="00CD3CE6">
        <w:rPr>
          <w:rStyle w:val="Heading2Char"/>
          <w:b w:val="0"/>
        </w:rPr>
        <w:t>.</w:t>
      </w:r>
      <w:r>
        <w:rPr>
          <w:rStyle w:val="Heading2Char"/>
          <w:b w:val="0"/>
        </w:rPr>
        <w:t>7</w:t>
      </w:r>
      <w:r w:rsidRPr="00CD3CE6">
        <w:rPr>
          <w:rStyle w:val="Heading2Char"/>
          <w:b w:val="0"/>
        </w:rPr>
        <w:t>.attēls.</w:t>
      </w:r>
      <w:r w:rsidRPr="009F6E8E">
        <w:rPr>
          <w:rStyle w:val="Heading2Char"/>
        </w:rPr>
        <w:t xml:space="preserve"> Patēriņa cenu, ražotāju cenu un tirgus pakalpojumu pievienotās vērtības deflatora izmaiņas</w:t>
      </w:r>
      <w:bookmarkEnd w:id="408"/>
      <w:bookmarkEnd w:id="409"/>
      <w:bookmarkEnd w:id="410"/>
      <w:bookmarkEnd w:id="411"/>
      <w:bookmarkEnd w:id="412"/>
      <w:bookmarkEnd w:id="413"/>
      <w:bookmarkEnd w:id="415"/>
      <w:r w:rsidRPr="009F6E8E">
        <w:t>, izmaiņas pret iepriekšējā gada atbilstošo ceturksni, %</w:t>
      </w:r>
      <w:bookmarkEnd w:id="414"/>
    </w:p>
    <w:p w:rsidR="005D5DF1" w:rsidRPr="009F6E8E" w:rsidRDefault="005D5DF1" w:rsidP="005D5DF1">
      <w:pPr>
        <w:rPr>
          <w:b/>
          <w:sz w:val="16"/>
        </w:rPr>
      </w:pPr>
    </w:p>
    <w:p w:rsidR="005D5DF1" w:rsidRPr="009F6E8E" w:rsidRDefault="005D5DF1" w:rsidP="005D5DF1">
      <w:pPr>
        <w:jc w:val="center"/>
        <w:rPr>
          <w:color w:val="000000"/>
          <w:szCs w:val="24"/>
        </w:rPr>
      </w:pPr>
      <w:r w:rsidRPr="009F6E8E">
        <w:rPr>
          <w:noProof/>
          <w:color w:val="000000"/>
          <w:szCs w:val="24"/>
          <w:lang w:eastAsia="lv-LV"/>
        </w:rPr>
        <w:drawing>
          <wp:inline distT="0" distB="0" distL="0" distR="0">
            <wp:extent cx="6068291" cy="2636322"/>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5D5DF1" w:rsidRDefault="005D5DF1" w:rsidP="005D5DF1">
      <w:pPr>
        <w:rPr>
          <w:rFonts w:eastAsia="Times New Roman"/>
          <w:sz w:val="4"/>
        </w:rPr>
      </w:pPr>
    </w:p>
    <w:p w:rsidR="005D5DF1" w:rsidRDefault="005D5DF1">
      <w:pPr>
        <w:rPr>
          <w:rFonts w:eastAsiaTheme="majorEastAsia" w:cstheme="majorBidi"/>
          <w:b/>
          <w:bCs/>
          <w:sz w:val="32"/>
        </w:rPr>
      </w:pPr>
      <w:r>
        <w:br w:type="page"/>
      </w:r>
    </w:p>
    <w:p w:rsidR="00BE41C7" w:rsidRPr="009F6E8E" w:rsidRDefault="006C532B" w:rsidP="00BE41C7">
      <w:pPr>
        <w:pStyle w:val="Heading1"/>
        <w:ind w:right="283"/>
      </w:pPr>
      <w:bookmarkStart w:id="416" w:name="_Toc305069157"/>
      <w:bookmarkStart w:id="417" w:name="_Toc305421464"/>
      <w:r>
        <w:lastRenderedPageBreak/>
        <w:t>8</w:t>
      </w:r>
      <w:r w:rsidR="00BE41C7" w:rsidRPr="009F6E8E">
        <w:t>. Prognozes</w:t>
      </w:r>
      <w:bookmarkEnd w:id="352"/>
      <w:bookmarkEnd w:id="353"/>
      <w:bookmarkEnd w:id="354"/>
      <w:bookmarkEnd w:id="355"/>
      <w:bookmarkEnd w:id="356"/>
      <w:bookmarkEnd w:id="357"/>
      <w:bookmarkEnd w:id="358"/>
      <w:bookmarkEnd w:id="416"/>
      <w:bookmarkEnd w:id="417"/>
    </w:p>
    <w:p w:rsidR="00120F26" w:rsidRPr="00BB3418" w:rsidRDefault="00120F26" w:rsidP="008B622B">
      <w:pPr>
        <w:spacing w:after="80"/>
        <w:jc w:val="both"/>
        <w:rPr>
          <w:sz w:val="2"/>
          <w:szCs w:val="12"/>
          <w:u w:val="single"/>
          <w:lang w:eastAsia="lv-LV"/>
        </w:rPr>
      </w:pPr>
      <w:bookmarkStart w:id="418" w:name="_Toc216079556"/>
      <w:bookmarkStart w:id="419" w:name="_Toc216079624"/>
      <w:bookmarkStart w:id="420" w:name="_Toc216079686"/>
      <w:bookmarkStart w:id="421" w:name="_Toc216079742"/>
      <w:bookmarkStart w:id="422" w:name="_Toc216079798"/>
      <w:bookmarkStart w:id="423" w:name="_Toc216079854"/>
      <w:bookmarkStart w:id="424" w:name="_Toc216077888"/>
    </w:p>
    <w:p w:rsidR="00923F1D" w:rsidRPr="005D5DF1" w:rsidRDefault="00923F1D" w:rsidP="008B622B">
      <w:pPr>
        <w:spacing w:after="80"/>
        <w:jc w:val="both"/>
        <w:rPr>
          <w:sz w:val="28"/>
          <w:u w:val="single"/>
          <w:lang w:eastAsia="lv-LV"/>
        </w:rPr>
      </w:pPr>
      <w:r w:rsidRPr="005D5DF1">
        <w:rPr>
          <w:sz w:val="28"/>
          <w:u w:val="single"/>
          <w:lang w:eastAsia="lv-LV"/>
        </w:rPr>
        <w:t>Tautsaimniecības attīstība</w:t>
      </w:r>
    </w:p>
    <w:p w:rsidR="00953911" w:rsidRPr="00953911" w:rsidRDefault="005A1F13" w:rsidP="00B20AFE">
      <w:pPr>
        <w:pStyle w:val="BodyTextIndent"/>
        <w:spacing w:after="0"/>
        <w:ind w:left="-142" w:right="-142" w:firstLine="284"/>
        <w:jc w:val="both"/>
        <w:rPr>
          <w:rFonts w:eastAsia="Calibri"/>
          <w:sz w:val="28"/>
          <w:szCs w:val="28"/>
          <w:lang w:eastAsia="en-US"/>
        </w:rPr>
      </w:pPr>
      <w:bookmarkStart w:id="425" w:name="_Toc227642591"/>
      <w:bookmarkEnd w:id="418"/>
      <w:bookmarkEnd w:id="419"/>
      <w:bookmarkEnd w:id="420"/>
      <w:bookmarkEnd w:id="421"/>
      <w:bookmarkEnd w:id="422"/>
      <w:bookmarkEnd w:id="423"/>
      <w:bookmarkEnd w:id="424"/>
      <w:r>
        <w:rPr>
          <w:rFonts w:eastAsia="Calibri"/>
          <w:sz w:val="28"/>
          <w:szCs w:val="28"/>
          <w:lang w:eastAsia="en-US"/>
        </w:rPr>
        <w:t>Latvijas tautsaimniecības turpmākā attīstība joprojām būs cieši saistīta ar eksporta iespējām, t</w:t>
      </w:r>
      <w:r w:rsidR="00953911" w:rsidRPr="00953911">
        <w:rPr>
          <w:rFonts w:eastAsia="Calibri"/>
          <w:sz w:val="28"/>
          <w:szCs w:val="28"/>
          <w:lang w:eastAsia="en-US"/>
        </w:rPr>
        <w:t>āpēc lielākais Latvijas izaugsmes risks saistīts ar gl</w:t>
      </w:r>
      <w:r w:rsidR="00B073E0">
        <w:rPr>
          <w:rFonts w:eastAsia="Calibri"/>
          <w:sz w:val="28"/>
          <w:szCs w:val="28"/>
          <w:lang w:eastAsia="en-US"/>
        </w:rPr>
        <w:t>obālās ekonomikas attīstību</w:t>
      </w:r>
      <w:r w:rsidR="00953911" w:rsidRPr="00953911">
        <w:rPr>
          <w:rFonts w:eastAsia="Calibri"/>
          <w:sz w:val="28"/>
          <w:szCs w:val="28"/>
          <w:lang w:eastAsia="en-US"/>
        </w:rPr>
        <w:t xml:space="preserve">. Vēl arvien saglabājas spriedze </w:t>
      </w:r>
      <w:r w:rsidR="00AB4A2E">
        <w:rPr>
          <w:rFonts w:eastAsia="Calibri"/>
          <w:sz w:val="28"/>
          <w:szCs w:val="28"/>
          <w:lang w:eastAsia="en-US"/>
        </w:rPr>
        <w:t xml:space="preserve">pasaules </w:t>
      </w:r>
      <w:r w:rsidR="00953911" w:rsidRPr="00953911">
        <w:rPr>
          <w:rFonts w:eastAsia="Calibri"/>
          <w:sz w:val="28"/>
          <w:szCs w:val="28"/>
          <w:lang w:eastAsia="en-US"/>
        </w:rPr>
        <w:t>finanšu tirgos ar iespējamo atgriez</w:t>
      </w:r>
      <w:r w:rsidR="00AB4A2E">
        <w:rPr>
          <w:rFonts w:eastAsia="Calibri"/>
          <w:sz w:val="28"/>
          <w:szCs w:val="28"/>
          <w:lang w:eastAsia="en-US"/>
        </w:rPr>
        <w:t>enisko ietekmi uz reālo sektoru</w:t>
      </w:r>
      <w:r w:rsidR="00953911" w:rsidRPr="00953911">
        <w:rPr>
          <w:rFonts w:eastAsia="Calibri"/>
          <w:sz w:val="28"/>
          <w:szCs w:val="28"/>
          <w:lang w:eastAsia="en-US"/>
        </w:rPr>
        <w:t xml:space="preserve">. Daudzās valstīs ekonomiskās aktivitātes </w:t>
      </w:r>
      <w:r w:rsidR="002307F6">
        <w:rPr>
          <w:rFonts w:eastAsia="Calibri"/>
          <w:sz w:val="28"/>
          <w:szCs w:val="28"/>
          <w:lang w:eastAsia="en-US"/>
        </w:rPr>
        <w:t>pieaugumu</w:t>
      </w:r>
      <w:r w:rsidR="00953911" w:rsidRPr="00953911">
        <w:rPr>
          <w:rFonts w:eastAsia="Calibri"/>
          <w:sz w:val="28"/>
          <w:szCs w:val="28"/>
          <w:lang w:eastAsia="en-US"/>
        </w:rPr>
        <w:t xml:space="preserve"> lielā mērā ierobežos fiskālās konsolidācijas pasākumi, valsts parāda līmeņa pieaugums un </w:t>
      </w:r>
      <w:r w:rsidR="002307F6">
        <w:rPr>
          <w:rFonts w:eastAsia="Calibri"/>
          <w:sz w:val="28"/>
          <w:szCs w:val="28"/>
          <w:lang w:eastAsia="en-US"/>
        </w:rPr>
        <w:t>salīdzinoši augstais bezdarba līmenis</w:t>
      </w:r>
      <w:r>
        <w:rPr>
          <w:rFonts w:eastAsia="Calibri"/>
          <w:sz w:val="28"/>
          <w:szCs w:val="28"/>
          <w:lang w:eastAsia="en-US"/>
        </w:rPr>
        <w:t xml:space="preserve"> (skatīt 1.nodaļu)</w:t>
      </w:r>
      <w:r w:rsidR="00AB4A2E">
        <w:rPr>
          <w:rFonts w:eastAsia="Calibri"/>
          <w:sz w:val="28"/>
          <w:szCs w:val="28"/>
          <w:lang w:eastAsia="en-US"/>
        </w:rPr>
        <w:t>.</w:t>
      </w:r>
    </w:p>
    <w:p w:rsidR="005A1F13" w:rsidRDefault="005A1F13" w:rsidP="00B20AFE">
      <w:pPr>
        <w:pStyle w:val="BodyTextIndent"/>
        <w:spacing w:after="0"/>
        <w:ind w:left="-142" w:right="-142" w:firstLine="284"/>
        <w:jc w:val="both"/>
        <w:rPr>
          <w:rFonts w:eastAsia="Calibri"/>
          <w:sz w:val="28"/>
          <w:szCs w:val="28"/>
          <w:lang w:eastAsia="en-US"/>
        </w:rPr>
      </w:pPr>
      <w:r>
        <w:rPr>
          <w:rFonts w:eastAsia="Calibri"/>
          <w:sz w:val="28"/>
          <w:szCs w:val="28"/>
          <w:lang w:eastAsia="en-US"/>
        </w:rPr>
        <w:t>Ņemot vērā izaugsmes tempu palēnināšanos</w:t>
      </w:r>
      <w:r w:rsidR="002307F6" w:rsidRPr="002307F6">
        <w:rPr>
          <w:rFonts w:eastAsia="Calibri"/>
          <w:sz w:val="28"/>
          <w:szCs w:val="28"/>
          <w:lang w:eastAsia="en-US"/>
        </w:rPr>
        <w:t xml:space="preserve"> </w:t>
      </w:r>
      <w:r w:rsidR="002307F6">
        <w:rPr>
          <w:rFonts w:eastAsia="Calibri"/>
          <w:sz w:val="28"/>
          <w:szCs w:val="28"/>
          <w:lang w:eastAsia="en-US"/>
        </w:rPr>
        <w:t>vairumā mūsu tirdzniecības partnervalstu,</w:t>
      </w:r>
      <w:r>
        <w:rPr>
          <w:rFonts w:eastAsia="Calibri"/>
          <w:sz w:val="28"/>
          <w:szCs w:val="28"/>
          <w:lang w:eastAsia="en-US"/>
        </w:rPr>
        <w:t xml:space="preserve"> </w:t>
      </w:r>
      <w:r w:rsidR="002307F6">
        <w:rPr>
          <w:rFonts w:eastAsia="Calibri"/>
          <w:sz w:val="28"/>
          <w:szCs w:val="28"/>
          <w:lang w:eastAsia="en-US"/>
        </w:rPr>
        <w:t xml:space="preserve">kā arī palielinoties nenoteiktībai pasaules ekonomikā, </w:t>
      </w:r>
      <w:r>
        <w:rPr>
          <w:rFonts w:eastAsia="Calibri"/>
          <w:sz w:val="28"/>
          <w:szCs w:val="28"/>
          <w:lang w:eastAsia="en-US"/>
        </w:rPr>
        <w:t xml:space="preserve">Latvijas eksporta pieaugums kļūs mērenāks un </w:t>
      </w:r>
      <w:r w:rsidR="00BB3418">
        <w:rPr>
          <w:rFonts w:eastAsia="Calibri"/>
          <w:sz w:val="28"/>
          <w:szCs w:val="28"/>
          <w:lang w:eastAsia="en-US"/>
        </w:rPr>
        <w:t xml:space="preserve">kopumā </w:t>
      </w:r>
      <w:r>
        <w:rPr>
          <w:rFonts w:eastAsia="Calibri"/>
          <w:sz w:val="28"/>
          <w:szCs w:val="28"/>
          <w:lang w:eastAsia="en-US"/>
        </w:rPr>
        <w:t>2012.gadā var būt 5% robežās.</w:t>
      </w:r>
    </w:p>
    <w:p w:rsidR="00953911" w:rsidRPr="00953911" w:rsidRDefault="00AD23FF" w:rsidP="00B20AFE">
      <w:pPr>
        <w:pStyle w:val="BodyTextIndent"/>
        <w:spacing w:after="0"/>
        <w:ind w:left="-142" w:right="-142" w:firstLine="284"/>
        <w:jc w:val="both"/>
        <w:rPr>
          <w:rFonts w:eastAsia="Calibri"/>
          <w:sz w:val="28"/>
          <w:szCs w:val="28"/>
          <w:lang w:eastAsia="en-US"/>
        </w:rPr>
      </w:pPr>
      <w:r>
        <w:rPr>
          <w:rFonts w:eastAsia="Calibri"/>
          <w:sz w:val="28"/>
          <w:szCs w:val="28"/>
          <w:lang w:eastAsia="en-US"/>
        </w:rPr>
        <w:t xml:space="preserve">Kā liecina jaunākie statistikas dati par mazumtirdzniecības apgrozījumu un tendences darba tirgū, privātais patēriņš turpina palielināties arī šī gada </w:t>
      </w:r>
      <w:r w:rsidR="00B20AFE">
        <w:rPr>
          <w:rFonts w:eastAsia="Calibri"/>
          <w:sz w:val="28"/>
          <w:szCs w:val="28"/>
          <w:lang w:eastAsia="en-US"/>
        </w:rPr>
        <w:t>otrajā pusē</w:t>
      </w:r>
      <w:r>
        <w:rPr>
          <w:rFonts w:eastAsia="Calibri"/>
          <w:sz w:val="28"/>
          <w:szCs w:val="28"/>
          <w:lang w:eastAsia="en-US"/>
        </w:rPr>
        <w:t>. Tas nozīmē</w:t>
      </w:r>
      <w:r w:rsidR="001A5EAD">
        <w:rPr>
          <w:rFonts w:eastAsia="Calibri"/>
          <w:sz w:val="28"/>
          <w:szCs w:val="28"/>
          <w:lang w:eastAsia="en-US"/>
        </w:rPr>
        <w:t>,</w:t>
      </w:r>
      <w:r>
        <w:rPr>
          <w:rFonts w:eastAsia="Calibri"/>
          <w:sz w:val="28"/>
          <w:szCs w:val="28"/>
          <w:lang w:eastAsia="en-US"/>
        </w:rPr>
        <w:t xml:space="preserve"> ka šogad kopumā tas par vairāk ka 4% varētu pārsniegt 2010.gada līmeni.</w:t>
      </w:r>
      <w:r w:rsidR="00B20AFE">
        <w:rPr>
          <w:rFonts w:eastAsia="Calibri"/>
          <w:sz w:val="28"/>
          <w:szCs w:val="28"/>
          <w:lang w:eastAsia="en-US"/>
        </w:rPr>
        <w:t xml:space="preserve"> </w:t>
      </w:r>
      <w:r>
        <w:rPr>
          <w:rFonts w:eastAsia="Calibri"/>
          <w:sz w:val="28"/>
          <w:szCs w:val="28"/>
          <w:lang w:eastAsia="en-US"/>
        </w:rPr>
        <w:t>Nākamgad, palēninoties eksporta izaugsmei, arī tā pozitīvais efekts uz tautsaimniecību kopumā var mazināties</w:t>
      </w:r>
      <w:r w:rsidR="002307F6">
        <w:rPr>
          <w:rFonts w:eastAsia="Calibri"/>
          <w:sz w:val="28"/>
          <w:szCs w:val="28"/>
          <w:lang w:eastAsia="en-US"/>
        </w:rPr>
        <w:t>. T</w:t>
      </w:r>
      <w:r>
        <w:rPr>
          <w:rFonts w:eastAsia="Calibri"/>
          <w:sz w:val="28"/>
          <w:szCs w:val="28"/>
          <w:lang w:eastAsia="en-US"/>
        </w:rPr>
        <w:t xml:space="preserve">ādēļ </w:t>
      </w:r>
      <w:r w:rsidR="00AB4A2E">
        <w:rPr>
          <w:rFonts w:eastAsia="Calibri"/>
          <w:sz w:val="28"/>
          <w:szCs w:val="28"/>
          <w:lang w:eastAsia="en-US"/>
        </w:rPr>
        <w:t>2012.gadā</w:t>
      </w:r>
      <w:r w:rsidR="00220780">
        <w:rPr>
          <w:rFonts w:eastAsia="Calibri"/>
          <w:sz w:val="28"/>
          <w:szCs w:val="28"/>
          <w:lang w:eastAsia="en-US"/>
        </w:rPr>
        <w:t xml:space="preserve"> </w:t>
      </w:r>
      <w:r w:rsidR="00953911" w:rsidRPr="00953911">
        <w:rPr>
          <w:rFonts w:eastAsia="Calibri"/>
          <w:sz w:val="28"/>
          <w:szCs w:val="28"/>
          <w:lang w:eastAsia="en-US"/>
        </w:rPr>
        <w:t xml:space="preserve">nav sagaidāms </w:t>
      </w:r>
      <w:r w:rsidR="0002566A">
        <w:rPr>
          <w:rFonts w:eastAsia="Calibri"/>
          <w:sz w:val="28"/>
          <w:szCs w:val="28"/>
          <w:lang w:eastAsia="en-US"/>
        </w:rPr>
        <w:t xml:space="preserve">ļoti būtisks </w:t>
      </w:r>
      <w:r w:rsidR="00953911" w:rsidRPr="00953911">
        <w:rPr>
          <w:rFonts w:eastAsia="Calibri"/>
          <w:sz w:val="28"/>
          <w:szCs w:val="28"/>
          <w:lang w:eastAsia="en-US"/>
        </w:rPr>
        <w:t xml:space="preserve">iekšējā pieprasījuma pieaugums. </w:t>
      </w:r>
      <w:r>
        <w:rPr>
          <w:rFonts w:eastAsia="Calibri"/>
          <w:sz w:val="28"/>
          <w:szCs w:val="28"/>
          <w:lang w:eastAsia="en-US"/>
        </w:rPr>
        <w:t>Strauju patēriņa kāpumu</w:t>
      </w:r>
      <w:r w:rsidR="00953911" w:rsidRPr="00953911">
        <w:rPr>
          <w:rFonts w:eastAsia="Calibri"/>
          <w:sz w:val="28"/>
          <w:szCs w:val="28"/>
          <w:lang w:eastAsia="en-US"/>
        </w:rPr>
        <w:t xml:space="preserve"> ierobežos </w:t>
      </w:r>
      <w:r>
        <w:rPr>
          <w:rFonts w:eastAsia="Calibri"/>
          <w:sz w:val="28"/>
          <w:szCs w:val="28"/>
          <w:lang w:eastAsia="en-US"/>
        </w:rPr>
        <w:t xml:space="preserve">joprojām lielās </w:t>
      </w:r>
      <w:r w:rsidR="00953911" w:rsidRPr="00953911">
        <w:rPr>
          <w:rFonts w:eastAsia="Calibri"/>
          <w:sz w:val="28"/>
          <w:szCs w:val="28"/>
          <w:lang w:eastAsia="en-US"/>
        </w:rPr>
        <w:t>mājsaimniecību parādsaistības un, neraugoties uz turpmāku situācijas uzlabošanos darba tirgū, arī relatīvi augstais bezdarba līmenis.</w:t>
      </w:r>
      <w:r w:rsidR="00BB3418">
        <w:rPr>
          <w:rFonts w:eastAsia="Calibri"/>
          <w:sz w:val="28"/>
          <w:szCs w:val="28"/>
          <w:lang w:eastAsia="en-US"/>
        </w:rPr>
        <w:t xml:space="preserve"> </w:t>
      </w:r>
      <w:r w:rsidR="00953911" w:rsidRPr="00953911">
        <w:rPr>
          <w:rFonts w:eastAsia="Calibri"/>
          <w:sz w:val="28"/>
          <w:szCs w:val="28"/>
          <w:lang w:eastAsia="en-US"/>
        </w:rPr>
        <w:t>Investīciju dinamiku ietekmēs komercbanku piesardzīgā kreditēšanas politika. Privātā sektora investīcijas noteiks uzņēmēju nogaidošais noskaņojums att</w:t>
      </w:r>
      <w:r w:rsidR="00B20AFE">
        <w:rPr>
          <w:rFonts w:eastAsia="Calibri"/>
          <w:sz w:val="28"/>
          <w:szCs w:val="28"/>
          <w:lang w:eastAsia="en-US"/>
        </w:rPr>
        <w:t>iecībā uz nākotnes perspektīvām</w:t>
      </w:r>
      <w:r w:rsidR="00953911" w:rsidRPr="00953911">
        <w:rPr>
          <w:rFonts w:eastAsia="Calibri"/>
          <w:sz w:val="28"/>
          <w:szCs w:val="28"/>
          <w:lang w:eastAsia="en-US"/>
        </w:rPr>
        <w:t xml:space="preserve">. </w:t>
      </w:r>
      <w:r w:rsidR="00B20AFE">
        <w:rPr>
          <w:rFonts w:eastAsia="Calibri"/>
          <w:sz w:val="28"/>
          <w:szCs w:val="28"/>
          <w:lang w:eastAsia="en-US"/>
        </w:rPr>
        <w:t>I</w:t>
      </w:r>
      <w:r w:rsidR="00953911" w:rsidRPr="00953911">
        <w:rPr>
          <w:rFonts w:eastAsia="Calibri"/>
          <w:sz w:val="28"/>
          <w:szCs w:val="28"/>
          <w:lang w:eastAsia="en-US"/>
        </w:rPr>
        <w:t>mporta</w:t>
      </w:r>
      <w:r>
        <w:rPr>
          <w:rFonts w:eastAsia="Calibri"/>
          <w:sz w:val="28"/>
          <w:szCs w:val="28"/>
          <w:lang w:eastAsia="en-US"/>
        </w:rPr>
        <w:t xml:space="preserve"> </w:t>
      </w:r>
      <w:r w:rsidR="00BB3418">
        <w:rPr>
          <w:rFonts w:eastAsia="Calibri"/>
          <w:sz w:val="28"/>
          <w:szCs w:val="28"/>
          <w:lang w:eastAsia="en-US"/>
        </w:rPr>
        <w:t xml:space="preserve">dinamika </w:t>
      </w:r>
      <w:r>
        <w:rPr>
          <w:rFonts w:eastAsia="Calibri"/>
          <w:sz w:val="28"/>
          <w:szCs w:val="28"/>
          <w:lang w:eastAsia="en-US"/>
        </w:rPr>
        <w:t>būs atkarīg</w:t>
      </w:r>
      <w:r w:rsidR="00BB3418">
        <w:rPr>
          <w:rFonts w:eastAsia="Calibri"/>
          <w:sz w:val="28"/>
          <w:szCs w:val="28"/>
          <w:lang w:eastAsia="en-US"/>
        </w:rPr>
        <w:t>a</w:t>
      </w:r>
      <w:r>
        <w:rPr>
          <w:rFonts w:eastAsia="Calibri"/>
          <w:sz w:val="28"/>
          <w:szCs w:val="28"/>
          <w:lang w:eastAsia="en-US"/>
        </w:rPr>
        <w:t xml:space="preserve"> no mūsu eksporta iespējām (</w:t>
      </w:r>
      <w:r w:rsidR="00953911" w:rsidRPr="00953911">
        <w:rPr>
          <w:rFonts w:eastAsia="Calibri"/>
          <w:sz w:val="28"/>
          <w:szCs w:val="28"/>
          <w:lang w:eastAsia="en-US"/>
        </w:rPr>
        <w:t>jo apstrādes rūpniecības izaugsme palielin</w:t>
      </w:r>
      <w:r>
        <w:rPr>
          <w:rFonts w:eastAsia="Calibri"/>
          <w:sz w:val="28"/>
          <w:szCs w:val="28"/>
          <w:lang w:eastAsia="en-US"/>
        </w:rPr>
        <w:t xml:space="preserve">a </w:t>
      </w:r>
      <w:r w:rsidR="00953911" w:rsidRPr="00953911">
        <w:rPr>
          <w:rFonts w:eastAsia="Calibri"/>
          <w:sz w:val="28"/>
          <w:szCs w:val="28"/>
          <w:lang w:eastAsia="en-US"/>
        </w:rPr>
        <w:t>starppatēriņa preču importu</w:t>
      </w:r>
      <w:r>
        <w:rPr>
          <w:rFonts w:eastAsia="Calibri"/>
          <w:sz w:val="28"/>
          <w:szCs w:val="28"/>
          <w:lang w:eastAsia="en-US"/>
        </w:rPr>
        <w:t>), kā arī privātā patēriņa un investīciju dinamikas</w:t>
      </w:r>
      <w:r w:rsidR="00953911" w:rsidRPr="00953911">
        <w:rPr>
          <w:rFonts w:eastAsia="Calibri"/>
          <w:sz w:val="28"/>
          <w:szCs w:val="28"/>
          <w:lang w:eastAsia="en-US"/>
        </w:rPr>
        <w:t>.</w:t>
      </w:r>
    </w:p>
    <w:p w:rsidR="00BB3418" w:rsidRDefault="00B20AFE" w:rsidP="00B20AFE">
      <w:pPr>
        <w:ind w:left="-142" w:right="-142" w:firstLine="284"/>
        <w:jc w:val="both"/>
        <w:rPr>
          <w:bCs/>
          <w:sz w:val="28"/>
        </w:rPr>
      </w:pPr>
      <w:r>
        <w:rPr>
          <w:bCs/>
          <w:sz w:val="28"/>
        </w:rPr>
        <w:t xml:space="preserve">Kopumā </w:t>
      </w:r>
      <w:r w:rsidR="00BB3418">
        <w:rPr>
          <w:bCs/>
          <w:sz w:val="28"/>
        </w:rPr>
        <w:t xml:space="preserve">2011.gadā </w:t>
      </w:r>
      <w:r>
        <w:rPr>
          <w:bCs/>
          <w:sz w:val="28"/>
        </w:rPr>
        <w:t xml:space="preserve">IKP </w:t>
      </w:r>
      <w:r w:rsidR="00BB3418">
        <w:rPr>
          <w:bCs/>
          <w:sz w:val="28"/>
        </w:rPr>
        <w:t xml:space="preserve">var pārsniegt 2010.gada līmeni </w:t>
      </w:r>
      <w:r w:rsidR="002307F6">
        <w:rPr>
          <w:bCs/>
          <w:sz w:val="28"/>
        </w:rPr>
        <w:t xml:space="preserve">vismaz par </w:t>
      </w:r>
      <w:r w:rsidR="00BB3418">
        <w:rPr>
          <w:bCs/>
          <w:sz w:val="28"/>
        </w:rPr>
        <w:t>4,5%</w:t>
      </w:r>
      <w:r w:rsidR="002307F6">
        <w:rPr>
          <w:bCs/>
          <w:sz w:val="28"/>
        </w:rPr>
        <w:t>. S</w:t>
      </w:r>
      <w:r w:rsidR="00BB3418">
        <w:rPr>
          <w:bCs/>
          <w:sz w:val="28"/>
        </w:rPr>
        <w:t>avukārt 2012.gadā</w:t>
      </w:r>
      <w:r>
        <w:rPr>
          <w:bCs/>
          <w:sz w:val="28"/>
        </w:rPr>
        <w:t xml:space="preserve">, ņemot vērā pieaugošo nenoteiktību </w:t>
      </w:r>
      <w:r w:rsidR="002307F6">
        <w:rPr>
          <w:bCs/>
          <w:sz w:val="28"/>
        </w:rPr>
        <w:t>p</w:t>
      </w:r>
      <w:r>
        <w:rPr>
          <w:bCs/>
          <w:sz w:val="28"/>
        </w:rPr>
        <w:t>asaules ekonomikas attīstīb</w:t>
      </w:r>
      <w:r w:rsidR="002307F6">
        <w:rPr>
          <w:bCs/>
          <w:sz w:val="28"/>
        </w:rPr>
        <w:t>ā</w:t>
      </w:r>
      <w:r>
        <w:rPr>
          <w:bCs/>
          <w:sz w:val="28"/>
        </w:rPr>
        <w:t xml:space="preserve">, Latvijas </w:t>
      </w:r>
      <w:r w:rsidR="00BB3418">
        <w:rPr>
          <w:bCs/>
          <w:sz w:val="28"/>
        </w:rPr>
        <w:t>tautsaimniecības izaugsme varētu būt 2,5 – 3% robežās.</w:t>
      </w:r>
    </w:p>
    <w:p w:rsidR="009F2C8B" w:rsidRPr="00A76815" w:rsidRDefault="009F2C8B" w:rsidP="009F2C8B">
      <w:pPr>
        <w:ind w:right="284"/>
        <w:rPr>
          <w:rStyle w:val="Heading2Char"/>
          <w:rFonts w:cs="Times New Roman"/>
          <w:b w:val="0"/>
          <w:sz w:val="6"/>
        </w:rPr>
      </w:pPr>
    </w:p>
    <w:p w:rsidR="009F2C8B" w:rsidRDefault="009F2C8B" w:rsidP="009F2C8B">
      <w:pPr>
        <w:ind w:right="284"/>
        <w:rPr>
          <w:rStyle w:val="Heading2Char"/>
          <w:rFonts w:cs="Times New Roman"/>
        </w:rPr>
      </w:pPr>
      <w:bookmarkStart w:id="426" w:name="_Toc305421465"/>
      <w:r w:rsidRPr="00CD3CE6">
        <w:rPr>
          <w:rStyle w:val="Heading2Char"/>
          <w:rFonts w:cs="Times New Roman"/>
          <w:b w:val="0"/>
        </w:rPr>
        <w:t>8.</w:t>
      </w:r>
      <w:r>
        <w:rPr>
          <w:rStyle w:val="Heading2Char"/>
          <w:rFonts w:cs="Times New Roman"/>
          <w:b w:val="0"/>
        </w:rPr>
        <w:t>1</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IKP no izlietojuma puses</w:t>
      </w:r>
      <w:bookmarkEnd w:id="426"/>
      <w:r>
        <w:rPr>
          <w:rStyle w:val="Heading2Char"/>
          <w:rFonts w:cs="Times New Roman"/>
        </w:rPr>
        <w:t xml:space="preserve"> </w:t>
      </w:r>
    </w:p>
    <w:p w:rsidR="009F2C8B" w:rsidRPr="00120F26" w:rsidRDefault="009F2C8B" w:rsidP="00A76815">
      <w:pPr>
        <w:ind w:right="284"/>
        <w:rPr>
          <w:sz w:val="22"/>
        </w:rPr>
      </w:pPr>
      <w:r w:rsidRPr="00120F26">
        <w:rPr>
          <w:sz w:val="22"/>
        </w:rPr>
        <w:t>(200</w:t>
      </w:r>
      <w:r w:rsidR="00BB3418">
        <w:rPr>
          <w:sz w:val="22"/>
        </w:rPr>
        <w:t>7</w:t>
      </w:r>
      <w:r w:rsidRPr="00120F26">
        <w:rPr>
          <w:sz w:val="22"/>
        </w:rPr>
        <w:t>.gada 4.ceturksnis = 100)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120F26" w:rsidRPr="00CF7249" w:rsidTr="00B20AFE">
        <w:trPr>
          <w:jc w:val="center"/>
        </w:trPr>
        <w:tc>
          <w:tcPr>
            <w:tcW w:w="2488" w:type="pct"/>
          </w:tcPr>
          <w:p w:rsidR="00120F26" w:rsidRPr="00CF7249" w:rsidRDefault="00120F26" w:rsidP="00BB3418">
            <w:pPr>
              <w:tabs>
                <w:tab w:val="left" w:pos="4881"/>
              </w:tabs>
              <w:spacing w:before="20"/>
              <w:jc w:val="center"/>
              <w:rPr>
                <w:b/>
                <w:sz w:val="22"/>
                <w:szCs w:val="22"/>
              </w:rPr>
            </w:pPr>
            <w:r w:rsidRPr="00CF7249">
              <w:rPr>
                <w:b/>
                <w:sz w:val="22"/>
                <w:szCs w:val="22"/>
              </w:rPr>
              <w:t>Iekšzemes kopprodukts</w:t>
            </w:r>
          </w:p>
        </w:tc>
        <w:tc>
          <w:tcPr>
            <w:tcW w:w="2512" w:type="pct"/>
          </w:tcPr>
          <w:p w:rsidR="00120F26" w:rsidRPr="00CF7249" w:rsidRDefault="00120F26" w:rsidP="00BB3418">
            <w:pPr>
              <w:tabs>
                <w:tab w:val="left" w:pos="4881"/>
              </w:tabs>
              <w:spacing w:before="20"/>
              <w:jc w:val="center"/>
              <w:rPr>
                <w:b/>
                <w:sz w:val="22"/>
                <w:szCs w:val="22"/>
              </w:rPr>
            </w:pPr>
            <w:r w:rsidRPr="00CF7249">
              <w:rPr>
                <w:b/>
                <w:sz w:val="22"/>
                <w:szCs w:val="22"/>
              </w:rPr>
              <w:t>Privātais patēriņš</w:t>
            </w:r>
          </w:p>
        </w:tc>
      </w:tr>
      <w:tr w:rsidR="00120F26" w:rsidRPr="00460702" w:rsidTr="00B20AFE">
        <w:trPr>
          <w:trHeight w:val="2246"/>
          <w:jc w:val="center"/>
        </w:trPr>
        <w:tc>
          <w:tcPr>
            <w:tcW w:w="2488" w:type="pct"/>
          </w:tcPr>
          <w:p w:rsidR="00120F26" w:rsidRPr="00460702" w:rsidRDefault="00120F26" w:rsidP="00AD23FF">
            <w:pPr>
              <w:tabs>
                <w:tab w:val="left" w:pos="4881"/>
              </w:tabs>
              <w:jc w:val="center"/>
            </w:pPr>
            <w:r w:rsidRPr="00460702">
              <w:rPr>
                <w:noProof/>
              </w:rPr>
              <w:drawing>
                <wp:inline distT="0" distB="0" distL="0" distR="0">
                  <wp:extent cx="2861181" cy="1440000"/>
                  <wp:effectExtent l="19050" t="0" r="0" b="0"/>
                  <wp:docPr id="2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c>
          <w:tcPr>
            <w:tcW w:w="2512" w:type="pct"/>
          </w:tcPr>
          <w:p w:rsidR="00120F26" w:rsidRPr="00460702" w:rsidRDefault="00120F26" w:rsidP="00AD23FF">
            <w:pPr>
              <w:tabs>
                <w:tab w:val="left" w:pos="4881"/>
              </w:tabs>
              <w:jc w:val="center"/>
            </w:pPr>
            <w:r w:rsidRPr="00460702">
              <w:rPr>
                <w:noProof/>
              </w:rPr>
              <w:drawing>
                <wp:inline distT="0" distB="0" distL="0" distR="0">
                  <wp:extent cx="2861181" cy="1440000"/>
                  <wp:effectExtent l="19050" t="0" r="0" b="0"/>
                  <wp:docPr id="8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r>
      <w:tr w:rsidR="00120F26" w:rsidRPr="00CF7249" w:rsidTr="00B20AFE">
        <w:trPr>
          <w:jc w:val="center"/>
        </w:trPr>
        <w:tc>
          <w:tcPr>
            <w:tcW w:w="2488" w:type="pct"/>
          </w:tcPr>
          <w:p w:rsidR="00120F26" w:rsidRPr="00CF7249" w:rsidRDefault="00120F26" w:rsidP="00BB3418">
            <w:pPr>
              <w:tabs>
                <w:tab w:val="left" w:pos="4881"/>
              </w:tabs>
              <w:spacing w:before="20"/>
              <w:jc w:val="center"/>
              <w:rPr>
                <w:b/>
                <w:sz w:val="22"/>
                <w:szCs w:val="22"/>
              </w:rPr>
            </w:pPr>
            <w:r>
              <w:rPr>
                <w:b/>
                <w:sz w:val="22"/>
                <w:szCs w:val="22"/>
              </w:rPr>
              <w:t>Valsts patēriņš</w:t>
            </w:r>
          </w:p>
        </w:tc>
        <w:tc>
          <w:tcPr>
            <w:tcW w:w="2512" w:type="pct"/>
          </w:tcPr>
          <w:p w:rsidR="00120F26" w:rsidRPr="00CF7249" w:rsidRDefault="00120F26" w:rsidP="00BB3418">
            <w:pPr>
              <w:tabs>
                <w:tab w:val="left" w:pos="4881"/>
              </w:tabs>
              <w:spacing w:before="20"/>
              <w:jc w:val="center"/>
              <w:rPr>
                <w:b/>
                <w:sz w:val="22"/>
                <w:szCs w:val="22"/>
              </w:rPr>
            </w:pPr>
            <w:r w:rsidRPr="00CF7249">
              <w:rPr>
                <w:b/>
                <w:sz w:val="22"/>
                <w:szCs w:val="22"/>
              </w:rPr>
              <w:t>Investīcijas</w:t>
            </w:r>
          </w:p>
        </w:tc>
      </w:tr>
      <w:tr w:rsidR="00120F26" w:rsidRPr="00460702" w:rsidTr="00B20AFE">
        <w:trPr>
          <w:trHeight w:val="2280"/>
          <w:jc w:val="center"/>
        </w:trPr>
        <w:tc>
          <w:tcPr>
            <w:tcW w:w="2488" w:type="pct"/>
          </w:tcPr>
          <w:p w:rsidR="00120F26" w:rsidRPr="00460702" w:rsidRDefault="00120F26" w:rsidP="00AD23FF">
            <w:pPr>
              <w:tabs>
                <w:tab w:val="left" w:pos="4881"/>
              </w:tabs>
              <w:jc w:val="center"/>
            </w:pPr>
            <w:r w:rsidRPr="00460702">
              <w:rPr>
                <w:noProof/>
              </w:rPr>
              <w:drawing>
                <wp:inline distT="0" distB="0" distL="0" distR="0">
                  <wp:extent cx="2827667" cy="1440612"/>
                  <wp:effectExtent l="19050" t="0" r="0" b="0"/>
                  <wp:docPr id="9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c>
          <w:tcPr>
            <w:tcW w:w="2512" w:type="pct"/>
          </w:tcPr>
          <w:p w:rsidR="00120F26" w:rsidRPr="00460702" w:rsidRDefault="00120F26" w:rsidP="00AD23FF">
            <w:pPr>
              <w:tabs>
                <w:tab w:val="left" w:pos="4881"/>
              </w:tabs>
              <w:jc w:val="center"/>
            </w:pPr>
            <w:r w:rsidRPr="00460702">
              <w:rPr>
                <w:noProof/>
              </w:rPr>
              <w:drawing>
                <wp:inline distT="0" distB="0" distL="0" distR="0">
                  <wp:extent cx="2879425" cy="1440612"/>
                  <wp:effectExtent l="19050" t="0" r="0" b="0"/>
                  <wp:docPr id="11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bl>
    <w:p w:rsidR="009F2C8B" w:rsidRPr="0099079B" w:rsidRDefault="009F2C8B" w:rsidP="009F2C8B">
      <w:pPr>
        <w:rPr>
          <w:sz w:val="28"/>
        </w:rPr>
      </w:pPr>
      <w:r w:rsidRPr="0099079B">
        <w:rPr>
          <w:sz w:val="28"/>
        </w:rPr>
        <w:lastRenderedPageBreak/>
        <w:t>8.1. attēla turpinājums</w:t>
      </w:r>
    </w:p>
    <w:tbl>
      <w:tblPr>
        <w:tblStyle w:val="TableGrid"/>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5"/>
        <w:gridCol w:w="5022"/>
      </w:tblGrid>
      <w:tr w:rsidR="00120F26" w:rsidRPr="00CF7249" w:rsidTr="00120F26">
        <w:tc>
          <w:tcPr>
            <w:tcW w:w="2488" w:type="pct"/>
          </w:tcPr>
          <w:p w:rsidR="00120F26" w:rsidRPr="00CF7249" w:rsidRDefault="00120F26" w:rsidP="00AD23FF">
            <w:pPr>
              <w:tabs>
                <w:tab w:val="left" w:pos="4881"/>
              </w:tabs>
              <w:spacing w:before="120"/>
              <w:jc w:val="center"/>
              <w:rPr>
                <w:b/>
                <w:sz w:val="22"/>
                <w:szCs w:val="22"/>
              </w:rPr>
            </w:pPr>
            <w:r w:rsidRPr="00CF7249">
              <w:rPr>
                <w:b/>
                <w:sz w:val="22"/>
                <w:szCs w:val="22"/>
              </w:rPr>
              <w:t>Preču un pakalpojumu eksports</w:t>
            </w:r>
          </w:p>
        </w:tc>
        <w:tc>
          <w:tcPr>
            <w:tcW w:w="2512" w:type="pct"/>
          </w:tcPr>
          <w:p w:rsidR="00120F26" w:rsidRPr="00CF7249" w:rsidRDefault="00120F26" w:rsidP="00AD23FF">
            <w:pPr>
              <w:tabs>
                <w:tab w:val="left" w:pos="4881"/>
              </w:tabs>
              <w:spacing w:before="120"/>
              <w:jc w:val="center"/>
              <w:rPr>
                <w:b/>
                <w:sz w:val="22"/>
                <w:szCs w:val="22"/>
              </w:rPr>
            </w:pPr>
            <w:r w:rsidRPr="00CF7249">
              <w:rPr>
                <w:b/>
                <w:sz w:val="22"/>
                <w:szCs w:val="22"/>
              </w:rPr>
              <w:t xml:space="preserve">Preču un pakalpojumu </w:t>
            </w:r>
            <w:r>
              <w:rPr>
                <w:b/>
                <w:sz w:val="22"/>
                <w:szCs w:val="22"/>
              </w:rPr>
              <w:t>im</w:t>
            </w:r>
            <w:r w:rsidRPr="00CF7249">
              <w:rPr>
                <w:b/>
                <w:sz w:val="22"/>
                <w:szCs w:val="22"/>
              </w:rPr>
              <w:t>ports</w:t>
            </w:r>
          </w:p>
        </w:tc>
      </w:tr>
      <w:tr w:rsidR="00120F26" w:rsidRPr="00460702" w:rsidTr="00B20AFE">
        <w:trPr>
          <w:trHeight w:val="2136"/>
        </w:trPr>
        <w:tc>
          <w:tcPr>
            <w:tcW w:w="2488" w:type="pct"/>
          </w:tcPr>
          <w:p w:rsidR="00120F26" w:rsidRPr="00460702" w:rsidRDefault="00120F26" w:rsidP="00AD23FF">
            <w:pPr>
              <w:tabs>
                <w:tab w:val="left" w:pos="4881"/>
              </w:tabs>
              <w:jc w:val="center"/>
            </w:pPr>
            <w:r w:rsidRPr="00460702">
              <w:rPr>
                <w:noProof/>
              </w:rPr>
              <w:drawing>
                <wp:inline distT="0" distB="0" distL="0" distR="0">
                  <wp:extent cx="2896678" cy="1440611"/>
                  <wp:effectExtent l="19050" t="0" r="0" b="0"/>
                  <wp:docPr id="1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c>
          <w:tcPr>
            <w:tcW w:w="2512" w:type="pct"/>
          </w:tcPr>
          <w:p w:rsidR="00120F26" w:rsidRPr="00460702" w:rsidRDefault="00120F26" w:rsidP="00AD23FF">
            <w:pPr>
              <w:tabs>
                <w:tab w:val="left" w:pos="4881"/>
              </w:tabs>
              <w:jc w:val="center"/>
            </w:pPr>
            <w:r w:rsidRPr="00460702">
              <w:rPr>
                <w:noProof/>
              </w:rPr>
              <w:drawing>
                <wp:inline distT="0" distB="0" distL="0" distR="0">
                  <wp:extent cx="2896679" cy="1440611"/>
                  <wp:effectExtent l="19050" t="0" r="0" b="0"/>
                  <wp:docPr id="27"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bl>
    <w:p w:rsidR="009F2C8B" w:rsidRPr="0099079B" w:rsidRDefault="009F2C8B" w:rsidP="009F2C8B">
      <w:pPr>
        <w:spacing w:after="60"/>
        <w:ind w:right="284"/>
        <w:rPr>
          <w:rStyle w:val="Heading2Char"/>
          <w:rFonts w:cs="Times New Roman"/>
          <w:b w:val="0"/>
          <w:sz w:val="12"/>
          <w:szCs w:val="4"/>
        </w:rPr>
      </w:pPr>
    </w:p>
    <w:p w:rsidR="0002566A" w:rsidRDefault="0002566A" w:rsidP="00230967">
      <w:pPr>
        <w:pStyle w:val="BodyTextIndent"/>
        <w:spacing w:after="0"/>
        <w:ind w:left="0" w:firstLine="284"/>
        <w:jc w:val="both"/>
        <w:rPr>
          <w:sz w:val="28"/>
          <w:szCs w:val="28"/>
          <w:lang w:eastAsia="en-US"/>
        </w:rPr>
      </w:pPr>
      <w:r w:rsidRPr="00B476A3">
        <w:rPr>
          <w:sz w:val="28"/>
          <w:szCs w:val="28"/>
        </w:rPr>
        <w:t>2011.</w:t>
      </w:r>
      <w:r w:rsidR="003754D8">
        <w:rPr>
          <w:sz w:val="28"/>
          <w:szCs w:val="28"/>
        </w:rPr>
        <w:t xml:space="preserve"> un 2012.</w:t>
      </w:r>
      <w:r w:rsidRPr="00B476A3">
        <w:rPr>
          <w:sz w:val="28"/>
          <w:szCs w:val="28"/>
        </w:rPr>
        <w:t>gad</w:t>
      </w:r>
      <w:r w:rsidR="003754D8">
        <w:rPr>
          <w:sz w:val="28"/>
          <w:szCs w:val="28"/>
        </w:rPr>
        <w:t>ā</w:t>
      </w:r>
      <w:r w:rsidRPr="00B476A3">
        <w:rPr>
          <w:sz w:val="28"/>
          <w:szCs w:val="28"/>
        </w:rPr>
        <w:t xml:space="preserve"> </w:t>
      </w:r>
      <w:r w:rsidR="005611C9">
        <w:rPr>
          <w:sz w:val="28"/>
          <w:szCs w:val="28"/>
        </w:rPr>
        <w:t>vairumā</w:t>
      </w:r>
      <w:r w:rsidRPr="00B476A3">
        <w:rPr>
          <w:sz w:val="28"/>
          <w:szCs w:val="28"/>
        </w:rPr>
        <w:t xml:space="preserve"> tautsaimniecības nozar</w:t>
      </w:r>
      <w:r w:rsidR="005611C9">
        <w:rPr>
          <w:sz w:val="28"/>
          <w:szCs w:val="28"/>
        </w:rPr>
        <w:t>u</w:t>
      </w:r>
      <w:r w:rsidRPr="00B476A3">
        <w:rPr>
          <w:sz w:val="28"/>
          <w:szCs w:val="28"/>
        </w:rPr>
        <w:t xml:space="preserve"> ir g</w:t>
      </w:r>
      <w:r w:rsidR="00955728">
        <w:rPr>
          <w:sz w:val="28"/>
          <w:szCs w:val="28"/>
        </w:rPr>
        <w:t>aidāma</w:t>
      </w:r>
      <w:r w:rsidR="005611C9">
        <w:rPr>
          <w:sz w:val="28"/>
          <w:szCs w:val="28"/>
        </w:rPr>
        <w:t xml:space="preserve"> pozitīv</w:t>
      </w:r>
      <w:r w:rsidR="00955728">
        <w:rPr>
          <w:sz w:val="28"/>
          <w:szCs w:val="28"/>
        </w:rPr>
        <w:t>a izaugsme</w:t>
      </w:r>
      <w:r w:rsidR="005611C9">
        <w:rPr>
          <w:sz w:val="28"/>
          <w:szCs w:val="28"/>
        </w:rPr>
        <w:t xml:space="preserve">. </w:t>
      </w:r>
      <w:r w:rsidR="00955728">
        <w:rPr>
          <w:sz w:val="28"/>
          <w:szCs w:val="28"/>
        </w:rPr>
        <w:t xml:space="preserve">Neraugoties uz pieaugumu tempu palēnināšanos, kas </w:t>
      </w:r>
      <w:r w:rsidR="00955728" w:rsidRPr="00B476A3">
        <w:rPr>
          <w:sz w:val="28"/>
          <w:szCs w:val="28"/>
        </w:rPr>
        <w:t>vairs nebūs tik strauj</w:t>
      </w:r>
      <w:r w:rsidR="00955728">
        <w:rPr>
          <w:sz w:val="28"/>
          <w:szCs w:val="28"/>
        </w:rPr>
        <w:t>i kā 2010.gadā, j</w:t>
      </w:r>
      <w:r w:rsidR="005611C9">
        <w:rPr>
          <w:sz w:val="28"/>
          <w:szCs w:val="28"/>
        </w:rPr>
        <w:t xml:space="preserve">oprojām lielāks ieguldījums </w:t>
      </w:r>
      <w:r w:rsidR="00955728">
        <w:rPr>
          <w:sz w:val="28"/>
          <w:szCs w:val="28"/>
        </w:rPr>
        <w:t>izaugsmē</w:t>
      </w:r>
      <w:r w:rsidR="005611C9">
        <w:rPr>
          <w:sz w:val="28"/>
          <w:szCs w:val="28"/>
        </w:rPr>
        <w:t xml:space="preserve"> būs </w:t>
      </w:r>
      <w:r w:rsidRPr="00B476A3">
        <w:rPr>
          <w:sz w:val="28"/>
          <w:szCs w:val="28"/>
        </w:rPr>
        <w:t>uz eksportu vērstām nozarēm (apstrādes rūpniecība, lauksaimniecība un mežsaimn</w:t>
      </w:r>
      <w:r w:rsidR="00AB4A2E">
        <w:rPr>
          <w:sz w:val="28"/>
          <w:szCs w:val="28"/>
        </w:rPr>
        <w:t>iecība, transporta pakalpojumi</w:t>
      </w:r>
      <w:r w:rsidRPr="00B476A3">
        <w:rPr>
          <w:sz w:val="28"/>
          <w:szCs w:val="28"/>
        </w:rPr>
        <w:t>)</w:t>
      </w:r>
      <w:r w:rsidR="005611C9">
        <w:rPr>
          <w:sz w:val="28"/>
          <w:szCs w:val="28"/>
        </w:rPr>
        <w:t xml:space="preserve">. </w:t>
      </w:r>
      <w:r w:rsidRPr="00B476A3">
        <w:rPr>
          <w:sz w:val="28"/>
          <w:szCs w:val="28"/>
        </w:rPr>
        <w:t>Savukārt valsts budžeta izdevumu samazinājums atsauksies uz sabiedrisko pakalpojumu nozarēm, kurās izlaide</w:t>
      </w:r>
      <w:r w:rsidR="00955728">
        <w:rPr>
          <w:sz w:val="28"/>
          <w:szCs w:val="28"/>
        </w:rPr>
        <w:t xml:space="preserve"> arī 2012.gadā saglabāsies </w:t>
      </w:r>
      <w:r w:rsidR="00AB4A2E">
        <w:rPr>
          <w:sz w:val="28"/>
          <w:szCs w:val="28"/>
        </w:rPr>
        <w:t xml:space="preserve">praktiski </w:t>
      </w:r>
      <w:r w:rsidRPr="00B476A3">
        <w:rPr>
          <w:sz w:val="28"/>
          <w:szCs w:val="28"/>
        </w:rPr>
        <w:t>2010.gad</w:t>
      </w:r>
      <w:r w:rsidR="00AB4A2E">
        <w:rPr>
          <w:sz w:val="28"/>
          <w:szCs w:val="28"/>
        </w:rPr>
        <w:t>a līmenī</w:t>
      </w:r>
      <w:r>
        <w:rPr>
          <w:sz w:val="28"/>
          <w:szCs w:val="28"/>
        </w:rPr>
        <w:t>.</w:t>
      </w:r>
    </w:p>
    <w:p w:rsidR="00230967" w:rsidRDefault="00230967" w:rsidP="00230967">
      <w:pPr>
        <w:spacing w:after="60"/>
        <w:ind w:right="284"/>
        <w:rPr>
          <w:rStyle w:val="Heading2Char"/>
          <w:rFonts w:cs="Times New Roman"/>
          <w:b w:val="0"/>
          <w:sz w:val="12"/>
          <w:szCs w:val="4"/>
        </w:rPr>
      </w:pPr>
    </w:p>
    <w:p w:rsidR="00560B46" w:rsidRPr="0099079B" w:rsidRDefault="00560B46" w:rsidP="00230967">
      <w:pPr>
        <w:spacing w:after="60"/>
        <w:ind w:right="284"/>
        <w:rPr>
          <w:rStyle w:val="Heading2Char"/>
          <w:rFonts w:cs="Times New Roman"/>
          <w:b w:val="0"/>
          <w:sz w:val="12"/>
          <w:szCs w:val="4"/>
        </w:rPr>
      </w:pPr>
    </w:p>
    <w:p w:rsidR="009F2C8B" w:rsidRDefault="009F2C8B" w:rsidP="009F2C8B">
      <w:pPr>
        <w:ind w:right="284"/>
        <w:rPr>
          <w:rStyle w:val="Heading2Char"/>
          <w:rFonts w:cs="Times New Roman"/>
        </w:rPr>
      </w:pPr>
      <w:bookmarkStart w:id="427" w:name="_Toc305421466"/>
      <w:r w:rsidRPr="00CD3CE6">
        <w:rPr>
          <w:rStyle w:val="Heading2Char"/>
          <w:rFonts w:cs="Times New Roman"/>
          <w:b w:val="0"/>
        </w:rPr>
        <w:t>8.</w:t>
      </w:r>
      <w:r>
        <w:rPr>
          <w:rStyle w:val="Heading2Char"/>
          <w:rFonts w:cs="Times New Roman"/>
          <w:b w:val="0"/>
        </w:rPr>
        <w:t>2</w:t>
      </w:r>
      <w:r w:rsidRPr="00CD3CE6">
        <w:rPr>
          <w:rStyle w:val="Heading2Char"/>
          <w:rFonts w:cs="Times New Roman"/>
          <w:b w:val="0"/>
        </w:rPr>
        <w:t>.attēls.</w:t>
      </w:r>
      <w:r w:rsidRPr="00850001">
        <w:rPr>
          <w:rStyle w:val="Heading2Char"/>
          <w:rFonts w:cs="Times New Roman"/>
        </w:rPr>
        <w:t xml:space="preserve"> </w:t>
      </w:r>
      <w:r>
        <w:rPr>
          <w:rStyle w:val="Heading2Char"/>
          <w:rFonts w:cs="Times New Roman"/>
        </w:rPr>
        <w:t>Nozaru attīstības tendences</w:t>
      </w:r>
      <w:bookmarkEnd w:id="427"/>
      <w:r>
        <w:rPr>
          <w:rStyle w:val="Heading2Char"/>
          <w:rFonts w:cs="Times New Roman"/>
        </w:rPr>
        <w:t xml:space="preserve"> </w:t>
      </w:r>
    </w:p>
    <w:p w:rsidR="009F2C8B" w:rsidRDefault="009F2C8B" w:rsidP="009F2C8B">
      <w:pPr>
        <w:spacing w:after="60"/>
        <w:ind w:right="284"/>
        <w:rPr>
          <w:sz w:val="22"/>
        </w:rPr>
      </w:pPr>
      <w:r w:rsidRPr="00120F26">
        <w:rPr>
          <w:sz w:val="22"/>
        </w:rPr>
        <w:t>(200</w:t>
      </w:r>
      <w:r w:rsidR="00BB3418">
        <w:rPr>
          <w:sz w:val="22"/>
        </w:rPr>
        <w:t>7</w:t>
      </w:r>
      <w:r w:rsidRPr="00120F26">
        <w:rPr>
          <w:sz w:val="22"/>
        </w:rPr>
        <w:t>.gada 4.ceturksnis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51"/>
      </w:tblGrid>
      <w:tr w:rsidR="00120F26" w:rsidRPr="00CF7249" w:rsidTr="00AD23FF">
        <w:tc>
          <w:tcPr>
            <w:tcW w:w="2488" w:type="pct"/>
          </w:tcPr>
          <w:p w:rsidR="00120F26" w:rsidRPr="00CF7249" w:rsidRDefault="00120F26" w:rsidP="00AD23FF">
            <w:pPr>
              <w:tabs>
                <w:tab w:val="left" w:pos="4881"/>
              </w:tabs>
              <w:spacing w:before="120"/>
              <w:jc w:val="center"/>
              <w:rPr>
                <w:b/>
                <w:sz w:val="22"/>
                <w:szCs w:val="22"/>
              </w:rPr>
            </w:pPr>
            <w:r w:rsidRPr="00CF7249">
              <w:rPr>
                <w:b/>
                <w:sz w:val="22"/>
                <w:szCs w:val="22"/>
              </w:rPr>
              <w:t>Apstrādes rūpniecība</w:t>
            </w:r>
          </w:p>
        </w:tc>
        <w:tc>
          <w:tcPr>
            <w:tcW w:w="2512" w:type="pct"/>
          </w:tcPr>
          <w:p w:rsidR="00120F26" w:rsidRPr="00CF7249" w:rsidRDefault="00120F26" w:rsidP="00AD23FF">
            <w:pPr>
              <w:tabs>
                <w:tab w:val="left" w:pos="4881"/>
              </w:tabs>
              <w:spacing w:before="120"/>
              <w:jc w:val="center"/>
              <w:rPr>
                <w:b/>
                <w:sz w:val="22"/>
                <w:szCs w:val="22"/>
              </w:rPr>
            </w:pPr>
            <w:r w:rsidRPr="00CF7249">
              <w:rPr>
                <w:b/>
                <w:sz w:val="22"/>
                <w:szCs w:val="22"/>
              </w:rPr>
              <w:t>Transports</w:t>
            </w:r>
          </w:p>
        </w:tc>
      </w:tr>
      <w:tr w:rsidR="00120F26" w:rsidRPr="00460702" w:rsidTr="00AD23FF">
        <w:trPr>
          <w:trHeight w:val="2525"/>
        </w:trPr>
        <w:tc>
          <w:tcPr>
            <w:tcW w:w="2488" w:type="pct"/>
          </w:tcPr>
          <w:p w:rsidR="00120F26" w:rsidRPr="00460702" w:rsidRDefault="00120F26" w:rsidP="00AD23FF">
            <w:pPr>
              <w:tabs>
                <w:tab w:val="left" w:pos="4881"/>
              </w:tabs>
              <w:jc w:val="center"/>
            </w:pPr>
            <w:r w:rsidRPr="003A6FD1">
              <w:rPr>
                <w:noProof/>
              </w:rPr>
              <w:drawing>
                <wp:inline distT="0" distB="0" distL="0" distR="0">
                  <wp:extent cx="2896678" cy="1802921"/>
                  <wp:effectExtent l="19050" t="0" r="0" b="0"/>
                  <wp:docPr id="12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c>
          <w:tcPr>
            <w:tcW w:w="2512" w:type="pct"/>
          </w:tcPr>
          <w:p w:rsidR="00120F26" w:rsidRPr="00460702" w:rsidRDefault="00120F26" w:rsidP="00AD23FF">
            <w:pPr>
              <w:tabs>
                <w:tab w:val="left" w:pos="4881"/>
              </w:tabs>
              <w:jc w:val="center"/>
            </w:pPr>
            <w:r w:rsidRPr="003A6FD1">
              <w:rPr>
                <w:noProof/>
              </w:rPr>
              <w:drawing>
                <wp:inline distT="0" distB="0" distL="0" distR="0">
                  <wp:extent cx="2896678" cy="1802921"/>
                  <wp:effectExtent l="19050" t="0" r="0" b="0"/>
                  <wp:docPr id="12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r w:rsidR="00120F26" w:rsidRPr="00CF7249" w:rsidTr="00AD23FF">
        <w:tc>
          <w:tcPr>
            <w:tcW w:w="2488" w:type="pct"/>
          </w:tcPr>
          <w:p w:rsidR="00120F26" w:rsidRPr="00CF7249" w:rsidRDefault="00120F26" w:rsidP="00AD23FF">
            <w:pPr>
              <w:tabs>
                <w:tab w:val="left" w:pos="4881"/>
              </w:tabs>
              <w:spacing w:before="120"/>
              <w:jc w:val="center"/>
              <w:rPr>
                <w:sz w:val="22"/>
                <w:szCs w:val="22"/>
              </w:rPr>
            </w:pPr>
            <w:r w:rsidRPr="00CF7249">
              <w:rPr>
                <w:b/>
                <w:sz w:val="22"/>
                <w:szCs w:val="22"/>
              </w:rPr>
              <w:t>Tirdzniecība</w:t>
            </w:r>
          </w:p>
        </w:tc>
        <w:tc>
          <w:tcPr>
            <w:tcW w:w="2512" w:type="pct"/>
          </w:tcPr>
          <w:p w:rsidR="00120F26" w:rsidRPr="00CF7249" w:rsidRDefault="00120F26" w:rsidP="00AD23FF">
            <w:pPr>
              <w:tabs>
                <w:tab w:val="left" w:pos="4881"/>
              </w:tabs>
              <w:spacing w:before="120"/>
              <w:jc w:val="center"/>
              <w:rPr>
                <w:b/>
                <w:sz w:val="22"/>
                <w:szCs w:val="22"/>
              </w:rPr>
            </w:pPr>
            <w:r w:rsidRPr="00CF7249">
              <w:rPr>
                <w:b/>
                <w:sz w:val="22"/>
                <w:szCs w:val="22"/>
              </w:rPr>
              <w:t>Būvniecība</w:t>
            </w:r>
          </w:p>
        </w:tc>
      </w:tr>
      <w:tr w:rsidR="00120F26" w:rsidRPr="00460702" w:rsidTr="00AD23FF">
        <w:trPr>
          <w:trHeight w:val="2525"/>
        </w:trPr>
        <w:tc>
          <w:tcPr>
            <w:tcW w:w="2488" w:type="pct"/>
          </w:tcPr>
          <w:p w:rsidR="00120F26" w:rsidRPr="00460702" w:rsidRDefault="00120F26" w:rsidP="00AD23FF">
            <w:pPr>
              <w:tabs>
                <w:tab w:val="left" w:pos="4881"/>
              </w:tabs>
              <w:jc w:val="center"/>
            </w:pPr>
            <w:r w:rsidRPr="003A6FD1">
              <w:rPr>
                <w:noProof/>
              </w:rPr>
              <w:drawing>
                <wp:inline distT="0" distB="0" distL="0" distR="0">
                  <wp:extent cx="2896678" cy="1802921"/>
                  <wp:effectExtent l="19050" t="0" r="0" b="0"/>
                  <wp:docPr id="12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2512" w:type="pct"/>
          </w:tcPr>
          <w:p w:rsidR="00120F26" w:rsidRPr="00460702" w:rsidRDefault="00120F26" w:rsidP="00AD23FF">
            <w:pPr>
              <w:tabs>
                <w:tab w:val="left" w:pos="4881"/>
              </w:tabs>
              <w:jc w:val="center"/>
            </w:pPr>
            <w:r w:rsidRPr="003A6FD1">
              <w:rPr>
                <w:noProof/>
              </w:rPr>
              <w:drawing>
                <wp:inline distT="0" distB="0" distL="0" distR="0">
                  <wp:extent cx="2896678" cy="1802921"/>
                  <wp:effectExtent l="19050" t="0" r="0" b="0"/>
                  <wp:docPr id="30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bl>
    <w:p w:rsidR="00120F26" w:rsidRDefault="00120F26" w:rsidP="00CD3CE6">
      <w:pPr>
        <w:pStyle w:val="Heading2"/>
        <w:rPr>
          <w:b w:val="0"/>
        </w:rPr>
      </w:pPr>
    </w:p>
    <w:p w:rsidR="00120F26" w:rsidRDefault="00120F26">
      <w:pPr>
        <w:rPr>
          <w:rFonts w:eastAsiaTheme="majorEastAsia" w:cstheme="majorBidi"/>
          <w:bCs/>
          <w:sz w:val="28"/>
          <w:szCs w:val="26"/>
        </w:rPr>
      </w:pPr>
      <w:r>
        <w:rPr>
          <w:b/>
        </w:rPr>
        <w:br w:type="page"/>
      </w:r>
    </w:p>
    <w:p w:rsidR="00486489" w:rsidRDefault="00486489" w:rsidP="00CD3CE6">
      <w:pPr>
        <w:pStyle w:val="Heading2"/>
        <w:rPr>
          <w:b w:val="0"/>
        </w:rPr>
      </w:pPr>
      <w:bookmarkStart w:id="428" w:name="_Toc305421467"/>
      <w:r w:rsidRPr="00CD3CE6">
        <w:rPr>
          <w:b w:val="0"/>
        </w:rPr>
        <w:lastRenderedPageBreak/>
        <w:t>8.</w:t>
      </w:r>
      <w:r w:rsidR="00CE2F80">
        <w:rPr>
          <w:b w:val="0"/>
        </w:rPr>
        <w:t>1</w:t>
      </w:r>
      <w:r w:rsidRPr="00CD3CE6">
        <w:rPr>
          <w:b w:val="0"/>
        </w:rPr>
        <w:t xml:space="preserve">.tabula. </w:t>
      </w:r>
      <w:r w:rsidRPr="00CD3CE6">
        <w:t>IKP dinamika</w:t>
      </w:r>
      <w:r w:rsidR="00CD3CE6" w:rsidRPr="00CD3CE6">
        <w:rPr>
          <w:b w:val="0"/>
        </w:rPr>
        <w:t>,</w:t>
      </w:r>
      <w:r w:rsidRPr="00CD3CE6">
        <w:rPr>
          <w:b w:val="0"/>
        </w:rPr>
        <w:t xml:space="preserve"> % pret iepriekšējo gadu</w:t>
      </w:r>
      <w:bookmarkEnd w:id="428"/>
    </w:p>
    <w:p w:rsidR="00120F26" w:rsidRDefault="00120F26" w:rsidP="00120F26">
      <w:pPr>
        <w:ind w:left="-284" w:right="283"/>
        <w:jc w:val="center"/>
        <w:rPr>
          <w:b/>
          <w:sz w:val="8"/>
          <w:szCs w:val="8"/>
        </w:rPr>
      </w:pPr>
    </w:p>
    <w:tbl>
      <w:tblPr>
        <w:tblStyle w:val="LightShading1"/>
        <w:tblW w:w="4432" w:type="pct"/>
        <w:jc w:val="center"/>
        <w:tblLook w:val="04A0"/>
      </w:tblPr>
      <w:tblGrid>
        <w:gridCol w:w="3147"/>
        <w:gridCol w:w="1118"/>
        <w:gridCol w:w="1118"/>
        <w:gridCol w:w="1118"/>
        <w:gridCol w:w="1118"/>
        <w:gridCol w:w="1116"/>
      </w:tblGrid>
      <w:tr w:rsidR="00120F26" w:rsidRPr="00154741" w:rsidTr="00AD23FF">
        <w:trPr>
          <w:cnfStyle w:val="100000000000"/>
          <w:jc w:val="center"/>
        </w:trPr>
        <w:tc>
          <w:tcPr>
            <w:cnfStyle w:val="001000000000"/>
            <w:tcW w:w="1801" w:type="pct"/>
            <w:tcBorders>
              <w:top w:val="single" w:sz="4" w:space="0" w:color="FF0000"/>
              <w:bottom w:val="single" w:sz="4" w:space="0" w:color="FF0000"/>
            </w:tcBorders>
          </w:tcPr>
          <w:p w:rsidR="00120F26" w:rsidRPr="00154741" w:rsidRDefault="00120F26" w:rsidP="00AD23FF">
            <w:pPr>
              <w:spacing w:before="20" w:after="20"/>
              <w:ind w:left="-3"/>
              <w:rPr>
                <w:bCs w:val="0"/>
                <w:color w:val="auto"/>
                <w:sz w:val="20"/>
                <w:szCs w:val="20"/>
              </w:rPr>
            </w:pPr>
          </w:p>
        </w:tc>
        <w:tc>
          <w:tcPr>
            <w:tcW w:w="640" w:type="pct"/>
            <w:tcBorders>
              <w:top w:val="single" w:sz="4" w:space="0" w:color="FF0000"/>
              <w:bottom w:val="single" w:sz="4" w:space="0" w:color="FF0000"/>
            </w:tcBorders>
          </w:tcPr>
          <w:p w:rsidR="00120F26" w:rsidRPr="00154741" w:rsidRDefault="00120F26" w:rsidP="00AD23FF">
            <w:pPr>
              <w:spacing w:before="20" w:after="20"/>
              <w:ind w:left="-3"/>
              <w:jc w:val="center"/>
              <w:cnfStyle w:val="100000000000"/>
              <w:rPr>
                <w:bCs w:val="0"/>
                <w:color w:val="auto"/>
                <w:sz w:val="20"/>
                <w:szCs w:val="20"/>
              </w:rPr>
            </w:pPr>
            <w:r w:rsidRPr="00154741">
              <w:rPr>
                <w:bCs w:val="0"/>
                <w:color w:val="auto"/>
                <w:sz w:val="20"/>
                <w:szCs w:val="20"/>
              </w:rPr>
              <w:t>2008</w:t>
            </w:r>
          </w:p>
        </w:tc>
        <w:tc>
          <w:tcPr>
            <w:tcW w:w="640" w:type="pct"/>
            <w:tcBorders>
              <w:top w:val="single" w:sz="4" w:space="0" w:color="FF0000"/>
              <w:bottom w:val="single" w:sz="4" w:space="0" w:color="FF0000"/>
            </w:tcBorders>
          </w:tcPr>
          <w:p w:rsidR="00120F26" w:rsidRPr="00154741" w:rsidRDefault="00120F26" w:rsidP="00AD23FF">
            <w:pPr>
              <w:spacing w:before="20" w:after="20"/>
              <w:ind w:left="-3"/>
              <w:jc w:val="center"/>
              <w:cnfStyle w:val="100000000000"/>
              <w:rPr>
                <w:bCs w:val="0"/>
                <w:color w:val="auto"/>
                <w:sz w:val="20"/>
                <w:szCs w:val="20"/>
              </w:rPr>
            </w:pPr>
            <w:r w:rsidRPr="00154741">
              <w:rPr>
                <w:bCs w:val="0"/>
                <w:color w:val="auto"/>
                <w:sz w:val="20"/>
                <w:szCs w:val="20"/>
              </w:rPr>
              <w:t>2009</w:t>
            </w:r>
          </w:p>
        </w:tc>
        <w:tc>
          <w:tcPr>
            <w:tcW w:w="640" w:type="pct"/>
            <w:tcBorders>
              <w:top w:val="single" w:sz="4" w:space="0" w:color="FF0000"/>
              <w:bottom w:val="single" w:sz="4" w:space="0" w:color="FF0000"/>
            </w:tcBorders>
            <w:noWrap/>
            <w:hideMark/>
          </w:tcPr>
          <w:p w:rsidR="00120F26" w:rsidRPr="00154741" w:rsidRDefault="00120F26" w:rsidP="00AD23FF">
            <w:pPr>
              <w:spacing w:before="20" w:after="20"/>
              <w:ind w:left="-3"/>
              <w:jc w:val="center"/>
              <w:cnfStyle w:val="100000000000"/>
              <w:rPr>
                <w:bCs w:val="0"/>
                <w:color w:val="auto"/>
                <w:sz w:val="20"/>
                <w:szCs w:val="20"/>
              </w:rPr>
            </w:pPr>
            <w:r w:rsidRPr="00154741">
              <w:rPr>
                <w:bCs w:val="0"/>
                <w:color w:val="auto"/>
                <w:sz w:val="20"/>
                <w:szCs w:val="20"/>
              </w:rPr>
              <w:t>2010</w:t>
            </w:r>
          </w:p>
        </w:tc>
        <w:tc>
          <w:tcPr>
            <w:tcW w:w="640" w:type="pct"/>
            <w:tcBorders>
              <w:top w:val="single" w:sz="4" w:space="0" w:color="FF0000"/>
              <w:bottom w:val="single" w:sz="4" w:space="0" w:color="FF0000"/>
            </w:tcBorders>
          </w:tcPr>
          <w:p w:rsidR="00120F26" w:rsidRPr="00154741" w:rsidRDefault="00120F26" w:rsidP="00AD23FF">
            <w:pPr>
              <w:spacing w:before="20" w:after="20"/>
              <w:ind w:left="-3"/>
              <w:jc w:val="center"/>
              <w:cnfStyle w:val="100000000000"/>
              <w:rPr>
                <w:bCs w:val="0"/>
                <w:color w:val="auto"/>
                <w:sz w:val="20"/>
                <w:szCs w:val="20"/>
              </w:rPr>
            </w:pPr>
            <w:r w:rsidRPr="00154741">
              <w:rPr>
                <w:bCs w:val="0"/>
                <w:color w:val="auto"/>
                <w:sz w:val="20"/>
                <w:szCs w:val="20"/>
              </w:rPr>
              <w:t>2011n</w:t>
            </w:r>
          </w:p>
        </w:tc>
        <w:tc>
          <w:tcPr>
            <w:tcW w:w="640" w:type="pct"/>
            <w:tcBorders>
              <w:top w:val="single" w:sz="4" w:space="0" w:color="FF0000"/>
              <w:bottom w:val="single" w:sz="4" w:space="0" w:color="FF0000"/>
            </w:tcBorders>
          </w:tcPr>
          <w:p w:rsidR="00120F26" w:rsidRPr="00154741" w:rsidRDefault="00120F26" w:rsidP="00AD23FF">
            <w:pPr>
              <w:spacing w:before="20" w:after="20"/>
              <w:ind w:left="-3"/>
              <w:jc w:val="center"/>
              <w:cnfStyle w:val="100000000000"/>
              <w:rPr>
                <w:bCs w:val="0"/>
                <w:sz w:val="20"/>
                <w:szCs w:val="20"/>
              </w:rPr>
            </w:pPr>
            <w:r w:rsidRPr="00154741">
              <w:rPr>
                <w:bCs w:val="0"/>
                <w:sz w:val="20"/>
                <w:szCs w:val="20"/>
              </w:rPr>
              <w:t>2012p</w:t>
            </w:r>
          </w:p>
        </w:tc>
      </w:tr>
      <w:tr w:rsidR="00120F26" w:rsidRPr="00154741" w:rsidTr="00AD23FF">
        <w:trPr>
          <w:cnfStyle w:val="000000100000"/>
          <w:jc w:val="center"/>
        </w:trPr>
        <w:tc>
          <w:tcPr>
            <w:cnfStyle w:val="001000000000"/>
            <w:tcW w:w="1801" w:type="pct"/>
            <w:tcBorders>
              <w:top w:val="single" w:sz="4" w:space="0" w:color="FF0000"/>
            </w:tcBorders>
          </w:tcPr>
          <w:p w:rsidR="00120F26" w:rsidRPr="00154741" w:rsidRDefault="00120F26" w:rsidP="00AD23FF">
            <w:pPr>
              <w:spacing w:before="60" w:after="40"/>
              <w:ind w:right="34"/>
              <w:rPr>
                <w:color w:val="auto"/>
                <w:sz w:val="20"/>
                <w:szCs w:val="20"/>
              </w:rPr>
            </w:pPr>
            <w:r w:rsidRPr="00154741">
              <w:rPr>
                <w:color w:val="auto"/>
                <w:sz w:val="20"/>
                <w:szCs w:val="20"/>
              </w:rPr>
              <w:t>IKP no izlietojuma puses</w:t>
            </w:r>
          </w:p>
        </w:tc>
        <w:tc>
          <w:tcPr>
            <w:tcW w:w="640" w:type="pct"/>
            <w:tcBorders>
              <w:top w:val="single" w:sz="4" w:space="0" w:color="FF0000"/>
            </w:tcBorders>
          </w:tcPr>
          <w:p w:rsidR="00120F26" w:rsidRPr="00154741" w:rsidRDefault="00120F26" w:rsidP="00AD23FF">
            <w:pPr>
              <w:tabs>
                <w:tab w:val="decimal" w:pos="492"/>
              </w:tabs>
              <w:spacing w:before="40" w:after="40"/>
              <w:ind w:right="34"/>
              <w:cnfStyle w:val="000000100000"/>
              <w:rPr>
                <w:b/>
                <w:color w:val="auto"/>
                <w:sz w:val="20"/>
                <w:szCs w:val="20"/>
              </w:rPr>
            </w:pPr>
            <w:r w:rsidRPr="00154741">
              <w:rPr>
                <w:b/>
                <w:color w:val="auto"/>
                <w:sz w:val="20"/>
                <w:szCs w:val="20"/>
              </w:rPr>
              <w:t>-3,3</w:t>
            </w:r>
          </w:p>
        </w:tc>
        <w:tc>
          <w:tcPr>
            <w:tcW w:w="640" w:type="pct"/>
            <w:tcBorders>
              <w:top w:val="single" w:sz="4" w:space="0" w:color="FF0000"/>
            </w:tcBorders>
          </w:tcPr>
          <w:p w:rsidR="00120F26" w:rsidRPr="00154741" w:rsidRDefault="00120F26" w:rsidP="00AD23FF">
            <w:pPr>
              <w:tabs>
                <w:tab w:val="decimal" w:pos="492"/>
              </w:tabs>
              <w:spacing w:before="40" w:after="40"/>
              <w:ind w:right="34"/>
              <w:cnfStyle w:val="000000100000"/>
              <w:rPr>
                <w:b/>
                <w:color w:val="auto"/>
                <w:sz w:val="20"/>
                <w:szCs w:val="20"/>
              </w:rPr>
            </w:pPr>
            <w:r w:rsidRPr="00154741">
              <w:rPr>
                <w:b/>
                <w:color w:val="auto"/>
                <w:sz w:val="20"/>
                <w:szCs w:val="20"/>
              </w:rPr>
              <w:t>-17,7</w:t>
            </w:r>
          </w:p>
        </w:tc>
        <w:tc>
          <w:tcPr>
            <w:tcW w:w="640" w:type="pct"/>
            <w:tcBorders>
              <w:top w:val="single" w:sz="4" w:space="0" w:color="FF0000"/>
            </w:tcBorders>
            <w:noWrap/>
            <w:hideMark/>
          </w:tcPr>
          <w:p w:rsidR="00120F26" w:rsidRPr="00154741" w:rsidRDefault="00120F26" w:rsidP="00AD23FF">
            <w:pPr>
              <w:tabs>
                <w:tab w:val="decimal" w:pos="492"/>
              </w:tabs>
              <w:spacing w:before="40" w:after="40"/>
              <w:cnfStyle w:val="000000100000"/>
              <w:rPr>
                <w:b/>
                <w:color w:val="auto"/>
                <w:sz w:val="20"/>
                <w:szCs w:val="20"/>
              </w:rPr>
            </w:pPr>
            <w:r w:rsidRPr="00154741">
              <w:rPr>
                <w:b/>
                <w:color w:val="auto"/>
                <w:sz w:val="20"/>
                <w:szCs w:val="20"/>
              </w:rPr>
              <w:t>-0,3</w:t>
            </w:r>
          </w:p>
        </w:tc>
        <w:tc>
          <w:tcPr>
            <w:tcW w:w="640" w:type="pct"/>
            <w:tcBorders>
              <w:top w:val="single" w:sz="4" w:space="0" w:color="FF0000"/>
            </w:tcBorders>
          </w:tcPr>
          <w:p w:rsidR="00120F26" w:rsidRPr="00154741" w:rsidRDefault="00120F26" w:rsidP="00AD23FF">
            <w:pPr>
              <w:tabs>
                <w:tab w:val="decimal" w:pos="492"/>
              </w:tabs>
              <w:spacing w:before="40" w:after="40"/>
              <w:cnfStyle w:val="000000100000"/>
              <w:rPr>
                <w:b/>
                <w:color w:val="auto"/>
                <w:sz w:val="20"/>
                <w:szCs w:val="20"/>
              </w:rPr>
            </w:pPr>
            <w:r w:rsidRPr="00154741">
              <w:rPr>
                <w:b/>
                <w:color w:val="auto"/>
                <w:sz w:val="20"/>
                <w:szCs w:val="20"/>
              </w:rPr>
              <w:t>4,5</w:t>
            </w:r>
          </w:p>
        </w:tc>
        <w:tc>
          <w:tcPr>
            <w:tcW w:w="640" w:type="pct"/>
            <w:tcBorders>
              <w:top w:val="single" w:sz="4" w:space="0" w:color="FF0000"/>
            </w:tcBorders>
          </w:tcPr>
          <w:p w:rsidR="00120F26" w:rsidRPr="00154741" w:rsidRDefault="00120F26" w:rsidP="002307F6">
            <w:pPr>
              <w:spacing w:before="40" w:after="40"/>
              <w:jc w:val="center"/>
              <w:cnfStyle w:val="000000100000"/>
              <w:rPr>
                <w:b/>
                <w:sz w:val="20"/>
                <w:szCs w:val="20"/>
              </w:rPr>
            </w:pPr>
            <w:r w:rsidRPr="00154741">
              <w:rPr>
                <w:b/>
                <w:sz w:val="20"/>
                <w:szCs w:val="20"/>
              </w:rPr>
              <w:t>2,5</w:t>
            </w:r>
            <w:r w:rsidR="002307F6">
              <w:rPr>
                <w:b/>
                <w:sz w:val="20"/>
                <w:szCs w:val="20"/>
              </w:rPr>
              <w:t xml:space="preserve"> - </w:t>
            </w:r>
            <w:r w:rsidRPr="00154741">
              <w:rPr>
                <w:b/>
                <w:sz w:val="20"/>
                <w:szCs w:val="20"/>
              </w:rPr>
              <w:t>3,0</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Privātais patēriņš</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-5,8</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-22,6</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0,4</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4,2</w:t>
            </w:r>
          </w:p>
        </w:tc>
        <w:tc>
          <w:tcPr>
            <w:tcW w:w="640" w:type="pct"/>
            <w:vAlign w:val="bottom"/>
          </w:tcPr>
          <w:p w:rsidR="00120F26" w:rsidRPr="00154741" w:rsidRDefault="00120F26" w:rsidP="00AD23FF">
            <w:pPr>
              <w:spacing w:before="40" w:after="40"/>
              <w:jc w:val="center"/>
              <w:cnfStyle w:val="000000000000"/>
              <w:rPr>
                <w:color w:val="auto"/>
                <w:sz w:val="20"/>
                <w:szCs w:val="20"/>
              </w:rPr>
            </w:pPr>
            <w:r w:rsidRPr="00154741">
              <w:rPr>
                <w:color w:val="auto"/>
                <w:sz w:val="20"/>
                <w:szCs w:val="20"/>
              </w:rPr>
              <w:t>2,5</w:t>
            </w:r>
            <w:r w:rsidR="002307F6">
              <w:rPr>
                <w:color w:val="auto"/>
                <w:sz w:val="20"/>
                <w:szCs w:val="20"/>
              </w:rPr>
              <w:t xml:space="preserve"> </w:t>
            </w:r>
            <w:r w:rsidR="002307F6">
              <w:rPr>
                <w:b/>
                <w:sz w:val="20"/>
                <w:szCs w:val="20"/>
              </w:rPr>
              <w:t xml:space="preserve">- </w:t>
            </w:r>
            <w:r w:rsidRPr="00154741">
              <w:rPr>
                <w:color w:val="auto"/>
                <w:sz w:val="20"/>
                <w:szCs w:val="20"/>
              </w:rPr>
              <w:t>2,7</w:t>
            </w:r>
          </w:p>
        </w:tc>
      </w:tr>
      <w:tr w:rsidR="00120F26" w:rsidRPr="00154741" w:rsidTr="00AD23FF">
        <w:trPr>
          <w:cnfStyle w:val="000000100000"/>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Valsts patēriņš</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1,5</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-9,5</w:t>
            </w:r>
          </w:p>
        </w:tc>
        <w:tc>
          <w:tcPr>
            <w:tcW w:w="640" w:type="pct"/>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-9,7</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2,4</w:t>
            </w:r>
          </w:p>
        </w:tc>
        <w:tc>
          <w:tcPr>
            <w:tcW w:w="640" w:type="pct"/>
            <w:vAlign w:val="bottom"/>
          </w:tcPr>
          <w:p w:rsidR="00120F26" w:rsidRPr="00154741" w:rsidRDefault="002307F6" w:rsidP="002307F6">
            <w:pPr>
              <w:spacing w:before="40" w:after="40"/>
              <w:jc w:val="center"/>
              <w:cnfStyle w:val="000000100000"/>
              <w:rPr>
                <w:color w:val="auto"/>
                <w:sz w:val="20"/>
                <w:szCs w:val="20"/>
              </w:rPr>
            </w:pPr>
            <w:r>
              <w:rPr>
                <w:color w:val="auto"/>
                <w:sz w:val="20"/>
                <w:szCs w:val="20"/>
              </w:rPr>
              <w:t xml:space="preserve">-0,1 </w:t>
            </w:r>
            <w:r>
              <w:rPr>
                <w:b/>
                <w:sz w:val="20"/>
                <w:szCs w:val="20"/>
              </w:rPr>
              <w:t xml:space="preserve">- </w:t>
            </w:r>
            <w:r w:rsidR="00120F26" w:rsidRPr="00154741">
              <w:rPr>
                <w:color w:val="auto"/>
                <w:sz w:val="20"/>
                <w:szCs w:val="20"/>
              </w:rPr>
              <w:t>0,2</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Kopējā pamatkapitāla veidošana</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-13,8</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-37,4</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-19,2</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22,0</w:t>
            </w:r>
          </w:p>
        </w:tc>
        <w:tc>
          <w:tcPr>
            <w:tcW w:w="640" w:type="pct"/>
            <w:vAlign w:val="bottom"/>
          </w:tcPr>
          <w:p w:rsidR="00120F26" w:rsidRPr="00154741" w:rsidRDefault="00120F26" w:rsidP="002307F6">
            <w:pPr>
              <w:spacing w:before="40" w:after="40"/>
              <w:jc w:val="center"/>
              <w:cnfStyle w:val="000000000000"/>
              <w:rPr>
                <w:color w:val="auto"/>
                <w:sz w:val="20"/>
                <w:szCs w:val="20"/>
              </w:rPr>
            </w:pPr>
            <w:r w:rsidRPr="00154741">
              <w:rPr>
                <w:color w:val="auto"/>
                <w:sz w:val="20"/>
                <w:szCs w:val="20"/>
              </w:rPr>
              <w:t>5,1</w:t>
            </w:r>
            <w:r w:rsidR="002307F6">
              <w:rPr>
                <w:color w:val="auto"/>
                <w:sz w:val="20"/>
                <w:szCs w:val="20"/>
              </w:rPr>
              <w:t xml:space="preserve"> </w:t>
            </w:r>
            <w:r w:rsidR="002307F6">
              <w:rPr>
                <w:b/>
                <w:sz w:val="20"/>
                <w:szCs w:val="20"/>
              </w:rPr>
              <w:t xml:space="preserve">- </w:t>
            </w:r>
            <w:r w:rsidRPr="00154741">
              <w:rPr>
                <w:color w:val="auto"/>
                <w:sz w:val="20"/>
                <w:szCs w:val="20"/>
              </w:rPr>
              <w:t>7,5</w:t>
            </w:r>
          </w:p>
        </w:tc>
      </w:tr>
      <w:tr w:rsidR="00120F26" w:rsidRPr="00154741" w:rsidTr="00AD23FF">
        <w:trPr>
          <w:cnfStyle w:val="000000100000"/>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Eksports</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2,0</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-14,1</w:t>
            </w:r>
          </w:p>
        </w:tc>
        <w:tc>
          <w:tcPr>
            <w:tcW w:w="640" w:type="pct"/>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11,5</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14,0</w:t>
            </w:r>
          </w:p>
        </w:tc>
        <w:tc>
          <w:tcPr>
            <w:tcW w:w="640" w:type="pct"/>
            <w:vAlign w:val="bottom"/>
          </w:tcPr>
          <w:p w:rsidR="00120F26" w:rsidRPr="00154741" w:rsidRDefault="00120F26" w:rsidP="002307F6">
            <w:pPr>
              <w:spacing w:before="40" w:after="40"/>
              <w:jc w:val="center"/>
              <w:cnfStyle w:val="000000100000"/>
              <w:rPr>
                <w:color w:val="auto"/>
                <w:sz w:val="20"/>
                <w:szCs w:val="20"/>
              </w:rPr>
            </w:pPr>
            <w:r w:rsidRPr="00154741">
              <w:rPr>
                <w:color w:val="auto"/>
                <w:sz w:val="20"/>
                <w:szCs w:val="20"/>
              </w:rPr>
              <w:t>4,5</w:t>
            </w:r>
            <w:r w:rsidR="002307F6">
              <w:rPr>
                <w:color w:val="auto"/>
                <w:sz w:val="20"/>
                <w:szCs w:val="20"/>
              </w:rPr>
              <w:t xml:space="preserve"> </w:t>
            </w:r>
            <w:r w:rsidR="002307F6">
              <w:rPr>
                <w:b/>
                <w:sz w:val="20"/>
                <w:szCs w:val="20"/>
              </w:rPr>
              <w:t xml:space="preserve">- </w:t>
            </w:r>
            <w:r w:rsidRPr="00154741">
              <w:rPr>
                <w:color w:val="auto"/>
                <w:sz w:val="20"/>
                <w:szCs w:val="20"/>
              </w:rPr>
              <w:t>5,3</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Imports</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-10,8</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-33,3</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11,5</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20,8</w:t>
            </w:r>
          </w:p>
        </w:tc>
        <w:tc>
          <w:tcPr>
            <w:tcW w:w="640" w:type="pct"/>
            <w:vAlign w:val="bottom"/>
          </w:tcPr>
          <w:p w:rsidR="00120F26" w:rsidRPr="00154741" w:rsidRDefault="002307F6" w:rsidP="00AD23FF">
            <w:pPr>
              <w:spacing w:before="40" w:after="40"/>
              <w:jc w:val="center"/>
              <w:cnfStyle w:val="000000000000"/>
              <w:rPr>
                <w:color w:val="auto"/>
                <w:sz w:val="20"/>
                <w:szCs w:val="20"/>
              </w:rPr>
            </w:pPr>
            <w:r>
              <w:rPr>
                <w:color w:val="auto"/>
                <w:sz w:val="20"/>
                <w:szCs w:val="20"/>
              </w:rPr>
              <w:t xml:space="preserve">6,9 - </w:t>
            </w:r>
            <w:r w:rsidR="00120F26" w:rsidRPr="00154741">
              <w:rPr>
                <w:color w:val="auto"/>
                <w:sz w:val="20"/>
                <w:szCs w:val="20"/>
              </w:rPr>
              <w:t>8,0</w:t>
            </w:r>
          </w:p>
        </w:tc>
      </w:tr>
      <w:tr w:rsidR="00120F26" w:rsidRPr="00154741" w:rsidTr="00AD23FF">
        <w:trPr>
          <w:cnfStyle w:val="000000100000"/>
          <w:jc w:val="center"/>
        </w:trPr>
        <w:tc>
          <w:tcPr>
            <w:cnfStyle w:val="001000000000"/>
            <w:tcW w:w="1801" w:type="pct"/>
          </w:tcPr>
          <w:p w:rsidR="00120F26" w:rsidRPr="00154741" w:rsidRDefault="00120F26" w:rsidP="00120F26">
            <w:pPr>
              <w:spacing w:before="200" w:after="40"/>
              <w:ind w:right="33"/>
              <w:rPr>
                <w:color w:val="auto"/>
                <w:sz w:val="20"/>
                <w:szCs w:val="20"/>
              </w:rPr>
            </w:pPr>
            <w:r w:rsidRPr="00154741">
              <w:rPr>
                <w:color w:val="auto"/>
                <w:sz w:val="20"/>
                <w:szCs w:val="20"/>
              </w:rPr>
              <w:t>IKP pa nozarēm</w:t>
            </w:r>
          </w:p>
        </w:tc>
        <w:tc>
          <w:tcPr>
            <w:tcW w:w="640" w:type="pct"/>
            <w:vAlign w:val="center"/>
          </w:tcPr>
          <w:p w:rsidR="00120F26" w:rsidRPr="00154741" w:rsidRDefault="00120F26" w:rsidP="00120F26">
            <w:pPr>
              <w:tabs>
                <w:tab w:val="decimal" w:pos="492"/>
              </w:tabs>
              <w:spacing w:before="200" w:after="40"/>
              <w:ind w:right="34"/>
              <w:cnfStyle w:val="000000100000"/>
              <w:rPr>
                <w:b/>
                <w:color w:val="auto"/>
                <w:sz w:val="20"/>
                <w:szCs w:val="20"/>
              </w:rPr>
            </w:pPr>
            <w:r w:rsidRPr="00154741">
              <w:rPr>
                <w:b/>
                <w:color w:val="auto"/>
                <w:sz w:val="20"/>
                <w:szCs w:val="20"/>
              </w:rPr>
              <w:t>-3,3</w:t>
            </w:r>
          </w:p>
        </w:tc>
        <w:tc>
          <w:tcPr>
            <w:tcW w:w="640" w:type="pct"/>
            <w:vAlign w:val="center"/>
          </w:tcPr>
          <w:p w:rsidR="00120F26" w:rsidRPr="00154741" w:rsidRDefault="00120F26" w:rsidP="00120F26">
            <w:pPr>
              <w:tabs>
                <w:tab w:val="decimal" w:pos="492"/>
              </w:tabs>
              <w:spacing w:before="200" w:after="40"/>
              <w:ind w:right="34"/>
              <w:cnfStyle w:val="000000100000"/>
              <w:rPr>
                <w:b/>
                <w:color w:val="auto"/>
                <w:sz w:val="20"/>
                <w:szCs w:val="20"/>
              </w:rPr>
            </w:pPr>
            <w:r w:rsidRPr="00154741">
              <w:rPr>
                <w:b/>
                <w:color w:val="auto"/>
                <w:sz w:val="20"/>
                <w:szCs w:val="20"/>
              </w:rPr>
              <w:t>-17,7</w:t>
            </w:r>
          </w:p>
        </w:tc>
        <w:tc>
          <w:tcPr>
            <w:tcW w:w="640" w:type="pct"/>
            <w:noWrap/>
            <w:vAlign w:val="center"/>
            <w:hideMark/>
          </w:tcPr>
          <w:p w:rsidR="00120F26" w:rsidRPr="00154741" w:rsidRDefault="00120F26" w:rsidP="00120F26">
            <w:pPr>
              <w:tabs>
                <w:tab w:val="decimal" w:pos="492"/>
              </w:tabs>
              <w:spacing w:before="200" w:after="40"/>
              <w:cnfStyle w:val="000000100000"/>
              <w:rPr>
                <w:b/>
                <w:color w:val="auto"/>
                <w:sz w:val="20"/>
                <w:szCs w:val="20"/>
              </w:rPr>
            </w:pPr>
            <w:r w:rsidRPr="00154741">
              <w:rPr>
                <w:b/>
                <w:color w:val="auto"/>
                <w:sz w:val="20"/>
                <w:szCs w:val="20"/>
              </w:rPr>
              <w:t>-0,3</w:t>
            </w:r>
          </w:p>
        </w:tc>
        <w:tc>
          <w:tcPr>
            <w:tcW w:w="640" w:type="pct"/>
            <w:vAlign w:val="center"/>
          </w:tcPr>
          <w:p w:rsidR="00120F26" w:rsidRPr="00154741" w:rsidRDefault="00120F26" w:rsidP="00120F26">
            <w:pPr>
              <w:tabs>
                <w:tab w:val="decimal" w:pos="492"/>
              </w:tabs>
              <w:spacing w:before="200" w:after="40"/>
              <w:cnfStyle w:val="000000100000"/>
              <w:rPr>
                <w:b/>
                <w:color w:val="auto"/>
                <w:sz w:val="20"/>
                <w:szCs w:val="20"/>
              </w:rPr>
            </w:pPr>
            <w:r w:rsidRPr="00154741">
              <w:rPr>
                <w:b/>
                <w:color w:val="auto"/>
                <w:sz w:val="20"/>
                <w:szCs w:val="20"/>
              </w:rPr>
              <w:t>4,5</w:t>
            </w:r>
          </w:p>
        </w:tc>
        <w:tc>
          <w:tcPr>
            <w:tcW w:w="640" w:type="pct"/>
            <w:vAlign w:val="center"/>
          </w:tcPr>
          <w:p w:rsidR="00120F26" w:rsidRPr="00154741" w:rsidRDefault="002307F6" w:rsidP="00120F26">
            <w:pPr>
              <w:spacing w:before="200" w:after="40"/>
              <w:jc w:val="center"/>
              <w:cnfStyle w:val="000000100000"/>
              <w:rPr>
                <w:b/>
                <w:sz w:val="20"/>
                <w:szCs w:val="20"/>
              </w:rPr>
            </w:pPr>
            <w:r>
              <w:rPr>
                <w:b/>
                <w:sz w:val="20"/>
                <w:szCs w:val="20"/>
              </w:rPr>
              <w:t xml:space="preserve">2,5 - </w:t>
            </w:r>
            <w:r w:rsidR="00120F26" w:rsidRPr="00154741">
              <w:rPr>
                <w:b/>
                <w:sz w:val="20"/>
                <w:szCs w:val="20"/>
              </w:rPr>
              <w:t>3,0</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Lauksaimniecība</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-2,2</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9,1</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2,0</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4,3</w:t>
            </w:r>
          </w:p>
        </w:tc>
        <w:tc>
          <w:tcPr>
            <w:tcW w:w="640" w:type="pct"/>
            <w:vAlign w:val="bottom"/>
          </w:tcPr>
          <w:p w:rsidR="00120F26" w:rsidRPr="00154741" w:rsidRDefault="002307F6" w:rsidP="002307F6">
            <w:pPr>
              <w:spacing w:before="40" w:after="40"/>
              <w:jc w:val="center"/>
              <w:cnfStyle w:val="000000000000"/>
              <w:rPr>
                <w:color w:val="auto"/>
                <w:sz w:val="20"/>
                <w:szCs w:val="20"/>
              </w:rPr>
            </w:pPr>
            <w:r>
              <w:rPr>
                <w:color w:val="auto"/>
                <w:sz w:val="20"/>
                <w:szCs w:val="20"/>
              </w:rPr>
              <w:t xml:space="preserve">1,6 - </w:t>
            </w:r>
            <w:r w:rsidR="00120F26" w:rsidRPr="00154741">
              <w:rPr>
                <w:color w:val="auto"/>
                <w:sz w:val="20"/>
                <w:szCs w:val="20"/>
              </w:rPr>
              <w:t>1,7</w:t>
            </w:r>
          </w:p>
        </w:tc>
      </w:tr>
      <w:tr w:rsidR="00120F26" w:rsidRPr="00154741" w:rsidTr="00AD23FF">
        <w:trPr>
          <w:cnfStyle w:val="000000100000"/>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Apstrādes rūpniecība</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-8,6</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-17,8</w:t>
            </w:r>
          </w:p>
        </w:tc>
        <w:tc>
          <w:tcPr>
            <w:tcW w:w="640" w:type="pct"/>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16,5</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11,2</w:t>
            </w:r>
          </w:p>
        </w:tc>
        <w:tc>
          <w:tcPr>
            <w:tcW w:w="640" w:type="pct"/>
            <w:vAlign w:val="bottom"/>
          </w:tcPr>
          <w:p w:rsidR="00120F26" w:rsidRPr="00154741" w:rsidRDefault="00120F26" w:rsidP="002307F6">
            <w:pPr>
              <w:spacing w:before="40" w:after="40"/>
              <w:jc w:val="center"/>
              <w:cnfStyle w:val="000000100000"/>
              <w:rPr>
                <w:color w:val="auto"/>
                <w:sz w:val="20"/>
                <w:szCs w:val="20"/>
              </w:rPr>
            </w:pPr>
            <w:r w:rsidRPr="00154741">
              <w:rPr>
                <w:color w:val="auto"/>
                <w:sz w:val="20"/>
                <w:szCs w:val="20"/>
              </w:rPr>
              <w:t>3,0</w:t>
            </w:r>
            <w:r w:rsidR="002307F6">
              <w:rPr>
                <w:color w:val="auto"/>
                <w:sz w:val="20"/>
                <w:szCs w:val="20"/>
              </w:rPr>
              <w:t xml:space="preserve"> - </w:t>
            </w:r>
            <w:r w:rsidRPr="00154741">
              <w:rPr>
                <w:color w:val="auto"/>
                <w:sz w:val="20"/>
                <w:szCs w:val="20"/>
              </w:rPr>
              <w:t>3,9</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Pārējā rūpniecība</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6,0</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-3,9</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6,2</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1,4</w:t>
            </w:r>
          </w:p>
        </w:tc>
        <w:tc>
          <w:tcPr>
            <w:tcW w:w="640" w:type="pct"/>
            <w:vAlign w:val="bottom"/>
          </w:tcPr>
          <w:p w:rsidR="00120F26" w:rsidRPr="00154741" w:rsidRDefault="00120F26" w:rsidP="002307F6">
            <w:pPr>
              <w:spacing w:before="40" w:after="40"/>
              <w:jc w:val="center"/>
              <w:cnfStyle w:val="000000000000"/>
              <w:rPr>
                <w:color w:val="auto"/>
                <w:sz w:val="20"/>
                <w:szCs w:val="20"/>
              </w:rPr>
            </w:pPr>
            <w:r w:rsidRPr="00154741">
              <w:rPr>
                <w:color w:val="auto"/>
                <w:sz w:val="20"/>
                <w:szCs w:val="20"/>
              </w:rPr>
              <w:t>1,1</w:t>
            </w:r>
            <w:r w:rsidR="002307F6">
              <w:rPr>
                <w:color w:val="auto"/>
                <w:sz w:val="20"/>
                <w:szCs w:val="20"/>
              </w:rPr>
              <w:t xml:space="preserve"> - </w:t>
            </w:r>
            <w:r w:rsidRPr="00154741">
              <w:rPr>
                <w:color w:val="auto"/>
                <w:sz w:val="20"/>
                <w:szCs w:val="20"/>
              </w:rPr>
              <w:t>1,3</w:t>
            </w:r>
          </w:p>
        </w:tc>
      </w:tr>
      <w:tr w:rsidR="00120F26" w:rsidRPr="00154741" w:rsidTr="00AD23FF">
        <w:trPr>
          <w:cnfStyle w:val="000000100000"/>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Būvniecība</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-3,5</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-32,0</w:t>
            </w:r>
          </w:p>
        </w:tc>
        <w:tc>
          <w:tcPr>
            <w:tcW w:w="640" w:type="pct"/>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-23,9</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0,0</w:t>
            </w:r>
          </w:p>
        </w:tc>
        <w:tc>
          <w:tcPr>
            <w:tcW w:w="640" w:type="pct"/>
            <w:vAlign w:val="bottom"/>
          </w:tcPr>
          <w:p w:rsidR="00120F26" w:rsidRPr="00154741" w:rsidRDefault="00120F26" w:rsidP="002307F6">
            <w:pPr>
              <w:spacing w:before="40" w:after="40"/>
              <w:jc w:val="center"/>
              <w:cnfStyle w:val="000000100000"/>
              <w:rPr>
                <w:color w:val="auto"/>
                <w:sz w:val="20"/>
                <w:szCs w:val="20"/>
              </w:rPr>
            </w:pPr>
            <w:r w:rsidRPr="00154741">
              <w:rPr>
                <w:color w:val="auto"/>
                <w:sz w:val="20"/>
                <w:szCs w:val="20"/>
              </w:rPr>
              <w:t>2,6</w:t>
            </w:r>
            <w:r w:rsidR="002307F6">
              <w:rPr>
                <w:color w:val="auto"/>
                <w:sz w:val="20"/>
                <w:szCs w:val="20"/>
              </w:rPr>
              <w:t xml:space="preserve"> - </w:t>
            </w:r>
            <w:r w:rsidRPr="00154741">
              <w:rPr>
                <w:color w:val="auto"/>
                <w:sz w:val="20"/>
                <w:szCs w:val="20"/>
              </w:rPr>
              <w:t>3,8</w:t>
            </w:r>
          </w:p>
        </w:tc>
      </w:tr>
      <w:tr w:rsidR="00120F26" w:rsidRPr="00154741" w:rsidTr="00AD23FF">
        <w:trPr>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Tirdzniecība, izmitināšana</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-7,0</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-25,2</w:t>
            </w:r>
          </w:p>
        </w:tc>
        <w:tc>
          <w:tcPr>
            <w:tcW w:w="640" w:type="pct"/>
            <w:noWrap/>
            <w:vAlign w:val="bottom"/>
            <w:hideMark/>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3,1</w:t>
            </w:r>
          </w:p>
        </w:tc>
        <w:tc>
          <w:tcPr>
            <w:tcW w:w="640" w:type="pct"/>
            <w:vAlign w:val="bottom"/>
          </w:tcPr>
          <w:p w:rsidR="00120F26" w:rsidRPr="00154741" w:rsidRDefault="00120F26" w:rsidP="00AD23FF">
            <w:pPr>
              <w:tabs>
                <w:tab w:val="decimal" w:pos="492"/>
              </w:tabs>
              <w:spacing w:before="40" w:after="40"/>
              <w:cnfStyle w:val="000000000000"/>
              <w:rPr>
                <w:color w:val="auto"/>
                <w:sz w:val="20"/>
                <w:szCs w:val="20"/>
              </w:rPr>
            </w:pPr>
            <w:r w:rsidRPr="00154741">
              <w:rPr>
                <w:color w:val="auto"/>
                <w:sz w:val="20"/>
                <w:szCs w:val="20"/>
              </w:rPr>
              <w:t>8,2</w:t>
            </w:r>
          </w:p>
        </w:tc>
        <w:tc>
          <w:tcPr>
            <w:tcW w:w="640" w:type="pct"/>
            <w:vAlign w:val="bottom"/>
          </w:tcPr>
          <w:p w:rsidR="00120F26" w:rsidRPr="00154741" w:rsidRDefault="00120F26" w:rsidP="002307F6">
            <w:pPr>
              <w:spacing w:before="40" w:after="40"/>
              <w:jc w:val="center"/>
              <w:cnfStyle w:val="000000000000"/>
              <w:rPr>
                <w:color w:val="auto"/>
                <w:sz w:val="20"/>
                <w:szCs w:val="20"/>
              </w:rPr>
            </w:pPr>
            <w:r w:rsidRPr="00154741">
              <w:rPr>
                <w:color w:val="auto"/>
                <w:sz w:val="20"/>
                <w:szCs w:val="20"/>
              </w:rPr>
              <w:t>2,9</w:t>
            </w:r>
            <w:r w:rsidR="002307F6">
              <w:rPr>
                <w:color w:val="auto"/>
                <w:sz w:val="20"/>
                <w:szCs w:val="20"/>
              </w:rPr>
              <w:t xml:space="preserve"> - </w:t>
            </w:r>
            <w:r w:rsidRPr="00154741">
              <w:rPr>
                <w:color w:val="auto"/>
                <w:sz w:val="20"/>
                <w:szCs w:val="20"/>
              </w:rPr>
              <w:t>3,6</w:t>
            </w:r>
          </w:p>
        </w:tc>
      </w:tr>
      <w:tr w:rsidR="00120F26" w:rsidRPr="00154741" w:rsidTr="00AD23FF">
        <w:trPr>
          <w:cnfStyle w:val="000000100000"/>
          <w:jc w:val="center"/>
        </w:trPr>
        <w:tc>
          <w:tcPr>
            <w:cnfStyle w:val="001000000000"/>
            <w:tcW w:w="1801" w:type="pct"/>
          </w:tcPr>
          <w:p w:rsidR="00120F26" w:rsidRPr="00154741" w:rsidRDefault="00120F26" w:rsidP="00AD23FF">
            <w:pPr>
              <w:spacing w:before="40" w:after="40"/>
              <w:ind w:right="33"/>
              <w:rPr>
                <w:b w:val="0"/>
                <w:color w:val="auto"/>
                <w:sz w:val="20"/>
                <w:szCs w:val="20"/>
              </w:rPr>
            </w:pPr>
            <w:r w:rsidRPr="00154741">
              <w:rPr>
                <w:b w:val="0"/>
                <w:color w:val="auto"/>
                <w:sz w:val="20"/>
                <w:szCs w:val="20"/>
              </w:rPr>
              <w:t>Transports un uzglabāšana</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-0,3</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1,1</w:t>
            </w:r>
          </w:p>
        </w:tc>
        <w:tc>
          <w:tcPr>
            <w:tcW w:w="640" w:type="pct"/>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5,6</w:t>
            </w:r>
          </w:p>
        </w:tc>
        <w:tc>
          <w:tcPr>
            <w:tcW w:w="640" w:type="pct"/>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6,8</w:t>
            </w:r>
          </w:p>
        </w:tc>
        <w:tc>
          <w:tcPr>
            <w:tcW w:w="640" w:type="pct"/>
            <w:vAlign w:val="bottom"/>
          </w:tcPr>
          <w:p w:rsidR="00120F26" w:rsidRPr="00154741" w:rsidRDefault="00120F26" w:rsidP="002307F6">
            <w:pPr>
              <w:spacing w:before="40" w:after="40"/>
              <w:jc w:val="center"/>
              <w:cnfStyle w:val="000000100000"/>
              <w:rPr>
                <w:color w:val="auto"/>
                <w:sz w:val="20"/>
                <w:szCs w:val="20"/>
              </w:rPr>
            </w:pPr>
            <w:r w:rsidRPr="00154741">
              <w:rPr>
                <w:color w:val="auto"/>
                <w:sz w:val="20"/>
                <w:szCs w:val="20"/>
              </w:rPr>
              <w:t>5,5</w:t>
            </w:r>
            <w:r w:rsidR="002307F6">
              <w:rPr>
                <w:color w:val="auto"/>
                <w:sz w:val="20"/>
                <w:szCs w:val="20"/>
              </w:rPr>
              <w:t xml:space="preserve"> - </w:t>
            </w:r>
            <w:r w:rsidRPr="00154741">
              <w:rPr>
                <w:color w:val="auto"/>
                <w:sz w:val="20"/>
                <w:szCs w:val="20"/>
              </w:rPr>
              <w:t>5,6</w:t>
            </w:r>
          </w:p>
        </w:tc>
      </w:tr>
      <w:tr w:rsidR="00120F26" w:rsidRPr="00154741" w:rsidTr="00AD23FF">
        <w:trPr>
          <w:jc w:val="center"/>
        </w:trPr>
        <w:tc>
          <w:tcPr>
            <w:cnfStyle w:val="001000000000"/>
            <w:tcW w:w="1801" w:type="pct"/>
            <w:tcBorders>
              <w:bottom w:val="nil"/>
            </w:tcBorders>
          </w:tcPr>
          <w:p w:rsidR="00120F26" w:rsidRPr="00154741" w:rsidRDefault="00120F26" w:rsidP="00AD23FF">
            <w:pPr>
              <w:spacing w:before="40" w:after="40"/>
              <w:ind w:right="33"/>
              <w:rPr>
                <w:b w:val="0"/>
                <w:sz w:val="20"/>
                <w:szCs w:val="20"/>
              </w:rPr>
            </w:pPr>
            <w:r w:rsidRPr="00154741">
              <w:rPr>
                <w:b w:val="0"/>
                <w:sz w:val="20"/>
                <w:szCs w:val="20"/>
              </w:rPr>
              <w:t>Citi pakalpojumi</w:t>
            </w:r>
          </w:p>
        </w:tc>
        <w:tc>
          <w:tcPr>
            <w:tcW w:w="640" w:type="pct"/>
            <w:tcBorders>
              <w:bottom w:val="nil"/>
            </w:tcBorders>
            <w:vAlign w:val="bottom"/>
          </w:tcPr>
          <w:p w:rsidR="00120F26" w:rsidRPr="00154741" w:rsidRDefault="00120F26" w:rsidP="00AD23FF">
            <w:pPr>
              <w:tabs>
                <w:tab w:val="decimal" w:pos="492"/>
              </w:tabs>
              <w:spacing w:before="40" w:after="40"/>
              <w:cnfStyle w:val="000000000000"/>
              <w:rPr>
                <w:sz w:val="20"/>
                <w:szCs w:val="20"/>
              </w:rPr>
            </w:pPr>
            <w:r w:rsidRPr="00154741">
              <w:rPr>
                <w:sz w:val="20"/>
                <w:szCs w:val="20"/>
              </w:rPr>
              <w:t>5,4</w:t>
            </w:r>
          </w:p>
        </w:tc>
        <w:tc>
          <w:tcPr>
            <w:tcW w:w="640" w:type="pct"/>
            <w:tcBorders>
              <w:bottom w:val="nil"/>
            </w:tcBorders>
            <w:vAlign w:val="bottom"/>
          </w:tcPr>
          <w:p w:rsidR="00120F26" w:rsidRPr="00154741" w:rsidRDefault="00120F26" w:rsidP="00AD23FF">
            <w:pPr>
              <w:tabs>
                <w:tab w:val="decimal" w:pos="492"/>
              </w:tabs>
              <w:spacing w:before="40" w:after="40"/>
              <w:cnfStyle w:val="000000000000"/>
              <w:rPr>
                <w:sz w:val="20"/>
                <w:szCs w:val="20"/>
              </w:rPr>
            </w:pPr>
            <w:r w:rsidRPr="00154741">
              <w:rPr>
                <w:sz w:val="20"/>
                <w:szCs w:val="20"/>
              </w:rPr>
              <w:t>-14,7</w:t>
            </w:r>
          </w:p>
        </w:tc>
        <w:tc>
          <w:tcPr>
            <w:tcW w:w="640" w:type="pct"/>
            <w:tcBorders>
              <w:bottom w:val="nil"/>
            </w:tcBorders>
            <w:noWrap/>
            <w:vAlign w:val="bottom"/>
            <w:hideMark/>
          </w:tcPr>
          <w:p w:rsidR="00120F26" w:rsidRPr="00154741" w:rsidRDefault="00120F26" w:rsidP="00AD23FF">
            <w:pPr>
              <w:tabs>
                <w:tab w:val="decimal" w:pos="492"/>
              </w:tabs>
              <w:spacing w:before="40" w:after="40"/>
              <w:cnfStyle w:val="000000000000"/>
              <w:rPr>
                <w:sz w:val="20"/>
                <w:szCs w:val="20"/>
              </w:rPr>
            </w:pPr>
            <w:r w:rsidRPr="00154741">
              <w:rPr>
                <w:sz w:val="20"/>
                <w:szCs w:val="20"/>
              </w:rPr>
              <w:t>-4,7</w:t>
            </w:r>
          </w:p>
        </w:tc>
        <w:tc>
          <w:tcPr>
            <w:tcW w:w="640" w:type="pct"/>
            <w:tcBorders>
              <w:bottom w:val="nil"/>
            </w:tcBorders>
            <w:vAlign w:val="bottom"/>
          </w:tcPr>
          <w:p w:rsidR="00120F26" w:rsidRPr="00154741" w:rsidRDefault="00120F26" w:rsidP="00AD23FF">
            <w:pPr>
              <w:tabs>
                <w:tab w:val="decimal" w:pos="492"/>
              </w:tabs>
              <w:spacing w:before="40" w:after="40"/>
              <w:cnfStyle w:val="000000000000"/>
              <w:rPr>
                <w:sz w:val="20"/>
                <w:szCs w:val="20"/>
              </w:rPr>
            </w:pPr>
            <w:r w:rsidRPr="00154741">
              <w:rPr>
                <w:sz w:val="20"/>
                <w:szCs w:val="20"/>
              </w:rPr>
              <w:t>1,4</w:t>
            </w:r>
          </w:p>
        </w:tc>
        <w:tc>
          <w:tcPr>
            <w:tcW w:w="640" w:type="pct"/>
            <w:tcBorders>
              <w:bottom w:val="nil"/>
            </w:tcBorders>
            <w:vAlign w:val="bottom"/>
          </w:tcPr>
          <w:p w:rsidR="00120F26" w:rsidRPr="00154741" w:rsidRDefault="00120F26" w:rsidP="002307F6">
            <w:pPr>
              <w:spacing w:before="40" w:after="40"/>
              <w:jc w:val="center"/>
              <w:cnfStyle w:val="000000000000"/>
              <w:rPr>
                <w:sz w:val="20"/>
                <w:szCs w:val="20"/>
              </w:rPr>
            </w:pPr>
            <w:r w:rsidRPr="00154741">
              <w:rPr>
                <w:sz w:val="20"/>
                <w:szCs w:val="20"/>
              </w:rPr>
              <w:t>1,8</w:t>
            </w:r>
            <w:r w:rsidR="002307F6">
              <w:rPr>
                <w:sz w:val="20"/>
                <w:szCs w:val="20"/>
              </w:rPr>
              <w:t xml:space="preserve"> - </w:t>
            </w:r>
            <w:r w:rsidRPr="00154741">
              <w:rPr>
                <w:sz w:val="20"/>
                <w:szCs w:val="20"/>
              </w:rPr>
              <w:t>2,2</w:t>
            </w:r>
          </w:p>
        </w:tc>
      </w:tr>
      <w:tr w:rsidR="00120F26" w:rsidRPr="00154741" w:rsidTr="00AD23FF">
        <w:trPr>
          <w:cnfStyle w:val="000000100000"/>
          <w:jc w:val="center"/>
        </w:trPr>
        <w:tc>
          <w:tcPr>
            <w:cnfStyle w:val="001000000000"/>
            <w:tcW w:w="1801" w:type="pct"/>
            <w:tcBorders>
              <w:top w:val="nil"/>
              <w:bottom w:val="single" w:sz="4" w:space="0" w:color="C00000"/>
            </w:tcBorders>
          </w:tcPr>
          <w:p w:rsidR="00120F26" w:rsidRPr="00154741" w:rsidRDefault="00120F26" w:rsidP="00AD23FF">
            <w:pPr>
              <w:spacing w:before="40" w:after="40"/>
              <w:ind w:right="33"/>
              <w:rPr>
                <w:b w:val="0"/>
                <w:color w:val="auto"/>
                <w:sz w:val="20"/>
                <w:szCs w:val="20"/>
              </w:rPr>
            </w:pPr>
            <w:r w:rsidRPr="00154741">
              <w:rPr>
                <w:b w:val="0"/>
                <w:color w:val="auto"/>
                <w:sz w:val="20"/>
                <w:szCs w:val="20"/>
              </w:rPr>
              <w:t>Sabiedriskie pakalpojumi</w:t>
            </w:r>
          </w:p>
        </w:tc>
        <w:tc>
          <w:tcPr>
            <w:tcW w:w="640" w:type="pct"/>
            <w:tcBorders>
              <w:top w:val="nil"/>
              <w:bottom w:val="single" w:sz="4" w:space="0" w:color="C00000"/>
            </w:tcBorders>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-0,1</w:t>
            </w:r>
          </w:p>
        </w:tc>
        <w:tc>
          <w:tcPr>
            <w:tcW w:w="640" w:type="pct"/>
            <w:tcBorders>
              <w:top w:val="nil"/>
              <w:bottom w:val="single" w:sz="4" w:space="0" w:color="C00000"/>
            </w:tcBorders>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-9,3</w:t>
            </w:r>
          </w:p>
        </w:tc>
        <w:tc>
          <w:tcPr>
            <w:tcW w:w="640" w:type="pct"/>
            <w:tcBorders>
              <w:top w:val="nil"/>
              <w:bottom w:val="single" w:sz="4" w:space="0" w:color="C00000"/>
            </w:tcBorders>
            <w:noWrap/>
            <w:vAlign w:val="bottom"/>
            <w:hideMark/>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-6,4</w:t>
            </w:r>
          </w:p>
        </w:tc>
        <w:tc>
          <w:tcPr>
            <w:tcW w:w="640" w:type="pct"/>
            <w:tcBorders>
              <w:top w:val="nil"/>
              <w:bottom w:val="single" w:sz="4" w:space="0" w:color="C00000"/>
            </w:tcBorders>
            <w:vAlign w:val="bottom"/>
          </w:tcPr>
          <w:p w:rsidR="00120F26" w:rsidRPr="00154741" w:rsidRDefault="00120F26" w:rsidP="00AD23FF">
            <w:pPr>
              <w:tabs>
                <w:tab w:val="decimal" w:pos="492"/>
              </w:tabs>
              <w:spacing w:before="40" w:after="40"/>
              <w:cnfStyle w:val="000000100000"/>
              <w:rPr>
                <w:color w:val="auto"/>
                <w:sz w:val="20"/>
                <w:szCs w:val="20"/>
              </w:rPr>
            </w:pPr>
            <w:r w:rsidRPr="00154741">
              <w:rPr>
                <w:color w:val="auto"/>
                <w:sz w:val="20"/>
                <w:szCs w:val="20"/>
              </w:rPr>
              <w:t>0,9</w:t>
            </w:r>
          </w:p>
        </w:tc>
        <w:tc>
          <w:tcPr>
            <w:tcW w:w="640" w:type="pct"/>
            <w:tcBorders>
              <w:top w:val="nil"/>
              <w:bottom w:val="single" w:sz="4" w:space="0" w:color="C00000"/>
            </w:tcBorders>
            <w:vAlign w:val="bottom"/>
          </w:tcPr>
          <w:p w:rsidR="00120F26" w:rsidRPr="00154741" w:rsidRDefault="00120F26" w:rsidP="002307F6">
            <w:pPr>
              <w:spacing w:before="40" w:after="40"/>
              <w:jc w:val="center"/>
              <w:cnfStyle w:val="000000100000"/>
              <w:rPr>
                <w:color w:val="auto"/>
                <w:sz w:val="20"/>
                <w:szCs w:val="20"/>
              </w:rPr>
            </w:pPr>
            <w:r w:rsidRPr="00154741">
              <w:rPr>
                <w:color w:val="auto"/>
                <w:sz w:val="20"/>
                <w:szCs w:val="20"/>
              </w:rPr>
              <w:t>-0,3</w:t>
            </w:r>
            <w:r w:rsidR="002307F6">
              <w:rPr>
                <w:color w:val="auto"/>
                <w:sz w:val="20"/>
                <w:szCs w:val="20"/>
              </w:rPr>
              <w:t xml:space="preserve"> - </w:t>
            </w:r>
            <w:r w:rsidRPr="00154741">
              <w:rPr>
                <w:color w:val="auto"/>
                <w:sz w:val="20"/>
                <w:szCs w:val="20"/>
              </w:rPr>
              <w:t>-0,2</w:t>
            </w:r>
          </w:p>
        </w:tc>
      </w:tr>
    </w:tbl>
    <w:p w:rsidR="00120F26" w:rsidRPr="00154741" w:rsidRDefault="00120F26" w:rsidP="00120F26">
      <w:pPr>
        <w:spacing w:before="60"/>
        <w:ind w:firstLine="709"/>
        <w:rPr>
          <w:sz w:val="20"/>
        </w:rPr>
      </w:pPr>
      <w:r w:rsidRPr="00154741">
        <w:rPr>
          <w:sz w:val="20"/>
        </w:rPr>
        <w:t>n – Ekonomikas ministrijas novērtējums; p – Ekonomikas ministrijas prognoze</w:t>
      </w:r>
    </w:p>
    <w:p w:rsidR="00120F26" w:rsidRPr="00120F26" w:rsidRDefault="00120F26" w:rsidP="004E2816">
      <w:pPr>
        <w:spacing w:after="20"/>
        <w:ind w:firstLine="426"/>
        <w:jc w:val="both"/>
        <w:rPr>
          <w:rFonts w:eastAsia="Times New Roman"/>
          <w:sz w:val="12"/>
        </w:rPr>
      </w:pPr>
    </w:p>
    <w:p w:rsidR="004E2816" w:rsidRPr="004E2816" w:rsidRDefault="004E2816" w:rsidP="004E2816">
      <w:pPr>
        <w:spacing w:after="20"/>
        <w:ind w:firstLine="426"/>
        <w:jc w:val="both"/>
        <w:rPr>
          <w:rFonts w:eastAsia="Times New Roman"/>
          <w:sz w:val="28"/>
        </w:rPr>
      </w:pPr>
      <w:r w:rsidRPr="004E2816">
        <w:rPr>
          <w:rFonts w:eastAsia="Times New Roman"/>
          <w:sz w:val="28"/>
        </w:rPr>
        <w:t xml:space="preserve">Lai sagatavotu </w:t>
      </w:r>
      <w:r w:rsidR="002307F6">
        <w:rPr>
          <w:rFonts w:eastAsia="Times New Roman"/>
          <w:sz w:val="28"/>
        </w:rPr>
        <w:t>pamatotākas</w:t>
      </w:r>
      <w:r w:rsidRPr="004E2816">
        <w:rPr>
          <w:rFonts w:eastAsia="Times New Roman"/>
          <w:sz w:val="28"/>
        </w:rPr>
        <w:t xml:space="preserve"> ekonomikas attīstības prognozes, tika aptaujātas nozaru asociācijas un lielākie uzņēmumi. Aptaujas ietvaros nozaru asociācijas un uzņēmēji sniedza savas darbības novērtējumu par 2011.gada deviņiem mēnešiem, kā arī savas nozares vai uzņēmuma nākotnes vērtējumu. Nozaru asociācijām un uzņēmumiem tika lūgts norādīt arī galvenos ražošanu vai pakalpojumu sniegšanu ierobežojošos faktorus, valdības neatliekamos pasākumus nozares sekmīgai attīstībai, kā arī raksturot situāciju darba tirgū.</w:t>
      </w:r>
    </w:p>
    <w:p w:rsidR="004E2816" w:rsidRPr="004E2816" w:rsidRDefault="004E2816" w:rsidP="004E2816">
      <w:pPr>
        <w:spacing w:after="20"/>
        <w:ind w:firstLine="426"/>
        <w:jc w:val="both"/>
        <w:rPr>
          <w:rFonts w:eastAsia="Times New Roman"/>
          <w:sz w:val="28"/>
        </w:rPr>
      </w:pPr>
      <w:r w:rsidRPr="004E2816">
        <w:rPr>
          <w:rFonts w:eastAsia="Times New Roman"/>
          <w:sz w:val="28"/>
        </w:rPr>
        <w:t>Izvērtējot nozaru asociāciju un uzņēmēju sniegtās atbildes, jāsecina, ka aptaujātās asociācijas un uzņēmumi prognozē, ka uzņēmumu saražotās produkcija</w:t>
      </w:r>
      <w:r w:rsidR="00955728">
        <w:rPr>
          <w:rFonts w:eastAsia="Times New Roman"/>
          <w:sz w:val="28"/>
        </w:rPr>
        <w:t>s vai sniegto pakalpojumu apjomu pieaugums pakāpeniski mazināsies. Vienlaikus uzņēmēji neplāno palielināt</w:t>
      </w:r>
      <w:r w:rsidR="001A5EAD">
        <w:rPr>
          <w:rFonts w:eastAsia="Times New Roman"/>
          <w:sz w:val="28"/>
        </w:rPr>
        <w:t xml:space="preserve"> </w:t>
      </w:r>
      <w:r w:rsidRPr="004E2816">
        <w:rPr>
          <w:rFonts w:eastAsia="Times New Roman"/>
          <w:sz w:val="28"/>
        </w:rPr>
        <w:t>cenas saražotajai produkcijai vai sniegtajiem pakalpojumiem</w:t>
      </w:r>
      <w:r w:rsidR="00955728">
        <w:rPr>
          <w:rFonts w:eastAsia="Times New Roman"/>
          <w:sz w:val="28"/>
        </w:rPr>
        <w:t xml:space="preserve">. </w:t>
      </w:r>
      <w:r w:rsidR="002307F6">
        <w:rPr>
          <w:rFonts w:eastAsia="Times New Roman"/>
          <w:sz w:val="28"/>
        </w:rPr>
        <w:t>Daudzi</w:t>
      </w:r>
      <w:r w:rsidR="00955728">
        <w:rPr>
          <w:rFonts w:eastAsia="Times New Roman"/>
          <w:sz w:val="28"/>
        </w:rPr>
        <w:t xml:space="preserve"> aptaujāt</w:t>
      </w:r>
      <w:r w:rsidR="002307F6">
        <w:rPr>
          <w:rFonts w:eastAsia="Times New Roman"/>
          <w:sz w:val="28"/>
        </w:rPr>
        <w:t>ie uzņēmumi</w:t>
      </w:r>
      <w:r w:rsidR="00955728">
        <w:rPr>
          <w:rFonts w:eastAsia="Times New Roman"/>
          <w:sz w:val="28"/>
        </w:rPr>
        <w:t xml:space="preserve"> norādīja, ka </w:t>
      </w:r>
      <w:r w:rsidRPr="004E2816">
        <w:rPr>
          <w:rFonts w:eastAsia="Times New Roman"/>
          <w:sz w:val="28"/>
        </w:rPr>
        <w:t xml:space="preserve">nodarbināto skaits </w:t>
      </w:r>
      <w:r w:rsidR="00955728">
        <w:rPr>
          <w:rFonts w:eastAsia="Times New Roman"/>
          <w:sz w:val="28"/>
        </w:rPr>
        <w:t>netik</w:t>
      </w:r>
      <w:r w:rsidR="002307F6">
        <w:rPr>
          <w:rFonts w:eastAsia="Times New Roman"/>
          <w:sz w:val="28"/>
        </w:rPr>
        <w:t>s</w:t>
      </w:r>
      <w:r w:rsidR="00955728">
        <w:rPr>
          <w:rFonts w:eastAsia="Times New Roman"/>
          <w:sz w:val="28"/>
        </w:rPr>
        <w:t xml:space="preserve"> būtiski palielināts</w:t>
      </w:r>
      <w:r w:rsidR="002307F6">
        <w:rPr>
          <w:rFonts w:eastAsia="Times New Roman"/>
          <w:sz w:val="28"/>
        </w:rPr>
        <w:t>. T</w:t>
      </w:r>
      <w:r w:rsidR="00955728">
        <w:rPr>
          <w:rFonts w:eastAsia="Times New Roman"/>
          <w:sz w:val="28"/>
        </w:rPr>
        <w:t xml:space="preserve">ajā pašā laikā vēl šogad </w:t>
      </w:r>
      <w:r w:rsidRPr="004E2816">
        <w:rPr>
          <w:rFonts w:eastAsia="Times New Roman"/>
          <w:sz w:val="28"/>
        </w:rPr>
        <w:t>uzņēmumi plāno veikt investīcijas uzņēmumu attīstībā. Uzņēmum</w:t>
      </w:r>
      <w:r w:rsidR="00955728">
        <w:rPr>
          <w:rFonts w:eastAsia="Times New Roman"/>
          <w:sz w:val="28"/>
        </w:rPr>
        <w:t>u un nozaru asociāciju vērtējumā ražotāju konkurētspēja 2011.</w:t>
      </w:r>
      <w:r w:rsidRPr="004E2816">
        <w:rPr>
          <w:rFonts w:eastAsia="Times New Roman"/>
          <w:sz w:val="28"/>
        </w:rPr>
        <w:t>gada pēdējos 6 mēnešos, gan iekšzemes tirgū, gan ES valstīs, gan ārpus ES nav mainījusies.</w:t>
      </w:r>
    </w:p>
    <w:p w:rsidR="004E2816" w:rsidRPr="004E2816" w:rsidRDefault="004E2816" w:rsidP="004E2816">
      <w:pPr>
        <w:spacing w:after="20"/>
        <w:ind w:firstLine="426"/>
        <w:jc w:val="both"/>
        <w:rPr>
          <w:rFonts w:eastAsia="Times New Roman"/>
          <w:sz w:val="28"/>
        </w:rPr>
      </w:pPr>
      <w:r w:rsidRPr="004E2816">
        <w:rPr>
          <w:rFonts w:eastAsia="Times New Roman"/>
          <w:sz w:val="28"/>
        </w:rPr>
        <w:t>Aptaujātās asociācijas un uzņēmumi uzskata, ka galvenie ražošanu vai pakalpojumu sniegšanu ierobežojošie faktori veiksmīgai nozares un uzņēmumu attīstībai ir pircēju ierobežotā pirktspēja, augst</w:t>
      </w:r>
      <w:r w:rsidR="00955728">
        <w:rPr>
          <w:rFonts w:eastAsia="Times New Roman"/>
          <w:sz w:val="28"/>
        </w:rPr>
        <w:t xml:space="preserve">ās cenas energoresursiem un </w:t>
      </w:r>
      <w:r w:rsidRPr="004E2816">
        <w:rPr>
          <w:rFonts w:eastAsia="Times New Roman"/>
          <w:sz w:val="28"/>
        </w:rPr>
        <w:t>neskaidrība nodokļu politikā.</w:t>
      </w:r>
    </w:p>
    <w:p w:rsidR="00D84BB5" w:rsidRPr="00AD1713" w:rsidRDefault="00D84BB5" w:rsidP="00946980">
      <w:pPr>
        <w:spacing w:after="40"/>
        <w:ind w:firstLine="425"/>
        <w:jc w:val="both"/>
        <w:rPr>
          <w:rFonts w:eastAsia="Times New Roman"/>
          <w:sz w:val="22"/>
        </w:rPr>
      </w:pPr>
    </w:p>
    <w:p w:rsidR="00946980" w:rsidRPr="006C532B" w:rsidRDefault="00946980" w:rsidP="00946980">
      <w:pPr>
        <w:spacing w:after="40"/>
        <w:ind w:firstLine="425"/>
        <w:jc w:val="both"/>
        <w:rPr>
          <w:rFonts w:eastAsia="Times New Roman"/>
          <w:sz w:val="28"/>
          <w:u w:val="single"/>
        </w:rPr>
      </w:pPr>
      <w:r w:rsidRPr="006C532B">
        <w:rPr>
          <w:rFonts w:eastAsia="Times New Roman"/>
          <w:sz w:val="28"/>
          <w:u w:val="single"/>
        </w:rPr>
        <w:t>Darba tirgus</w:t>
      </w: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 xml:space="preserve">Sagaidāms, ka situācija darba tirgū turpinās </w:t>
      </w:r>
      <w:r w:rsidR="003A0C50">
        <w:rPr>
          <w:rFonts w:eastAsia="Times New Roman"/>
          <w:sz w:val="28"/>
          <w:szCs w:val="28"/>
        </w:rPr>
        <w:t>uzlaboties gan šogad, gan 2012.</w:t>
      </w:r>
      <w:r w:rsidRPr="00E35F6A">
        <w:rPr>
          <w:rFonts w:eastAsia="Times New Roman"/>
          <w:sz w:val="28"/>
          <w:szCs w:val="28"/>
        </w:rPr>
        <w:t>gadā. Kopumā 2011.gadā nodarbināto skaits būs par aptuveni 3% lielāks nekā vidēji 2010.gadā, bet tas joprojām nepārsniegs</w:t>
      </w:r>
      <w:r w:rsidR="003A0C50">
        <w:rPr>
          <w:rFonts w:eastAsia="Times New Roman"/>
          <w:sz w:val="28"/>
          <w:szCs w:val="28"/>
        </w:rPr>
        <w:t xml:space="preserve"> 2009.gada līmeni. 2011.gada 3.</w:t>
      </w:r>
      <w:r w:rsidRPr="00E35F6A">
        <w:rPr>
          <w:rFonts w:eastAsia="Times New Roman"/>
          <w:sz w:val="28"/>
          <w:szCs w:val="28"/>
        </w:rPr>
        <w:t xml:space="preserve">ceturksnī nodarbināto skaits vecuma grupā 15-74 gadi </w:t>
      </w:r>
      <w:r w:rsidR="00454692">
        <w:rPr>
          <w:rFonts w:eastAsia="Times New Roman"/>
          <w:sz w:val="28"/>
          <w:szCs w:val="28"/>
        </w:rPr>
        <w:t xml:space="preserve">var </w:t>
      </w:r>
      <w:r w:rsidRPr="00E35F6A">
        <w:rPr>
          <w:rFonts w:eastAsia="Times New Roman"/>
          <w:sz w:val="28"/>
          <w:szCs w:val="28"/>
        </w:rPr>
        <w:t>palielinā</w:t>
      </w:r>
      <w:r w:rsidR="00454692">
        <w:rPr>
          <w:rFonts w:eastAsia="Times New Roman"/>
          <w:sz w:val="28"/>
          <w:szCs w:val="28"/>
        </w:rPr>
        <w:t xml:space="preserve">ties </w:t>
      </w:r>
      <w:r w:rsidRPr="00E35F6A">
        <w:rPr>
          <w:rFonts w:eastAsia="Times New Roman"/>
          <w:sz w:val="28"/>
          <w:szCs w:val="28"/>
        </w:rPr>
        <w:t xml:space="preserve">par </w:t>
      </w:r>
      <w:r w:rsidR="00454692">
        <w:rPr>
          <w:rFonts w:eastAsia="Times New Roman"/>
          <w:sz w:val="28"/>
          <w:szCs w:val="28"/>
        </w:rPr>
        <w:t xml:space="preserve">vairāk kā </w:t>
      </w:r>
      <w:r w:rsidRPr="00E35F6A">
        <w:rPr>
          <w:rFonts w:eastAsia="Times New Roman"/>
          <w:sz w:val="28"/>
          <w:szCs w:val="28"/>
        </w:rPr>
        <w:t>2,</w:t>
      </w:r>
      <w:r w:rsidR="00454692">
        <w:rPr>
          <w:rFonts w:eastAsia="Times New Roman"/>
          <w:sz w:val="28"/>
          <w:szCs w:val="28"/>
        </w:rPr>
        <w:t>5</w:t>
      </w:r>
      <w:r w:rsidRPr="00E35F6A">
        <w:rPr>
          <w:rFonts w:eastAsia="Times New Roman"/>
          <w:sz w:val="28"/>
          <w:szCs w:val="28"/>
        </w:rPr>
        <w:t xml:space="preserve">%, </w:t>
      </w:r>
      <w:r w:rsidRPr="00E35F6A">
        <w:rPr>
          <w:rFonts w:eastAsia="Times New Roman"/>
          <w:sz w:val="28"/>
          <w:szCs w:val="28"/>
        </w:rPr>
        <w:lastRenderedPageBreak/>
        <w:t>salīdzinot ar iepriekšējā gada atbilstošo periodu</w:t>
      </w:r>
      <w:r w:rsidR="00454692">
        <w:rPr>
          <w:rFonts w:eastAsia="Times New Roman"/>
          <w:sz w:val="28"/>
          <w:szCs w:val="28"/>
        </w:rPr>
        <w:t xml:space="preserve">. Turpretim </w:t>
      </w:r>
      <w:r w:rsidRPr="00E35F6A">
        <w:rPr>
          <w:rFonts w:eastAsia="Times New Roman"/>
          <w:sz w:val="28"/>
          <w:szCs w:val="28"/>
        </w:rPr>
        <w:t>4.ceturksnī, samazinoties sezonas darbiem, nodarbi</w:t>
      </w:r>
      <w:r>
        <w:rPr>
          <w:rFonts w:eastAsia="Times New Roman"/>
          <w:sz w:val="28"/>
          <w:szCs w:val="28"/>
        </w:rPr>
        <w:t xml:space="preserve">nāto skaits </w:t>
      </w:r>
      <w:r w:rsidR="00454692">
        <w:rPr>
          <w:rFonts w:eastAsia="Times New Roman"/>
          <w:sz w:val="28"/>
          <w:szCs w:val="28"/>
        </w:rPr>
        <w:t xml:space="preserve">varētu nedaudz </w:t>
      </w:r>
      <w:r>
        <w:rPr>
          <w:rFonts w:eastAsia="Times New Roman"/>
          <w:sz w:val="28"/>
          <w:szCs w:val="28"/>
        </w:rPr>
        <w:t>samazinā</w:t>
      </w:r>
      <w:r w:rsidR="00454692">
        <w:rPr>
          <w:rFonts w:eastAsia="Times New Roman"/>
          <w:sz w:val="28"/>
          <w:szCs w:val="28"/>
        </w:rPr>
        <w:t>t</w:t>
      </w:r>
      <w:r>
        <w:rPr>
          <w:rFonts w:eastAsia="Times New Roman"/>
          <w:sz w:val="28"/>
          <w:szCs w:val="28"/>
        </w:rPr>
        <w:t>ies.</w:t>
      </w:r>
    </w:p>
    <w:p w:rsidR="00D84BB5"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 xml:space="preserve">Nodarbinātības līmenis (15-74 gadu vecuma grupā) 2011.gadā vidēji varētu veidot 55,2%, kas būs par 2,2 procentpunktiem vairāk nekā 2010.gadā. Savukārt 2012.gadā sagaidāms, ka nodarbinātības līmenis palielināsies līdz 56,5%. Kopumā nodarbinātības pieaugums būs lēnāks nekā ekonomikas izaugsme, </w:t>
      </w:r>
      <w:r w:rsidR="00454692">
        <w:rPr>
          <w:rFonts w:eastAsia="Times New Roman"/>
          <w:sz w:val="28"/>
          <w:szCs w:val="28"/>
        </w:rPr>
        <w:t>jo</w:t>
      </w:r>
      <w:r w:rsidRPr="00E35F6A">
        <w:rPr>
          <w:rFonts w:eastAsia="Times New Roman"/>
          <w:sz w:val="28"/>
          <w:szCs w:val="28"/>
        </w:rPr>
        <w:t xml:space="preserve"> izlaide balstīsies arī uz produktivitātes kāpumu.</w:t>
      </w:r>
    </w:p>
    <w:p w:rsidR="00582610" w:rsidRPr="00582610" w:rsidRDefault="00582610" w:rsidP="00D84BB5">
      <w:pPr>
        <w:pStyle w:val="BodyTextIndent3"/>
        <w:spacing w:after="0"/>
        <w:ind w:left="0" w:firstLine="567"/>
        <w:jc w:val="both"/>
        <w:rPr>
          <w:rFonts w:eastAsia="Times New Roman"/>
          <w:sz w:val="8"/>
          <w:szCs w:val="8"/>
        </w:rPr>
      </w:pPr>
    </w:p>
    <w:p w:rsidR="000C7838" w:rsidRDefault="000C7838" w:rsidP="00946980">
      <w:pPr>
        <w:spacing w:after="60"/>
        <w:ind w:right="284"/>
        <w:rPr>
          <w:sz w:val="2"/>
          <w:szCs w:val="16"/>
        </w:rPr>
      </w:pPr>
    </w:p>
    <w:p w:rsidR="00946980" w:rsidRDefault="00946980" w:rsidP="000C7838">
      <w:pPr>
        <w:spacing w:before="60" w:after="100"/>
        <w:ind w:right="284"/>
        <w:rPr>
          <w:rStyle w:val="Heading2Char"/>
        </w:rPr>
      </w:pPr>
      <w:bookmarkStart w:id="429" w:name="_Toc305421468"/>
      <w:r w:rsidRPr="000C7838">
        <w:rPr>
          <w:rStyle w:val="Heading2Char"/>
          <w:b w:val="0"/>
        </w:rPr>
        <w:t>8.3.attēls.</w:t>
      </w:r>
      <w:r w:rsidRPr="00850001">
        <w:rPr>
          <w:rStyle w:val="Heading2Char"/>
        </w:rPr>
        <w:t xml:space="preserve"> </w:t>
      </w:r>
      <w:r>
        <w:rPr>
          <w:rStyle w:val="Heading2Char"/>
        </w:rPr>
        <w:t>Darba tirgus attīstības tendences</w:t>
      </w:r>
      <w:bookmarkEnd w:id="429"/>
    </w:p>
    <w:p w:rsidR="003A0C50" w:rsidRPr="003A0C50" w:rsidRDefault="003A0C50" w:rsidP="000C7838">
      <w:pPr>
        <w:spacing w:before="60" w:after="100"/>
        <w:ind w:right="284"/>
        <w:rPr>
          <w:rStyle w:val="Heading2Char"/>
          <w:sz w:val="8"/>
          <w:szCs w:val="8"/>
        </w:rPr>
      </w:pPr>
    </w:p>
    <w:tbl>
      <w:tblPr>
        <w:tblStyle w:val="LightShading-Accent2"/>
        <w:tblW w:w="9172" w:type="dxa"/>
        <w:jc w:val="center"/>
        <w:tblLayout w:type="fixed"/>
        <w:tblLook w:val="0400"/>
      </w:tblPr>
      <w:tblGrid>
        <w:gridCol w:w="4586"/>
        <w:gridCol w:w="4586"/>
      </w:tblGrid>
      <w:tr w:rsidR="00E832EA" w:rsidRPr="00E832EA" w:rsidTr="00952121">
        <w:trPr>
          <w:cnfStyle w:val="000000100000"/>
          <w:jc w:val="center"/>
        </w:trPr>
        <w:tc>
          <w:tcPr>
            <w:tcW w:w="4586" w:type="dxa"/>
            <w:tcBorders>
              <w:top w:val="single" w:sz="4" w:space="0" w:color="FF0000"/>
              <w:bottom w:val="single" w:sz="4" w:space="0" w:color="FF0000"/>
            </w:tcBorders>
            <w:shd w:val="clear" w:color="auto" w:fill="auto"/>
          </w:tcPr>
          <w:p w:rsidR="00E832EA" w:rsidRPr="00E832EA" w:rsidRDefault="00E832EA" w:rsidP="00C06ED3">
            <w:pPr>
              <w:tabs>
                <w:tab w:val="center" w:pos="2409"/>
              </w:tabs>
              <w:jc w:val="center"/>
              <w:rPr>
                <w:sz w:val="20"/>
                <w:szCs w:val="20"/>
                <w:lang w:eastAsia="lv-LV"/>
              </w:rPr>
            </w:pPr>
            <w:r w:rsidRPr="00E832EA">
              <w:rPr>
                <w:bCs/>
                <w:color w:val="000000"/>
                <w:sz w:val="20"/>
                <w:szCs w:val="20"/>
              </w:rPr>
              <w:t>Nodarbināto un ekonomiski aktīvo iedzīvotāju skaits (vecuma grupā 15-74 gadi, tūkst. cilvēku)</w:t>
            </w:r>
          </w:p>
        </w:tc>
        <w:tc>
          <w:tcPr>
            <w:tcW w:w="4586" w:type="dxa"/>
            <w:tcBorders>
              <w:top w:val="single" w:sz="4" w:space="0" w:color="FF0000"/>
              <w:bottom w:val="single" w:sz="4" w:space="0" w:color="FF0000"/>
            </w:tcBorders>
            <w:shd w:val="clear" w:color="auto" w:fill="auto"/>
          </w:tcPr>
          <w:p w:rsidR="00C06ED3" w:rsidRDefault="00E832EA" w:rsidP="00C06ED3">
            <w:pPr>
              <w:tabs>
                <w:tab w:val="center" w:pos="2415"/>
              </w:tabs>
              <w:jc w:val="center"/>
              <w:rPr>
                <w:bCs/>
                <w:color w:val="000000"/>
                <w:sz w:val="20"/>
                <w:szCs w:val="20"/>
              </w:rPr>
            </w:pPr>
            <w:r w:rsidRPr="00E832EA">
              <w:rPr>
                <w:bCs/>
                <w:color w:val="000000"/>
                <w:sz w:val="20"/>
                <w:szCs w:val="20"/>
              </w:rPr>
              <w:t xml:space="preserve">Bezdarba un nodarbinātības līmenis </w:t>
            </w:r>
          </w:p>
          <w:p w:rsidR="00E832EA" w:rsidRPr="00E832EA" w:rsidRDefault="00E832EA" w:rsidP="00C06ED3">
            <w:pPr>
              <w:tabs>
                <w:tab w:val="center" w:pos="2415"/>
              </w:tabs>
              <w:jc w:val="center"/>
              <w:rPr>
                <w:sz w:val="20"/>
                <w:szCs w:val="20"/>
                <w:lang w:eastAsia="lv-LV"/>
              </w:rPr>
            </w:pPr>
            <w:r w:rsidRPr="00E832EA">
              <w:rPr>
                <w:bCs/>
                <w:color w:val="000000"/>
                <w:sz w:val="20"/>
                <w:szCs w:val="20"/>
              </w:rPr>
              <w:t>(vecuma grupā 15-74 gadi, procentos)</w:t>
            </w:r>
          </w:p>
        </w:tc>
      </w:tr>
      <w:tr w:rsidR="00E832EA" w:rsidRPr="00E832EA" w:rsidTr="00952121">
        <w:trPr>
          <w:trHeight w:val="2818"/>
          <w:jc w:val="center"/>
        </w:trPr>
        <w:tc>
          <w:tcPr>
            <w:tcW w:w="4586" w:type="dxa"/>
            <w:tcBorders>
              <w:top w:val="single" w:sz="4" w:space="0" w:color="FF0000"/>
              <w:bottom w:val="single" w:sz="4" w:space="0" w:color="FF0000"/>
            </w:tcBorders>
          </w:tcPr>
          <w:p w:rsidR="00E832EA" w:rsidRPr="00E832EA" w:rsidRDefault="00E832EA" w:rsidP="00E832EA">
            <w:pPr>
              <w:spacing w:before="40" w:after="40"/>
              <w:ind w:left="-79" w:right="-136"/>
              <w:rPr>
                <w:sz w:val="20"/>
                <w:szCs w:val="20"/>
              </w:rPr>
            </w:pPr>
            <w:r w:rsidRPr="00E832EA">
              <w:rPr>
                <w:noProof/>
                <w:sz w:val="20"/>
                <w:szCs w:val="20"/>
                <w:lang w:eastAsia="lv-LV"/>
              </w:rPr>
              <w:drawing>
                <wp:inline distT="0" distB="0" distL="0" distR="0">
                  <wp:extent cx="2841193" cy="2040941"/>
                  <wp:effectExtent l="19050" t="0" r="0" b="0"/>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4586" w:type="dxa"/>
            <w:tcBorders>
              <w:top w:val="single" w:sz="4" w:space="0" w:color="FF0000"/>
              <w:bottom w:val="single" w:sz="4" w:space="0" w:color="FF0000"/>
            </w:tcBorders>
          </w:tcPr>
          <w:p w:rsidR="00E832EA" w:rsidRPr="00E832EA" w:rsidRDefault="00E832EA" w:rsidP="00E832EA">
            <w:pPr>
              <w:spacing w:before="40" w:after="40"/>
              <w:rPr>
                <w:sz w:val="20"/>
                <w:szCs w:val="20"/>
              </w:rPr>
            </w:pPr>
            <w:r w:rsidRPr="00E832EA">
              <w:rPr>
                <w:noProof/>
                <w:sz w:val="20"/>
                <w:szCs w:val="20"/>
                <w:lang w:eastAsia="lv-LV"/>
              </w:rPr>
              <w:drawing>
                <wp:inline distT="0" distB="0" distL="0" distR="0">
                  <wp:extent cx="2841193" cy="1989734"/>
                  <wp:effectExtent l="19050" t="0" r="0" b="0"/>
                  <wp:docPr id="7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rsidR="00946980" w:rsidRPr="00811252" w:rsidRDefault="00946980" w:rsidP="00946980">
      <w:pPr>
        <w:pStyle w:val="BodyTextIndent3"/>
        <w:suppressAutoHyphens/>
        <w:spacing w:before="60"/>
        <w:ind w:firstLine="284"/>
        <w:rPr>
          <w:rFonts w:eastAsia="Times New Roman"/>
          <w:sz w:val="20"/>
          <w:szCs w:val="28"/>
        </w:rPr>
      </w:pPr>
      <w:r w:rsidRPr="00811252">
        <w:rPr>
          <w:rFonts w:eastAsia="Times New Roman"/>
          <w:sz w:val="20"/>
          <w:szCs w:val="28"/>
        </w:rPr>
        <w:t>*līdz 201</w:t>
      </w:r>
      <w:r w:rsidR="00E832EA">
        <w:rPr>
          <w:rFonts w:eastAsia="Times New Roman"/>
          <w:sz w:val="20"/>
          <w:szCs w:val="28"/>
        </w:rPr>
        <w:t>1</w:t>
      </w:r>
      <w:r>
        <w:rPr>
          <w:rFonts w:eastAsia="Times New Roman"/>
          <w:sz w:val="20"/>
          <w:szCs w:val="28"/>
        </w:rPr>
        <w:t>.gad</w:t>
      </w:r>
      <w:r w:rsidRPr="00811252">
        <w:rPr>
          <w:rFonts w:eastAsia="Times New Roman"/>
          <w:sz w:val="20"/>
          <w:szCs w:val="28"/>
        </w:rPr>
        <w:t>a 1.cet. atspoguļoti faktiskie dati</w:t>
      </w:r>
    </w:p>
    <w:bookmarkEnd w:id="425"/>
    <w:p w:rsidR="00D84BB5" w:rsidRPr="00D84BB5" w:rsidRDefault="00D84BB5" w:rsidP="00D84BB5">
      <w:pPr>
        <w:pStyle w:val="BodyTextIndent3"/>
        <w:spacing w:after="0"/>
        <w:ind w:left="0" w:firstLine="567"/>
        <w:jc w:val="both"/>
        <w:rPr>
          <w:rFonts w:eastAsia="Times New Roman"/>
          <w:sz w:val="14"/>
          <w:szCs w:val="28"/>
        </w:rPr>
      </w:pP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 xml:space="preserve">Līdz ar nodarbinātības pieaugumu, nākamos periodos turpinās samazināties arī bezdarbs. Sagaidāms, ka bezdarba līmenis 2011.gadā, salīdzinot ar 2010.gadu, varētu samazināties par aptuveni 3 procentpunktiem un veidos 15,7%. 2012.gadā bezdarba līmenis turpinās samazināties un būs 13-14% robežās. </w:t>
      </w: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 xml:space="preserve">2010.gadā straujākā izaugsme bija vērojama apstrādes rūpniecībā, transporta un uzglabāšanas nozarē, elektroenerģijas, gāzes un ūdens apgādes nozarēs, kā arī primārās nozarēs. Tomēr kopumā nozaru izaugsme vairāk bija balstīta uz produktivitātes pieaugumu, tādēļ pozitīvais efekts uz nodarbinātību bija salīdzinoši neliels. </w:t>
      </w: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Šogad un nākamgad situācija nedaudz mainīsies, ņemot vērā relatīvi zemās darbaspēka izmaksas</w:t>
      </w:r>
      <w:r w:rsidR="003A0C50">
        <w:rPr>
          <w:rFonts w:eastAsia="Times New Roman"/>
          <w:sz w:val="28"/>
          <w:szCs w:val="28"/>
        </w:rPr>
        <w:t xml:space="preserve"> –</w:t>
      </w:r>
      <w:r w:rsidRPr="00E35F6A">
        <w:rPr>
          <w:rFonts w:eastAsia="Times New Roman"/>
          <w:sz w:val="28"/>
          <w:szCs w:val="28"/>
        </w:rPr>
        <w:t xml:space="preserve"> izaugsme balstīsies vienlīdz vienādi gan uz produktivitāti, gan nodarbinātību, kā rezultātā pozitīvas izmaiņas būs vairāk jūtamas arī darba tirgū. </w:t>
      </w: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 xml:space="preserve">Lai gan apstrādes rūpniecībā arī 2011.gadā ir vērojama strauja izaugsme, tomēr kopumā tā joprojām balstīsies uz produktivitātes pieaugumu, tāpēc nodarbinātības pieaugums nozarē būs </w:t>
      </w:r>
      <w:r w:rsidR="00454692">
        <w:rPr>
          <w:rFonts w:eastAsia="Times New Roman"/>
          <w:sz w:val="28"/>
          <w:szCs w:val="28"/>
        </w:rPr>
        <w:t xml:space="preserve">salīdzinoši </w:t>
      </w:r>
      <w:r w:rsidRPr="00E35F6A">
        <w:rPr>
          <w:rFonts w:eastAsia="Times New Roman"/>
          <w:sz w:val="28"/>
          <w:szCs w:val="28"/>
        </w:rPr>
        <w:t>neliels (aptuveni 3</w:t>
      </w:r>
      <w:r w:rsidR="00454692">
        <w:rPr>
          <w:rFonts w:eastAsia="Times New Roman"/>
          <w:sz w:val="28"/>
          <w:szCs w:val="28"/>
        </w:rPr>
        <w:t>%). 2012.</w:t>
      </w:r>
      <w:r w:rsidRPr="00E35F6A">
        <w:rPr>
          <w:rFonts w:eastAsia="Times New Roman"/>
          <w:sz w:val="28"/>
          <w:szCs w:val="28"/>
        </w:rPr>
        <w:t>gadā nodarbinātības pieaugums nozarē veidos aptuveni 1/3 no izaugsmes un būs 1,2</w:t>
      </w:r>
      <w:r>
        <w:rPr>
          <w:rFonts w:eastAsia="Times New Roman"/>
          <w:sz w:val="28"/>
          <w:szCs w:val="28"/>
        </w:rPr>
        <w:t xml:space="preserve"> procenti</w:t>
      </w:r>
      <w:r w:rsidRPr="00E35F6A">
        <w:rPr>
          <w:rFonts w:eastAsia="Times New Roman"/>
          <w:sz w:val="28"/>
          <w:szCs w:val="28"/>
        </w:rPr>
        <w:t xml:space="preserve">. </w:t>
      </w:r>
    </w:p>
    <w:p w:rsidR="00D84BB5" w:rsidRPr="00E35F6A"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Paredzams, ka arī būvniecībā šogad un nākamgad situācija pakāpeniski uzlabosies, tomēr nodarbināto skaits nozarē joprojām būs būtiski zemāks kā 2009.gadā.</w:t>
      </w:r>
    </w:p>
    <w:p w:rsidR="00D84BB5" w:rsidRDefault="00D84BB5" w:rsidP="00582610">
      <w:pPr>
        <w:pStyle w:val="BodyTextIndent3"/>
        <w:spacing w:after="0"/>
        <w:ind w:left="0" w:firstLine="426"/>
        <w:jc w:val="both"/>
        <w:rPr>
          <w:rFonts w:eastAsia="Times New Roman"/>
          <w:sz w:val="28"/>
          <w:szCs w:val="28"/>
        </w:rPr>
      </w:pPr>
      <w:r w:rsidRPr="00E35F6A">
        <w:rPr>
          <w:rFonts w:eastAsia="Times New Roman"/>
          <w:sz w:val="28"/>
          <w:szCs w:val="28"/>
        </w:rPr>
        <w:t>Arī publisko pakalpojumu sektorā 2011. gadā būs vērojams neliels nodarbināto skaita pieaugums, tomēr jau 2012. gadā nodarbinātība sektorā atkal samazināsies un šī tendence visticamāk</w:t>
      </w:r>
      <w:r>
        <w:rPr>
          <w:rFonts w:eastAsia="Times New Roman"/>
          <w:sz w:val="28"/>
          <w:szCs w:val="28"/>
        </w:rPr>
        <w:t xml:space="preserve"> saglabāsies arī nākamos gados.</w:t>
      </w:r>
    </w:p>
    <w:p w:rsidR="006C532B" w:rsidRPr="005D5DF1" w:rsidRDefault="006C532B" w:rsidP="000C7838">
      <w:pPr>
        <w:spacing w:after="120"/>
        <w:ind w:firstLine="425"/>
        <w:jc w:val="both"/>
        <w:rPr>
          <w:rFonts w:eastAsia="Times New Roman"/>
          <w:sz w:val="28"/>
          <w:u w:val="single"/>
        </w:rPr>
      </w:pPr>
      <w:r w:rsidRPr="005D5DF1">
        <w:rPr>
          <w:rFonts w:eastAsia="Times New Roman"/>
          <w:sz w:val="28"/>
          <w:u w:val="single"/>
        </w:rPr>
        <w:lastRenderedPageBreak/>
        <w:t>Cenas</w:t>
      </w:r>
    </w:p>
    <w:p w:rsidR="00A7198B" w:rsidRDefault="00D84BB5" w:rsidP="00454692">
      <w:pPr>
        <w:ind w:firstLine="284"/>
        <w:jc w:val="both"/>
        <w:rPr>
          <w:sz w:val="28"/>
        </w:rPr>
      </w:pPr>
      <w:r w:rsidRPr="00D84BB5">
        <w:rPr>
          <w:sz w:val="28"/>
        </w:rPr>
        <w:t>Sagaidāms, ka turpmākos gada mēnešos cenu izmaiņas būs tuvas sezonālām svārstībām</w:t>
      </w:r>
      <w:r w:rsidR="002307F6">
        <w:rPr>
          <w:sz w:val="28"/>
        </w:rPr>
        <w:t>. T</w:t>
      </w:r>
      <w:r w:rsidR="005611C9">
        <w:rPr>
          <w:sz w:val="28"/>
        </w:rPr>
        <w:t xml:space="preserve">omēr </w:t>
      </w:r>
      <w:r w:rsidRPr="00D84BB5">
        <w:rPr>
          <w:sz w:val="28"/>
        </w:rPr>
        <w:t>salīdzinājumā ar iepriekšējo gadu pieaugums var būt nedaudz straujāks pakalpojumu cenu kāpuma dēļ.</w:t>
      </w:r>
      <w:r w:rsidR="005611C9">
        <w:rPr>
          <w:sz w:val="28"/>
        </w:rPr>
        <w:t xml:space="preserve"> Paredzams</w:t>
      </w:r>
      <w:r w:rsidRPr="00D84BB5">
        <w:rPr>
          <w:sz w:val="28"/>
        </w:rPr>
        <w:t>, ka pārtikas cenas, kas bija viens no galvenajiem šī gada sākuma inflācijas cēloņiem,</w:t>
      </w:r>
      <w:r w:rsidR="00AD1713">
        <w:rPr>
          <w:sz w:val="28"/>
        </w:rPr>
        <w:t xml:space="preserve"> </w:t>
      </w:r>
      <w:r w:rsidRPr="00D84BB5">
        <w:rPr>
          <w:sz w:val="28"/>
        </w:rPr>
        <w:t>vairs būtiski nepalielināsies, jo pārtikas pasaules cenas vairs nepieaug. Ņemot vērā bažas par globālās ekonomikas attīstības</w:t>
      </w:r>
      <w:r w:rsidR="001A5EAD">
        <w:rPr>
          <w:sz w:val="28"/>
        </w:rPr>
        <w:t xml:space="preserve"> </w:t>
      </w:r>
      <w:r w:rsidRPr="00D84BB5">
        <w:rPr>
          <w:sz w:val="28"/>
        </w:rPr>
        <w:t xml:space="preserve">perspektīvām, arī naftas produktu cenu kāpums piebremzēsies. </w:t>
      </w:r>
    </w:p>
    <w:p w:rsidR="00D84BB5" w:rsidRPr="00D84BB5" w:rsidRDefault="00A7198B" w:rsidP="00454692">
      <w:pPr>
        <w:ind w:firstLine="284"/>
        <w:jc w:val="both"/>
        <w:rPr>
          <w:sz w:val="28"/>
        </w:rPr>
      </w:pPr>
      <w:r w:rsidRPr="00D84BB5">
        <w:rPr>
          <w:sz w:val="28"/>
        </w:rPr>
        <w:t>Šāda cenu dinamika kopējo cenu līmeni 2011.gadā var palielināt par 4,5% salīdzinājumā ar iepriekšējo gadu</w:t>
      </w:r>
    </w:p>
    <w:p w:rsidR="00D81859" w:rsidRPr="005D5DF1" w:rsidRDefault="00D81859" w:rsidP="00337034">
      <w:pPr>
        <w:spacing w:after="40"/>
        <w:ind w:firstLine="425"/>
        <w:jc w:val="both"/>
        <w:rPr>
          <w:b/>
          <w:sz w:val="6"/>
          <w:szCs w:val="6"/>
        </w:rPr>
      </w:pPr>
    </w:p>
    <w:p w:rsidR="00445834" w:rsidRDefault="003F5625" w:rsidP="00337034">
      <w:pPr>
        <w:spacing w:after="40"/>
        <w:ind w:firstLine="425"/>
        <w:jc w:val="both"/>
        <w:rPr>
          <w:rStyle w:val="Heading2Char"/>
          <w:rFonts w:cs="Times New Roman"/>
        </w:rPr>
      </w:pPr>
      <w:bookmarkStart w:id="430" w:name="_Toc305421469"/>
      <w:r w:rsidRPr="005D5DF1">
        <w:rPr>
          <w:rStyle w:val="Heading2Char"/>
          <w:rFonts w:cs="Times New Roman"/>
          <w:b w:val="0"/>
        </w:rPr>
        <w:t>8</w:t>
      </w:r>
      <w:r w:rsidR="00445834" w:rsidRPr="005D5DF1">
        <w:rPr>
          <w:rStyle w:val="Heading2Char"/>
          <w:rFonts w:cs="Times New Roman"/>
          <w:b w:val="0"/>
        </w:rPr>
        <w:t>.</w:t>
      </w:r>
      <w:r w:rsidR="00B77AB5" w:rsidRPr="005D5DF1">
        <w:rPr>
          <w:rStyle w:val="Heading2Char"/>
          <w:rFonts w:cs="Times New Roman"/>
          <w:b w:val="0"/>
        </w:rPr>
        <w:t>4</w:t>
      </w:r>
      <w:r w:rsidR="00445834" w:rsidRPr="005D5DF1">
        <w:rPr>
          <w:rStyle w:val="Heading2Char"/>
          <w:rFonts w:cs="Times New Roman"/>
          <w:b w:val="0"/>
        </w:rPr>
        <w:t>.attēls.</w:t>
      </w:r>
      <w:r w:rsidR="00445834" w:rsidRPr="005D5DF1">
        <w:rPr>
          <w:rStyle w:val="Heading2Char"/>
          <w:rFonts w:cs="Times New Roman"/>
        </w:rPr>
        <w:t xml:space="preserve"> </w:t>
      </w:r>
      <w:r w:rsidR="00E701AA">
        <w:rPr>
          <w:rStyle w:val="Heading2Char"/>
          <w:rFonts w:cs="Times New Roman"/>
        </w:rPr>
        <w:t>Patēriņa cenu tendences</w:t>
      </w:r>
      <w:bookmarkEnd w:id="430"/>
    </w:p>
    <w:p w:rsidR="00A7198B" w:rsidRDefault="00A7198B" w:rsidP="00A7198B">
      <w:pPr>
        <w:rPr>
          <w:rStyle w:val="Heading2Char"/>
          <w:rFonts w:cs="Times New Roman"/>
          <w:sz w:val="6"/>
          <w:szCs w:val="6"/>
        </w:rPr>
      </w:pPr>
    </w:p>
    <w:p w:rsidR="00A7198B" w:rsidRPr="00A7198B" w:rsidRDefault="00A7198B" w:rsidP="00A7198B">
      <w:pPr>
        <w:rPr>
          <w:rStyle w:val="Heading2Char"/>
          <w:rFonts w:cs="Times New Roman"/>
          <w:sz w:val="6"/>
          <w:szCs w:val="6"/>
        </w:rPr>
      </w:pPr>
    </w:p>
    <w:tbl>
      <w:tblPr>
        <w:tblStyle w:val="TableGrid"/>
        <w:tblW w:w="0" w:type="auto"/>
        <w:tblBorders>
          <w:top w:val="none" w:sz="0" w:space="0" w:color="auto"/>
          <w:left w:val="none" w:sz="0" w:space="0" w:color="auto"/>
          <w:bottom w:val="single" w:sz="4" w:space="0" w:color="FF0000"/>
          <w:right w:val="none" w:sz="0" w:space="0" w:color="auto"/>
          <w:insideH w:val="none" w:sz="0" w:space="0" w:color="auto"/>
          <w:insideV w:val="none" w:sz="0" w:space="0" w:color="auto"/>
        </w:tblBorders>
        <w:tblLook w:val="04A0"/>
      </w:tblPr>
      <w:tblGrid>
        <w:gridCol w:w="9855"/>
      </w:tblGrid>
      <w:tr w:rsidR="00CE2F80" w:rsidRPr="005D5DF1" w:rsidTr="00952121">
        <w:tc>
          <w:tcPr>
            <w:tcW w:w="0" w:type="auto"/>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9"/>
              <w:gridCol w:w="4630"/>
            </w:tblGrid>
            <w:tr w:rsidR="00CE2F80" w:rsidRPr="005D5DF1" w:rsidTr="00E701AA">
              <w:trPr>
                <w:jc w:val="center"/>
              </w:trPr>
              <w:tc>
                <w:tcPr>
                  <w:tcW w:w="2608" w:type="pct"/>
                  <w:tcBorders>
                    <w:top w:val="single" w:sz="4" w:space="0" w:color="FF0000"/>
                    <w:bottom w:val="single" w:sz="4" w:space="0" w:color="FF0000"/>
                  </w:tcBorders>
                </w:tcPr>
                <w:p w:rsidR="00E701AA" w:rsidRPr="00E701AA" w:rsidRDefault="00E701AA" w:rsidP="00E701AA">
                  <w:pPr>
                    <w:tabs>
                      <w:tab w:val="left" w:pos="4881"/>
                    </w:tabs>
                    <w:spacing w:before="60"/>
                    <w:ind w:firstLine="425"/>
                    <w:jc w:val="both"/>
                    <w:rPr>
                      <w:b/>
                    </w:rPr>
                  </w:pPr>
                  <w:r w:rsidRPr="00E701AA">
                    <w:rPr>
                      <w:b/>
                    </w:rPr>
                    <w:t>12 mēnešu inflācija</w:t>
                  </w:r>
                </w:p>
                <w:p w:rsidR="00CE2F80" w:rsidRPr="005D5DF1" w:rsidRDefault="00CE2F80" w:rsidP="00E701AA">
                  <w:pPr>
                    <w:tabs>
                      <w:tab w:val="left" w:pos="4881"/>
                    </w:tabs>
                    <w:spacing w:after="40"/>
                    <w:ind w:firstLine="425"/>
                    <w:jc w:val="both"/>
                    <w:rPr>
                      <w:sz w:val="22"/>
                    </w:rPr>
                  </w:pPr>
                  <w:r w:rsidRPr="005D5DF1">
                    <w:rPr>
                      <w:sz w:val="22"/>
                    </w:rPr>
                    <w:t>iepriekšējā gada decembris = 100</w:t>
                  </w:r>
                </w:p>
              </w:tc>
              <w:tc>
                <w:tcPr>
                  <w:tcW w:w="2392" w:type="pct"/>
                  <w:tcBorders>
                    <w:top w:val="single" w:sz="4" w:space="0" w:color="FF0000"/>
                    <w:bottom w:val="single" w:sz="4" w:space="0" w:color="FF0000"/>
                  </w:tcBorders>
                </w:tcPr>
                <w:p w:rsidR="00E701AA" w:rsidRPr="00E701AA" w:rsidRDefault="00E701AA" w:rsidP="00E701AA">
                  <w:pPr>
                    <w:tabs>
                      <w:tab w:val="left" w:pos="4881"/>
                    </w:tabs>
                    <w:spacing w:before="60"/>
                    <w:ind w:firstLine="425"/>
                    <w:jc w:val="both"/>
                    <w:rPr>
                      <w:b/>
                    </w:rPr>
                  </w:pPr>
                  <w:r w:rsidRPr="00E701AA">
                    <w:rPr>
                      <w:b/>
                    </w:rPr>
                    <w:t>12 mēnešu inflācija</w:t>
                  </w:r>
                </w:p>
                <w:p w:rsidR="00CE2F80" w:rsidRPr="005D5DF1" w:rsidRDefault="00CE2F80" w:rsidP="00E701AA">
                  <w:pPr>
                    <w:spacing w:after="40"/>
                    <w:ind w:firstLine="425"/>
                    <w:jc w:val="both"/>
                    <w:rPr>
                      <w:sz w:val="22"/>
                    </w:rPr>
                  </w:pPr>
                  <w:r w:rsidRPr="005D5DF1">
                    <w:rPr>
                      <w:bCs/>
                      <w:sz w:val="22"/>
                    </w:rPr>
                    <w:t>% pret iepriekšējā gada attiecīgo mēnesi</w:t>
                  </w:r>
                </w:p>
              </w:tc>
            </w:tr>
            <w:tr w:rsidR="00CE2F80" w:rsidRPr="005D5DF1" w:rsidTr="00E701AA">
              <w:trPr>
                <w:trHeight w:val="2786"/>
                <w:jc w:val="center"/>
              </w:trPr>
              <w:tc>
                <w:tcPr>
                  <w:tcW w:w="2608" w:type="pct"/>
                  <w:tcBorders>
                    <w:top w:val="single" w:sz="4" w:space="0" w:color="FF0000"/>
                  </w:tcBorders>
                </w:tcPr>
                <w:p w:rsidR="00CE2F80" w:rsidRPr="005D5DF1" w:rsidRDefault="00CE2F80" w:rsidP="00922384">
                  <w:pPr>
                    <w:tabs>
                      <w:tab w:val="left" w:pos="4881"/>
                    </w:tabs>
                    <w:spacing w:after="40"/>
                    <w:ind w:firstLine="34"/>
                    <w:jc w:val="both"/>
                    <w:rPr>
                      <w:sz w:val="22"/>
                    </w:rPr>
                  </w:pPr>
                  <w:r w:rsidRPr="005D5DF1">
                    <w:rPr>
                      <w:noProof/>
                      <w:sz w:val="22"/>
                    </w:rPr>
                    <w:drawing>
                      <wp:inline distT="0" distB="0" distL="0" distR="0">
                        <wp:extent cx="3120965" cy="2199736"/>
                        <wp:effectExtent l="19050" t="0" r="0" b="0"/>
                        <wp:docPr id="38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2392" w:type="pct"/>
                  <w:tcBorders>
                    <w:top w:val="single" w:sz="4" w:space="0" w:color="FF0000"/>
                  </w:tcBorders>
                </w:tcPr>
                <w:p w:rsidR="00CE2F80" w:rsidRPr="005D5DF1" w:rsidRDefault="00CE2F80" w:rsidP="00922384">
                  <w:pPr>
                    <w:tabs>
                      <w:tab w:val="left" w:pos="4881"/>
                    </w:tabs>
                    <w:spacing w:after="40"/>
                    <w:jc w:val="both"/>
                    <w:rPr>
                      <w:sz w:val="22"/>
                    </w:rPr>
                  </w:pPr>
                  <w:r w:rsidRPr="005D5DF1">
                    <w:rPr>
                      <w:noProof/>
                      <w:sz w:val="22"/>
                    </w:rPr>
                    <w:drawing>
                      <wp:inline distT="0" distB="0" distL="0" distR="0">
                        <wp:extent cx="2872596" cy="2199736"/>
                        <wp:effectExtent l="19050" t="0" r="0" b="0"/>
                        <wp:docPr id="3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rsidR="00CE2F80" w:rsidRPr="005D5DF1" w:rsidRDefault="00CE2F80" w:rsidP="00337034">
            <w:pPr>
              <w:spacing w:after="40"/>
              <w:ind w:firstLine="425"/>
              <w:jc w:val="both"/>
            </w:pPr>
          </w:p>
        </w:tc>
      </w:tr>
    </w:tbl>
    <w:p w:rsidR="000C7838" w:rsidRPr="00454692" w:rsidRDefault="000C7838" w:rsidP="00E470DF">
      <w:pPr>
        <w:ind w:firstLine="284"/>
        <w:jc w:val="both"/>
        <w:rPr>
          <w:sz w:val="18"/>
        </w:rPr>
      </w:pPr>
    </w:p>
    <w:p w:rsidR="00A7198B" w:rsidRDefault="00D84BB5" w:rsidP="00454692">
      <w:pPr>
        <w:spacing w:after="80"/>
        <w:ind w:firstLine="284"/>
        <w:jc w:val="both"/>
        <w:rPr>
          <w:sz w:val="28"/>
        </w:rPr>
      </w:pPr>
      <w:r>
        <w:rPr>
          <w:sz w:val="28"/>
        </w:rPr>
        <w:t>201</w:t>
      </w:r>
      <w:r w:rsidR="00A7198B">
        <w:rPr>
          <w:sz w:val="28"/>
        </w:rPr>
        <w:t xml:space="preserve">2.gadā </w:t>
      </w:r>
      <w:r w:rsidR="00D20CAC">
        <w:rPr>
          <w:sz w:val="28"/>
        </w:rPr>
        <w:t xml:space="preserve">vairāku faktoru, kas noteica cenu pieaugumu šogad, ietekme uz </w:t>
      </w:r>
      <w:r w:rsidR="00A7198B">
        <w:rPr>
          <w:sz w:val="28"/>
        </w:rPr>
        <w:t>patēriņa cen</w:t>
      </w:r>
      <w:r w:rsidR="00454692">
        <w:rPr>
          <w:sz w:val="28"/>
        </w:rPr>
        <w:t>ām mazinās</w:t>
      </w:r>
      <w:r w:rsidR="00D20CAC">
        <w:rPr>
          <w:sz w:val="28"/>
        </w:rPr>
        <w:t>ies</w:t>
      </w:r>
      <w:r w:rsidR="00454692">
        <w:rPr>
          <w:sz w:val="28"/>
        </w:rPr>
        <w:t>. 2012.gadā netiek plānotas patēriņa</w:t>
      </w:r>
      <w:r w:rsidR="00A7198B">
        <w:rPr>
          <w:sz w:val="28"/>
        </w:rPr>
        <w:t xml:space="preserve"> nodokļu izmaiņas,</w:t>
      </w:r>
      <w:r w:rsidR="00454692">
        <w:rPr>
          <w:sz w:val="28"/>
        </w:rPr>
        <w:t xml:space="preserve"> mazāka ietekme uz inflāciju būs arī </w:t>
      </w:r>
      <w:r w:rsidR="00A7198B">
        <w:rPr>
          <w:sz w:val="28"/>
        </w:rPr>
        <w:t>administratīvi regulējamā</w:t>
      </w:r>
      <w:r w:rsidR="00454692">
        <w:rPr>
          <w:sz w:val="28"/>
        </w:rPr>
        <w:t>m</w:t>
      </w:r>
      <w:r w:rsidR="00A7198B">
        <w:rPr>
          <w:sz w:val="28"/>
        </w:rPr>
        <w:t xml:space="preserve"> cen</w:t>
      </w:r>
      <w:r w:rsidR="00454692">
        <w:rPr>
          <w:sz w:val="28"/>
        </w:rPr>
        <w:t>ām</w:t>
      </w:r>
      <w:r w:rsidR="00A7198B">
        <w:rPr>
          <w:sz w:val="28"/>
        </w:rPr>
        <w:t>,</w:t>
      </w:r>
      <w:r w:rsidR="00454692">
        <w:rPr>
          <w:sz w:val="28"/>
        </w:rPr>
        <w:t xml:space="preserve"> savukārt </w:t>
      </w:r>
      <w:r w:rsidR="00A7198B">
        <w:rPr>
          <w:sz w:val="28"/>
        </w:rPr>
        <w:t xml:space="preserve">starptautiskās organizācijas neprognozē izteiktu </w:t>
      </w:r>
      <w:r w:rsidR="00454692">
        <w:rPr>
          <w:sz w:val="28"/>
        </w:rPr>
        <w:t xml:space="preserve">pārtikas preču un energoresursu </w:t>
      </w:r>
      <w:r w:rsidR="00A7198B">
        <w:rPr>
          <w:sz w:val="28"/>
        </w:rPr>
        <w:t>cenu pieaugumu</w:t>
      </w:r>
      <w:r w:rsidR="00454692">
        <w:rPr>
          <w:sz w:val="28"/>
        </w:rPr>
        <w:t xml:space="preserve"> pasaulē</w:t>
      </w:r>
      <w:r w:rsidR="00A7198B">
        <w:rPr>
          <w:sz w:val="28"/>
        </w:rPr>
        <w:t>. Vienlaikus spiedienu uz patēriņa cenām var radīt augošās pakalpojumu cenas.</w:t>
      </w:r>
      <w:r w:rsidR="00454692">
        <w:rPr>
          <w:sz w:val="28"/>
        </w:rPr>
        <w:t xml:space="preserve"> 2012.gadā vidējais patēriņa cenu līmenis var sasniegt 2,4 procentus.</w:t>
      </w:r>
    </w:p>
    <w:p w:rsidR="003F5B41" w:rsidRPr="004C4ABD" w:rsidRDefault="003F5B41" w:rsidP="003F5B41">
      <w:pPr>
        <w:spacing w:after="80"/>
        <w:ind w:firstLine="284"/>
        <w:jc w:val="both"/>
        <w:rPr>
          <w:sz w:val="20"/>
        </w:rPr>
      </w:pPr>
    </w:p>
    <w:p w:rsidR="000C7838" w:rsidRDefault="000C7838" w:rsidP="00F50A6E">
      <w:pPr>
        <w:tabs>
          <w:tab w:val="right" w:pos="9639"/>
        </w:tabs>
        <w:rPr>
          <w:sz w:val="28"/>
        </w:rPr>
      </w:pPr>
    </w:p>
    <w:p w:rsidR="00BE41C7" w:rsidRDefault="00BE41C7" w:rsidP="00F50A6E">
      <w:pPr>
        <w:tabs>
          <w:tab w:val="right" w:pos="9639"/>
        </w:tabs>
        <w:rPr>
          <w:sz w:val="28"/>
        </w:rPr>
      </w:pPr>
      <w:r>
        <w:rPr>
          <w:sz w:val="28"/>
        </w:rPr>
        <w:t>Ekonomikas ministrs</w:t>
      </w:r>
      <w:r>
        <w:rPr>
          <w:sz w:val="28"/>
        </w:rPr>
        <w:tab/>
        <w:t>A.Kampars</w:t>
      </w:r>
    </w:p>
    <w:p w:rsidR="007C538C" w:rsidRDefault="007C538C" w:rsidP="006A496C">
      <w:pPr>
        <w:tabs>
          <w:tab w:val="right" w:pos="9639"/>
        </w:tabs>
        <w:jc w:val="both"/>
        <w:rPr>
          <w:sz w:val="28"/>
        </w:rPr>
      </w:pPr>
    </w:p>
    <w:p w:rsidR="00C06ED3" w:rsidRDefault="00C06ED3" w:rsidP="006A496C">
      <w:pPr>
        <w:tabs>
          <w:tab w:val="right" w:pos="9639"/>
        </w:tabs>
        <w:jc w:val="both"/>
        <w:rPr>
          <w:sz w:val="28"/>
        </w:rPr>
      </w:pPr>
    </w:p>
    <w:p w:rsidR="006A496C" w:rsidRDefault="00BE41C7" w:rsidP="006A496C">
      <w:pPr>
        <w:tabs>
          <w:tab w:val="right" w:pos="9639"/>
        </w:tabs>
        <w:jc w:val="both"/>
        <w:rPr>
          <w:sz w:val="28"/>
        </w:rPr>
      </w:pPr>
      <w:r>
        <w:rPr>
          <w:sz w:val="28"/>
        </w:rPr>
        <w:t xml:space="preserve">Vīza: Valsts </w:t>
      </w:r>
      <w:r w:rsidR="00D25CD3">
        <w:rPr>
          <w:sz w:val="28"/>
        </w:rPr>
        <w:t>sekretār</w:t>
      </w:r>
      <w:r w:rsidR="00C06ED3">
        <w:rPr>
          <w:sz w:val="28"/>
        </w:rPr>
        <w:t>s</w:t>
      </w:r>
      <w:r w:rsidR="006970E1">
        <w:rPr>
          <w:sz w:val="28"/>
        </w:rPr>
        <w:tab/>
      </w:r>
      <w:r w:rsidR="0049583C">
        <w:rPr>
          <w:sz w:val="28"/>
        </w:rPr>
        <w:t>J</w:t>
      </w:r>
      <w:r w:rsidR="003F5625">
        <w:rPr>
          <w:sz w:val="28"/>
        </w:rPr>
        <w:t>.</w:t>
      </w:r>
      <w:r w:rsidR="0049583C">
        <w:rPr>
          <w:sz w:val="28"/>
        </w:rPr>
        <w:t>Pūce</w:t>
      </w:r>
    </w:p>
    <w:p w:rsidR="00C06ED3" w:rsidRDefault="00C06ED3" w:rsidP="00BE41C7">
      <w:pPr>
        <w:pStyle w:val="Subtitle"/>
        <w:widowControl/>
        <w:spacing w:before="0" w:after="0"/>
        <w:rPr>
          <w:b w:val="0"/>
          <w:sz w:val="18"/>
          <w:szCs w:val="18"/>
          <w:lang w:val="lv-LV"/>
        </w:rPr>
      </w:pPr>
    </w:p>
    <w:p w:rsidR="000C7838" w:rsidRDefault="000C7838" w:rsidP="00BE41C7">
      <w:pPr>
        <w:pStyle w:val="Subtitle"/>
        <w:widowControl/>
        <w:spacing w:before="0" w:after="0"/>
        <w:rPr>
          <w:b w:val="0"/>
          <w:sz w:val="18"/>
          <w:szCs w:val="18"/>
          <w:lang w:val="lv-LV"/>
        </w:rPr>
      </w:pPr>
    </w:p>
    <w:p w:rsidR="000C7838" w:rsidRDefault="000C7838" w:rsidP="00BE41C7">
      <w:pPr>
        <w:pStyle w:val="Subtitle"/>
        <w:widowControl/>
        <w:spacing w:before="0" w:after="0"/>
        <w:rPr>
          <w:b w:val="0"/>
          <w:sz w:val="18"/>
          <w:szCs w:val="18"/>
          <w:lang w:val="lv-LV"/>
        </w:rPr>
      </w:pPr>
    </w:p>
    <w:p w:rsidR="00D84BB5" w:rsidRDefault="00D84BB5" w:rsidP="00BE41C7">
      <w:pPr>
        <w:pStyle w:val="Subtitle"/>
        <w:widowControl/>
        <w:spacing w:before="0" w:after="0"/>
        <w:rPr>
          <w:b w:val="0"/>
          <w:sz w:val="18"/>
          <w:szCs w:val="18"/>
          <w:lang w:val="lv-LV"/>
        </w:rPr>
      </w:pPr>
    </w:p>
    <w:p w:rsidR="00A7198B" w:rsidRDefault="00A7198B" w:rsidP="00BE41C7">
      <w:pPr>
        <w:pStyle w:val="Subtitle"/>
        <w:widowControl/>
        <w:spacing w:before="0" w:after="0"/>
        <w:rPr>
          <w:b w:val="0"/>
          <w:sz w:val="18"/>
          <w:szCs w:val="18"/>
          <w:lang w:val="lv-LV"/>
        </w:rPr>
      </w:pPr>
    </w:p>
    <w:p w:rsidR="00BE41C7" w:rsidRPr="00C06ED3" w:rsidRDefault="003A0C50" w:rsidP="00BE41C7">
      <w:pPr>
        <w:pStyle w:val="Subtitle"/>
        <w:widowControl/>
        <w:spacing w:before="0" w:after="0"/>
        <w:rPr>
          <w:b w:val="0"/>
          <w:sz w:val="18"/>
          <w:szCs w:val="18"/>
          <w:lang w:val="lv-LV"/>
        </w:rPr>
      </w:pPr>
      <w:r>
        <w:rPr>
          <w:b w:val="0"/>
          <w:sz w:val="18"/>
          <w:szCs w:val="18"/>
          <w:lang w:val="lv-LV"/>
        </w:rPr>
        <w:t>03</w:t>
      </w:r>
      <w:r w:rsidR="006F6EFE" w:rsidRPr="00C06ED3">
        <w:rPr>
          <w:b w:val="0"/>
          <w:sz w:val="18"/>
          <w:szCs w:val="18"/>
          <w:lang w:val="lv-LV"/>
        </w:rPr>
        <w:t>.</w:t>
      </w:r>
      <w:r>
        <w:rPr>
          <w:b w:val="0"/>
          <w:sz w:val="18"/>
          <w:szCs w:val="18"/>
          <w:lang w:val="lv-LV"/>
        </w:rPr>
        <w:t>10</w:t>
      </w:r>
      <w:r w:rsidR="006F6EFE" w:rsidRPr="00C06ED3">
        <w:rPr>
          <w:b w:val="0"/>
          <w:sz w:val="18"/>
          <w:szCs w:val="18"/>
          <w:lang w:val="lv-LV"/>
        </w:rPr>
        <w:t>.2</w:t>
      </w:r>
      <w:r w:rsidR="006970E1" w:rsidRPr="00C06ED3">
        <w:rPr>
          <w:b w:val="0"/>
          <w:sz w:val="18"/>
          <w:szCs w:val="18"/>
          <w:lang w:val="lv-LV"/>
        </w:rPr>
        <w:t>01</w:t>
      </w:r>
      <w:r w:rsidR="002925EF" w:rsidRPr="00C06ED3">
        <w:rPr>
          <w:b w:val="0"/>
          <w:sz w:val="18"/>
          <w:szCs w:val="18"/>
          <w:lang w:val="lv-LV"/>
        </w:rPr>
        <w:t>1</w:t>
      </w:r>
      <w:r w:rsidR="006F6EFE" w:rsidRPr="00C06ED3">
        <w:rPr>
          <w:b w:val="0"/>
          <w:sz w:val="18"/>
          <w:szCs w:val="18"/>
          <w:lang w:val="lv-LV"/>
        </w:rPr>
        <w:t xml:space="preserve">. </w:t>
      </w:r>
      <w:r w:rsidR="00D20CAC">
        <w:rPr>
          <w:b w:val="0"/>
          <w:sz w:val="18"/>
          <w:szCs w:val="18"/>
          <w:lang w:val="lv-LV"/>
        </w:rPr>
        <w:t>12</w:t>
      </w:r>
      <w:r w:rsidR="006F6EFE" w:rsidRPr="00C06ED3">
        <w:rPr>
          <w:b w:val="0"/>
          <w:sz w:val="18"/>
          <w:szCs w:val="18"/>
          <w:lang w:val="lv-LV"/>
        </w:rPr>
        <w:t>:</w:t>
      </w:r>
      <w:r w:rsidR="00895CF8">
        <w:rPr>
          <w:b w:val="0"/>
          <w:sz w:val="18"/>
          <w:szCs w:val="18"/>
          <w:lang w:val="lv-LV"/>
        </w:rPr>
        <w:t>1</w:t>
      </w:r>
      <w:r w:rsidR="00D20CAC">
        <w:rPr>
          <w:b w:val="0"/>
          <w:sz w:val="18"/>
          <w:szCs w:val="18"/>
          <w:lang w:val="lv-LV"/>
        </w:rPr>
        <w:t>6</w:t>
      </w:r>
    </w:p>
    <w:p w:rsidR="00BE41C7" w:rsidRPr="00C06ED3" w:rsidRDefault="0005180F" w:rsidP="00BE41C7">
      <w:pPr>
        <w:pStyle w:val="Subtitle"/>
        <w:widowControl/>
        <w:spacing w:before="0" w:after="0"/>
        <w:rPr>
          <w:b w:val="0"/>
          <w:sz w:val="18"/>
          <w:szCs w:val="18"/>
          <w:lang w:val="lv-LV"/>
        </w:rPr>
      </w:pPr>
      <w:fldSimple w:instr=" NUMWORDS   \* MERGEFORMAT ">
        <w:r w:rsidR="002F07A8" w:rsidRPr="002F07A8">
          <w:rPr>
            <w:b w:val="0"/>
            <w:noProof/>
            <w:sz w:val="18"/>
            <w:szCs w:val="18"/>
            <w:lang w:val="lv-LV"/>
          </w:rPr>
          <w:t>10839</w:t>
        </w:r>
      </w:fldSimple>
      <w:r w:rsidR="00BE41C7" w:rsidRPr="00C06ED3">
        <w:rPr>
          <w:b w:val="0"/>
          <w:sz w:val="18"/>
          <w:szCs w:val="18"/>
          <w:lang w:val="lv-LV"/>
        </w:rPr>
        <w:br/>
        <w:t>Jānis Salmiņš</w:t>
      </w:r>
    </w:p>
    <w:p w:rsidR="00BE41C7" w:rsidRPr="00C06ED3" w:rsidRDefault="0005180F" w:rsidP="00BE41C7">
      <w:pPr>
        <w:pStyle w:val="Subtitle"/>
        <w:widowControl/>
        <w:spacing w:before="0" w:after="0"/>
        <w:rPr>
          <w:b w:val="0"/>
          <w:sz w:val="18"/>
          <w:szCs w:val="18"/>
          <w:lang w:val="lv-LV"/>
        </w:rPr>
      </w:pPr>
      <w:hyperlink r:id="rId175" w:history="1">
        <w:r w:rsidR="00BE41C7" w:rsidRPr="00C06ED3">
          <w:rPr>
            <w:rStyle w:val="Hyperlink"/>
            <w:b w:val="0"/>
            <w:color w:val="auto"/>
            <w:sz w:val="18"/>
            <w:szCs w:val="18"/>
            <w:lang w:val="lv-LV"/>
          </w:rPr>
          <w:t>janis.salmins@em.gov.lv</w:t>
        </w:r>
      </w:hyperlink>
      <w:r w:rsidR="00BE41C7" w:rsidRPr="00C06ED3">
        <w:rPr>
          <w:b w:val="0"/>
          <w:sz w:val="18"/>
          <w:szCs w:val="18"/>
          <w:lang w:val="lv-LV"/>
        </w:rPr>
        <w:t>, 67013112</w:t>
      </w:r>
    </w:p>
    <w:sectPr w:rsidR="00BE41C7" w:rsidRPr="00C06ED3" w:rsidSect="00A04744">
      <w:footerReference w:type="default" r:id="rId176"/>
      <w:footerReference w:type="first" r:id="rId177"/>
      <w:type w:val="continuous"/>
      <w:pgSz w:w="11906" w:h="16838"/>
      <w:pgMar w:top="1134" w:right="849" w:bottom="1134" w:left="1418" w:header="709" w:footer="45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E2A" w:rsidRDefault="00F61E2A" w:rsidP="00E10ACB">
      <w:r>
        <w:separator/>
      </w:r>
    </w:p>
  </w:endnote>
  <w:endnote w:type="continuationSeparator" w:id="0">
    <w:p w:rsidR="00F61E2A" w:rsidRDefault="00F61E2A" w:rsidP="00E10AC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NewsGoth Cn TL">
    <w:panose1 w:val="020B0506020202030204"/>
    <w:charset w:val="00"/>
    <w:family w:val="swiss"/>
    <w:pitch w:val="variable"/>
    <w:sig w:usb0="00000287" w:usb1="00000000" w:usb2="00000000" w:usb3="00000000" w:csb0="0000009F" w:csb1="00000000"/>
  </w:font>
  <w:font w:name="Arial">
    <w:panose1 w:val="020B0604020202020204"/>
    <w:charset w:val="BA"/>
    <w:family w:val="swiss"/>
    <w:pitch w:val="variable"/>
    <w:sig w:usb0="20002A87" w:usb1="80000000" w:usb2="00000008"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2376"/>
      <w:docPartObj>
        <w:docPartGallery w:val="Page Numbers (Bottom of Page)"/>
        <w:docPartUnique/>
      </w:docPartObj>
    </w:sdtPr>
    <w:sdtContent>
      <w:p w:rsidR="002307F6" w:rsidRDefault="0005180F">
        <w:pPr>
          <w:pStyle w:val="Footer"/>
          <w:jc w:val="right"/>
        </w:pPr>
        <w:fldSimple w:instr=" PAGE   \* MERGEFORMAT ">
          <w:r w:rsidR="002F07A8">
            <w:rPr>
              <w:noProof/>
            </w:rPr>
            <w:t>53</w:t>
          </w:r>
        </w:fldSimple>
      </w:p>
    </w:sdtContent>
  </w:sdt>
  <w:p w:rsidR="002307F6" w:rsidRPr="00565C35" w:rsidRDefault="002307F6" w:rsidP="000D186C">
    <w:pPr>
      <w:pStyle w:val="Footer"/>
      <w:rPr>
        <w:sz w:val="20"/>
        <w:szCs w:val="20"/>
      </w:rPr>
    </w:pPr>
    <w:r>
      <w:rPr>
        <w:sz w:val="20"/>
        <w:szCs w:val="20"/>
      </w:rPr>
      <w:t xml:space="preserve">EMZino_031011; </w:t>
    </w:r>
    <w:r w:rsidRPr="00565C35">
      <w:rPr>
        <w:sz w:val="20"/>
        <w:szCs w:val="20"/>
      </w:rPr>
      <w:t>Informatīvais ziņojums par makroekonomisko situāciju valstī</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F6" w:rsidRPr="0049583C" w:rsidRDefault="002307F6" w:rsidP="0049583C">
    <w:pPr>
      <w:pStyle w:val="Footer"/>
      <w:rPr>
        <w:sz w:val="20"/>
        <w:szCs w:val="20"/>
      </w:rPr>
    </w:pPr>
    <w:r>
      <w:rPr>
        <w:sz w:val="20"/>
        <w:szCs w:val="20"/>
      </w:rPr>
      <w:t xml:space="preserve">EMZino_031011; </w:t>
    </w:r>
    <w:r w:rsidRPr="00565C35">
      <w:rPr>
        <w:sz w:val="20"/>
        <w:szCs w:val="20"/>
      </w:rPr>
      <w:t>Informatīvais ziņojums par makroekonomisko situāciju valstī</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E2A" w:rsidRDefault="00F61E2A" w:rsidP="00E10ACB">
      <w:r>
        <w:separator/>
      </w:r>
    </w:p>
  </w:footnote>
  <w:footnote w:type="continuationSeparator" w:id="0">
    <w:p w:rsidR="00F61E2A" w:rsidRDefault="00F61E2A" w:rsidP="00E10ACB">
      <w:r>
        <w:continuationSeparator/>
      </w:r>
    </w:p>
  </w:footnote>
  <w:footnote w:id="1">
    <w:p w:rsidR="002307F6" w:rsidRPr="000C25B2" w:rsidRDefault="002307F6" w:rsidP="000E2EB8">
      <w:pPr>
        <w:pStyle w:val="FootnoteText"/>
        <w:jc w:val="both"/>
      </w:pPr>
      <w:r w:rsidRPr="00724C14">
        <w:rPr>
          <w:rStyle w:val="FootnoteReference"/>
          <w:rFonts w:eastAsiaTheme="majorEastAsia"/>
          <w:sz w:val="18"/>
        </w:rPr>
        <w:footnoteRef/>
      </w:r>
      <w:r w:rsidRPr="00724C14">
        <w:rPr>
          <w:sz w:val="18"/>
        </w:rPr>
        <w:t xml:space="preserve"> Latvijas Banka aprēķina lata reālo efektīvo kursu pret 13 galveno tirdzniecības partnervalstu valūtām. Lata reālais kurss ietver lata nominālā kursa izmaiņas pret Latvijas tirdzniecības partnervalsts valūtu, kā arī cenu izmaiņas Latvijā salīdzinājumā ar cenu izmaiņām tirdzniecības partnervalstī. Lata reālais efektīvais kurss parāda Latvijas relatīvo eksporta konkurētspēju pasaules tirgos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B3FC5"/>
    <w:multiLevelType w:val="multilevel"/>
    <w:tmpl w:val="4BA0CB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E9A3CE7"/>
    <w:multiLevelType w:val="hybridMultilevel"/>
    <w:tmpl w:val="D2F0BFB4"/>
    <w:lvl w:ilvl="0" w:tplc="01AA2084">
      <w:start w:val="8"/>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nsid w:val="22E264C8"/>
    <w:multiLevelType w:val="hybridMultilevel"/>
    <w:tmpl w:val="F9ACC620"/>
    <w:lvl w:ilvl="0" w:tplc="6D724832">
      <w:start w:val="20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C381779"/>
    <w:multiLevelType w:val="hybridMultilevel"/>
    <w:tmpl w:val="74BCD228"/>
    <w:lvl w:ilvl="0" w:tplc="0426000F">
      <w:start w:val="1"/>
      <w:numFmt w:val="decimal"/>
      <w:lvlText w:val="%1."/>
      <w:lvlJc w:val="left"/>
      <w:pPr>
        <w:ind w:left="9167" w:hanging="360"/>
      </w:pPr>
    </w:lvl>
    <w:lvl w:ilvl="1" w:tplc="04260019" w:tentative="1">
      <w:start w:val="1"/>
      <w:numFmt w:val="lowerLetter"/>
      <w:lvlText w:val="%2."/>
      <w:lvlJc w:val="left"/>
      <w:pPr>
        <w:ind w:left="9887" w:hanging="360"/>
      </w:pPr>
    </w:lvl>
    <w:lvl w:ilvl="2" w:tplc="0426001B" w:tentative="1">
      <w:start w:val="1"/>
      <w:numFmt w:val="lowerRoman"/>
      <w:lvlText w:val="%3."/>
      <w:lvlJc w:val="right"/>
      <w:pPr>
        <w:ind w:left="10607" w:hanging="180"/>
      </w:pPr>
    </w:lvl>
    <w:lvl w:ilvl="3" w:tplc="0426000F" w:tentative="1">
      <w:start w:val="1"/>
      <w:numFmt w:val="decimal"/>
      <w:lvlText w:val="%4."/>
      <w:lvlJc w:val="left"/>
      <w:pPr>
        <w:ind w:left="11327" w:hanging="360"/>
      </w:pPr>
    </w:lvl>
    <w:lvl w:ilvl="4" w:tplc="04260019" w:tentative="1">
      <w:start w:val="1"/>
      <w:numFmt w:val="lowerLetter"/>
      <w:lvlText w:val="%5."/>
      <w:lvlJc w:val="left"/>
      <w:pPr>
        <w:ind w:left="12047" w:hanging="360"/>
      </w:pPr>
    </w:lvl>
    <w:lvl w:ilvl="5" w:tplc="0426001B" w:tentative="1">
      <w:start w:val="1"/>
      <w:numFmt w:val="lowerRoman"/>
      <w:lvlText w:val="%6."/>
      <w:lvlJc w:val="right"/>
      <w:pPr>
        <w:ind w:left="12767" w:hanging="180"/>
      </w:pPr>
    </w:lvl>
    <w:lvl w:ilvl="6" w:tplc="0426000F" w:tentative="1">
      <w:start w:val="1"/>
      <w:numFmt w:val="decimal"/>
      <w:lvlText w:val="%7."/>
      <w:lvlJc w:val="left"/>
      <w:pPr>
        <w:ind w:left="13487" w:hanging="360"/>
      </w:pPr>
    </w:lvl>
    <w:lvl w:ilvl="7" w:tplc="04260019" w:tentative="1">
      <w:start w:val="1"/>
      <w:numFmt w:val="lowerLetter"/>
      <w:lvlText w:val="%8."/>
      <w:lvlJc w:val="left"/>
      <w:pPr>
        <w:ind w:left="14207" w:hanging="360"/>
      </w:pPr>
    </w:lvl>
    <w:lvl w:ilvl="8" w:tplc="0426001B" w:tentative="1">
      <w:start w:val="1"/>
      <w:numFmt w:val="lowerRoman"/>
      <w:lvlText w:val="%9."/>
      <w:lvlJc w:val="right"/>
      <w:pPr>
        <w:ind w:left="14927" w:hanging="180"/>
      </w:pPr>
    </w:lvl>
  </w:abstractNum>
  <w:abstractNum w:abstractNumId="4">
    <w:nsid w:val="2F1E5CB1"/>
    <w:multiLevelType w:val="hybridMultilevel"/>
    <w:tmpl w:val="85823998"/>
    <w:lvl w:ilvl="0" w:tplc="BFFCCDC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471041D"/>
    <w:multiLevelType w:val="hybridMultilevel"/>
    <w:tmpl w:val="4928076E"/>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nsid w:val="34BD6B00"/>
    <w:multiLevelType w:val="hybridMultilevel"/>
    <w:tmpl w:val="621C5BFC"/>
    <w:lvl w:ilvl="0" w:tplc="9FBA522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378519D2"/>
    <w:multiLevelType w:val="hybridMultilevel"/>
    <w:tmpl w:val="8CDAFB10"/>
    <w:lvl w:ilvl="0" w:tplc="D6F287DC">
      <w:start w:val="200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A405EFD"/>
    <w:multiLevelType w:val="multilevel"/>
    <w:tmpl w:val="C5DC39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432B0C96"/>
    <w:multiLevelType w:val="hybridMultilevel"/>
    <w:tmpl w:val="4FD63890"/>
    <w:lvl w:ilvl="0" w:tplc="7D5EDD60">
      <w:numFmt w:val="bullet"/>
      <w:lvlText w:val="-"/>
      <w:lvlJc w:val="left"/>
      <w:pPr>
        <w:ind w:left="562" w:hanging="420"/>
      </w:pPr>
      <w:rPr>
        <w:rFonts w:ascii="Times New Roman" w:eastAsia="Calibri"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0">
    <w:nsid w:val="45104926"/>
    <w:multiLevelType w:val="hybridMultilevel"/>
    <w:tmpl w:val="177EAC24"/>
    <w:lvl w:ilvl="0" w:tplc="9EEE8D7C">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1">
    <w:nsid w:val="465857F7"/>
    <w:multiLevelType w:val="multilevel"/>
    <w:tmpl w:val="F11A1814"/>
    <w:lvl w:ilvl="0">
      <w:start w:val="1"/>
      <w:numFmt w:val="decimal"/>
      <w:lvlText w:val="%1."/>
      <w:lvlJc w:val="left"/>
      <w:pPr>
        <w:ind w:left="405" w:hanging="405"/>
      </w:pPr>
      <w:rPr>
        <w:rFonts w:eastAsiaTheme="majorEastAsia" w:cstheme="majorBidi" w:hint="default"/>
      </w:rPr>
    </w:lvl>
    <w:lvl w:ilvl="1">
      <w:start w:val="1"/>
      <w:numFmt w:val="decimal"/>
      <w:lvlText w:val="%1.%2."/>
      <w:lvlJc w:val="left"/>
      <w:pPr>
        <w:ind w:left="405" w:hanging="405"/>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2">
    <w:nsid w:val="4F7211DC"/>
    <w:multiLevelType w:val="multilevel"/>
    <w:tmpl w:val="B484B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AC76A0"/>
    <w:multiLevelType w:val="hybridMultilevel"/>
    <w:tmpl w:val="616E10BE"/>
    <w:lvl w:ilvl="0" w:tplc="7B4EFA9A">
      <w:start w:val="1"/>
      <w:numFmt w:val="decimal"/>
      <w:lvlText w:val="%1.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nsid w:val="5D817A3D"/>
    <w:multiLevelType w:val="hybridMultilevel"/>
    <w:tmpl w:val="B360EF2A"/>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1927016"/>
    <w:multiLevelType w:val="hybridMultilevel"/>
    <w:tmpl w:val="7CC0759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2D71B86"/>
    <w:multiLevelType w:val="hybridMultilevel"/>
    <w:tmpl w:val="59D0DACA"/>
    <w:lvl w:ilvl="0" w:tplc="6CB6F698">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nsid w:val="6572233A"/>
    <w:multiLevelType w:val="hybridMultilevel"/>
    <w:tmpl w:val="330EFC10"/>
    <w:lvl w:ilvl="0" w:tplc="9EEE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A5808C0"/>
    <w:multiLevelType w:val="hybridMultilevel"/>
    <w:tmpl w:val="CF3AA2E2"/>
    <w:lvl w:ilvl="0" w:tplc="9EEE8D7C">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70EC571F"/>
    <w:multiLevelType w:val="hybridMultilevel"/>
    <w:tmpl w:val="FC02A1A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71701A13"/>
    <w:multiLevelType w:val="hybridMultilevel"/>
    <w:tmpl w:val="F028E644"/>
    <w:lvl w:ilvl="0" w:tplc="6D724832">
      <w:start w:val="2008"/>
      <w:numFmt w:val="bullet"/>
      <w:lvlText w:val="-"/>
      <w:lvlJc w:val="left"/>
      <w:pPr>
        <w:ind w:left="793" w:hanging="360"/>
      </w:pPr>
      <w:rPr>
        <w:rFonts w:ascii="Times New Roman" w:eastAsia="Times New Roman" w:hAnsi="Times New Roman" w:cs="Times New Roman" w:hint="default"/>
      </w:rPr>
    </w:lvl>
    <w:lvl w:ilvl="1" w:tplc="04260003" w:tentative="1">
      <w:start w:val="1"/>
      <w:numFmt w:val="bullet"/>
      <w:lvlText w:val="o"/>
      <w:lvlJc w:val="left"/>
      <w:pPr>
        <w:ind w:left="1513" w:hanging="360"/>
      </w:pPr>
      <w:rPr>
        <w:rFonts w:ascii="Courier New" w:hAnsi="Courier New" w:cs="Courier New" w:hint="default"/>
      </w:rPr>
    </w:lvl>
    <w:lvl w:ilvl="2" w:tplc="04260005" w:tentative="1">
      <w:start w:val="1"/>
      <w:numFmt w:val="bullet"/>
      <w:lvlText w:val=""/>
      <w:lvlJc w:val="left"/>
      <w:pPr>
        <w:ind w:left="2233" w:hanging="360"/>
      </w:pPr>
      <w:rPr>
        <w:rFonts w:ascii="Wingdings" w:hAnsi="Wingdings" w:hint="default"/>
      </w:rPr>
    </w:lvl>
    <w:lvl w:ilvl="3" w:tplc="04260001" w:tentative="1">
      <w:start w:val="1"/>
      <w:numFmt w:val="bullet"/>
      <w:lvlText w:val=""/>
      <w:lvlJc w:val="left"/>
      <w:pPr>
        <w:ind w:left="2953" w:hanging="360"/>
      </w:pPr>
      <w:rPr>
        <w:rFonts w:ascii="Symbol" w:hAnsi="Symbol" w:hint="default"/>
      </w:rPr>
    </w:lvl>
    <w:lvl w:ilvl="4" w:tplc="04260003" w:tentative="1">
      <w:start w:val="1"/>
      <w:numFmt w:val="bullet"/>
      <w:lvlText w:val="o"/>
      <w:lvlJc w:val="left"/>
      <w:pPr>
        <w:ind w:left="3673" w:hanging="360"/>
      </w:pPr>
      <w:rPr>
        <w:rFonts w:ascii="Courier New" w:hAnsi="Courier New" w:cs="Courier New" w:hint="default"/>
      </w:rPr>
    </w:lvl>
    <w:lvl w:ilvl="5" w:tplc="04260005" w:tentative="1">
      <w:start w:val="1"/>
      <w:numFmt w:val="bullet"/>
      <w:lvlText w:val=""/>
      <w:lvlJc w:val="left"/>
      <w:pPr>
        <w:ind w:left="4393" w:hanging="360"/>
      </w:pPr>
      <w:rPr>
        <w:rFonts w:ascii="Wingdings" w:hAnsi="Wingdings" w:hint="default"/>
      </w:rPr>
    </w:lvl>
    <w:lvl w:ilvl="6" w:tplc="04260001" w:tentative="1">
      <w:start w:val="1"/>
      <w:numFmt w:val="bullet"/>
      <w:lvlText w:val=""/>
      <w:lvlJc w:val="left"/>
      <w:pPr>
        <w:ind w:left="5113" w:hanging="360"/>
      </w:pPr>
      <w:rPr>
        <w:rFonts w:ascii="Symbol" w:hAnsi="Symbol" w:hint="default"/>
      </w:rPr>
    </w:lvl>
    <w:lvl w:ilvl="7" w:tplc="04260003" w:tentative="1">
      <w:start w:val="1"/>
      <w:numFmt w:val="bullet"/>
      <w:lvlText w:val="o"/>
      <w:lvlJc w:val="left"/>
      <w:pPr>
        <w:ind w:left="5833" w:hanging="360"/>
      </w:pPr>
      <w:rPr>
        <w:rFonts w:ascii="Courier New" w:hAnsi="Courier New" w:cs="Courier New" w:hint="default"/>
      </w:rPr>
    </w:lvl>
    <w:lvl w:ilvl="8" w:tplc="04260005" w:tentative="1">
      <w:start w:val="1"/>
      <w:numFmt w:val="bullet"/>
      <w:lvlText w:val=""/>
      <w:lvlJc w:val="left"/>
      <w:pPr>
        <w:ind w:left="6553" w:hanging="360"/>
      </w:pPr>
      <w:rPr>
        <w:rFonts w:ascii="Wingdings" w:hAnsi="Wingdings" w:hint="default"/>
      </w:rPr>
    </w:lvl>
  </w:abstractNum>
  <w:abstractNum w:abstractNumId="21">
    <w:nsid w:val="7628359B"/>
    <w:multiLevelType w:val="hybridMultilevel"/>
    <w:tmpl w:val="577CA974"/>
    <w:lvl w:ilvl="0" w:tplc="F76A2080">
      <w:start w:val="2008"/>
      <w:numFmt w:val="bullet"/>
      <w:lvlText w:val=""/>
      <w:lvlJc w:val="left"/>
      <w:pPr>
        <w:ind w:left="-1908" w:hanging="360"/>
      </w:pPr>
      <w:rPr>
        <w:rFonts w:ascii="Symbol" w:eastAsia="Calibri" w:hAnsi="Symbol" w:cs="Times New Roman"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468" w:hanging="360"/>
      </w:pPr>
      <w:rPr>
        <w:rFonts w:ascii="Wingdings" w:hAnsi="Wingdings" w:hint="default"/>
      </w:rPr>
    </w:lvl>
    <w:lvl w:ilvl="3" w:tplc="04260001" w:tentative="1">
      <w:start w:val="1"/>
      <w:numFmt w:val="bullet"/>
      <w:lvlText w:val=""/>
      <w:lvlJc w:val="left"/>
      <w:pPr>
        <w:ind w:left="252" w:hanging="360"/>
      </w:pPr>
      <w:rPr>
        <w:rFonts w:ascii="Symbol" w:hAnsi="Symbol" w:hint="default"/>
      </w:rPr>
    </w:lvl>
    <w:lvl w:ilvl="4" w:tplc="04260003" w:tentative="1">
      <w:start w:val="1"/>
      <w:numFmt w:val="bullet"/>
      <w:lvlText w:val="o"/>
      <w:lvlJc w:val="left"/>
      <w:pPr>
        <w:ind w:left="972" w:hanging="360"/>
      </w:pPr>
      <w:rPr>
        <w:rFonts w:ascii="Courier New" w:hAnsi="Courier New" w:cs="Courier New" w:hint="default"/>
      </w:rPr>
    </w:lvl>
    <w:lvl w:ilvl="5" w:tplc="04260005" w:tentative="1">
      <w:start w:val="1"/>
      <w:numFmt w:val="bullet"/>
      <w:lvlText w:val=""/>
      <w:lvlJc w:val="left"/>
      <w:pPr>
        <w:ind w:left="1692" w:hanging="360"/>
      </w:pPr>
      <w:rPr>
        <w:rFonts w:ascii="Wingdings" w:hAnsi="Wingdings" w:hint="default"/>
      </w:rPr>
    </w:lvl>
    <w:lvl w:ilvl="6" w:tplc="04260001" w:tentative="1">
      <w:start w:val="1"/>
      <w:numFmt w:val="bullet"/>
      <w:lvlText w:val=""/>
      <w:lvlJc w:val="left"/>
      <w:pPr>
        <w:ind w:left="2412" w:hanging="360"/>
      </w:pPr>
      <w:rPr>
        <w:rFonts w:ascii="Symbol" w:hAnsi="Symbol" w:hint="default"/>
      </w:rPr>
    </w:lvl>
    <w:lvl w:ilvl="7" w:tplc="04260003" w:tentative="1">
      <w:start w:val="1"/>
      <w:numFmt w:val="bullet"/>
      <w:lvlText w:val="o"/>
      <w:lvlJc w:val="left"/>
      <w:pPr>
        <w:ind w:left="3132" w:hanging="360"/>
      </w:pPr>
      <w:rPr>
        <w:rFonts w:ascii="Courier New" w:hAnsi="Courier New" w:cs="Courier New" w:hint="default"/>
      </w:rPr>
    </w:lvl>
    <w:lvl w:ilvl="8" w:tplc="04260005" w:tentative="1">
      <w:start w:val="1"/>
      <w:numFmt w:val="bullet"/>
      <w:lvlText w:val=""/>
      <w:lvlJc w:val="left"/>
      <w:pPr>
        <w:ind w:left="3852" w:hanging="360"/>
      </w:pPr>
      <w:rPr>
        <w:rFonts w:ascii="Wingdings" w:hAnsi="Wingdings" w:hint="default"/>
      </w:rPr>
    </w:lvl>
  </w:abstractNum>
  <w:num w:numId="1">
    <w:abstractNumId w:val="8"/>
  </w:num>
  <w:num w:numId="2">
    <w:abstractNumId w:val="6"/>
  </w:num>
  <w:num w:numId="3">
    <w:abstractNumId w:val="16"/>
  </w:num>
  <w:num w:numId="4">
    <w:abstractNumId w:val="19"/>
  </w:num>
  <w:num w:numId="5">
    <w:abstractNumId w:val="0"/>
  </w:num>
  <w:num w:numId="6">
    <w:abstractNumId w:val="3"/>
  </w:num>
  <w:num w:numId="7">
    <w:abstractNumId w:val="2"/>
  </w:num>
  <w:num w:numId="8">
    <w:abstractNumId w:val="20"/>
  </w:num>
  <w:num w:numId="9">
    <w:abstractNumId w:val="13"/>
  </w:num>
  <w:num w:numId="10">
    <w:abstractNumId w:val="12"/>
  </w:num>
  <w:num w:numId="11">
    <w:abstractNumId w:val="21"/>
  </w:num>
  <w:num w:numId="12">
    <w:abstractNumId w:val="1"/>
  </w:num>
  <w:num w:numId="13">
    <w:abstractNumId w:val="4"/>
  </w:num>
  <w:num w:numId="14">
    <w:abstractNumId w:val="11"/>
  </w:num>
  <w:num w:numId="15">
    <w:abstractNumId w:val="18"/>
  </w:num>
  <w:num w:numId="16">
    <w:abstractNumId w:val="17"/>
  </w:num>
  <w:num w:numId="17">
    <w:abstractNumId w:val="5"/>
  </w:num>
  <w:num w:numId="18">
    <w:abstractNumId w:val="7"/>
  </w:num>
  <w:num w:numId="19">
    <w:abstractNumId w:val="15"/>
  </w:num>
  <w:num w:numId="20">
    <w:abstractNumId w:val="14"/>
  </w:num>
  <w:num w:numId="21">
    <w:abstractNumId w:val="1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gutterAtTop/>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E41C7"/>
    <w:rsid w:val="00000A41"/>
    <w:rsid w:val="00000EEB"/>
    <w:rsid w:val="00003BD0"/>
    <w:rsid w:val="00003C1D"/>
    <w:rsid w:val="00004B64"/>
    <w:rsid w:val="000052C6"/>
    <w:rsid w:val="0000596E"/>
    <w:rsid w:val="00006C65"/>
    <w:rsid w:val="00006E30"/>
    <w:rsid w:val="00007248"/>
    <w:rsid w:val="000109F6"/>
    <w:rsid w:val="000124BC"/>
    <w:rsid w:val="000126A1"/>
    <w:rsid w:val="00013156"/>
    <w:rsid w:val="00013616"/>
    <w:rsid w:val="00013EBB"/>
    <w:rsid w:val="00015133"/>
    <w:rsid w:val="000169C4"/>
    <w:rsid w:val="00017561"/>
    <w:rsid w:val="00017605"/>
    <w:rsid w:val="000214C4"/>
    <w:rsid w:val="00022EDC"/>
    <w:rsid w:val="00023207"/>
    <w:rsid w:val="00023748"/>
    <w:rsid w:val="000242FA"/>
    <w:rsid w:val="0002511F"/>
    <w:rsid w:val="0002566A"/>
    <w:rsid w:val="000265BC"/>
    <w:rsid w:val="000268E5"/>
    <w:rsid w:val="000311AF"/>
    <w:rsid w:val="000317F8"/>
    <w:rsid w:val="00031DE2"/>
    <w:rsid w:val="00032593"/>
    <w:rsid w:val="000337FD"/>
    <w:rsid w:val="00033C79"/>
    <w:rsid w:val="000340E8"/>
    <w:rsid w:val="00034E07"/>
    <w:rsid w:val="00034FE0"/>
    <w:rsid w:val="0003598E"/>
    <w:rsid w:val="00037E4A"/>
    <w:rsid w:val="00040566"/>
    <w:rsid w:val="00041E98"/>
    <w:rsid w:val="00042AB6"/>
    <w:rsid w:val="00044667"/>
    <w:rsid w:val="0004476E"/>
    <w:rsid w:val="00044C7D"/>
    <w:rsid w:val="000451F1"/>
    <w:rsid w:val="00046F0D"/>
    <w:rsid w:val="0005180F"/>
    <w:rsid w:val="000563D4"/>
    <w:rsid w:val="0005698B"/>
    <w:rsid w:val="00056EA9"/>
    <w:rsid w:val="00060D2F"/>
    <w:rsid w:val="0006393A"/>
    <w:rsid w:val="00063B63"/>
    <w:rsid w:val="0006552F"/>
    <w:rsid w:val="00065ADC"/>
    <w:rsid w:val="0006605E"/>
    <w:rsid w:val="000670EE"/>
    <w:rsid w:val="0007098A"/>
    <w:rsid w:val="00070D22"/>
    <w:rsid w:val="00072D1C"/>
    <w:rsid w:val="000731A5"/>
    <w:rsid w:val="0007362E"/>
    <w:rsid w:val="000768A3"/>
    <w:rsid w:val="00076B42"/>
    <w:rsid w:val="00077B11"/>
    <w:rsid w:val="0008327F"/>
    <w:rsid w:val="00083B51"/>
    <w:rsid w:val="00084E89"/>
    <w:rsid w:val="00087021"/>
    <w:rsid w:val="0009077B"/>
    <w:rsid w:val="00093CD6"/>
    <w:rsid w:val="00095E2E"/>
    <w:rsid w:val="00096C89"/>
    <w:rsid w:val="00096E8F"/>
    <w:rsid w:val="00097C8E"/>
    <w:rsid w:val="000A019A"/>
    <w:rsid w:val="000A1029"/>
    <w:rsid w:val="000A2479"/>
    <w:rsid w:val="000A38A1"/>
    <w:rsid w:val="000A4B67"/>
    <w:rsid w:val="000A5CE4"/>
    <w:rsid w:val="000A624B"/>
    <w:rsid w:val="000A6395"/>
    <w:rsid w:val="000A7E73"/>
    <w:rsid w:val="000B0054"/>
    <w:rsid w:val="000B081F"/>
    <w:rsid w:val="000B0C07"/>
    <w:rsid w:val="000B24CB"/>
    <w:rsid w:val="000B5AB0"/>
    <w:rsid w:val="000B6090"/>
    <w:rsid w:val="000B6104"/>
    <w:rsid w:val="000C0EBC"/>
    <w:rsid w:val="000C1307"/>
    <w:rsid w:val="000C1B2B"/>
    <w:rsid w:val="000C25B2"/>
    <w:rsid w:val="000C646C"/>
    <w:rsid w:val="000C7838"/>
    <w:rsid w:val="000D0A87"/>
    <w:rsid w:val="000D0F4F"/>
    <w:rsid w:val="000D16D7"/>
    <w:rsid w:val="000D186C"/>
    <w:rsid w:val="000D2FB1"/>
    <w:rsid w:val="000E09C7"/>
    <w:rsid w:val="000E191B"/>
    <w:rsid w:val="000E2697"/>
    <w:rsid w:val="000E2EB8"/>
    <w:rsid w:val="000E4941"/>
    <w:rsid w:val="000E5AA8"/>
    <w:rsid w:val="000F0A2B"/>
    <w:rsid w:val="000F0BA2"/>
    <w:rsid w:val="000F10EC"/>
    <w:rsid w:val="000F1A86"/>
    <w:rsid w:val="000F2F13"/>
    <w:rsid w:val="000F4FCD"/>
    <w:rsid w:val="000F5F7E"/>
    <w:rsid w:val="00102013"/>
    <w:rsid w:val="0010206C"/>
    <w:rsid w:val="001028F9"/>
    <w:rsid w:val="00106297"/>
    <w:rsid w:val="001065DC"/>
    <w:rsid w:val="001069E4"/>
    <w:rsid w:val="00106CEB"/>
    <w:rsid w:val="00110403"/>
    <w:rsid w:val="001116DB"/>
    <w:rsid w:val="0011331E"/>
    <w:rsid w:val="00114483"/>
    <w:rsid w:val="00115BF4"/>
    <w:rsid w:val="00115C02"/>
    <w:rsid w:val="00115D67"/>
    <w:rsid w:val="0011686D"/>
    <w:rsid w:val="00116933"/>
    <w:rsid w:val="00117663"/>
    <w:rsid w:val="0012035E"/>
    <w:rsid w:val="00120F26"/>
    <w:rsid w:val="00122536"/>
    <w:rsid w:val="001266E1"/>
    <w:rsid w:val="00126B37"/>
    <w:rsid w:val="00126C0A"/>
    <w:rsid w:val="00132ED8"/>
    <w:rsid w:val="001335D3"/>
    <w:rsid w:val="001353BD"/>
    <w:rsid w:val="001359B4"/>
    <w:rsid w:val="001421DD"/>
    <w:rsid w:val="00144456"/>
    <w:rsid w:val="00144BD4"/>
    <w:rsid w:val="00145F04"/>
    <w:rsid w:val="0014640B"/>
    <w:rsid w:val="00147020"/>
    <w:rsid w:val="0014707C"/>
    <w:rsid w:val="00151AD6"/>
    <w:rsid w:val="001534EF"/>
    <w:rsid w:val="001579E7"/>
    <w:rsid w:val="0016168A"/>
    <w:rsid w:val="0016375E"/>
    <w:rsid w:val="00163AA6"/>
    <w:rsid w:val="00163D2C"/>
    <w:rsid w:val="001640EA"/>
    <w:rsid w:val="00164F49"/>
    <w:rsid w:val="00165752"/>
    <w:rsid w:val="00166E50"/>
    <w:rsid w:val="001700B2"/>
    <w:rsid w:val="001709D8"/>
    <w:rsid w:val="0017155E"/>
    <w:rsid w:val="00173425"/>
    <w:rsid w:val="001737BE"/>
    <w:rsid w:val="00174347"/>
    <w:rsid w:val="00176A02"/>
    <w:rsid w:val="00177963"/>
    <w:rsid w:val="00177C67"/>
    <w:rsid w:val="00180315"/>
    <w:rsid w:val="00180902"/>
    <w:rsid w:val="00183473"/>
    <w:rsid w:val="00183925"/>
    <w:rsid w:val="00185BDE"/>
    <w:rsid w:val="00195AC9"/>
    <w:rsid w:val="0019744E"/>
    <w:rsid w:val="001977BC"/>
    <w:rsid w:val="001A0D6E"/>
    <w:rsid w:val="001A0F0E"/>
    <w:rsid w:val="001A377B"/>
    <w:rsid w:val="001A4137"/>
    <w:rsid w:val="001A5EAD"/>
    <w:rsid w:val="001A646C"/>
    <w:rsid w:val="001A72DD"/>
    <w:rsid w:val="001B0E22"/>
    <w:rsid w:val="001B2DD8"/>
    <w:rsid w:val="001B2E78"/>
    <w:rsid w:val="001B347C"/>
    <w:rsid w:val="001B36C8"/>
    <w:rsid w:val="001B384E"/>
    <w:rsid w:val="001B5327"/>
    <w:rsid w:val="001B6E11"/>
    <w:rsid w:val="001C199C"/>
    <w:rsid w:val="001C1AA9"/>
    <w:rsid w:val="001C220C"/>
    <w:rsid w:val="001C2361"/>
    <w:rsid w:val="001C2F8F"/>
    <w:rsid w:val="001C517F"/>
    <w:rsid w:val="001C6A30"/>
    <w:rsid w:val="001C74F0"/>
    <w:rsid w:val="001D062A"/>
    <w:rsid w:val="001D1B3A"/>
    <w:rsid w:val="001D1F70"/>
    <w:rsid w:val="001D224E"/>
    <w:rsid w:val="001D2700"/>
    <w:rsid w:val="001D51EC"/>
    <w:rsid w:val="001D78DD"/>
    <w:rsid w:val="001E0E1D"/>
    <w:rsid w:val="001E16BE"/>
    <w:rsid w:val="001E1776"/>
    <w:rsid w:val="001E23E6"/>
    <w:rsid w:val="001E26A8"/>
    <w:rsid w:val="001E3352"/>
    <w:rsid w:val="001E3D1B"/>
    <w:rsid w:val="001E6B55"/>
    <w:rsid w:val="001F318C"/>
    <w:rsid w:val="001F3BF7"/>
    <w:rsid w:val="001F5378"/>
    <w:rsid w:val="001F629B"/>
    <w:rsid w:val="001F6D95"/>
    <w:rsid w:val="001F732B"/>
    <w:rsid w:val="001F737A"/>
    <w:rsid w:val="001F76BE"/>
    <w:rsid w:val="00200473"/>
    <w:rsid w:val="00201B9F"/>
    <w:rsid w:val="00205A2F"/>
    <w:rsid w:val="00206EF4"/>
    <w:rsid w:val="00207B62"/>
    <w:rsid w:val="002109E8"/>
    <w:rsid w:val="00212351"/>
    <w:rsid w:val="00213463"/>
    <w:rsid w:val="002135B7"/>
    <w:rsid w:val="0021392B"/>
    <w:rsid w:val="00213D66"/>
    <w:rsid w:val="00214E21"/>
    <w:rsid w:val="00216274"/>
    <w:rsid w:val="00216780"/>
    <w:rsid w:val="00220780"/>
    <w:rsid w:val="002215D0"/>
    <w:rsid w:val="00222743"/>
    <w:rsid w:val="00222B76"/>
    <w:rsid w:val="002239BD"/>
    <w:rsid w:val="002271A3"/>
    <w:rsid w:val="00227BDB"/>
    <w:rsid w:val="002307F6"/>
    <w:rsid w:val="00230967"/>
    <w:rsid w:val="0023474F"/>
    <w:rsid w:val="00234E0E"/>
    <w:rsid w:val="00235749"/>
    <w:rsid w:val="002402F6"/>
    <w:rsid w:val="00240A87"/>
    <w:rsid w:val="00241C08"/>
    <w:rsid w:val="00242CE5"/>
    <w:rsid w:val="00243C80"/>
    <w:rsid w:val="00244577"/>
    <w:rsid w:val="002464B3"/>
    <w:rsid w:val="00246980"/>
    <w:rsid w:val="00247651"/>
    <w:rsid w:val="00247C15"/>
    <w:rsid w:val="00251F94"/>
    <w:rsid w:val="00253E01"/>
    <w:rsid w:val="002546CE"/>
    <w:rsid w:val="00256A37"/>
    <w:rsid w:val="00256C57"/>
    <w:rsid w:val="00256EBC"/>
    <w:rsid w:val="00257C54"/>
    <w:rsid w:val="00260A46"/>
    <w:rsid w:val="00261680"/>
    <w:rsid w:val="00262D6F"/>
    <w:rsid w:val="00262DBB"/>
    <w:rsid w:val="0026565D"/>
    <w:rsid w:val="002664EE"/>
    <w:rsid w:val="0027042D"/>
    <w:rsid w:val="002717BC"/>
    <w:rsid w:val="00271D38"/>
    <w:rsid w:val="00272601"/>
    <w:rsid w:val="00273215"/>
    <w:rsid w:val="00276008"/>
    <w:rsid w:val="00276781"/>
    <w:rsid w:val="002772D9"/>
    <w:rsid w:val="00277EAF"/>
    <w:rsid w:val="0028053D"/>
    <w:rsid w:val="00281EF8"/>
    <w:rsid w:val="00282346"/>
    <w:rsid w:val="00283EE9"/>
    <w:rsid w:val="0028419B"/>
    <w:rsid w:val="00284F46"/>
    <w:rsid w:val="00290A33"/>
    <w:rsid w:val="00290F2B"/>
    <w:rsid w:val="002914DC"/>
    <w:rsid w:val="002925EF"/>
    <w:rsid w:val="00292D7F"/>
    <w:rsid w:val="0029324A"/>
    <w:rsid w:val="0029391A"/>
    <w:rsid w:val="00297023"/>
    <w:rsid w:val="00297CBE"/>
    <w:rsid w:val="002A078A"/>
    <w:rsid w:val="002A1065"/>
    <w:rsid w:val="002A1B3B"/>
    <w:rsid w:val="002A388C"/>
    <w:rsid w:val="002A432C"/>
    <w:rsid w:val="002A5ACE"/>
    <w:rsid w:val="002A5CA6"/>
    <w:rsid w:val="002A7B5F"/>
    <w:rsid w:val="002B2DC1"/>
    <w:rsid w:val="002B3727"/>
    <w:rsid w:val="002B3DE5"/>
    <w:rsid w:val="002B6B13"/>
    <w:rsid w:val="002B7544"/>
    <w:rsid w:val="002C3BFA"/>
    <w:rsid w:val="002C49D0"/>
    <w:rsid w:val="002C5950"/>
    <w:rsid w:val="002C706C"/>
    <w:rsid w:val="002C7C66"/>
    <w:rsid w:val="002D17F7"/>
    <w:rsid w:val="002D2C83"/>
    <w:rsid w:val="002D378B"/>
    <w:rsid w:val="002D3819"/>
    <w:rsid w:val="002D4A9A"/>
    <w:rsid w:val="002E0D91"/>
    <w:rsid w:val="002E0DDA"/>
    <w:rsid w:val="002E12A7"/>
    <w:rsid w:val="002E387C"/>
    <w:rsid w:val="002E394E"/>
    <w:rsid w:val="002E3FC6"/>
    <w:rsid w:val="002E4CDA"/>
    <w:rsid w:val="002E4EDC"/>
    <w:rsid w:val="002E5313"/>
    <w:rsid w:val="002E73E8"/>
    <w:rsid w:val="002E7C05"/>
    <w:rsid w:val="002F07A8"/>
    <w:rsid w:val="002F108E"/>
    <w:rsid w:val="002F174B"/>
    <w:rsid w:val="002F1A35"/>
    <w:rsid w:val="002F4DE4"/>
    <w:rsid w:val="002F5CEE"/>
    <w:rsid w:val="002F6434"/>
    <w:rsid w:val="002F6A06"/>
    <w:rsid w:val="002F7962"/>
    <w:rsid w:val="002F7C5F"/>
    <w:rsid w:val="003006D4"/>
    <w:rsid w:val="00301644"/>
    <w:rsid w:val="003034A2"/>
    <w:rsid w:val="003047BF"/>
    <w:rsid w:val="00305597"/>
    <w:rsid w:val="00305DDB"/>
    <w:rsid w:val="003063FB"/>
    <w:rsid w:val="003074F1"/>
    <w:rsid w:val="00307D49"/>
    <w:rsid w:val="0031017F"/>
    <w:rsid w:val="00312B24"/>
    <w:rsid w:val="00312CB8"/>
    <w:rsid w:val="003149B9"/>
    <w:rsid w:val="00316376"/>
    <w:rsid w:val="003164F2"/>
    <w:rsid w:val="00317669"/>
    <w:rsid w:val="00322186"/>
    <w:rsid w:val="00323261"/>
    <w:rsid w:val="003257BA"/>
    <w:rsid w:val="00325F51"/>
    <w:rsid w:val="003265DC"/>
    <w:rsid w:val="00330204"/>
    <w:rsid w:val="003308AA"/>
    <w:rsid w:val="00331C52"/>
    <w:rsid w:val="00333E17"/>
    <w:rsid w:val="00333F02"/>
    <w:rsid w:val="00334FC9"/>
    <w:rsid w:val="003351ED"/>
    <w:rsid w:val="00335D5C"/>
    <w:rsid w:val="00337034"/>
    <w:rsid w:val="00337380"/>
    <w:rsid w:val="003378B1"/>
    <w:rsid w:val="00341ADE"/>
    <w:rsid w:val="003427C9"/>
    <w:rsid w:val="00343CB5"/>
    <w:rsid w:val="00343F0A"/>
    <w:rsid w:val="00344DC1"/>
    <w:rsid w:val="003456B5"/>
    <w:rsid w:val="0034724F"/>
    <w:rsid w:val="00350DE4"/>
    <w:rsid w:val="00352098"/>
    <w:rsid w:val="00352185"/>
    <w:rsid w:val="00352C2E"/>
    <w:rsid w:val="00354BC8"/>
    <w:rsid w:val="00355DF4"/>
    <w:rsid w:val="00355EAE"/>
    <w:rsid w:val="003560AD"/>
    <w:rsid w:val="003577A8"/>
    <w:rsid w:val="0036349A"/>
    <w:rsid w:val="00364603"/>
    <w:rsid w:val="003657C2"/>
    <w:rsid w:val="003674BA"/>
    <w:rsid w:val="00372C02"/>
    <w:rsid w:val="00372FEC"/>
    <w:rsid w:val="003754D8"/>
    <w:rsid w:val="00375A94"/>
    <w:rsid w:val="00375DC2"/>
    <w:rsid w:val="00380C56"/>
    <w:rsid w:val="00380E09"/>
    <w:rsid w:val="00381667"/>
    <w:rsid w:val="003834AE"/>
    <w:rsid w:val="003836FC"/>
    <w:rsid w:val="00384B24"/>
    <w:rsid w:val="00384C57"/>
    <w:rsid w:val="003870A1"/>
    <w:rsid w:val="0039128E"/>
    <w:rsid w:val="00392C1C"/>
    <w:rsid w:val="0039588E"/>
    <w:rsid w:val="00395E0C"/>
    <w:rsid w:val="003A0C50"/>
    <w:rsid w:val="003A1F05"/>
    <w:rsid w:val="003A4B34"/>
    <w:rsid w:val="003A4DAA"/>
    <w:rsid w:val="003A7B50"/>
    <w:rsid w:val="003A7C39"/>
    <w:rsid w:val="003B03DF"/>
    <w:rsid w:val="003B164A"/>
    <w:rsid w:val="003B23D5"/>
    <w:rsid w:val="003B2CB5"/>
    <w:rsid w:val="003B3CA1"/>
    <w:rsid w:val="003B3CD0"/>
    <w:rsid w:val="003B5606"/>
    <w:rsid w:val="003B5BE6"/>
    <w:rsid w:val="003B7C13"/>
    <w:rsid w:val="003C1B51"/>
    <w:rsid w:val="003C4216"/>
    <w:rsid w:val="003C5476"/>
    <w:rsid w:val="003C62EF"/>
    <w:rsid w:val="003C6522"/>
    <w:rsid w:val="003C6FCA"/>
    <w:rsid w:val="003D08FE"/>
    <w:rsid w:val="003D0B7F"/>
    <w:rsid w:val="003D0F81"/>
    <w:rsid w:val="003D3B2B"/>
    <w:rsid w:val="003D3B37"/>
    <w:rsid w:val="003D718F"/>
    <w:rsid w:val="003E0E48"/>
    <w:rsid w:val="003E2CFC"/>
    <w:rsid w:val="003E40AD"/>
    <w:rsid w:val="003E54D6"/>
    <w:rsid w:val="003E6193"/>
    <w:rsid w:val="003F0A27"/>
    <w:rsid w:val="003F1440"/>
    <w:rsid w:val="003F1965"/>
    <w:rsid w:val="003F1A31"/>
    <w:rsid w:val="003F213A"/>
    <w:rsid w:val="003F251C"/>
    <w:rsid w:val="003F28FA"/>
    <w:rsid w:val="003F2E20"/>
    <w:rsid w:val="003F3A1D"/>
    <w:rsid w:val="003F5625"/>
    <w:rsid w:val="003F5B41"/>
    <w:rsid w:val="003F5D8F"/>
    <w:rsid w:val="003F6563"/>
    <w:rsid w:val="003F6C47"/>
    <w:rsid w:val="004002FC"/>
    <w:rsid w:val="00400C21"/>
    <w:rsid w:val="004023AD"/>
    <w:rsid w:val="004023B6"/>
    <w:rsid w:val="004026DC"/>
    <w:rsid w:val="00403FF2"/>
    <w:rsid w:val="00404644"/>
    <w:rsid w:val="00406993"/>
    <w:rsid w:val="00411090"/>
    <w:rsid w:val="00411B7C"/>
    <w:rsid w:val="0041336B"/>
    <w:rsid w:val="00413629"/>
    <w:rsid w:val="004148E4"/>
    <w:rsid w:val="00417303"/>
    <w:rsid w:val="00421996"/>
    <w:rsid w:val="004247DF"/>
    <w:rsid w:val="00424977"/>
    <w:rsid w:val="00424E7B"/>
    <w:rsid w:val="0042792F"/>
    <w:rsid w:val="0043108A"/>
    <w:rsid w:val="004323ED"/>
    <w:rsid w:val="00432D5E"/>
    <w:rsid w:val="004344CE"/>
    <w:rsid w:val="0043472D"/>
    <w:rsid w:val="004378BC"/>
    <w:rsid w:val="0044046C"/>
    <w:rsid w:val="00440B96"/>
    <w:rsid w:val="00441FA8"/>
    <w:rsid w:val="0044316B"/>
    <w:rsid w:val="00444151"/>
    <w:rsid w:val="0044495B"/>
    <w:rsid w:val="00445834"/>
    <w:rsid w:val="00445AD0"/>
    <w:rsid w:val="00450CE1"/>
    <w:rsid w:val="0045161B"/>
    <w:rsid w:val="0045252B"/>
    <w:rsid w:val="00454692"/>
    <w:rsid w:val="00454B24"/>
    <w:rsid w:val="00454F25"/>
    <w:rsid w:val="004553AF"/>
    <w:rsid w:val="004557BF"/>
    <w:rsid w:val="0046329B"/>
    <w:rsid w:val="00465603"/>
    <w:rsid w:val="00466F1A"/>
    <w:rsid w:val="00467617"/>
    <w:rsid w:val="004677BA"/>
    <w:rsid w:val="00467A8A"/>
    <w:rsid w:val="004703D3"/>
    <w:rsid w:val="00470C47"/>
    <w:rsid w:val="00470EB7"/>
    <w:rsid w:val="0047327C"/>
    <w:rsid w:val="00473F77"/>
    <w:rsid w:val="004809E0"/>
    <w:rsid w:val="00480ABC"/>
    <w:rsid w:val="00481C3C"/>
    <w:rsid w:val="00482742"/>
    <w:rsid w:val="00485A68"/>
    <w:rsid w:val="00486489"/>
    <w:rsid w:val="00486D4A"/>
    <w:rsid w:val="0048743B"/>
    <w:rsid w:val="004903E8"/>
    <w:rsid w:val="0049153A"/>
    <w:rsid w:val="0049222F"/>
    <w:rsid w:val="0049318A"/>
    <w:rsid w:val="004938F7"/>
    <w:rsid w:val="00493C61"/>
    <w:rsid w:val="00494E8B"/>
    <w:rsid w:val="0049583C"/>
    <w:rsid w:val="0049600D"/>
    <w:rsid w:val="00496D72"/>
    <w:rsid w:val="004A062D"/>
    <w:rsid w:val="004A17E9"/>
    <w:rsid w:val="004A2CD3"/>
    <w:rsid w:val="004A2F37"/>
    <w:rsid w:val="004A41EC"/>
    <w:rsid w:val="004A614F"/>
    <w:rsid w:val="004A7B59"/>
    <w:rsid w:val="004B05EF"/>
    <w:rsid w:val="004B0C74"/>
    <w:rsid w:val="004B1410"/>
    <w:rsid w:val="004B15CE"/>
    <w:rsid w:val="004B3131"/>
    <w:rsid w:val="004B5A57"/>
    <w:rsid w:val="004B610E"/>
    <w:rsid w:val="004B63EB"/>
    <w:rsid w:val="004B700D"/>
    <w:rsid w:val="004C47FC"/>
    <w:rsid w:val="004C4ABD"/>
    <w:rsid w:val="004C5CD9"/>
    <w:rsid w:val="004C5F49"/>
    <w:rsid w:val="004C7772"/>
    <w:rsid w:val="004C7E68"/>
    <w:rsid w:val="004D15AC"/>
    <w:rsid w:val="004D5D61"/>
    <w:rsid w:val="004D6B8D"/>
    <w:rsid w:val="004E0E0A"/>
    <w:rsid w:val="004E2816"/>
    <w:rsid w:val="004E2CB7"/>
    <w:rsid w:val="004E5210"/>
    <w:rsid w:val="004F0186"/>
    <w:rsid w:val="004F1FAD"/>
    <w:rsid w:val="004F28DB"/>
    <w:rsid w:val="004F2DEC"/>
    <w:rsid w:val="004F423F"/>
    <w:rsid w:val="004F6255"/>
    <w:rsid w:val="004F6C68"/>
    <w:rsid w:val="004F74D6"/>
    <w:rsid w:val="004F7C1F"/>
    <w:rsid w:val="005001D4"/>
    <w:rsid w:val="00500536"/>
    <w:rsid w:val="0050085A"/>
    <w:rsid w:val="00501945"/>
    <w:rsid w:val="0050196B"/>
    <w:rsid w:val="00501F5E"/>
    <w:rsid w:val="00505CB0"/>
    <w:rsid w:val="005060E8"/>
    <w:rsid w:val="005064A7"/>
    <w:rsid w:val="005077FF"/>
    <w:rsid w:val="00510458"/>
    <w:rsid w:val="00512BB4"/>
    <w:rsid w:val="00513E90"/>
    <w:rsid w:val="005147A0"/>
    <w:rsid w:val="00514E29"/>
    <w:rsid w:val="005219D0"/>
    <w:rsid w:val="00521C4C"/>
    <w:rsid w:val="00521C98"/>
    <w:rsid w:val="00522BE0"/>
    <w:rsid w:val="00524497"/>
    <w:rsid w:val="00524796"/>
    <w:rsid w:val="00525A80"/>
    <w:rsid w:val="0052624B"/>
    <w:rsid w:val="00532051"/>
    <w:rsid w:val="00533A13"/>
    <w:rsid w:val="00535627"/>
    <w:rsid w:val="00535AF2"/>
    <w:rsid w:val="005361EF"/>
    <w:rsid w:val="00536A5A"/>
    <w:rsid w:val="00536BCA"/>
    <w:rsid w:val="00537410"/>
    <w:rsid w:val="00537BB6"/>
    <w:rsid w:val="005404AE"/>
    <w:rsid w:val="00541868"/>
    <w:rsid w:val="00541DEB"/>
    <w:rsid w:val="005420C2"/>
    <w:rsid w:val="00542103"/>
    <w:rsid w:val="00542912"/>
    <w:rsid w:val="00543F96"/>
    <w:rsid w:val="00544DDA"/>
    <w:rsid w:val="00544DEC"/>
    <w:rsid w:val="0054537B"/>
    <w:rsid w:val="00545DEE"/>
    <w:rsid w:val="005465DD"/>
    <w:rsid w:val="00547173"/>
    <w:rsid w:val="00547EEF"/>
    <w:rsid w:val="0055015A"/>
    <w:rsid w:val="00551376"/>
    <w:rsid w:val="005530FF"/>
    <w:rsid w:val="00555E49"/>
    <w:rsid w:val="00560B46"/>
    <w:rsid w:val="005611C9"/>
    <w:rsid w:val="00562485"/>
    <w:rsid w:val="0056258D"/>
    <w:rsid w:val="00563650"/>
    <w:rsid w:val="00563A61"/>
    <w:rsid w:val="00564978"/>
    <w:rsid w:val="00564AE4"/>
    <w:rsid w:val="005665FC"/>
    <w:rsid w:val="005668B4"/>
    <w:rsid w:val="00567056"/>
    <w:rsid w:val="0057074D"/>
    <w:rsid w:val="005711F4"/>
    <w:rsid w:val="00571CC3"/>
    <w:rsid w:val="00571D0E"/>
    <w:rsid w:val="00573254"/>
    <w:rsid w:val="00573798"/>
    <w:rsid w:val="00575685"/>
    <w:rsid w:val="00576BE5"/>
    <w:rsid w:val="00576E5D"/>
    <w:rsid w:val="00577004"/>
    <w:rsid w:val="00577A2E"/>
    <w:rsid w:val="00582610"/>
    <w:rsid w:val="0058474C"/>
    <w:rsid w:val="00585BAB"/>
    <w:rsid w:val="005873DB"/>
    <w:rsid w:val="005909D4"/>
    <w:rsid w:val="00590F28"/>
    <w:rsid w:val="00591F09"/>
    <w:rsid w:val="00592371"/>
    <w:rsid w:val="005930AB"/>
    <w:rsid w:val="00594482"/>
    <w:rsid w:val="00596630"/>
    <w:rsid w:val="0059673F"/>
    <w:rsid w:val="005968D0"/>
    <w:rsid w:val="00597BE4"/>
    <w:rsid w:val="005A1F13"/>
    <w:rsid w:val="005A2A22"/>
    <w:rsid w:val="005A3FF0"/>
    <w:rsid w:val="005A4100"/>
    <w:rsid w:val="005A63CD"/>
    <w:rsid w:val="005B00A4"/>
    <w:rsid w:val="005B1E06"/>
    <w:rsid w:val="005B20EE"/>
    <w:rsid w:val="005B4F7E"/>
    <w:rsid w:val="005B6441"/>
    <w:rsid w:val="005C3165"/>
    <w:rsid w:val="005C4125"/>
    <w:rsid w:val="005C5663"/>
    <w:rsid w:val="005C599D"/>
    <w:rsid w:val="005C5DEC"/>
    <w:rsid w:val="005D36A3"/>
    <w:rsid w:val="005D4E6F"/>
    <w:rsid w:val="005D599D"/>
    <w:rsid w:val="005D5DF1"/>
    <w:rsid w:val="005D7325"/>
    <w:rsid w:val="005E29B6"/>
    <w:rsid w:val="005E33D6"/>
    <w:rsid w:val="005E3FCC"/>
    <w:rsid w:val="005E4128"/>
    <w:rsid w:val="005E41C6"/>
    <w:rsid w:val="005E55D0"/>
    <w:rsid w:val="005E56CA"/>
    <w:rsid w:val="005E6DAC"/>
    <w:rsid w:val="005F10C6"/>
    <w:rsid w:val="005F10D1"/>
    <w:rsid w:val="005F140A"/>
    <w:rsid w:val="005F179A"/>
    <w:rsid w:val="005F26C5"/>
    <w:rsid w:val="005F5CBE"/>
    <w:rsid w:val="005F734C"/>
    <w:rsid w:val="005F76C3"/>
    <w:rsid w:val="00604F72"/>
    <w:rsid w:val="006060E3"/>
    <w:rsid w:val="00611480"/>
    <w:rsid w:val="00611C3B"/>
    <w:rsid w:val="00613EA1"/>
    <w:rsid w:val="00615420"/>
    <w:rsid w:val="006161FA"/>
    <w:rsid w:val="0061677C"/>
    <w:rsid w:val="0062140F"/>
    <w:rsid w:val="00622FD0"/>
    <w:rsid w:val="00623ACC"/>
    <w:rsid w:val="0062648D"/>
    <w:rsid w:val="00630991"/>
    <w:rsid w:val="00630FA9"/>
    <w:rsid w:val="00630FDE"/>
    <w:rsid w:val="006338DA"/>
    <w:rsid w:val="00633C06"/>
    <w:rsid w:val="0063510A"/>
    <w:rsid w:val="0063749E"/>
    <w:rsid w:val="00640156"/>
    <w:rsid w:val="00641F69"/>
    <w:rsid w:val="00644087"/>
    <w:rsid w:val="00645F25"/>
    <w:rsid w:val="0064658F"/>
    <w:rsid w:val="00646C04"/>
    <w:rsid w:val="006470AB"/>
    <w:rsid w:val="00651228"/>
    <w:rsid w:val="00651E77"/>
    <w:rsid w:val="0065201E"/>
    <w:rsid w:val="00653631"/>
    <w:rsid w:val="00653F65"/>
    <w:rsid w:val="00654749"/>
    <w:rsid w:val="00657601"/>
    <w:rsid w:val="00660D66"/>
    <w:rsid w:val="0066299A"/>
    <w:rsid w:val="00662EF3"/>
    <w:rsid w:val="00667093"/>
    <w:rsid w:val="00667BCD"/>
    <w:rsid w:val="00670E49"/>
    <w:rsid w:val="00677E72"/>
    <w:rsid w:val="00681B3F"/>
    <w:rsid w:val="00682408"/>
    <w:rsid w:val="006841E9"/>
    <w:rsid w:val="0068653A"/>
    <w:rsid w:val="00686BC0"/>
    <w:rsid w:val="00687732"/>
    <w:rsid w:val="00690541"/>
    <w:rsid w:val="00691613"/>
    <w:rsid w:val="00691941"/>
    <w:rsid w:val="00692171"/>
    <w:rsid w:val="00692C53"/>
    <w:rsid w:val="006942F4"/>
    <w:rsid w:val="006970E1"/>
    <w:rsid w:val="006973AA"/>
    <w:rsid w:val="006975FF"/>
    <w:rsid w:val="00697749"/>
    <w:rsid w:val="006A0317"/>
    <w:rsid w:val="006A0CC9"/>
    <w:rsid w:val="006A3E5B"/>
    <w:rsid w:val="006A496C"/>
    <w:rsid w:val="006A4ADE"/>
    <w:rsid w:val="006A4F4C"/>
    <w:rsid w:val="006A763F"/>
    <w:rsid w:val="006B06B6"/>
    <w:rsid w:val="006B06DF"/>
    <w:rsid w:val="006B1998"/>
    <w:rsid w:val="006B242F"/>
    <w:rsid w:val="006B305B"/>
    <w:rsid w:val="006B3274"/>
    <w:rsid w:val="006C2081"/>
    <w:rsid w:val="006C2D2B"/>
    <w:rsid w:val="006C2F77"/>
    <w:rsid w:val="006C3DE3"/>
    <w:rsid w:val="006C4BBF"/>
    <w:rsid w:val="006C532B"/>
    <w:rsid w:val="006C7B3C"/>
    <w:rsid w:val="006D3275"/>
    <w:rsid w:val="006D3705"/>
    <w:rsid w:val="006D55FB"/>
    <w:rsid w:val="006D7972"/>
    <w:rsid w:val="006E074D"/>
    <w:rsid w:val="006E1658"/>
    <w:rsid w:val="006E3870"/>
    <w:rsid w:val="006E3914"/>
    <w:rsid w:val="006E5FD0"/>
    <w:rsid w:val="006E6146"/>
    <w:rsid w:val="006E6870"/>
    <w:rsid w:val="006E74F5"/>
    <w:rsid w:val="006E75EB"/>
    <w:rsid w:val="006E784D"/>
    <w:rsid w:val="006E7C32"/>
    <w:rsid w:val="006F06B8"/>
    <w:rsid w:val="006F0BEA"/>
    <w:rsid w:val="006F26F8"/>
    <w:rsid w:val="006F30D9"/>
    <w:rsid w:val="006F35E5"/>
    <w:rsid w:val="006F3CF3"/>
    <w:rsid w:val="006F4700"/>
    <w:rsid w:val="006F5BEA"/>
    <w:rsid w:val="006F6EFE"/>
    <w:rsid w:val="0070288A"/>
    <w:rsid w:val="007059B4"/>
    <w:rsid w:val="00705B1C"/>
    <w:rsid w:val="00706EE0"/>
    <w:rsid w:val="007110C3"/>
    <w:rsid w:val="007113B3"/>
    <w:rsid w:val="007129CC"/>
    <w:rsid w:val="00713086"/>
    <w:rsid w:val="0071410A"/>
    <w:rsid w:val="00714A45"/>
    <w:rsid w:val="00714CBE"/>
    <w:rsid w:val="007169DE"/>
    <w:rsid w:val="00717EF0"/>
    <w:rsid w:val="0072106C"/>
    <w:rsid w:val="00721E6B"/>
    <w:rsid w:val="007226AA"/>
    <w:rsid w:val="00722FA1"/>
    <w:rsid w:val="00724C14"/>
    <w:rsid w:val="00726024"/>
    <w:rsid w:val="00727473"/>
    <w:rsid w:val="00733536"/>
    <w:rsid w:val="0073563D"/>
    <w:rsid w:val="00735703"/>
    <w:rsid w:val="00736CAE"/>
    <w:rsid w:val="00736FB6"/>
    <w:rsid w:val="007377A4"/>
    <w:rsid w:val="0073799F"/>
    <w:rsid w:val="00737A87"/>
    <w:rsid w:val="00740451"/>
    <w:rsid w:val="00741120"/>
    <w:rsid w:val="0074181C"/>
    <w:rsid w:val="0074187D"/>
    <w:rsid w:val="00743262"/>
    <w:rsid w:val="007436A6"/>
    <w:rsid w:val="007439AE"/>
    <w:rsid w:val="00747220"/>
    <w:rsid w:val="00747AD6"/>
    <w:rsid w:val="00751F54"/>
    <w:rsid w:val="00754BD3"/>
    <w:rsid w:val="00755AF1"/>
    <w:rsid w:val="00760844"/>
    <w:rsid w:val="00760D7C"/>
    <w:rsid w:val="00762DA1"/>
    <w:rsid w:val="00763E0D"/>
    <w:rsid w:val="00766382"/>
    <w:rsid w:val="00767056"/>
    <w:rsid w:val="007710A2"/>
    <w:rsid w:val="007733BA"/>
    <w:rsid w:val="0077376E"/>
    <w:rsid w:val="00774000"/>
    <w:rsid w:val="007747AC"/>
    <w:rsid w:val="00780694"/>
    <w:rsid w:val="00780878"/>
    <w:rsid w:val="00780C88"/>
    <w:rsid w:val="0078568A"/>
    <w:rsid w:val="007856B9"/>
    <w:rsid w:val="007879F2"/>
    <w:rsid w:val="00787AA7"/>
    <w:rsid w:val="00791A8B"/>
    <w:rsid w:val="00792301"/>
    <w:rsid w:val="00792E95"/>
    <w:rsid w:val="00794E10"/>
    <w:rsid w:val="00796755"/>
    <w:rsid w:val="00796D66"/>
    <w:rsid w:val="007A2DDE"/>
    <w:rsid w:val="007A4A20"/>
    <w:rsid w:val="007A520A"/>
    <w:rsid w:val="007A5280"/>
    <w:rsid w:val="007A5582"/>
    <w:rsid w:val="007A6B02"/>
    <w:rsid w:val="007B0B56"/>
    <w:rsid w:val="007B1591"/>
    <w:rsid w:val="007B18AD"/>
    <w:rsid w:val="007B36BD"/>
    <w:rsid w:val="007B4CF0"/>
    <w:rsid w:val="007B5BDC"/>
    <w:rsid w:val="007C0AE6"/>
    <w:rsid w:val="007C312C"/>
    <w:rsid w:val="007C3B7E"/>
    <w:rsid w:val="007C538C"/>
    <w:rsid w:val="007C5440"/>
    <w:rsid w:val="007C6B3C"/>
    <w:rsid w:val="007C75B7"/>
    <w:rsid w:val="007C7A6E"/>
    <w:rsid w:val="007D21C5"/>
    <w:rsid w:val="007D2230"/>
    <w:rsid w:val="007D3436"/>
    <w:rsid w:val="007E0453"/>
    <w:rsid w:val="007E172B"/>
    <w:rsid w:val="007E3617"/>
    <w:rsid w:val="007E39C4"/>
    <w:rsid w:val="007F4E91"/>
    <w:rsid w:val="007F5394"/>
    <w:rsid w:val="007F588A"/>
    <w:rsid w:val="007F66FA"/>
    <w:rsid w:val="007F6901"/>
    <w:rsid w:val="008102C0"/>
    <w:rsid w:val="00811252"/>
    <w:rsid w:val="0081207A"/>
    <w:rsid w:val="00812AD0"/>
    <w:rsid w:val="00813026"/>
    <w:rsid w:val="00813753"/>
    <w:rsid w:val="008167A9"/>
    <w:rsid w:val="00822D00"/>
    <w:rsid w:val="00823E94"/>
    <w:rsid w:val="008250FB"/>
    <w:rsid w:val="00827E30"/>
    <w:rsid w:val="00832DE5"/>
    <w:rsid w:val="00834230"/>
    <w:rsid w:val="00835D50"/>
    <w:rsid w:val="00836FC9"/>
    <w:rsid w:val="00837BDF"/>
    <w:rsid w:val="0084105B"/>
    <w:rsid w:val="008418B4"/>
    <w:rsid w:val="00841F64"/>
    <w:rsid w:val="008443E6"/>
    <w:rsid w:val="00844D61"/>
    <w:rsid w:val="008455C6"/>
    <w:rsid w:val="00846997"/>
    <w:rsid w:val="00847DE6"/>
    <w:rsid w:val="00850686"/>
    <w:rsid w:val="00851B3C"/>
    <w:rsid w:val="00853F52"/>
    <w:rsid w:val="00856DB1"/>
    <w:rsid w:val="00860BDD"/>
    <w:rsid w:val="0086370B"/>
    <w:rsid w:val="0086424C"/>
    <w:rsid w:val="00877F79"/>
    <w:rsid w:val="008839B1"/>
    <w:rsid w:val="00884027"/>
    <w:rsid w:val="0088625D"/>
    <w:rsid w:val="008921F1"/>
    <w:rsid w:val="00892396"/>
    <w:rsid w:val="008938DA"/>
    <w:rsid w:val="0089464A"/>
    <w:rsid w:val="00895CF8"/>
    <w:rsid w:val="008968DA"/>
    <w:rsid w:val="008A074E"/>
    <w:rsid w:val="008A1FFA"/>
    <w:rsid w:val="008A35A1"/>
    <w:rsid w:val="008A47E0"/>
    <w:rsid w:val="008A4AF1"/>
    <w:rsid w:val="008A6B2E"/>
    <w:rsid w:val="008A7E3B"/>
    <w:rsid w:val="008B06DE"/>
    <w:rsid w:val="008B10A9"/>
    <w:rsid w:val="008B1F0E"/>
    <w:rsid w:val="008B3385"/>
    <w:rsid w:val="008B49AB"/>
    <w:rsid w:val="008B4BF0"/>
    <w:rsid w:val="008B622B"/>
    <w:rsid w:val="008B6DC0"/>
    <w:rsid w:val="008C1988"/>
    <w:rsid w:val="008C24E1"/>
    <w:rsid w:val="008C4DBC"/>
    <w:rsid w:val="008C5BEC"/>
    <w:rsid w:val="008C5D9C"/>
    <w:rsid w:val="008D0998"/>
    <w:rsid w:val="008D1AFA"/>
    <w:rsid w:val="008D3884"/>
    <w:rsid w:val="008D510B"/>
    <w:rsid w:val="008D54C4"/>
    <w:rsid w:val="008D57ED"/>
    <w:rsid w:val="008E0761"/>
    <w:rsid w:val="008E174E"/>
    <w:rsid w:val="008E6036"/>
    <w:rsid w:val="008F179B"/>
    <w:rsid w:val="008F2C5A"/>
    <w:rsid w:val="008F3EA7"/>
    <w:rsid w:val="008F51AB"/>
    <w:rsid w:val="008F5EEB"/>
    <w:rsid w:val="008F687E"/>
    <w:rsid w:val="00900C68"/>
    <w:rsid w:val="0090110C"/>
    <w:rsid w:val="00905AEC"/>
    <w:rsid w:val="00905E79"/>
    <w:rsid w:val="009063B8"/>
    <w:rsid w:val="00907299"/>
    <w:rsid w:val="00912391"/>
    <w:rsid w:val="00913DE5"/>
    <w:rsid w:val="00920412"/>
    <w:rsid w:val="00922384"/>
    <w:rsid w:val="0092349B"/>
    <w:rsid w:val="00923828"/>
    <w:rsid w:val="00923F1D"/>
    <w:rsid w:val="0092437D"/>
    <w:rsid w:val="0092517B"/>
    <w:rsid w:val="009308BD"/>
    <w:rsid w:val="00932A60"/>
    <w:rsid w:val="009334A8"/>
    <w:rsid w:val="009335E4"/>
    <w:rsid w:val="0093486B"/>
    <w:rsid w:val="00934FAF"/>
    <w:rsid w:val="00935F1F"/>
    <w:rsid w:val="00936C0E"/>
    <w:rsid w:val="009373AE"/>
    <w:rsid w:val="00937810"/>
    <w:rsid w:val="00937EE0"/>
    <w:rsid w:val="00941582"/>
    <w:rsid w:val="00943740"/>
    <w:rsid w:val="00944486"/>
    <w:rsid w:val="009445A7"/>
    <w:rsid w:val="00944D77"/>
    <w:rsid w:val="0094663F"/>
    <w:rsid w:val="00946704"/>
    <w:rsid w:val="00946980"/>
    <w:rsid w:val="00946F86"/>
    <w:rsid w:val="00951BDD"/>
    <w:rsid w:val="0095200E"/>
    <w:rsid w:val="00952121"/>
    <w:rsid w:val="00953911"/>
    <w:rsid w:val="009539AD"/>
    <w:rsid w:val="00954DE9"/>
    <w:rsid w:val="0095507D"/>
    <w:rsid w:val="00955728"/>
    <w:rsid w:val="00955B5B"/>
    <w:rsid w:val="0096108C"/>
    <w:rsid w:val="009619B9"/>
    <w:rsid w:val="009648F7"/>
    <w:rsid w:val="009662EA"/>
    <w:rsid w:val="00970D36"/>
    <w:rsid w:val="00970F07"/>
    <w:rsid w:val="00970F87"/>
    <w:rsid w:val="00971525"/>
    <w:rsid w:val="0098438D"/>
    <w:rsid w:val="00985393"/>
    <w:rsid w:val="009900C5"/>
    <w:rsid w:val="0099079B"/>
    <w:rsid w:val="00990A28"/>
    <w:rsid w:val="00991671"/>
    <w:rsid w:val="009930E6"/>
    <w:rsid w:val="00993579"/>
    <w:rsid w:val="009936A0"/>
    <w:rsid w:val="00994232"/>
    <w:rsid w:val="00995DF4"/>
    <w:rsid w:val="00996AA7"/>
    <w:rsid w:val="009A0451"/>
    <w:rsid w:val="009A0DDA"/>
    <w:rsid w:val="009A1173"/>
    <w:rsid w:val="009A2453"/>
    <w:rsid w:val="009A2748"/>
    <w:rsid w:val="009A7B5F"/>
    <w:rsid w:val="009B1ACD"/>
    <w:rsid w:val="009B1DAD"/>
    <w:rsid w:val="009B2243"/>
    <w:rsid w:val="009B2D9F"/>
    <w:rsid w:val="009B3017"/>
    <w:rsid w:val="009B34AF"/>
    <w:rsid w:val="009B413A"/>
    <w:rsid w:val="009B4AC8"/>
    <w:rsid w:val="009B4B86"/>
    <w:rsid w:val="009B7591"/>
    <w:rsid w:val="009B7D7F"/>
    <w:rsid w:val="009C1B4E"/>
    <w:rsid w:val="009C1D27"/>
    <w:rsid w:val="009C3271"/>
    <w:rsid w:val="009C32AA"/>
    <w:rsid w:val="009C449A"/>
    <w:rsid w:val="009C48B2"/>
    <w:rsid w:val="009C492A"/>
    <w:rsid w:val="009D13DD"/>
    <w:rsid w:val="009D1420"/>
    <w:rsid w:val="009D19A6"/>
    <w:rsid w:val="009D2264"/>
    <w:rsid w:val="009D3D19"/>
    <w:rsid w:val="009D7209"/>
    <w:rsid w:val="009E1032"/>
    <w:rsid w:val="009E17E7"/>
    <w:rsid w:val="009E199D"/>
    <w:rsid w:val="009E1C52"/>
    <w:rsid w:val="009E2498"/>
    <w:rsid w:val="009E3A25"/>
    <w:rsid w:val="009E43F2"/>
    <w:rsid w:val="009E61B1"/>
    <w:rsid w:val="009F0315"/>
    <w:rsid w:val="009F042B"/>
    <w:rsid w:val="009F0696"/>
    <w:rsid w:val="009F2C8B"/>
    <w:rsid w:val="009F79E0"/>
    <w:rsid w:val="00A00428"/>
    <w:rsid w:val="00A02A58"/>
    <w:rsid w:val="00A02B69"/>
    <w:rsid w:val="00A03306"/>
    <w:rsid w:val="00A038A8"/>
    <w:rsid w:val="00A038F9"/>
    <w:rsid w:val="00A04744"/>
    <w:rsid w:val="00A05057"/>
    <w:rsid w:val="00A05F05"/>
    <w:rsid w:val="00A0650A"/>
    <w:rsid w:val="00A06E00"/>
    <w:rsid w:val="00A07774"/>
    <w:rsid w:val="00A101D3"/>
    <w:rsid w:val="00A1172E"/>
    <w:rsid w:val="00A11EDB"/>
    <w:rsid w:val="00A12331"/>
    <w:rsid w:val="00A12E9F"/>
    <w:rsid w:val="00A146DF"/>
    <w:rsid w:val="00A179FF"/>
    <w:rsid w:val="00A22198"/>
    <w:rsid w:val="00A247BA"/>
    <w:rsid w:val="00A24A15"/>
    <w:rsid w:val="00A27066"/>
    <w:rsid w:val="00A271AC"/>
    <w:rsid w:val="00A27EC9"/>
    <w:rsid w:val="00A305D2"/>
    <w:rsid w:val="00A31D29"/>
    <w:rsid w:val="00A32BA2"/>
    <w:rsid w:val="00A35AEA"/>
    <w:rsid w:val="00A3615D"/>
    <w:rsid w:val="00A40CE2"/>
    <w:rsid w:val="00A423E3"/>
    <w:rsid w:val="00A45474"/>
    <w:rsid w:val="00A50873"/>
    <w:rsid w:val="00A53577"/>
    <w:rsid w:val="00A5525B"/>
    <w:rsid w:val="00A55712"/>
    <w:rsid w:val="00A56414"/>
    <w:rsid w:val="00A615FA"/>
    <w:rsid w:val="00A61EDA"/>
    <w:rsid w:val="00A637A0"/>
    <w:rsid w:val="00A63A38"/>
    <w:rsid w:val="00A64BC9"/>
    <w:rsid w:val="00A651F0"/>
    <w:rsid w:val="00A704F8"/>
    <w:rsid w:val="00A7198B"/>
    <w:rsid w:val="00A7248D"/>
    <w:rsid w:val="00A76739"/>
    <w:rsid w:val="00A76815"/>
    <w:rsid w:val="00A81E86"/>
    <w:rsid w:val="00A833E0"/>
    <w:rsid w:val="00A90573"/>
    <w:rsid w:val="00A92CC4"/>
    <w:rsid w:val="00A932BA"/>
    <w:rsid w:val="00A936F6"/>
    <w:rsid w:val="00A944BF"/>
    <w:rsid w:val="00A96075"/>
    <w:rsid w:val="00A96D3F"/>
    <w:rsid w:val="00A97DF8"/>
    <w:rsid w:val="00AA00AB"/>
    <w:rsid w:val="00AA094C"/>
    <w:rsid w:val="00AA1C74"/>
    <w:rsid w:val="00AA3678"/>
    <w:rsid w:val="00AA656D"/>
    <w:rsid w:val="00AA77E2"/>
    <w:rsid w:val="00AA7A92"/>
    <w:rsid w:val="00AB079D"/>
    <w:rsid w:val="00AB3CDB"/>
    <w:rsid w:val="00AB4A2E"/>
    <w:rsid w:val="00AB5360"/>
    <w:rsid w:val="00AC01FA"/>
    <w:rsid w:val="00AC03A7"/>
    <w:rsid w:val="00AC23B4"/>
    <w:rsid w:val="00AC6485"/>
    <w:rsid w:val="00AC6EAB"/>
    <w:rsid w:val="00AD0C5A"/>
    <w:rsid w:val="00AD0F35"/>
    <w:rsid w:val="00AD1713"/>
    <w:rsid w:val="00AD23FF"/>
    <w:rsid w:val="00AD310F"/>
    <w:rsid w:val="00AD3BAC"/>
    <w:rsid w:val="00AD648F"/>
    <w:rsid w:val="00AD6AA7"/>
    <w:rsid w:val="00AD744C"/>
    <w:rsid w:val="00AE0083"/>
    <w:rsid w:val="00AE092F"/>
    <w:rsid w:val="00AE0D30"/>
    <w:rsid w:val="00AE10C4"/>
    <w:rsid w:val="00AE2794"/>
    <w:rsid w:val="00AE473B"/>
    <w:rsid w:val="00AE4A63"/>
    <w:rsid w:val="00AE58EE"/>
    <w:rsid w:val="00AE74E9"/>
    <w:rsid w:val="00AF0173"/>
    <w:rsid w:val="00AF0B1A"/>
    <w:rsid w:val="00AF0D9D"/>
    <w:rsid w:val="00AF586B"/>
    <w:rsid w:val="00B0308A"/>
    <w:rsid w:val="00B0395A"/>
    <w:rsid w:val="00B06716"/>
    <w:rsid w:val="00B06CD8"/>
    <w:rsid w:val="00B07098"/>
    <w:rsid w:val="00B073E0"/>
    <w:rsid w:val="00B102D8"/>
    <w:rsid w:val="00B10C02"/>
    <w:rsid w:val="00B10DFF"/>
    <w:rsid w:val="00B1180F"/>
    <w:rsid w:val="00B1183D"/>
    <w:rsid w:val="00B12C8D"/>
    <w:rsid w:val="00B1513A"/>
    <w:rsid w:val="00B1790A"/>
    <w:rsid w:val="00B20558"/>
    <w:rsid w:val="00B20AFE"/>
    <w:rsid w:val="00B21D0B"/>
    <w:rsid w:val="00B223AF"/>
    <w:rsid w:val="00B23A64"/>
    <w:rsid w:val="00B24813"/>
    <w:rsid w:val="00B26BD1"/>
    <w:rsid w:val="00B270FD"/>
    <w:rsid w:val="00B27A81"/>
    <w:rsid w:val="00B309A4"/>
    <w:rsid w:val="00B30DAB"/>
    <w:rsid w:val="00B327D3"/>
    <w:rsid w:val="00B3646B"/>
    <w:rsid w:val="00B36FF4"/>
    <w:rsid w:val="00B379B3"/>
    <w:rsid w:val="00B41964"/>
    <w:rsid w:val="00B45080"/>
    <w:rsid w:val="00B469C3"/>
    <w:rsid w:val="00B5145F"/>
    <w:rsid w:val="00B54703"/>
    <w:rsid w:val="00B54812"/>
    <w:rsid w:val="00B567BC"/>
    <w:rsid w:val="00B57A9C"/>
    <w:rsid w:val="00B6196F"/>
    <w:rsid w:val="00B61DBE"/>
    <w:rsid w:val="00B637B9"/>
    <w:rsid w:val="00B63E59"/>
    <w:rsid w:val="00B64123"/>
    <w:rsid w:val="00B673DC"/>
    <w:rsid w:val="00B728F9"/>
    <w:rsid w:val="00B7460F"/>
    <w:rsid w:val="00B75B1B"/>
    <w:rsid w:val="00B77AB5"/>
    <w:rsid w:val="00B82D49"/>
    <w:rsid w:val="00B83365"/>
    <w:rsid w:val="00B839A8"/>
    <w:rsid w:val="00B8518F"/>
    <w:rsid w:val="00B87CCC"/>
    <w:rsid w:val="00B918D7"/>
    <w:rsid w:val="00B9297B"/>
    <w:rsid w:val="00B93F35"/>
    <w:rsid w:val="00B94AC8"/>
    <w:rsid w:val="00B9563D"/>
    <w:rsid w:val="00B9612D"/>
    <w:rsid w:val="00B9698C"/>
    <w:rsid w:val="00B979CB"/>
    <w:rsid w:val="00BA0831"/>
    <w:rsid w:val="00BA0DE0"/>
    <w:rsid w:val="00BA38A3"/>
    <w:rsid w:val="00BA487A"/>
    <w:rsid w:val="00BA65E7"/>
    <w:rsid w:val="00BA7ED4"/>
    <w:rsid w:val="00BA7FC0"/>
    <w:rsid w:val="00BB04DA"/>
    <w:rsid w:val="00BB0CB2"/>
    <w:rsid w:val="00BB102F"/>
    <w:rsid w:val="00BB11AE"/>
    <w:rsid w:val="00BB188E"/>
    <w:rsid w:val="00BB3418"/>
    <w:rsid w:val="00BB3A4B"/>
    <w:rsid w:val="00BB4212"/>
    <w:rsid w:val="00BB57DD"/>
    <w:rsid w:val="00BC13BE"/>
    <w:rsid w:val="00BC1A9A"/>
    <w:rsid w:val="00BC235E"/>
    <w:rsid w:val="00BC4C26"/>
    <w:rsid w:val="00BC7F59"/>
    <w:rsid w:val="00BD09B5"/>
    <w:rsid w:val="00BD1C6A"/>
    <w:rsid w:val="00BD42EA"/>
    <w:rsid w:val="00BD716A"/>
    <w:rsid w:val="00BD71F5"/>
    <w:rsid w:val="00BD72A8"/>
    <w:rsid w:val="00BE2B54"/>
    <w:rsid w:val="00BE311A"/>
    <w:rsid w:val="00BE41C7"/>
    <w:rsid w:val="00BE4E0C"/>
    <w:rsid w:val="00BE78AF"/>
    <w:rsid w:val="00BE7E1D"/>
    <w:rsid w:val="00BF326D"/>
    <w:rsid w:val="00BF35EA"/>
    <w:rsid w:val="00BF4642"/>
    <w:rsid w:val="00BF5FA0"/>
    <w:rsid w:val="00BF67C8"/>
    <w:rsid w:val="00BF68F3"/>
    <w:rsid w:val="00BF69EB"/>
    <w:rsid w:val="00BF6C41"/>
    <w:rsid w:val="00C06422"/>
    <w:rsid w:val="00C06641"/>
    <w:rsid w:val="00C06ED3"/>
    <w:rsid w:val="00C11925"/>
    <w:rsid w:val="00C124A8"/>
    <w:rsid w:val="00C1266C"/>
    <w:rsid w:val="00C14A25"/>
    <w:rsid w:val="00C14D38"/>
    <w:rsid w:val="00C17931"/>
    <w:rsid w:val="00C20CFA"/>
    <w:rsid w:val="00C21334"/>
    <w:rsid w:val="00C21526"/>
    <w:rsid w:val="00C22BF4"/>
    <w:rsid w:val="00C2579B"/>
    <w:rsid w:val="00C27981"/>
    <w:rsid w:val="00C30DCB"/>
    <w:rsid w:val="00C31E5C"/>
    <w:rsid w:val="00C3381A"/>
    <w:rsid w:val="00C345E2"/>
    <w:rsid w:val="00C354DD"/>
    <w:rsid w:val="00C361A5"/>
    <w:rsid w:val="00C37BE8"/>
    <w:rsid w:val="00C40C40"/>
    <w:rsid w:val="00C45270"/>
    <w:rsid w:val="00C47AB6"/>
    <w:rsid w:val="00C5003B"/>
    <w:rsid w:val="00C50BC9"/>
    <w:rsid w:val="00C50EFA"/>
    <w:rsid w:val="00C5331F"/>
    <w:rsid w:val="00C53842"/>
    <w:rsid w:val="00C53E74"/>
    <w:rsid w:val="00C54A72"/>
    <w:rsid w:val="00C5571B"/>
    <w:rsid w:val="00C566D5"/>
    <w:rsid w:val="00C57F1D"/>
    <w:rsid w:val="00C60340"/>
    <w:rsid w:val="00C60803"/>
    <w:rsid w:val="00C61F6B"/>
    <w:rsid w:val="00C627D7"/>
    <w:rsid w:val="00C62ECE"/>
    <w:rsid w:val="00C6408C"/>
    <w:rsid w:val="00C6451C"/>
    <w:rsid w:val="00C64C2C"/>
    <w:rsid w:val="00C657CC"/>
    <w:rsid w:val="00C667AD"/>
    <w:rsid w:val="00C66D9F"/>
    <w:rsid w:val="00C676D8"/>
    <w:rsid w:val="00C67F10"/>
    <w:rsid w:val="00C7190A"/>
    <w:rsid w:val="00C720E5"/>
    <w:rsid w:val="00C73565"/>
    <w:rsid w:val="00C7663F"/>
    <w:rsid w:val="00C825D4"/>
    <w:rsid w:val="00C835E7"/>
    <w:rsid w:val="00C8384D"/>
    <w:rsid w:val="00C838F0"/>
    <w:rsid w:val="00C8640D"/>
    <w:rsid w:val="00C87DF6"/>
    <w:rsid w:val="00C91F7F"/>
    <w:rsid w:val="00C92BEF"/>
    <w:rsid w:val="00C95DC4"/>
    <w:rsid w:val="00C95EFF"/>
    <w:rsid w:val="00C96454"/>
    <w:rsid w:val="00CA0597"/>
    <w:rsid w:val="00CA2F23"/>
    <w:rsid w:val="00CA32C5"/>
    <w:rsid w:val="00CA34D8"/>
    <w:rsid w:val="00CA3D68"/>
    <w:rsid w:val="00CA521E"/>
    <w:rsid w:val="00CA5A1E"/>
    <w:rsid w:val="00CB04B8"/>
    <w:rsid w:val="00CB076A"/>
    <w:rsid w:val="00CB1793"/>
    <w:rsid w:val="00CB20A7"/>
    <w:rsid w:val="00CB4FAB"/>
    <w:rsid w:val="00CB55A1"/>
    <w:rsid w:val="00CB5DC2"/>
    <w:rsid w:val="00CB63C9"/>
    <w:rsid w:val="00CB6FDB"/>
    <w:rsid w:val="00CC1340"/>
    <w:rsid w:val="00CC17B0"/>
    <w:rsid w:val="00CC262F"/>
    <w:rsid w:val="00CC480C"/>
    <w:rsid w:val="00CC48B6"/>
    <w:rsid w:val="00CC4EC7"/>
    <w:rsid w:val="00CC641E"/>
    <w:rsid w:val="00CC6A0C"/>
    <w:rsid w:val="00CC74DA"/>
    <w:rsid w:val="00CD06C6"/>
    <w:rsid w:val="00CD152D"/>
    <w:rsid w:val="00CD1598"/>
    <w:rsid w:val="00CD3CE6"/>
    <w:rsid w:val="00CD58F3"/>
    <w:rsid w:val="00CD5BB2"/>
    <w:rsid w:val="00CD711F"/>
    <w:rsid w:val="00CE0538"/>
    <w:rsid w:val="00CE0C14"/>
    <w:rsid w:val="00CE1FAF"/>
    <w:rsid w:val="00CE2F80"/>
    <w:rsid w:val="00CE3A8B"/>
    <w:rsid w:val="00CE5FF6"/>
    <w:rsid w:val="00CE7359"/>
    <w:rsid w:val="00CF2A63"/>
    <w:rsid w:val="00CF303A"/>
    <w:rsid w:val="00CF4038"/>
    <w:rsid w:val="00CF4F80"/>
    <w:rsid w:val="00CF57E1"/>
    <w:rsid w:val="00CF5E09"/>
    <w:rsid w:val="00CF615A"/>
    <w:rsid w:val="00CF7211"/>
    <w:rsid w:val="00CF7249"/>
    <w:rsid w:val="00D009DD"/>
    <w:rsid w:val="00D0124C"/>
    <w:rsid w:val="00D02729"/>
    <w:rsid w:val="00D03926"/>
    <w:rsid w:val="00D04D35"/>
    <w:rsid w:val="00D06CC9"/>
    <w:rsid w:val="00D06D05"/>
    <w:rsid w:val="00D11046"/>
    <w:rsid w:val="00D12B7A"/>
    <w:rsid w:val="00D14053"/>
    <w:rsid w:val="00D179C1"/>
    <w:rsid w:val="00D17F13"/>
    <w:rsid w:val="00D20CAC"/>
    <w:rsid w:val="00D24AFF"/>
    <w:rsid w:val="00D25490"/>
    <w:rsid w:val="00D25AEE"/>
    <w:rsid w:val="00D25CD3"/>
    <w:rsid w:val="00D261E5"/>
    <w:rsid w:val="00D26375"/>
    <w:rsid w:val="00D27F86"/>
    <w:rsid w:val="00D30CBC"/>
    <w:rsid w:val="00D323B0"/>
    <w:rsid w:val="00D3322B"/>
    <w:rsid w:val="00D34582"/>
    <w:rsid w:val="00D34DE0"/>
    <w:rsid w:val="00D36DB2"/>
    <w:rsid w:val="00D41358"/>
    <w:rsid w:val="00D46A75"/>
    <w:rsid w:val="00D46FE1"/>
    <w:rsid w:val="00D50A77"/>
    <w:rsid w:val="00D562FA"/>
    <w:rsid w:val="00D570AC"/>
    <w:rsid w:val="00D63B79"/>
    <w:rsid w:val="00D64631"/>
    <w:rsid w:val="00D646ED"/>
    <w:rsid w:val="00D64827"/>
    <w:rsid w:val="00D64BB9"/>
    <w:rsid w:val="00D6637D"/>
    <w:rsid w:val="00D666D8"/>
    <w:rsid w:val="00D67738"/>
    <w:rsid w:val="00D719F2"/>
    <w:rsid w:val="00D7349F"/>
    <w:rsid w:val="00D7638B"/>
    <w:rsid w:val="00D763AC"/>
    <w:rsid w:val="00D76ACA"/>
    <w:rsid w:val="00D76C09"/>
    <w:rsid w:val="00D802DD"/>
    <w:rsid w:val="00D81149"/>
    <w:rsid w:val="00D81859"/>
    <w:rsid w:val="00D84BB5"/>
    <w:rsid w:val="00D85BCE"/>
    <w:rsid w:val="00D864E1"/>
    <w:rsid w:val="00D865BC"/>
    <w:rsid w:val="00D9044D"/>
    <w:rsid w:val="00D9050D"/>
    <w:rsid w:val="00D910D0"/>
    <w:rsid w:val="00D91227"/>
    <w:rsid w:val="00D9127C"/>
    <w:rsid w:val="00D947B8"/>
    <w:rsid w:val="00D9742B"/>
    <w:rsid w:val="00DA0FC5"/>
    <w:rsid w:val="00DA272A"/>
    <w:rsid w:val="00DA4395"/>
    <w:rsid w:val="00DA43A5"/>
    <w:rsid w:val="00DA451F"/>
    <w:rsid w:val="00DA4536"/>
    <w:rsid w:val="00DB0453"/>
    <w:rsid w:val="00DB071F"/>
    <w:rsid w:val="00DB0912"/>
    <w:rsid w:val="00DB0E30"/>
    <w:rsid w:val="00DB13D0"/>
    <w:rsid w:val="00DB1DFF"/>
    <w:rsid w:val="00DB1E7B"/>
    <w:rsid w:val="00DB214D"/>
    <w:rsid w:val="00DB2189"/>
    <w:rsid w:val="00DB32E8"/>
    <w:rsid w:val="00DB45A3"/>
    <w:rsid w:val="00DB4A99"/>
    <w:rsid w:val="00DB4E2B"/>
    <w:rsid w:val="00DB6E30"/>
    <w:rsid w:val="00DC19ED"/>
    <w:rsid w:val="00DC29EF"/>
    <w:rsid w:val="00DC3F81"/>
    <w:rsid w:val="00DC4DC1"/>
    <w:rsid w:val="00DC6B02"/>
    <w:rsid w:val="00DD039A"/>
    <w:rsid w:val="00DD10F8"/>
    <w:rsid w:val="00DD23E5"/>
    <w:rsid w:val="00DD25B6"/>
    <w:rsid w:val="00DD2795"/>
    <w:rsid w:val="00DD58AB"/>
    <w:rsid w:val="00DD6590"/>
    <w:rsid w:val="00DE174C"/>
    <w:rsid w:val="00DE2443"/>
    <w:rsid w:val="00DE2979"/>
    <w:rsid w:val="00DE3339"/>
    <w:rsid w:val="00DE45F7"/>
    <w:rsid w:val="00DE5C26"/>
    <w:rsid w:val="00DE62EA"/>
    <w:rsid w:val="00DE6DD0"/>
    <w:rsid w:val="00DF1202"/>
    <w:rsid w:val="00DF152D"/>
    <w:rsid w:val="00DF242E"/>
    <w:rsid w:val="00DF3A37"/>
    <w:rsid w:val="00E02F79"/>
    <w:rsid w:val="00E03E9A"/>
    <w:rsid w:val="00E0521A"/>
    <w:rsid w:val="00E05318"/>
    <w:rsid w:val="00E10ACB"/>
    <w:rsid w:val="00E144E0"/>
    <w:rsid w:val="00E168DB"/>
    <w:rsid w:val="00E16C2F"/>
    <w:rsid w:val="00E17FD0"/>
    <w:rsid w:val="00E20F4C"/>
    <w:rsid w:val="00E210C3"/>
    <w:rsid w:val="00E21189"/>
    <w:rsid w:val="00E21CD1"/>
    <w:rsid w:val="00E238D6"/>
    <w:rsid w:val="00E23D14"/>
    <w:rsid w:val="00E25196"/>
    <w:rsid w:val="00E2535F"/>
    <w:rsid w:val="00E256C8"/>
    <w:rsid w:val="00E25A4A"/>
    <w:rsid w:val="00E260CB"/>
    <w:rsid w:val="00E300D1"/>
    <w:rsid w:val="00E33EC4"/>
    <w:rsid w:val="00E34941"/>
    <w:rsid w:val="00E3550D"/>
    <w:rsid w:val="00E35E48"/>
    <w:rsid w:val="00E35EAF"/>
    <w:rsid w:val="00E369CA"/>
    <w:rsid w:val="00E36D71"/>
    <w:rsid w:val="00E401A2"/>
    <w:rsid w:val="00E4059D"/>
    <w:rsid w:val="00E42684"/>
    <w:rsid w:val="00E4302A"/>
    <w:rsid w:val="00E43C13"/>
    <w:rsid w:val="00E45D81"/>
    <w:rsid w:val="00E469DC"/>
    <w:rsid w:val="00E470DF"/>
    <w:rsid w:val="00E50FCA"/>
    <w:rsid w:val="00E51632"/>
    <w:rsid w:val="00E530BF"/>
    <w:rsid w:val="00E57B07"/>
    <w:rsid w:val="00E57BB0"/>
    <w:rsid w:val="00E60FEA"/>
    <w:rsid w:val="00E63125"/>
    <w:rsid w:val="00E632F1"/>
    <w:rsid w:val="00E655C8"/>
    <w:rsid w:val="00E67194"/>
    <w:rsid w:val="00E701AA"/>
    <w:rsid w:val="00E7056F"/>
    <w:rsid w:val="00E706FD"/>
    <w:rsid w:val="00E725CC"/>
    <w:rsid w:val="00E7344A"/>
    <w:rsid w:val="00E75F96"/>
    <w:rsid w:val="00E76950"/>
    <w:rsid w:val="00E77A70"/>
    <w:rsid w:val="00E80B40"/>
    <w:rsid w:val="00E825AB"/>
    <w:rsid w:val="00E82606"/>
    <w:rsid w:val="00E82974"/>
    <w:rsid w:val="00E82BA4"/>
    <w:rsid w:val="00E832EA"/>
    <w:rsid w:val="00E83811"/>
    <w:rsid w:val="00E83B83"/>
    <w:rsid w:val="00E84CDD"/>
    <w:rsid w:val="00E84D01"/>
    <w:rsid w:val="00E85FCF"/>
    <w:rsid w:val="00E869B6"/>
    <w:rsid w:val="00E86BB2"/>
    <w:rsid w:val="00E86F94"/>
    <w:rsid w:val="00E87B05"/>
    <w:rsid w:val="00E90414"/>
    <w:rsid w:val="00E9253F"/>
    <w:rsid w:val="00E92C4C"/>
    <w:rsid w:val="00E93885"/>
    <w:rsid w:val="00E94524"/>
    <w:rsid w:val="00E94551"/>
    <w:rsid w:val="00E95102"/>
    <w:rsid w:val="00E97211"/>
    <w:rsid w:val="00EA07E2"/>
    <w:rsid w:val="00EA2823"/>
    <w:rsid w:val="00EA5F24"/>
    <w:rsid w:val="00EA66D6"/>
    <w:rsid w:val="00EA7E80"/>
    <w:rsid w:val="00EB0CE2"/>
    <w:rsid w:val="00EB1706"/>
    <w:rsid w:val="00EB1A53"/>
    <w:rsid w:val="00EB318F"/>
    <w:rsid w:val="00EB679F"/>
    <w:rsid w:val="00EC0A59"/>
    <w:rsid w:val="00EC307E"/>
    <w:rsid w:val="00EC623F"/>
    <w:rsid w:val="00EC6C1A"/>
    <w:rsid w:val="00EC6DAA"/>
    <w:rsid w:val="00EC789E"/>
    <w:rsid w:val="00ED0308"/>
    <w:rsid w:val="00ED0B32"/>
    <w:rsid w:val="00ED1B5F"/>
    <w:rsid w:val="00ED32CF"/>
    <w:rsid w:val="00ED338B"/>
    <w:rsid w:val="00ED372E"/>
    <w:rsid w:val="00ED4323"/>
    <w:rsid w:val="00ED5018"/>
    <w:rsid w:val="00ED5235"/>
    <w:rsid w:val="00ED5358"/>
    <w:rsid w:val="00ED582C"/>
    <w:rsid w:val="00ED60DF"/>
    <w:rsid w:val="00ED651C"/>
    <w:rsid w:val="00EE031B"/>
    <w:rsid w:val="00EE1111"/>
    <w:rsid w:val="00EE2180"/>
    <w:rsid w:val="00EE240A"/>
    <w:rsid w:val="00EE29C9"/>
    <w:rsid w:val="00EE2DB2"/>
    <w:rsid w:val="00EE3A63"/>
    <w:rsid w:val="00EE4EA2"/>
    <w:rsid w:val="00EE5144"/>
    <w:rsid w:val="00EE5392"/>
    <w:rsid w:val="00EF0C77"/>
    <w:rsid w:val="00EF402B"/>
    <w:rsid w:val="00EF48D9"/>
    <w:rsid w:val="00EF5E76"/>
    <w:rsid w:val="00EF7A63"/>
    <w:rsid w:val="00F005D6"/>
    <w:rsid w:val="00F021A7"/>
    <w:rsid w:val="00F027CA"/>
    <w:rsid w:val="00F02B3A"/>
    <w:rsid w:val="00F03A60"/>
    <w:rsid w:val="00F0516B"/>
    <w:rsid w:val="00F0583C"/>
    <w:rsid w:val="00F0630E"/>
    <w:rsid w:val="00F1018C"/>
    <w:rsid w:val="00F10322"/>
    <w:rsid w:val="00F11587"/>
    <w:rsid w:val="00F115C7"/>
    <w:rsid w:val="00F117FA"/>
    <w:rsid w:val="00F11E58"/>
    <w:rsid w:val="00F11EB2"/>
    <w:rsid w:val="00F127A1"/>
    <w:rsid w:val="00F13B37"/>
    <w:rsid w:val="00F146AF"/>
    <w:rsid w:val="00F158C6"/>
    <w:rsid w:val="00F15FDA"/>
    <w:rsid w:val="00F17623"/>
    <w:rsid w:val="00F17EB7"/>
    <w:rsid w:val="00F22592"/>
    <w:rsid w:val="00F22822"/>
    <w:rsid w:val="00F24E3E"/>
    <w:rsid w:val="00F24F3C"/>
    <w:rsid w:val="00F26498"/>
    <w:rsid w:val="00F264DD"/>
    <w:rsid w:val="00F27DAB"/>
    <w:rsid w:val="00F30136"/>
    <w:rsid w:val="00F30C33"/>
    <w:rsid w:val="00F3112B"/>
    <w:rsid w:val="00F31F9C"/>
    <w:rsid w:val="00F32283"/>
    <w:rsid w:val="00F329E3"/>
    <w:rsid w:val="00F333F6"/>
    <w:rsid w:val="00F340C4"/>
    <w:rsid w:val="00F36933"/>
    <w:rsid w:val="00F37123"/>
    <w:rsid w:val="00F37D39"/>
    <w:rsid w:val="00F4040E"/>
    <w:rsid w:val="00F43046"/>
    <w:rsid w:val="00F44AB3"/>
    <w:rsid w:val="00F4769C"/>
    <w:rsid w:val="00F47CB7"/>
    <w:rsid w:val="00F50A6E"/>
    <w:rsid w:val="00F51B83"/>
    <w:rsid w:val="00F52009"/>
    <w:rsid w:val="00F52C96"/>
    <w:rsid w:val="00F53018"/>
    <w:rsid w:val="00F54DA5"/>
    <w:rsid w:val="00F5589E"/>
    <w:rsid w:val="00F55B76"/>
    <w:rsid w:val="00F56EB4"/>
    <w:rsid w:val="00F61E2A"/>
    <w:rsid w:val="00F6316C"/>
    <w:rsid w:val="00F63D23"/>
    <w:rsid w:val="00F640F0"/>
    <w:rsid w:val="00F64329"/>
    <w:rsid w:val="00F65688"/>
    <w:rsid w:val="00F6597F"/>
    <w:rsid w:val="00F67743"/>
    <w:rsid w:val="00F70428"/>
    <w:rsid w:val="00F715D3"/>
    <w:rsid w:val="00F72CFB"/>
    <w:rsid w:val="00F73E6B"/>
    <w:rsid w:val="00F753E9"/>
    <w:rsid w:val="00F75A5E"/>
    <w:rsid w:val="00F76057"/>
    <w:rsid w:val="00F76524"/>
    <w:rsid w:val="00F768BB"/>
    <w:rsid w:val="00F77E00"/>
    <w:rsid w:val="00F80B9F"/>
    <w:rsid w:val="00F8139F"/>
    <w:rsid w:val="00F81C7A"/>
    <w:rsid w:val="00F82743"/>
    <w:rsid w:val="00F82A0A"/>
    <w:rsid w:val="00F8481F"/>
    <w:rsid w:val="00F86258"/>
    <w:rsid w:val="00F86F05"/>
    <w:rsid w:val="00F94A18"/>
    <w:rsid w:val="00F94E76"/>
    <w:rsid w:val="00F9534D"/>
    <w:rsid w:val="00F9536B"/>
    <w:rsid w:val="00F964C3"/>
    <w:rsid w:val="00FA05D3"/>
    <w:rsid w:val="00FA7DF4"/>
    <w:rsid w:val="00FB0087"/>
    <w:rsid w:val="00FB535D"/>
    <w:rsid w:val="00FB53FD"/>
    <w:rsid w:val="00FB5D86"/>
    <w:rsid w:val="00FB6AAE"/>
    <w:rsid w:val="00FB6B10"/>
    <w:rsid w:val="00FC3CB4"/>
    <w:rsid w:val="00FC431E"/>
    <w:rsid w:val="00FC4E9B"/>
    <w:rsid w:val="00FC701A"/>
    <w:rsid w:val="00FC722B"/>
    <w:rsid w:val="00FC7F74"/>
    <w:rsid w:val="00FD1BC4"/>
    <w:rsid w:val="00FD3CE8"/>
    <w:rsid w:val="00FD48E2"/>
    <w:rsid w:val="00FD5A25"/>
    <w:rsid w:val="00FE084D"/>
    <w:rsid w:val="00FE08E2"/>
    <w:rsid w:val="00FE3DC9"/>
    <w:rsid w:val="00FE45FC"/>
    <w:rsid w:val="00FE579B"/>
    <w:rsid w:val="00FE6DD9"/>
    <w:rsid w:val="00FE7EF1"/>
    <w:rsid w:val="00FF12E4"/>
    <w:rsid w:val="00FF318C"/>
    <w:rsid w:val="00FF4A95"/>
    <w:rsid w:val="00FF5585"/>
    <w:rsid w:val="00FF645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2"/>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7"/>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6C2D2B"/>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6C2D2B"/>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D85BCE"/>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6C2D2B"/>
    <w:pPr>
      <w:keepNext/>
      <w:keepLines/>
      <w:outlineLvl w:val="3"/>
    </w:pPr>
    <w:rPr>
      <w:rFonts w:eastAsiaTheme="majorEastAsia" w:cstheme="majorBidi"/>
      <w:b/>
      <w:bCs/>
      <w:i/>
      <w:iCs/>
    </w:rPr>
  </w:style>
  <w:style w:type="paragraph" w:styleId="Heading6">
    <w:name w:val="heading 6"/>
    <w:basedOn w:val="Normal"/>
    <w:next w:val="Normal"/>
    <w:link w:val="Heading6Char"/>
    <w:qFormat/>
    <w:rsid w:val="00BE41C7"/>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BE41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D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C2D2B"/>
    <w:rPr>
      <w:rFonts w:ascii="Times New Roman" w:eastAsiaTheme="majorEastAsia" w:hAnsi="Times New Roman" w:cstheme="majorBidi"/>
      <w:b/>
      <w:bCs/>
      <w:sz w:val="28"/>
      <w:szCs w:val="26"/>
    </w:rPr>
  </w:style>
  <w:style w:type="character" w:customStyle="1" w:styleId="Heading4Char">
    <w:name w:val="Heading 4 Char"/>
    <w:basedOn w:val="DefaultParagraphFont"/>
    <w:link w:val="Heading4"/>
    <w:uiPriority w:val="9"/>
    <w:rsid w:val="006C2D2B"/>
    <w:rPr>
      <w:rFonts w:ascii="Times New Roman" w:eastAsiaTheme="majorEastAsia" w:hAnsi="Times New Roman" w:cstheme="majorBidi"/>
      <w:b/>
      <w:bCs/>
      <w:i/>
      <w:iCs/>
      <w:sz w:val="24"/>
    </w:rPr>
  </w:style>
  <w:style w:type="character" w:customStyle="1" w:styleId="Heading3Char">
    <w:name w:val="Heading 3 Char"/>
    <w:basedOn w:val="DefaultParagraphFont"/>
    <w:link w:val="Heading3"/>
    <w:uiPriority w:val="9"/>
    <w:rsid w:val="00D85BCE"/>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BE41C7"/>
    <w:rPr>
      <w:rFonts w:ascii="Times New Roman" w:eastAsia="Times New Roman" w:hAnsi="Times New Roman" w:cs="Times New Roman"/>
      <w:b/>
      <w:bCs/>
      <w:sz w:val="22"/>
      <w:lang w:eastAsia="lv-LV"/>
    </w:rPr>
  </w:style>
  <w:style w:type="character" w:customStyle="1" w:styleId="Heading9Char">
    <w:name w:val="Heading 9 Char"/>
    <w:basedOn w:val="DefaultParagraphFont"/>
    <w:link w:val="Heading9"/>
    <w:uiPriority w:val="9"/>
    <w:semiHidden/>
    <w:rsid w:val="00BE41C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E41C7"/>
    <w:pPr>
      <w:ind w:left="720"/>
      <w:contextualSpacing/>
    </w:pPr>
  </w:style>
  <w:style w:type="paragraph" w:styleId="BodyText">
    <w:name w:val="Body Text"/>
    <w:aliases w:val="Body Text Char Char,Body Text Char Char Char"/>
    <w:basedOn w:val="Normal"/>
    <w:link w:val="BodyTextChar"/>
    <w:uiPriority w:val="99"/>
    <w:rsid w:val="00BE41C7"/>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uiPriority w:val="99"/>
    <w:rsid w:val="00BE41C7"/>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E41C7"/>
    <w:rPr>
      <w:rFonts w:ascii="Tahoma" w:hAnsi="Tahoma" w:cs="Tahoma"/>
      <w:sz w:val="16"/>
      <w:szCs w:val="16"/>
    </w:rPr>
  </w:style>
  <w:style w:type="character" w:customStyle="1" w:styleId="BalloonTextChar">
    <w:name w:val="Balloon Text Char"/>
    <w:basedOn w:val="DefaultParagraphFont"/>
    <w:link w:val="BalloonText"/>
    <w:uiPriority w:val="99"/>
    <w:semiHidden/>
    <w:rsid w:val="00BE41C7"/>
    <w:rPr>
      <w:rFonts w:ascii="Tahoma" w:eastAsia="Calibri" w:hAnsi="Tahoma" w:cs="Tahoma"/>
      <w:sz w:val="16"/>
      <w:szCs w:val="16"/>
    </w:rPr>
  </w:style>
  <w:style w:type="paragraph" w:styleId="Header">
    <w:name w:val="header"/>
    <w:basedOn w:val="Normal"/>
    <w:link w:val="HeaderChar"/>
    <w:uiPriority w:val="99"/>
    <w:semiHidden/>
    <w:unhideWhenUsed/>
    <w:rsid w:val="00BE41C7"/>
    <w:pPr>
      <w:tabs>
        <w:tab w:val="center" w:pos="4153"/>
        <w:tab w:val="right" w:pos="8306"/>
      </w:tabs>
    </w:pPr>
  </w:style>
  <w:style w:type="character" w:customStyle="1" w:styleId="HeaderChar">
    <w:name w:val="Header Char"/>
    <w:basedOn w:val="DefaultParagraphFont"/>
    <w:link w:val="Header"/>
    <w:uiPriority w:val="99"/>
    <w:semiHidden/>
    <w:rsid w:val="00BE41C7"/>
    <w:rPr>
      <w:rFonts w:ascii="Times New Roman" w:eastAsia="Calibri" w:hAnsi="Times New Roman" w:cs="Times New Roman"/>
      <w:sz w:val="24"/>
      <w:szCs w:val="28"/>
    </w:rPr>
  </w:style>
  <w:style w:type="paragraph" w:styleId="Footer">
    <w:name w:val="footer"/>
    <w:basedOn w:val="Normal"/>
    <w:link w:val="FooterChar"/>
    <w:uiPriority w:val="99"/>
    <w:unhideWhenUsed/>
    <w:rsid w:val="00BE41C7"/>
    <w:pPr>
      <w:tabs>
        <w:tab w:val="center" w:pos="4153"/>
        <w:tab w:val="right" w:pos="8306"/>
      </w:tabs>
    </w:pPr>
  </w:style>
  <w:style w:type="character" w:customStyle="1" w:styleId="FooterChar">
    <w:name w:val="Footer Char"/>
    <w:basedOn w:val="DefaultParagraphFont"/>
    <w:link w:val="Footer"/>
    <w:uiPriority w:val="99"/>
    <w:rsid w:val="00BE41C7"/>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BE41C7"/>
    <w:pPr>
      <w:spacing w:after="120" w:line="480" w:lineRule="auto"/>
    </w:pPr>
  </w:style>
  <w:style w:type="character" w:customStyle="1" w:styleId="BodyText2Char">
    <w:name w:val="Body Text 2 Char"/>
    <w:basedOn w:val="DefaultParagraphFont"/>
    <w:link w:val="BodyText2"/>
    <w:uiPriority w:val="99"/>
    <w:rsid w:val="00BE41C7"/>
    <w:rPr>
      <w:rFonts w:ascii="Times New Roman" w:eastAsia="Calibri" w:hAnsi="Times New Roman" w:cs="Times New Roman"/>
      <w:sz w:val="24"/>
      <w:szCs w:val="28"/>
    </w:rPr>
  </w:style>
  <w:style w:type="paragraph" w:customStyle="1" w:styleId="9pirmstab3">
    <w:name w:val="9_pirms_tab_3"/>
    <w:basedOn w:val="Normal"/>
    <w:uiPriority w:val="99"/>
    <w:rsid w:val="00BE41C7"/>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BE41C7"/>
    <w:pPr>
      <w:spacing w:after="120" w:line="480" w:lineRule="auto"/>
      <w:ind w:left="283"/>
    </w:pPr>
  </w:style>
  <w:style w:type="character" w:customStyle="1" w:styleId="BodyTextIndent2Char">
    <w:name w:val="Body Text Indent 2 Char"/>
    <w:basedOn w:val="DefaultParagraphFont"/>
    <w:link w:val="BodyTextIndent2"/>
    <w:uiPriority w:val="99"/>
    <w:rsid w:val="00BE41C7"/>
    <w:rPr>
      <w:rFonts w:ascii="Times New Roman" w:eastAsia="Calibri" w:hAnsi="Times New Roman" w:cs="Times New Roman"/>
      <w:sz w:val="24"/>
      <w:szCs w:val="28"/>
    </w:rPr>
  </w:style>
  <w:style w:type="paragraph" w:styleId="BodyTextIndent">
    <w:name w:val="Body Text Indent"/>
    <w:basedOn w:val="Normal"/>
    <w:link w:val="BodyTextIndentChar"/>
    <w:uiPriority w:val="99"/>
    <w:rsid w:val="00BE41C7"/>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uiPriority w:val="99"/>
    <w:rsid w:val="00BE41C7"/>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BE41C7"/>
    <w:rPr>
      <w:rFonts w:eastAsia="Times New Roman"/>
      <w:sz w:val="20"/>
      <w:szCs w:val="20"/>
      <w:lang w:eastAsia="lv-LV"/>
    </w:rPr>
  </w:style>
  <w:style w:type="character" w:customStyle="1" w:styleId="FootnoteTextChar">
    <w:name w:val="Footnote Text Char"/>
    <w:basedOn w:val="DefaultParagraphFont"/>
    <w:link w:val="FootnoteText"/>
    <w:rsid w:val="00BE41C7"/>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E41C7"/>
    <w:rPr>
      <w:vertAlign w:val="superscript"/>
    </w:rPr>
  </w:style>
  <w:style w:type="table" w:styleId="LightShading-Accent3">
    <w:name w:val="Light Shading Accent 3"/>
    <w:basedOn w:val="TableNormal"/>
    <w:uiPriority w:val="60"/>
    <w:rsid w:val="00BE41C7"/>
    <w:rPr>
      <w:rFonts w:ascii="Times New Roman" w:eastAsia="Times New Roman" w:hAnsi="Times New Roman" w:cs="Times New Roman"/>
      <w:color w:val="76923C" w:themeColor="accent3" w:themeShade="BF"/>
      <w:sz w:val="22"/>
      <w:lang w:eastAsia="lv-LV"/>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BE41C7"/>
    <w:rPr>
      <w:rFonts w:ascii="Times New Roman" w:eastAsia="Calibri" w:hAnsi="Times New Roman" w:cs="Times New Roman"/>
      <w:sz w:val="20"/>
      <w:szCs w:val="20"/>
      <w:lang w:eastAsia="lv-L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semiHidden/>
    <w:rsid w:val="00BE41C7"/>
    <w:rPr>
      <w:sz w:val="16"/>
      <w:szCs w:val="16"/>
    </w:rPr>
  </w:style>
  <w:style w:type="paragraph" w:styleId="CommentText">
    <w:name w:val="annotation text"/>
    <w:basedOn w:val="Normal"/>
    <w:link w:val="CommentTextChar"/>
    <w:uiPriority w:val="99"/>
    <w:semiHidden/>
    <w:rsid w:val="00BE41C7"/>
    <w:rPr>
      <w:rFonts w:eastAsia="Times New Roman"/>
      <w:sz w:val="20"/>
      <w:szCs w:val="20"/>
      <w:lang w:val="en-GB"/>
    </w:rPr>
  </w:style>
  <w:style w:type="character" w:customStyle="1" w:styleId="CommentTextChar">
    <w:name w:val="Comment Text Char"/>
    <w:basedOn w:val="DefaultParagraphFont"/>
    <w:link w:val="CommentText"/>
    <w:uiPriority w:val="99"/>
    <w:semiHidden/>
    <w:rsid w:val="00BE41C7"/>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BE41C7"/>
    <w:pPr>
      <w:spacing w:line="276" w:lineRule="auto"/>
      <w:jc w:val="center"/>
      <w:outlineLvl w:val="9"/>
    </w:pPr>
    <w:rPr>
      <w:lang w:val="en-US"/>
    </w:rPr>
  </w:style>
  <w:style w:type="paragraph" w:styleId="TOC2">
    <w:name w:val="toc 2"/>
    <w:basedOn w:val="Normal"/>
    <w:next w:val="Normal"/>
    <w:autoRedefine/>
    <w:uiPriority w:val="39"/>
    <w:unhideWhenUsed/>
    <w:qFormat/>
    <w:rsid w:val="00BE41C7"/>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CD3CE6"/>
    <w:pPr>
      <w:tabs>
        <w:tab w:val="right" w:leader="dot" w:pos="9639"/>
      </w:tabs>
      <w:spacing w:before="120" w:after="40"/>
    </w:pPr>
    <w:rPr>
      <w:b/>
      <w:noProof/>
      <w:sz w:val="22"/>
    </w:rPr>
  </w:style>
  <w:style w:type="paragraph" w:styleId="TOC3">
    <w:name w:val="toc 3"/>
    <w:basedOn w:val="Normal"/>
    <w:next w:val="Normal"/>
    <w:autoRedefine/>
    <w:uiPriority w:val="39"/>
    <w:unhideWhenUsed/>
    <w:qFormat/>
    <w:rsid w:val="00BE41C7"/>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BE41C7"/>
    <w:rPr>
      <w:color w:val="0000FF" w:themeColor="hyperlink"/>
      <w:u w:val="single"/>
    </w:rPr>
  </w:style>
  <w:style w:type="paragraph" w:styleId="Subtitle">
    <w:name w:val="Subtitle"/>
    <w:basedOn w:val="Normal"/>
    <w:next w:val="Normal"/>
    <w:link w:val="SubtitleChar"/>
    <w:qFormat/>
    <w:rsid w:val="00BE41C7"/>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BE41C7"/>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BE41C7"/>
    <w:pPr>
      <w:spacing w:after="120"/>
      <w:ind w:left="283"/>
    </w:pPr>
    <w:rPr>
      <w:sz w:val="16"/>
      <w:szCs w:val="16"/>
    </w:rPr>
  </w:style>
  <w:style w:type="character" w:customStyle="1" w:styleId="BodyTextIndent3Char">
    <w:name w:val="Body Text Indent 3 Char"/>
    <w:basedOn w:val="DefaultParagraphFont"/>
    <w:link w:val="BodyTextIndent3"/>
    <w:uiPriority w:val="99"/>
    <w:rsid w:val="00BE41C7"/>
    <w:rPr>
      <w:rFonts w:ascii="Times New Roman" w:eastAsia="Calibri" w:hAnsi="Times New Roman" w:cs="Times New Roman"/>
      <w:sz w:val="16"/>
      <w:szCs w:val="16"/>
    </w:rPr>
  </w:style>
  <w:style w:type="character" w:customStyle="1" w:styleId="city2">
    <w:name w:val="city2"/>
    <w:basedOn w:val="DefaultParagraphFont"/>
    <w:rsid w:val="00BE41C7"/>
    <w:rPr>
      <w:caps w:val="0"/>
      <w:color w:val="777F8D"/>
      <w:sz w:val="14"/>
      <w:szCs w:val="14"/>
    </w:rPr>
  </w:style>
  <w:style w:type="table" w:customStyle="1" w:styleId="Tabula">
    <w:name w:val="Tabula"/>
    <w:basedOn w:val="TableNormal"/>
    <w:uiPriority w:val="99"/>
    <w:rsid w:val="00BE41C7"/>
    <w:rPr>
      <w:rFonts w:ascii="Times New Roman" w:eastAsia="Calibri" w:hAnsi="Times New Roman" w:cs="Times New Roman"/>
      <w:sz w:val="20"/>
      <w:szCs w:val="20"/>
      <w:lang w:eastAsia="lv-LV"/>
    </w:rPr>
    <w:tblPr>
      <w:tblInd w:w="0" w:type="dxa"/>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BE41C7"/>
    <w:pPr>
      <w:spacing w:after="200"/>
    </w:pPr>
    <w:rPr>
      <w:bCs/>
      <w:szCs w:val="24"/>
    </w:rPr>
  </w:style>
  <w:style w:type="character" w:customStyle="1" w:styleId="CaptionChar">
    <w:name w:val="Caption Char"/>
    <w:basedOn w:val="DefaultParagraphFont"/>
    <w:link w:val="Caption"/>
    <w:uiPriority w:val="35"/>
    <w:rsid w:val="00BE41C7"/>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BE41C7"/>
    <w:pPr>
      <w:spacing w:before="40" w:after="40"/>
    </w:pPr>
  </w:style>
  <w:style w:type="table" w:styleId="LightShading-Accent4">
    <w:name w:val="Light Shading Accent 4"/>
    <w:basedOn w:val="TableNormal"/>
    <w:uiPriority w:val="60"/>
    <w:rsid w:val="00BE41C7"/>
    <w:rPr>
      <w:rFonts w:ascii="Times New Roman" w:eastAsia="Calibri" w:hAnsi="Times New Roman" w:cs="Times New Roman"/>
      <w:color w:val="5F497A" w:themeColor="accent4" w:themeShade="BF"/>
      <w:sz w:val="20"/>
      <w:szCs w:val="20"/>
      <w:lang w:eastAsia="lv-LV"/>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BE41C7"/>
    <w:rPr>
      <w:rFonts w:ascii="Tahoma" w:eastAsia="Times New Roman" w:hAnsi="Tahoma" w:cs="Tahoma"/>
      <w:color w:val="333333"/>
      <w:sz w:val="16"/>
      <w:szCs w:val="16"/>
      <w:lang w:eastAsia="lv-LV"/>
    </w:rPr>
  </w:style>
  <w:style w:type="paragraph" w:customStyle="1" w:styleId="teksts">
    <w:name w:val="teksts"/>
    <w:rsid w:val="00BE41C7"/>
    <w:pPr>
      <w:spacing w:after="120"/>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BE41C7"/>
    <w:rPr>
      <w:b/>
      <w:bCs/>
    </w:rPr>
  </w:style>
  <w:style w:type="table" w:customStyle="1" w:styleId="LightShading2">
    <w:name w:val="Light Shading2"/>
    <w:basedOn w:val="TableNormal"/>
    <w:uiPriority w:val="60"/>
    <w:rsid w:val="00BE41C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41C7"/>
    <w:rPr>
      <w:rFonts w:ascii="Times New Roman" w:eastAsia="Calibri" w:hAnsi="Times New Roman"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6F1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DE297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571CC3"/>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6970E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F22592"/>
    <w:rPr>
      <w:rFonts w:cs="Times New Roman"/>
    </w:rPr>
  </w:style>
  <w:style w:type="table" w:styleId="MediumList2-Accent1">
    <w:name w:val="Medium List 2 Accent 1"/>
    <w:basedOn w:val="TableNormal"/>
    <w:uiPriority w:val="66"/>
    <w:rsid w:val="00792E9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7A6B0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B77AB5"/>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B77AB5"/>
    <w:rPr>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0C1B2B"/>
    <w:pPr>
      <w:ind w:firstLine="567"/>
      <w:jc w:val="both"/>
    </w:pPr>
    <w:rPr>
      <w:rFonts w:eastAsia="Times New Roman"/>
      <w:szCs w:val="20"/>
      <w:lang w:val="en-US"/>
    </w:rPr>
  </w:style>
  <w:style w:type="character" w:customStyle="1" w:styleId="longtext1">
    <w:name w:val="long_text1"/>
    <w:basedOn w:val="DefaultParagraphFont"/>
    <w:rsid w:val="00F31F9C"/>
    <w:rPr>
      <w:sz w:val="12"/>
      <w:szCs w:val="12"/>
    </w:rPr>
  </w:style>
  <w:style w:type="table" w:customStyle="1" w:styleId="LightShading1">
    <w:name w:val="Light Shading1"/>
    <w:basedOn w:val="TableNormal"/>
    <w:uiPriority w:val="60"/>
    <w:rsid w:val="00A64BC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465603"/>
  </w:style>
  <w:style w:type="character" w:customStyle="1" w:styleId="hps">
    <w:name w:val="hps"/>
    <w:basedOn w:val="DefaultParagraphFont"/>
    <w:rsid w:val="005D5DF1"/>
  </w:style>
  <w:style w:type="character" w:customStyle="1" w:styleId="apple-converted-space">
    <w:name w:val="apple-converted-space"/>
    <w:basedOn w:val="DefaultParagraphFont"/>
    <w:rsid w:val="005D5DF1"/>
  </w:style>
  <w:style w:type="character" w:styleId="Emphasis">
    <w:name w:val="Emphasis"/>
    <w:basedOn w:val="DefaultParagraphFont"/>
    <w:uiPriority w:val="20"/>
    <w:qFormat/>
    <w:rsid w:val="002215D0"/>
    <w:rPr>
      <w:i/>
      <w:iCs/>
    </w:rPr>
  </w:style>
  <w:style w:type="paragraph" w:styleId="BodyText3">
    <w:name w:val="Body Text 3"/>
    <w:basedOn w:val="Normal"/>
    <w:link w:val="BodyText3Char"/>
    <w:uiPriority w:val="99"/>
    <w:semiHidden/>
    <w:unhideWhenUsed/>
    <w:rsid w:val="00BB57DD"/>
    <w:pPr>
      <w:spacing w:after="120"/>
    </w:pPr>
    <w:rPr>
      <w:sz w:val="16"/>
      <w:szCs w:val="16"/>
    </w:rPr>
  </w:style>
  <w:style w:type="character" w:customStyle="1" w:styleId="BodyText3Char">
    <w:name w:val="Body Text 3 Char"/>
    <w:basedOn w:val="DefaultParagraphFont"/>
    <w:link w:val="BodyText3"/>
    <w:uiPriority w:val="99"/>
    <w:semiHidden/>
    <w:rsid w:val="00BB57DD"/>
    <w:rPr>
      <w:rFonts w:ascii="Times New Roman" w:eastAsia="Calibri" w:hAnsi="Times New Roman" w:cs="Times New Roman"/>
      <w:sz w:val="16"/>
      <w:szCs w:val="16"/>
    </w:rPr>
  </w:style>
  <w:style w:type="paragraph" w:customStyle="1" w:styleId="NormalLeft">
    <w:name w:val="Normal Left"/>
    <w:basedOn w:val="Normal"/>
    <w:uiPriority w:val="99"/>
    <w:rsid w:val="00C62ECE"/>
    <w:pPr>
      <w:spacing w:before="120" w:after="120"/>
    </w:pPr>
    <w:rPr>
      <w:rFonts w:eastAsia="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219052877">
      <w:bodyDiv w:val="1"/>
      <w:marLeft w:val="0"/>
      <w:marRight w:val="0"/>
      <w:marTop w:val="0"/>
      <w:marBottom w:val="0"/>
      <w:divBdr>
        <w:top w:val="none" w:sz="0" w:space="0" w:color="auto"/>
        <w:left w:val="none" w:sz="0" w:space="0" w:color="auto"/>
        <w:bottom w:val="none" w:sz="0" w:space="0" w:color="auto"/>
        <w:right w:val="none" w:sz="0" w:space="0" w:color="auto"/>
      </w:divBdr>
    </w:div>
    <w:div w:id="468547923">
      <w:bodyDiv w:val="1"/>
      <w:marLeft w:val="0"/>
      <w:marRight w:val="0"/>
      <w:marTop w:val="0"/>
      <w:marBottom w:val="0"/>
      <w:divBdr>
        <w:top w:val="none" w:sz="0" w:space="0" w:color="auto"/>
        <w:left w:val="none" w:sz="0" w:space="0" w:color="auto"/>
        <w:bottom w:val="none" w:sz="0" w:space="0" w:color="auto"/>
        <w:right w:val="none" w:sz="0" w:space="0" w:color="auto"/>
      </w:divBdr>
    </w:div>
    <w:div w:id="480388156">
      <w:bodyDiv w:val="1"/>
      <w:marLeft w:val="0"/>
      <w:marRight w:val="0"/>
      <w:marTop w:val="0"/>
      <w:marBottom w:val="0"/>
      <w:divBdr>
        <w:top w:val="none" w:sz="0" w:space="0" w:color="auto"/>
        <w:left w:val="none" w:sz="0" w:space="0" w:color="auto"/>
        <w:bottom w:val="none" w:sz="0" w:space="0" w:color="auto"/>
        <w:right w:val="none" w:sz="0" w:space="0" w:color="auto"/>
      </w:divBdr>
    </w:div>
    <w:div w:id="502744240">
      <w:bodyDiv w:val="1"/>
      <w:marLeft w:val="0"/>
      <w:marRight w:val="0"/>
      <w:marTop w:val="0"/>
      <w:marBottom w:val="0"/>
      <w:divBdr>
        <w:top w:val="none" w:sz="0" w:space="0" w:color="auto"/>
        <w:left w:val="none" w:sz="0" w:space="0" w:color="auto"/>
        <w:bottom w:val="none" w:sz="0" w:space="0" w:color="auto"/>
        <w:right w:val="none" w:sz="0" w:space="0" w:color="auto"/>
      </w:divBdr>
    </w:div>
    <w:div w:id="607738792">
      <w:bodyDiv w:val="1"/>
      <w:marLeft w:val="0"/>
      <w:marRight w:val="0"/>
      <w:marTop w:val="0"/>
      <w:marBottom w:val="0"/>
      <w:divBdr>
        <w:top w:val="none" w:sz="0" w:space="0" w:color="auto"/>
        <w:left w:val="none" w:sz="0" w:space="0" w:color="auto"/>
        <w:bottom w:val="none" w:sz="0" w:space="0" w:color="auto"/>
        <w:right w:val="none" w:sz="0" w:space="0" w:color="auto"/>
      </w:divBdr>
    </w:div>
    <w:div w:id="1009912610">
      <w:bodyDiv w:val="1"/>
      <w:marLeft w:val="0"/>
      <w:marRight w:val="0"/>
      <w:marTop w:val="0"/>
      <w:marBottom w:val="0"/>
      <w:divBdr>
        <w:top w:val="none" w:sz="0" w:space="0" w:color="auto"/>
        <w:left w:val="none" w:sz="0" w:space="0" w:color="auto"/>
        <w:bottom w:val="none" w:sz="0" w:space="0" w:color="auto"/>
        <w:right w:val="none" w:sz="0" w:space="0" w:color="auto"/>
      </w:divBdr>
      <w:divsChild>
        <w:div w:id="1132404713">
          <w:marLeft w:val="0"/>
          <w:marRight w:val="0"/>
          <w:marTop w:val="0"/>
          <w:marBottom w:val="0"/>
          <w:divBdr>
            <w:top w:val="none" w:sz="0" w:space="0" w:color="auto"/>
            <w:left w:val="none" w:sz="0" w:space="0" w:color="auto"/>
            <w:bottom w:val="none" w:sz="0" w:space="0" w:color="auto"/>
            <w:right w:val="none" w:sz="0" w:space="0" w:color="auto"/>
          </w:divBdr>
        </w:div>
      </w:divsChild>
    </w:div>
    <w:div w:id="1022361766">
      <w:bodyDiv w:val="1"/>
      <w:marLeft w:val="0"/>
      <w:marRight w:val="0"/>
      <w:marTop w:val="0"/>
      <w:marBottom w:val="0"/>
      <w:divBdr>
        <w:top w:val="none" w:sz="0" w:space="0" w:color="auto"/>
        <w:left w:val="none" w:sz="0" w:space="0" w:color="auto"/>
        <w:bottom w:val="none" w:sz="0" w:space="0" w:color="auto"/>
        <w:right w:val="none" w:sz="0" w:space="0" w:color="auto"/>
      </w:divBdr>
      <w:divsChild>
        <w:div w:id="1255939876">
          <w:marLeft w:val="0"/>
          <w:marRight w:val="0"/>
          <w:marTop w:val="0"/>
          <w:marBottom w:val="0"/>
          <w:divBdr>
            <w:top w:val="none" w:sz="0" w:space="0" w:color="auto"/>
            <w:left w:val="none" w:sz="0" w:space="0" w:color="auto"/>
            <w:bottom w:val="none" w:sz="0" w:space="0" w:color="auto"/>
            <w:right w:val="none" w:sz="0" w:space="0" w:color="auto"/>
          </w:divBdr>
          <w:divsChild>
            <w:div w:id="1444418617">
              <w:marLeft w:val="0"/>
              <w:marRight w:val="0"/>
              <w:marTop w:val="0"/>
              <w:marBottom w:val="0"/>
              <w:divBdr>
                <w:top w:val="none" w:sz="0" w:space="0" w:color="auto"/>
                <w:left w:val="none" w:sz="0" w:space="0" w:color="auto"/>
                <w:bottom w:val="single" w:sz="6" w:space="3" w:color="B2B2B2"/>
                <w:right w:val="none" w:sz="0" w:space="0" w:color="auto"/>
              </w:divBdr>
              <w:divsChild>
                <w:div w:id="825634524">
                  <w:marLeft w:val="0"/>
                  <w:marRight w:val="0"/>
                  <w:marTop w:val="0"/>
                  <w:marBottom w:val="0"/>
                  <w:divBdr>
                    <w:top w:val="none" w:sz="0" w:space="0" w:color="auto"/>
                    <w:left w:val="none" w:sz="0" w:space="0" w:color="auto"/>
                    <w:bottom w:val="none" w:sz="0" w:space="0" w:color="auto"/>
                    <w:right w:val="none" w:sz="0" w:space="0" w:color="auto"/>
                  </w:divBdr>
                  <w:divsChild>
                    <w:div w:id="2046367570">
                      <w:marLeft w:val="0"/>
                      <w:marRight w:val="0"/>
                      <w:marTop w:val="0"/>
                      <w:marBottom w:val="0"/>
                      <w:divBdr>
                        <w:top w:val="none" w:sz="0" w:space="0" w:color="auto"/>
                        <w:left w:val="none" w:sz="0" w:space="0" w:color="auto"/>
                        <w:bottom w:val="none" w:sz="0" w:space="0" w:color="auto"/>
                        <w:right w:val="none" w:sz="0" w:space="0" w:color="auto"/>
                      </w:divBdr>
                      <w:divsChild>
                        <w:div w:id="884416858">
                          <w:marLeft w:val="0"/>
                          <w:marRight w:val="0"/>
                          <w:marTop w:val="0"/>
                          <w:marBottom w:val="0"/>
                          <w:divBdr>
                            <w:top w:val="none" w:sz="0" w:space="0" w:color="auto"/>
                            <w:left w:val="none" w:sz="0" w:space="0" w:color="auto"/>
                            <w:bottom w:val="none" w:sz="0" w:space="0" w:color="auto"/>
                            <w:right w:val="none" w:sz="0" w:space="0" w:color="auto"/>
                          </w:divBdr>
                          <w:divsChild>
                            <w:div w:id="164833117">
                              <w:marLeft w:val="0"/>
                              <w:marRight w:val="0"/>
                              <w:marTop w:val="0"/>
                              <w:marBottom w:val="0"/>
                              <w:divBdr>
                                <w:top w:val="none" w:sz="0" w:space="0" w:color="auto"/>
                                <w:left w:val="none" w:sz="0" w:space="0" w:color="auto"/>
                                <w:bottom w:val="none" w:sz="0" w:space="0" w:color="auto"/>
                                <w:right w:val="none" w:sz="0" w:space="0" w:color="auto"/>
                              </w:divBdr>
                              <w:divsChild>
                                <w:div w:id="1176723433">
                                  <w:marLeft w:val="0"/>
                                  <w:marRight w:val="0"/>
                                  <w:marTop w:val="0"/>
                                  <w:marBottom w:val="0"/>
                                  <w:divBdr>
                                    <w:top w:val="none" w:sz="0" w:space="0" w:color="auto"/>
                                    <w:left w:val="none" w:sz="0" w:space="0" w:color="auto"/>
                                    <w:bottom w:val="none" w:sz="0" w:space="0" w:color="auto"/>
                                    <w:right w:val="none" w:sz="0" w:space="0" w:color="auto"/>
                                  </w:divBdr>
                                  <w:divsChild>
                                    <w:div w:id="1530290698">
                                      <w:marLeft w:val="0"/>
                                      <w:marRight w:val="0"/>
                                      <w:marTop w:val="0"/>
                                      <w:marBottom w:val="0"/>
                                      <w:divBdr>
                                        <w:top w:val="none" w:sz="0" w:space="0" w:color="auto"/>
                                        <w:left w:val="none" w:sz="0" w:space="0" w:color="auto"/>
                                        <w:bottom w:val="none" w:sz="0" w:space="0" w:color="auto"/>
                                        <w:right w:val="none" w:sz="0" w:space="0" w:color="auto"/>
                                      </w:divBdr>
                                      <w:divsChild>
                                        <w:div w:id="2058428160">
                                          <w:marLeft w:val="0"/>
                                          <w:marRight w:val="0"/>
                                          <w:marTop w:val="0"/>
                                          <w:marBottom w:val="0"/>
                                          <w:divBdr>
                                            <w:top w:val="none" w:sz="0" w:space="0" w:color="auto"/>
                                            <w:left w:val="none" w:sz="0" w:space="0" w:color="auto"/>
                                            <w:bottom w:val="none" w:sz="0" w:space="0" w:color="auto"/>
                                            <w:right w:val="none" w:sz="0" w:space="0" w:color="auto"/>
                                          </w:divBdr>
                                          <w:divsChild>
                                            <w:div w:id="1404985451">
                                              <w:marLeft w:val="2717"/>
                                              <w:marRight w:val="0"/>
                                              <w:marTop w:val="0"/>
                                              <w:marBottom w:val="0"/>
                                              <w:divBdr>
                                                <w:top w:val="none" w:sz="0" w:space="0" w:color="auto"/>
                                                <w:left w:val="none" w:sz="0" w:space="0" w:color="auto"/>
                                                <w:bottom w:val="none" w:sz="0" w:space="0" w:color="auto"/>
                                                <w:right w:val="none" w:sz="0" w:space="0" w:color="auto"/>
                                              </w:divBdr>
                                              <w:divsChild>
                                                <w:div w:id="1830367815">
                                                  <w:marLeft w:val="0"/>
                                                  <w:marRight w:val="0"/>
                                                  <w:marTop w:val="0"/>
                                                  <w:marBottom w:val="0"/>
                                                  <w:divBdr>
                                                    <w:top w:val="none" w:sz="0" w:space="0" w:color="auto"/>
                                                    <w:left w:val="none" w:sz="0" w:space="0" w:color="auto"/>
                                                    <w:bottom w:val="none" w:sz="0" w:space="0" w:color="auto"/>
                                                    <w:right w:val="none" w:sz="0" w:space="0" w:color="auto"/>
                                                  </w:divBdr>
                                                  <w:divsChild>
                                                    <w:div w:id="1075008614">
                                                      <w:marLeft w:val="0"/>
                                                      <w:marRight w:val="0"/>
                                                      <w:marTop w:val="0"/>
                                                      <w:marBottom w:val="0"/>
                                                      <w:divBdr>
                                                        <w:top w:val="none" w:sz="0" w:space="0" w:color="auto"/>
                                                        <w:left w:val="none" w:sz="0" w:space="0" w:color="auto"/>
                                                        <w:bottom w:val="none" w:sz="0" w:space="0" w:color="auto"/>
                                                        <w:right w:val="none" w:sz="0" w:space="0" w:color="auto"/>
                                                      </w:divBdr>
                                                      <w:divsChild>
                                                        <w:div w:id="2091925250">
                                                          <w:marLeft w:val="0"/>
                                                          <w:marRight w:val="0"/>
                                                          <w:marTop w:val="0"/>
                                                          <w:marBottom w:val="0"/>
                                                          <w:divBdr>
                                                            <w:top w:val="none" w:sz="0" w:space="0" w:color="auto"/>
                                                            <w:left w:val="none" w:sz="0" w:space="0" w:color="auto"/>
                                                            <w:bottom w:val="none" w:sz="0" w:space="0" w:color="auto"/>
                                                            <w:right w:val="none" w:sz="0" w:space="0" w:color="auto"/>
                                                          </w:divBdr>
                                                          <w:divsChild>
                                                            <w:div w:id="1448697512">
                                                              <w:marLeft w:val="0"/>
                                                              <w:marRight w:val="0"/>
                                                              <w:marTop w:val="0"/>
                                                              <w:marBottom w:val="0"/>
                                                              <w:divBdr>
                                                                <w:top w:val="none" w:sz="0" w:space="0" w:color="auto"/>
                                                                <w:left w:val="none" w:sz="0" w:space="0" w:color="auto"/>
                                                                <w:bottom w:val="none" w:sz="0" w:space="0" w:color="auto"/>
                                                                <w:right w:val="none" w:sz="0" w:space="0" w:color="auto"/>
                                                              </w:divBdr>
                                                              <w:divsChild>
                                                                <w:div w:id="448549956">
                                                                  <w:marLeft w:val="0"/>
                                                                  <w:marRight w:val="0"/>
                                                                  <w:marTop w:val="0"/>
                                                                  <w:marBottom w:val="0"/>
                                                                  <w:divBdr>
                                                                    <w:top w:val="none" w:sz="0" w:space="0" w:color="auto"/>
                                                                    <w:left w:val="none" w:sz="0" w:space="0" w:color="auto"/>
                                                                    <w:bottom w:val="none" w:sz="0" w:space="0" w:color="auto"/>
                                                                    <w:right w:val="none" w:sz="0" w:space="0" w:color="auto"/>
                                                                  </w:divBdr>
                                                                  <w:divsChild>
                                                                    <w:div w:id="503131927">
                                                                      <w:marLeft w:val="0"/>
                                                                      <w:marRight w:val="0"/>
                                                                      <w:marTop w:val="68"/>
                                                                      <w:marBottom w:val="0"/>
                                                                      <w:divBdr>
                                                                        <w:top w:val="none" w:sz="0" w:space="0" w:color="auto"/>
                                                                        <w:left w:val="none" w:sz="0" w:space="0" w:color="auto"/>
                                                                        <w:bottom w:val="none" w:sz="0" w:space="0" w:color="auto"/>
                                                                        <w:right w:val="none" w:sz="0" w:space="0" w:color="auto"/>
                                                                      </w:divBdr>
                                                                      <w:divsChild>
                                                                        <w:div w:id="20351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304062">
      <w:bodyDiv w:val="1"/>
      <w:marLeft w:val="0"/>
      <w:marRight w:val="0"/>
      <w:marTop w:val="0"/>
      <w:marBottom w:val="0"/>
      <w:divBdr>
        <w:top w:val="none" w:sz="0" w:space="0" w:color="auto"/>
        <w:left w:val="none" w:sz="0" w:space="0" w:color="auto"/>
        <w:bottom w:val="none" w:sz="0" w:space="0" w:color="auto"/>
        <w:right w:val="none" w:sz="0" w:space="0" w:color="auto"/>
      </w:divBdr>
      <w:divsChild>
        <w:div w:id="165174150">
          <w:marLeft w:val="0"/>
          <w:marRight w:val="0"/>
          <w:marTop w:val="0"/>
          <w:marBottom w:val="0"/>
          <w:divBdr>
            <w:top w:val="none" w:sz="0" w:space="0" w:color="auto"/>
            <w:left w:val="none" w:sz="0" w:space="0" w:color="auto"/>
            <w:bottom w:val="none" w:sz="0" w:space="0" w:color="auto"/>
            <w:right w:val="none" w:sz="0" w:space="0" w:color="auto"/>
          </w:divBdr>
          <w:divsChild>
            <w:div w:id="919172948">
              <w:marLeft w:val="0"/>
              <w:marRight w:val="0"/>
              <w:marTop w:val="0"/>
              <w:marBottom w:val="0"/>
              <w:divBdr>
                <w:top w:val="none" w:sz="0" w:space="0" w:color="auto"/>
                <w:left w:val="none" w:sz="0" w:space="0" w:color="auto"/>
                <w:bottom w:val="single" w:sz="6" w:space="3" w:color="B2B2B2"/>
                <w:right w:val="none" w:sz="0" w:space="0" w:color="auto"/>
              </w:divBdr>
              <w:divsChild>
                <w:div w:id="717970256">
                  <w:marLeft w:val="0"/>
                  <w:marRight w:val="0"/>
                  <w:marTop w:val="0"/>
                  <w:marBottom w:val="0"/>
                  <w:divBdr>
                    <w:top w:val="none" w:sz="0" w:space="0" w:color="auto"/>
                    <w:left w:val="none" w:sz="0" w:space="0" w:color="auto"/>
                    <w:bottom w:val="none" w:sz="0" w:space="0" w:color="auto"/>
                    <w:right w:val="none" w:sz="0" w:space="0" w:color="auto"/>
                  </w:divBdr>
                  <w:divsChild>
                    <w:div w:id="1800801405">
                      <w:marLeft w:val="0"/>
                      <w:marRight w:val="0"/>
                      <w:marTop w:val="0"/>
                      <w:marBottom w:val="0"/>
                      <w:divBdr>
                        <w:top w:val="none" w:sz="0" w:space="0" w:color="auto"/>
                        <w:left w:val="none" w:sz="0" w:space="0" w:color="auto"/>
                        <w:bottom w:val="none" w:sz="0" w:space="0" w:color="auto"/>
                        <w:right w:val="none" w:sz="0" w:space="0" w:color="auto"/>
                      </w:divBdr>
                      <w:divsChild>
                        <w:div w:id="1376079703">
                          <w:marLeft w:val="0"/>
                          <w:marRight w:val="0"/>
                          <w:marTop w:val="0"/>
                          <w:marBottom w:val="0"/>
                          <w:divBdr>
                            <w:top w:val="none" w:sz="0" w:space="0" w:color="auto"/>
                            <w:left w:val="none" w:sz="0" w:space="0" w:color="auto"/>
                            <w:bottom w:val="none" w:sz="0" w:space="0" w:color="auto"/>
                            <w:right w:val="none" w:sz="0" w:space="0" w:color="auto"/>
                          </w:divBdr>
                          <w:divsChild>
                            <w:div w:id="1045182080">
                              <w:marLeft w:val="0"/>
                              <w:marRight w:val="0"/>
                              <w:marTop w:val="0"/>
                              <w:marBottom w:val="0"/>
                              <w:divBdr>
                                <w:top w:val="none" w:sz="0" w:space="0" w:color="auto"/>
                                <w:left w:val="none" w:sz="0" w:space="0" w:color="auto"/>
                                <w:bottom w:val="none" w:sz="0" w:space="0" w:color="auto"/>
                                <w:right w:val="none" w:sz="0" w:space="0" w:color="auto"/>
                              </w:divBdr>
                              <w:divsChild>
                                <w:div w:id="811336612">
                                  <w:marLeft w:val="0"/>
                                  <w:marRight w:val="0"/>
                                  <w:marTop w:val="0"/>
                                  <w:marBottom w:val="0"/>
                                  <w:divBdr>
                                    <w:top w:val="none" w:sz="0" w:space="0" w:color="auto"/>
                                    <w:left w:val="none" w:sz="0" w:space="0" w:color="auto"/>
                                    <w:bottom w:val="none" w:sz="0" w:space="0" w:color="auto"/>
                                    <w:right w:val="none" w:sz="0" w:space="0" w:color="auto"/>
                                  </w:divBdr>
                                  <w:divsChild>
                                    <w:div w:id="1629624520">
                                      <w:marLeft w:val="0"/>
                                      <w:marRight w:val="0"/>
                                      <w:marTop w:val="0"/>
                                      <w:marBottom w:val="0"/>
                                      <w:divBdr>
                                        <w:top w:val="none" w:sz="0" w:space="0" w:color="auto"/>
                                        <w:left w:val="none" w:sz="0" w:space="0" w:color="auto"/>
                                        <w:bottom w:val="none" w:sz="0" w:space="0" w:color="auto"/>
                                        <w:right w:val="none" w:sz="0" w:space="0" w:color="auto"/>
                                      </w:divBdr>
                                      <w:divsChild>
                                        <w:div w:id="472986573">
                                          <w:marLeft w:val="0"/>
                                          <w:marRight w:val="0"/>
                                          <w:marTop w:val="0"/>
                                          <w:marBottom w:val="0"/>
                                          <w:divBdr>
                                            <w:top w:val="none" w:sz="0" w:space="0" w:color="auto"/>
                                            <w:left w:val="none" w:sz="0" w:space="0" w:color="auto"/>
                                            <w:bottom w:val="none" w:sz="0" w:space="0" w:color="auto"/>
                                            <w:right w:val="none" w:sz="0" w:space="0" w:color="auto"/>
                                          </w:divBdr>
                                          <w:divsChild>
                                            <w:div w:id="1663267662">
                                              <w:marLeft w:val="2717"/>
                                              <w:marRight w:val="0"/>
                                              <w:marTop w:val="0"/>
                                              <w:marBottom w:val="0"/>
                                              <w:divBdr>
                                                <w:top w:val="none" w:sz="0" w:space="0" w:color="auto"/>
                                                <w:left w:val="none" w:sz="0" w:space="0" w:color="auto"/>
                                                <w:bottom w:val="none" w:sz="0" w:space="0" w:color="auto"/>
                                                <w:right w:val="none" w:sz="0" w:space="0" w:color="auto"/>
                                              </w:divBdr>
                                              <w:divsChild>
                                                <w:div w:id="2025400258">
                                                  <w:marLeft w:val="0"/>
                                                  <w:marRight w:val="0"/>
                                                  <w:marTop w:val="0"/>
                                                  <w:marBottom w:val="0"/>
                                                  <w:divBdr>
                                                    <w:top w:val="none" w:sz="0" w:space="0" w:color="auto"/>
                                                    <w:left w:val="none" w:sz="0" w:space="0" w:color="auto"/>
                                                    <w:bottom w:val="none" w:sz="0" w:space="0" w:color="auto"/>
                                                    <w:right w:val="none" w:sz="0" w:space="0" w:color="auto"/>
                                                  </w:divBdr>
                                                  <w:divsChild>
                                                    <w:div w:id="2132360182">
                                                      <w:marLeft w:val="0"/>
                                                      <w:marRight w:val="0"/>
                                                      <w:marTop w:val="0"/>
                                                      <w:marBottom w:val="0"/>
                                                      <w:divBdr>
                                                        <w:top w:val="none" w:sz="0" w:space="0" w:color="auto"/>
                                                        <w:left w:val="none" w:sz="0" w:space="0" w:color="auto"/>
                                                        <w:bottom w:val="none" w:sz="0" w:space="0" w:color="auto"/>
                                                        <w:right w:val="none" w:sz="0" w:space="0" w:color="auto"/>
                                                      </w:divBdr>
                                                      <w:divsChild>
                                                        <w:div w:id="1888755460">
                                                          <w:marLeft w:val="0"/>
                                                          <w:marRight w:val="0"/>
                                                          <w:marTop w:val="0"/>
                                                          <w:marBottom w:val="0"/>
                                                          <w:divBdr>
                                                            <w:top w:val="none" w:sz="0" w:space="0" w:color="auto"/>
                                                            <w:left w:val="none" w:sz="0" w:space="0" w:color="auto"/>
                                                            <w:bottom w:val="none" w:sz="0" w:space="0" w:color="auto"/>
                                                            <w:right w:val="none" w:sz="0" w:space="0" w:color="auto"/>
                                                          </w:divBdr>
                                                          <w:divsChild>
                                                            <w:div w:id="253364724">
                                                              <w:marLeft w:val="0"/>
                                                              <w:marRight w:val="0"/>
                                                              <w:marTop w:val="0"/>
                                                              <w:marBottom w:val="0"/>
                                                              <w:divBdr>
                                                                <w:top w:val="none" w:sz="0" w:space="0" w:color="auto"/>
                                                                <w:left w:val="none" w:sz="0" w:space="0" w:color="auto"/>
                                                                <w:bottom w:val="none" w:sz="0" w:space="0" w:color="auto"/>
                                                                <w:right w:val="none" w:sz="0" w:space="0" w:color="auto"/>
                                                              </w:divBdr>
                                                              <w:divsChild>
                                                                <w:div w:id="2047292690">
                                                                  <w:marLeft w:val="0"/>
                                                                  <w:marRight w:val="0"/>
                                                                  <w:marTop w:val="0"/>
                                                                  <w:marBottom w:val="0"/>
                                                                  <w:divBdr>
                                                                    <w:top w:val="none" w:sz="0" w:space="0" w:color="auto"/>
                                                                    <w:left w:val="none" w:sz="0" w:space="0" w:color="auto"/>
                                                                    <w:bottom w:val="none" w:sz="0" w:space="0" w:color="auto"/>
                                                                    <w:right w:val="none" w:sz="0" w:space="0" w:color="auto"/>
                                                                  </w:divBdr>
                                                                  <w:divsChild>
                                                                    <w:div w:id="565607105">
                                                                      <w:marLeft w:val="0"/>
                                                                      <w:marRight w:val="0"/>
                                                                      <w:marTop w:val="68"/>
                                                                      <w:marBottom w:val="0"/>
                                                                      <w:divBdr>
                                                                        <w:top w:val="none" w:sz="0" w:space="0" w:color="auto"/>
                                                                        <w:left w:val="none" w:sz="0" w:space="0" w:color="auto"/>
                                                                        <w:bottom w:val="none" w:sz="0" w:space="0" w:color="auto"/>
                                                                        <w:right w:val="none" w:sz="0" w:space="0" w:color="auto"/>
                                                                      </w:divBdr>
                                                                      <w:divsChild>
                                                                        <w:div w:id="8142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496580">
      <w:bodyDiv w:val="1"/>
      <w:marLeft w:val="0"/>
      <w:marRight w:val="0"/>
      <w:marTop w:val="0"/>
      <w:marBottom w:val="0"/>
      <w:divBdr>
        <w:top w:val="none" w:sz="0" w:space="0" w:color="auto"/>
        <w:left w:val="none" w:sz="0" w:space="0" w:color="auto"/>
        <w:bottom w:val="none" w:sz="0" w:space="0" w:color="auto"/>
        <w:right w:val="none" w:sz="0" w:space="0" w:color="auto"/>
      </w:divBdr>
      <w:divsChild>
        <w:div w:id="520163027">
          <w:marLeft w:val="0"/>
          <w:marRight w:val="0"/>
          <w:marTop w:val="0"/>
          <w:marBottom w:val="0"/>
          <w:divBdr>
            <w:top w:val="none" w:sz="0" w:space="0" w:color="auto"/>
            <w:left w:val="none" w:sz="0" w:space="0" w:color="auto"/>
            <w:bottom w:val="none" w:sz="0" w:space="0" w:color="auto"/>
            <w:right w:val="none" w:sz="0" w:space="0" w:color="auto"/>
          </w:divBdr>
          <w:divsChild>
            <w:div w:id="1575509947">
              <w:marLeft w:val="0"/>
              <w:marRight w:val="0"/>
              <w:marTop w:val="0"/>
              <w:marBottom w:val="0"/>
              <w:divBdr>
                <w:top w:val="none" w:sz="0" w:space="0" w:color="auto"/>
                <w:left w:val="none" w:sz="0" w:space="0" w:color="auto"/>
                <w:bottom w:val="none" w:sz="0" w:space="0" w:color="auto"/>
                <w:right w:val="none" w:sz="0" w:space="0" w:color="auto"/>
              </w:divBdr>
              <w:divsChild>
                <w:div w:id="1913613112">
                  <w:marLeft w:val="0"/>
                  <w:marRight w:val="0"/>
                  <w:marTop w:val="0"/>
                  <w:marBottom w:val="0"/>
                  <w:divBdr>
                    <w:top w:val="none" w:sz="0" w:space="0" w:color="auto"/>
                    <w:left w:val="none" w:sz="0" w:space="0" w:color="auto"/>
                    <w:bottom w:val="none" w:sz="0" w:space="0" w:color="auto"/>
                    <w:right w:val="none" w:sz="0" w:space="0" w:color="auto"/>
                  </w:divBdr>
                  <w:divsChild>
                    <w:div w:id="1879581838">
                      <w:marLeft w:val="0"/>
                      <w:marRight w:val="0"/>
                      <w:marTop w:val="0"/>
                      <w:marBottom w:val="0"/>
                      <w:divBdr>
                        <w:top w:val="none" w:sz="0" w:space="0" w:color="auto"/>
                        <w:left w:val="none" w:sz="0" w:space="0" w:color="auto"/>
                        <w:bottom w:val="none" w:sz="0" w:space="0" w:color="auto"/>
                        <w:right w:val="none" w:sz="0" w:space="0" w:color="auto"/>
                      </w:divBdr>
                      <w:divsChild>
                        <w:div w:id="275140580">
                          <w:marLeft w:val="0"/>
                          <w:marRight w:val="0"/>
                          <w:marTop w:val="0"/>
                          <w:marBottom w:val="0"/>
                          <w:divBdr>
                            <w:top w:val="none" w:sz="0" w:space="0" w:color="auto"/>
                            <w:left w:val="none" w:sz="0" w:space="0" w:color="auto"/>
                            <w:bottom w:val="none" w:sz="0" w:space="0" w:color="auto"/>
                            <w:right w:val="none" w:sz="0" w:space="0" w:color="auto"/>
                          </w:divBdr>
                          <w:divsChild>
                            <w:div w:id="439957014">
                              <w:marLeft w:val="0"/>
                              <w:marRight w:val="0"/>
                              <w:marTop w:val="0"/>
                              <w:marBottom w:val="0"/>
                              <w:divBdr>
                                <w:top w:val="none" w:sz="0" w:space="0" w:color="auto"/>
                                <w:left w:val="none" w:sz="0" w:space="0" w:color="auto"/>
                                <w:bottom w:val="none" w:sz="0" w:space="0" w:color="auto"/>
                                <w:right w:val="none" w:sz="0" w:space="0" w:color="auto"/>
                              </w:divBdr>
                              <w:divsChild>
                                <w:div w:id="633173815">
                                  <w:marLeft w:val="0"/>
                                  <w:marRight w:val="0"/>
                                  <w:marTop w:val="0"/>
                                  <w:marBottom w:val="0"/>
                                  <w:divBdr>
                                    <w:top w:val="single" w:sz="6" w:space="0" w:color="F5F5F5"/>
                                    <w:left w:val="single" w:sz="6" w:space="0" w:color="F5F5F5"/>
                                    <w:bottom w:val="single" w:sz="6" w:space="0" w:color="F5F5F5"/>
                                    <w:right w:val="single" w:sz="6" w:space="0" w:color="F5F5F5"/>
                                  </w:divBdr>
                                  <w:divsChild>
                                    <w:div w:id="2044285779">
                                      <w:marLeft w:val="0"/>
                                      <w:marRight w:val="0"/>
                                      <w:marTop w:val="0"/>
                                      <w:marBottom w:val="0"/>
                                      <w:divBdr>
                                        <w:top w:val="none" w:sz="0" w:space="0" w:color="auto"/>
                                        <w:left w:val="none" w:sz="0" w:space="0" w:color="auto"/>
                                        <w:bottom w:val="none" w:sz="0" w:space="0" w:color="auto"/>
                                        <w:right w:val="none" w:sz="0" w:space="0" w:color="auto"/>
                                      </w:divBdr>
                                      <w:divsChild>
                                        <w:div w:id="9228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179320">
      <w:bodyDiv w:val="1"/>
      <w:marLeft w:val="0"/>
      <w:marRight w:val="0"/>
      <w:marTop w:val="0"/>
      <w:marBottom w:val="0"/>
      <w:divBdr>
        <w:top w:val="none" w:sz="0" w:space="0" w:color="auto"/>
        <w:left w:val="none" w:sz="0" w:space="0" w:color="auto"/>
        <w:bottom w:val="none" w:sz="0" w:space="0" w:color="auto"/>
        <w:right w:val="none" w:sz="0" w:space="0" w:color="auto"/>
      </w:divBdr>
    </w:div>
    <w:div w:id="1481311510">
      <w:bodyDiv w:val="1"/>
      <w:marLeft w:val="0"/>
      <w:marRight w:val="0"/>
      <w:marTop w:val="0"/>
      <w:marBottom w:val="0"/>
      <w:divBdr>
        <w:top w:val="none" w:sz="0" w:space="0" w:color="auto"/>
        <w:left w:val="none" w:sz="0" w:space="0" w:color="auto"/>
        <w:bottom w:val="none" w:sz="0" w:space="0" w:color="auto"/>
        <w:right w:val="none" w:sz="0" w:space="0" w:color="auto"/>
      </w:divBdr>
    </w:div>
    <w:div w:id="19818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chart" Target="charts/chart110.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chart" Target="charts/chart82.xml"/><Relationship Id="rId112" Type="http://schemas.openxmlformats.org/officeDocument/2006/relationships/chart" Target="charts/chart105.xml"/><Relationship Id="rId133" Type="http://schemas.openxmlformats.org/officeDocument/2006/relationships/chart" Target="charts/chart126.xml"/><Relationship Id="rId138" Type="http://schemas.openxmlformats.org/officeDocument/2006/relationships/chart" Target="charts/chart131.xml"/><Relationship Id="rId154" Type="http://schemas.openxmlformats.org/officeDocument/2006/relationships/chart" Target="charts/chart147.xml"/><Relationship Id="rId159" Type="http://schemas.openxmlformats.org/officeDocument/2006/relationships/chart" Target="charts/chart152.xml"/><Relationship Id="rId175" Type="http://schemas.openxmlformats.org/officeDocument/2006/relationships/hyperlink" Target="mailto:janis.salmins@em.gov.lv" TargetMode="External"/><Relationship Id="rId170" Type="http://schemas.openxmlformats.org/officeDocument/2006/relationships/chart" Target="charts/chart163.xml"/><Relationship Id="rId16" Type="http://schemas.openxmlformats.org/officeDocument/2006/relationships/chart" Target="charts/chart9.xml"/><Relationship Id="rId107" Type="http://schemas.openxmlformats.org/officeDocument/2006/relationships/chart" Target="charts/chart100.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5.xml"/><Relationship Id="rId123" Type="http://schemas.openxmlformats.org/officeDocument/2006/relationships/chart" Target="charts/chart116.xml"/><Relationship Id="rId128" Type="http://schemas.openxmlformats.org/officeDocument/2006/relationships/chart" Target="charts/chart121.xml"/><Relationship Id="rId144" Type="http://schemas.openxmlformats.org/officeDocument/2006/relationships/chart" Target="charts/chart137.xml"/><Relationship Id="rId149" Type="http://schemas.openxmlformats.org/officeDocument/2006/relationships/chart" Target="charts/chart142.xml"/><Relationship Id="rId5" Type="http://schemas.openxmlformats.org/officeDocument/2006/relationships/webSettings" Target="webSettings.xml"/><Relationship Id="rId90" Type="http://schemas.openxmlformats.org/officeDocument/2006/relationships/chart" Target="charts/chart83.xml"/><Relationship Id="rId95" Type="http://schemas.openxmlformats.org/officeDocument/2006/relationships/chart" Target="charts/chart88.xml"/><Relationship Id="rId160" Type="http://schemas.openxmlformats.org/officeDocument/2006/relationships/chart" Target="charts/chart153.xml"/><Relationship Id="rId165" Type="http://schemas.openxmlformats.org/officeDocument/2006/relationships/chart" Target="charts/chart158.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chart" Target="charts/chart106.xml"/><Relationship Id="rId118" Type="http://schemas.openxmlformats.org/officeDocument/2006/relationships/chart" Target="charts/chart111.xml"/><Relationship Id="rId134" Type="http://schemas.openxmlformats.org/officeDocument/2006/relationships/chart" Target="charts/chart127.xml"/><Relationship Id="rId139" Type="http://schemas.openxmlformats.org/officeDocument/2006/relationships/chart" Target="charts/chart132.xml"/><Relationship Id="rId80" Type="http://schemas.openxmlformats.org/officeDocument/2006/relationships/chart" Target="charts/chart73.xml"/><Relationship Id="rId85" Type="http://schemas.openxmlformats.org/officeDocument/2006/relationships/chart" Target="charts/chart78.xml"/><Relationship Id="rId150" Type="http://schemas.openxmlformats.org/officeDocument/2006/relationships/chart" Target="charts/chart143.xml"/><Relationship Id="rId155" Type="http://schemas.openxmlformats.org/officeDocument/2006/relationships/chart" Target="charts/chart148.xml"/><Relationship Id="rId171" Type="http://schemas.openxmlformats.org/officeDocument/2006/relationships/chart" Target="charts/chart164.xml"/><Relationship Id="rId176" Type="http://schemas.openxmlformats.org/officeDocument/2006/relationships/footer" Target="footer1.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6.xml"/><Relationship Id="rId108" Type="http://schemas.openxmlformats.org/officeDocument/2006/relationships/chart" Target="charts/chart101.xml"/><Relationship Id="rId124" Type="http://schemas.openxmlformats.org/officeDocument/2006/relationships/chart" Target="charts/chart117.xml"/><Relationship Id="rId129" Type="http://schemas.openxmlformats.org/officeDocument/2006/relationships/chart" Target="charts/chart122.xml"/><Relationship Id="rId54" Type="http://schemas.openxmlformats.org/officeDocument/2006/relationships/chart" Target="charts/chart47.xml"/><Relationship Id="rId70" Type="http://schemas.openxmlformats.org/officeDocument/2006/relationships/chart" Target="charts/chart63.xml"/><Relationship Id="rId75" Type="http://schemas.openxmlformats.org/officeDocument/2006/relationships/chart" Target="charts/chart68.xml"/><Relationship Id="rId91" Type="http://schemas.openxmlformats.org/officeDocument/2006/relationships/chart" Target="charts/chart84.xml"/><Relationship Id="rId96" Type="http://schemas.openxmlformats.org/officeDocument/2006/relationships/chart" Target="charts/chart89.xml"/><Relationship Id="rId140" Type="http://schemas.openxmlformats.org/officeDocument/2006/relationships/chart" Target="charts/chart133.xml"/><Relationship Id="rId145" Type="http://schemas.openxmlformats.org/officeDocument/2006/relationships/chart" Target="charts/chart138.xml"/><Relationship Id="rId161" Type="http://schemas.openxmlformats.org/officeDocument/2006/relationships/chart" Target="charts/chart154.xml"/><Relationship Id="rId166" Type="http://schemas.openxmlformats.org/officeDocument/2006/relationships/chart" Target="charts/chart15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chart" Target="charts/chart107.xml"/><Relationship Id="rId119" Type="http://schemas.openxmlformats.org/officeDocument/2006/relationships/chart" Target="charts/chart112.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7.xml"/><Relationship Id="rId99" Type="http://schemas.openxmlformats.org/officeDocument/2006/relationships/chart" Target="charts/chart92.xml"/><Relationship Id="rId101" Type="http://schemas.openxmlformats.org/officeDocument/2006/relationships/chart" Target="charts/chart94.xml"/><Relationship Id="rId122" Type="http://schemas.openxmlformats.org/officeDocument/2006/relationships/chart" Target="charts/chart115.xml"/><Relationship Id="rId130" Type="http://schemas.openxmlformats.org/officeDocument/2006/relationships/chart" Target="charts/chart123.xml"/><Relationship Id="rId135" Type="http://schemas.openxmlformats.org/officeDocument/2006/relationships/chart" Target="charts/chart128.xml"/><Relationship Id="rId143" Type="http://schemas.openxmlformats.org/officeDocument/2006/relationships/chart" Target="charts/chart136.xml"/><Relationship Id="rId148" Type="http://schemas.openxmlformats.org/officeDocument/2006/relationships/chart" Target="charts/chart141.xml"/><Relationship Id="rId151" Type="http://schemas.openxmlformats.org/officeDocument/2006/relationships/chart" Target="charts/chart144.xml"/><Relationship Id="rId156" Type="http://schemas.openxmlformats.org/officeDocument/2006/relationships/chart" Target="charts/chart149.xml"/><Relationship Id="rId164" Type="http://schemas.openxmlformats.org/officeDocument/2006/relationships/chart" Target="charts/chart157.xml"/><Relationship Id="rId169" Type="http://schemas.openxmlformats.org/officeDocument/2006/relationships/chart" Target="charts/chart162.xml"/><Relationship Id="rId177"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72" Type="http://schemas.openxmlformats.org/officeDocument/2006/relationships/chart" Target="charts/chart165.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10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90.xml"/><Relationship Id="rId104" Type="http://schemas.openxmlformats.org/officeDocument/2006/relationships/chart" Target="charts/chart97.xml"/><Relationship Id="rId120" Type="http://schemas.openxmlformats.org/officeDocument/2006/relationships/chart" Target="charts/chart113.xml"/><Relationship Id="rId125" Type="http://schemas.openxmlformats.org/officeDocument/2006/relationships/chart" Target="charts/chart118.xml"/><Relationship Id="rId141" Type="http://schemas.openxmlformats.org/officeDocument/2006/relationships/chart" Target="charts/chart134.xml"/><Relationship Id="rId146" Type="http://schemas.openxmlformats.org/officeDocument/2006/relationships/chart" Target="charts/chart139.xml"/><Relationship Id="rId167" Type="http://schemas.openxmlformats.org/officeDocument/2006/relationships/chart" Target="charts/chart160.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chart" Target="charts/chart85.xml"/><Relationship Id="rId162" Type="http://schemas.openxmlformats.org/officeDocument/2006/relationships/chart" Target="charts/chart155.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chart" Target="charts/chart103.xml"/><Relationship Id="rId115" Type="http://schemas.openxmlformats.org/officeDocument/2006/relationships/chart" Target="charts/chart108.xml"/><Relationship Id="rId131" Type="http://schemas.openxmlformats.org/officeDocument/2006/relationships/chart" Target="charts/chart124.xml"/><Relationship Id="rId136" Type="http://schemas.openxmlformats.org/officeDocument/2006/relationships/chart" Target="charts/chart129.xml"/><Relationship Id="rId157" Type="http://schemas.openxmlformats.org/officeDocument/2006/relationships/chart" Target="charts/chart150.xml"/><Relationship Id="rId178" Type="http://schemas.openxmlformats.org/officeDocument/2006/relationships/fontTable" Target="fontTable.xml"/><Relationship Id="rId61" Type="http://schemas.openxmlformats.org/officeDocument/2006/relationships/chart" Target="charts/chart54.xml"/><Relationship Id="rId82" Type="http://schemas.openxmlformats.org/officeDocument/2006/relationships/chart" Target="charts/chart75.xml"/><Relationship Id="rId152" Type="http://schemas.openxmlformats.org/officeDocument/2006/relationships/chart" Target="charts/chart145.xml"/><Relationship Id="rId173" Type="http://schemas.openxmlformats.org/officeDocument/2006/relationships/chart" Target="charts/chart166.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93.xml"/><Relationship Id="rId105" Type="http://schemas.openxmlformats.org/officeDocument/2006/relationships/chart" Target="charts/chart98.xml"/><Relationship Id="rId126" Type="http://schemas.openxmlformats.org/officeDocument/2006/relationships/chart" Target="charts/chart119.xml"/><Relationship Id="rId147" Type="http://schemas.openxmlformats.org/officeDocument/2006/relationships/chart" Target="charts/chart140.xml"/><Relationship Id="rId168" Type="http://schemas.openxmlformats.org/officeDocument/2006/relationships/chart" Target="charts/chart161.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chart" Target="charts/chart86.xml"/><Relationship Id="rId98" Type="http://schemas.openxmlformats.org/officeDocument/2006/relationships/chart" Target="charts/chart91.xml"/><Relationship Id="rId121" Type="http://schemas.openxmlformats.org/officeDocument/2006/relationships/chart" Target="charts/chart114.xml"/><Relationship Id="rId142" Type="http://schemas.openxmlformats.org/officeDocument/2006/relationships/chart" Target="charts/chart135.xml"/><Relationship Id="rId163" Type="http://schemas.openxmlformats.org/officeDocument/2006/relationships/chart" Target="charts/chart156.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60.xml"/><Relationship Id="rId116" Type="http://schemas.openxmlformats.org/officeDocument/2006/relationships/chart" Target="charts/chart109.xml"/><Relationship Id="rId137" Type="http://schemas.openxmlformats.org/officeDocument/2006/relationships/chart" Target="charts/chart130.xml"/><Relationship Id="rId158" Type="http://schemas.openxmlformats.org/officeDocument/2006/relationships/chart" Target="charts/chart15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5.xml"/><Relationship Id="rId83" Type="http://schemas.openxmlformats.org/officeDocument/2006/relationships/chart" Target="charts/chart76.xml"/><Relationship Id="rId88" Type="http://schemas.openxmlformats.org/officeDocument/2006/relationships/chart" Target="charts/chart81.xml"/><Relationship Id="rId111" Type="http://schemas.openxmlformats.org/officeDocument/2006/relationships/chart" Target="charts/chart104.xml"/><Relationship Id="rId132" Type="http://schemas.openxmlformats.org/officeDocument/2006/relationships/chart" Target="charts/chart125.xml"/><Relationship Id="rId153" Type="http://schemas.openxmlformats.org/officeDocument/2006/relationships/chart" Target="charts/chart146.xml"/><Relationship Id="rId174" Type="http://schemas.openxmlformats.org/officeDocument/2006/relationships/chart" Target="charts/chart167.xml"/><Relationship Id="rId179" Type="http://schemas.openxmlformats.org/officeDocument/2006/relationships/theme" Target="theme/theme1.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chart" Target="charts/chart50.xml"/><Relationship Id="rId106" Type="http://schemas.openxmlformats.org/officeDocument/2006/relationships/chart" Target="charts/chart99.xml"/><Relationship Id="rId127" Type="http://schemas.openxmlformats.org/officeDocument/2006/relationships/chart" Target="charts/chart1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91.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92.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93.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94.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9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9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97.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98.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99.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10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101.xml"/></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Office_Excel_Worksheet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Office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Office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Office_Excel_Worksheet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Office_Excel_Work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Office_Excel_Work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Office_Excel_Worksheet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0.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120.xlsx"/><Relationship Id="rId1" Type="http://schemas.openxmlformats.org/officeDocument/2006/relationships/themeOverride" Target="../theme/themeOverride102.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121.xlsx"/><Relationship Id="rId1" Type="http://schemas.openxmlformats.org/officeDocument/2006/relationships/themeOverride" Target="../theme/themeOverride103.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122.xlsx"/><Relationship Id="rId1" Type="http://schemas.openxmlformats.org/officeDocument/2006/relationships/themeOverride" Target="../theme/themeOverride104.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23.xlsx"/><Relationship Id="rId1" Type="http://schemas.openxmlformats.org/officeDocument/2006/relationships/themeOverride" Target="../theme/themeOverride105.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Office_Excel_Worksheet124.xlsx"/><Relationship Id="rId1" Type="http://schemas.openxmlformats.org/officeDocument/2006/relationships/themeOverride" Target="../theme/themeOverride106.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Office_Excel_Worksheet125.xlsx"/><Relationship Id="rId1" Type="http://schemas.openxmlformats.org/officeDocument/2006/relationships/themeOverride" Target="../theme/themeOverride107.xml"/></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Office_Excel_Worksheet127.xlsx"/></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Office_Excel_Worksheet128.xlsx"/><Relationship Id="rId1" Type="http://schemas.openxmlformats.org/officeDocument/2006/relationships/themeOverride" Target="../theme/themeOverride10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Office_Excel_Worksheet129.xlsx"/><Relationship Id="rId1" Type="http://schemas.openxmlformats.org/officeDocument/2006/relationships/themeOverride" Target="../theme/themeOverride10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1.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Office_Excel_Worksheet130.xlsx"/><Relationship Id="rId1" Type="http://schemas.openxmlformats.org/officeDocument/2006/relationships/themeOverride" Target="../theme/themeOverride11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Office_Excel_Worksheet131.xlsx"/><Relationship Id="rId1" Type="http://schemas.openxmlformats.org/officeDocument/2006/relationships/themeOverride" Target="../theme/themeOverride111.xml"/></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Office_Excel_Worksheet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Office_Excel_Worksheet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Office_Excel_Worksheet134.xlsx"/></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Office_Excel_Worksheet135.xlsx"/><Relationship Id="rId1" Type="http://schemas.openxmlformats.org/officeDocument/2006/relationships/themeOverride" Target="../theme/themeOverride112.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Office_Excel_Worksheet136.xlsx"/><Relationship Id="rId1" Type="http://schemas.openxmlformats.org/officeDocument/2006/relationships/themeOverride" Target="../theme/themeOverride113.xml"/></Relationships>
</file>

<file path=word/charts/_rels/chart13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37.xlsx"/></Relationships>
</file>

<file path=word/charts/_rels/chart13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38.xlsx"/></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3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2.xml"/></Relationships>
</file>

<file path=word/charts/_rels/chart14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40.xlsx"/></Relationships>
</file>

<file path=word/charts/_rels/chart14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41.xlsx"/></Relationships>
</file>

<file path=word/charts/_rels/chart14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42.xlsx"/></Relationships>
</file>

<file path=word/charts/_rels/chart14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Office_Excel_Worksheet144.xlsx"/></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Office_Excel_Worksheet145.xlsx"/><Relationship Id="rId1" Type="http://schemas.openxmlformats.org/officeDocument/2006/relationships/themeOverride" Target="../theme/themeOverride114.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Office_Excel_Worksheet146.xlsx"/><Relationship Id="rId1" Type="http://schemas.openxmlformats.org/officeDocument/2006/relationships/themeOverride" Target="../theme/themeOverride115.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Office_Excel_Worksheet147.xlsx"/><Relationship Id="rId1" Type="http://schemas.openxmlformats.org/officeDocument/2006/relationships/themeOverride" Target="../theme/themeOverride116.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Office_Excel_Worksheet148.xlsx"/><Relationship Id="rId1" Type="http://schemas.openxmlformats.org/officeDocument/2006/relationships/themeOverride" Target="../theme/themeOverride117.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Office_Excel_Worksheet149.xlsx"/><Relationship Id="rId1" Type="http://schemas.openxmlformats.org/officeDocument/2006/relationships/themeOverride" Target="../theme/themeOverride11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3.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Office_Excel_Worksheet150.xlsx"/><Relationship Id="rId1" Type="http://schemas.openxmlformats.org/officeDocument/2006/relationships/themeOverride" Target="../theme/themeOverride119.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Office_Excel_Worksheet151.xlsx"/><Relationship Id="rId1" Type="http://schemas.openxmlformats.org/officeDocument/2006/relationships/themeOverride" Target="../theme/themeOverride120.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Office_Excel_Worksheet152.xlsx"/><Relationship Id="rId1" Type="http://schemas.openxmlformats.org/officeDocument/2006/relationships/themeOverride" Target="../theme/themeOverride121.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Office_Excel_Worksheet153.xlsx"/><Relationship Id="rId1" Type="http://schemas.openxmlformats.org/officeDocument/2006/relationships/themeOverride" Target="../theme/themeOverride122.xml"/></Relationships>
</file>

<file path=word/charts/_rels/chart154.xml.rels><?xml version="1.0" encoding="UTF-8" standalone="yes"?>
<Relationships xmlns="http://schemas.openxmlformats.org/package/2006/relationships"><Relationship Id="rId1" Type="http://schemas.openxmlformats.org/officeDocument/2006/relationships/package" Target="../embeddings/Microsoft_Office_Excel_Worksheet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Microsoft_Office_Excel_Worksheet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Microsoft_Office_Excel_Worksheet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Microsoft_Office_Excel_Worksheet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Microsoft_Office_Excel_Worksheet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Microsoft_Office_Excel_Worksheet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Microsoft_Office_Excel_Worksheet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Microsoft_Office_Excel_Worksheet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Microsoft_Office_Excel_Worksheet162.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Microsoft_Office_Excel_Worksheet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Microsoft_Office_Excel_Worksheet164.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Microsoft_Office_Excel_Worksheet165.xlsx"/></Relationships>
</file>

<file path=word/charts/_rels/chart166.xml.rels><?xml version="1.0" encoding="UTF-8" standalone="yes"?>
<Relationships xmlns="http://schemas.openxmlformats.org/package/2006/relationships"><Relationship Id="rId1" Type="http://schemas.openxmlformats.org/officeDocument/2006/relationships/package" Target="../embeddings/Microsoft_Office_Excel_Worksheet166.xlsx"/></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Office_Excel_Worksheet167.xlsx"/><Relationship Id="rId1" Type="http://schemas.openxmlformats.org/officeDocument/2006/relationships/themeOverride" Target="../theme/themeOverride12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46.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47.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8.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9.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Office_Excel_Worksheet59.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themeOverride" Target="../theme/themeOverride5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themeOverride" Target="../theme/themeOverride52.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themeOverride" Target="../theme/themeOverride5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themeOverride" Target="../theme/themeOverride5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themeOverride" Target="../theme/themeOverride58.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59.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61.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themeOverride" Target="../theme/themeOverride62.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themeOverride" Target="../theme/themeOverride63.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themeOverride" Target="../theme/themeOverride64.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65.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66.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67.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68.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Office_Excel_Worksheet78.xlsx"/><Relationship Id="rId1" Type="http://schemas.openxmlformats.org/officeDocument/2006/relationships/themeOverride" Target="../theme/themeOverride69.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Office_Excel_Worksheet79.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Office_Excel_Worksheet80.xlsx"/><Relationship Id="rId1" Type="http://schemas.openxmlformats.org/officeDocument/2006/relationships/themeOverride" Target="../theme/themeOverride71.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Office_Excel_Worksheet81.xlsx"/><Relationship Id="rId1" Type="http://schemas.openxmlformats.org/officeDocument/2006/relationships/themeOverride" Target="../theme/themeOverride72.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Office_Excel_Worksheet82.xlsx"/><Relationship Id="rId1" Type="http://schemas.openxmlformats.org/officeDocument/2006/relationships/themeOverride" Target="../theme/themeOverride73.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Office_Excel_Worksheet83.xlsx"/><Relationship Id="rId1" Type="http://schemas.openxmlformats.org/officeDocument/2006/relationships/themeOverride" Target="../theme/themeOverride74.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Office_Excel_Worksheet84.xlsx"/><Relationship Id="rId1" Type="http://schemas.openxmlformats.org/officeDocument/2006/relationships/themeOverride" Target="../theme/themeOverride75.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Office_Excel_Worksheet85.xlsx"/><Relationship Id="rId1" Type="http://schemas.openxmlformats.org/officeDocument/2006/relationships/themeOverride" Target="../theme/themeOverride76.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Office_Excel_Worksheet86.xlsx"/><Relationship Id="rId1" Type="http://schemas.openxmlformats.org/officeDocument/2006/relationships/themeOverride" Target="../theme/themeOverride77.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Office_Excel_Worksheet87.xlsx"/><Relationship Id="rId1" Type="http://schemas.openxmlformats.org/officeDocument/2006/relationships/themeOverride" Target="../theme/themeOverride78.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79.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Office_Excel_Worksheet89.xlsx"/><Relationship Id="rId1" Type="http://schemas.openxmlformats.org/officeDocument/2006/relationships/themeOverride" Target="../theme/themeOverride80.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90.xlsx"/><Relationship Id="rId1" Type="http://schemas.openxmlformats.org/officeDocument/2006/relationships/themeOverride" Target="../theme/themeOverride81.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91.xlsx"/><Relationship Id="rId1" Type="http://schemas.openxmlformats.org/officeDocument/2006/relationships/themeOverride" Target="../theme/themeOverride82.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92.xlsx"/><Relationship Id="rId1" Type="http://schemas.openxmlformats.org/officeDocument/2006/relationships/themeOverride" Target="../theme/themeOverride83.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3.xlsx"/><Relationship Id="rId1" Type="http://schemas.openxmlformats.org/officeDocument/2006/relationships/themeOverride" Target="../theme/themeOverride84.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85.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86.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87.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88.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Office_Excel_Worksheet98.xlsx"/><Relationship Id="rId1" Type="http://schemas.openxmlformats.org/officeDocument/2006/relationships/themeOverride" Target="../theme/themeOverride89.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90.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7330529123597"/>
          <c:y val="3.181917211329284E-2"/>
          <c:w val="0.859797378747852"/>
          <c:h val="0.7538017429194428"/>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101</c:v>
                </c:pt>
                <c:pt idx="1">
                  <c:v>102.01</c:v>
                </c:pt>
                <c:pt idx="2">
                  <c:v>102.72407</c:v>
                </c:pt>
                <c:pt idx="3">
                  <c:v>100</c:v>
                </c:pt>
                <c:pt idx="4">
                  <c:v>100.89999999999999</c:v>
                </c:pt>
                <c:pt idx="5">
                  <c:v>101.40450000000011</c:v>
                </c:pt>
                <c:pt idx="6">
                  <c:v>102.01292699999999</c:v>
                </c:pt>
                <c:pt idx="7">
                  <c:v>102.52299163499985</c:v>
                </c:pt>
                <c:pt idx="8">
                  <c:v>103.03560659317498</c:v>
                </c:pt>
                <c:pt idx="9">
                  <c:v>102.72649977339546</c:v>
                </c:pt>
                <c:pt idx="10">
                  <c:v>102.21286727452845</c:v>
                </c:pt>
                <c:pt idx="11">
                  <c:v>100.27082279631242</c:v>
                </c:pt>
                <c:pt idx="12">
                  <c:v>97.663781403608141</c:v>
                </c:pt>
                <c:pt idx="13">
                  <c:v>97.370790059397478</c:v>
                </c:pt>
                <c:pt idx="14">
                  <c:v>97.662902429575652</c:v>
                </c:pt>
                <c:pt idx="15">
                  <c:v>98.053554039293971</c:v>
                </c:pt>
                <c:pt idx="16">
                  <c:v>98.445768255451014</c:v>
                </c:pt>
                <c:pt idx="17">
                  <c:v>99.430225938005819</c:v>
                </c:pt>
                <c:pt idx="18">
                  <c:v>99.927377067695659</c:v>
                </c:pt>
                <c:pt idx="19">
                  <c:v>100.12723182183105</c:v>
                </c:pt>
                <c:pt idx="20" formatCode="General">
                  <c:v>100.82812244458374</c:v>
                </c:pt>
                <c:pt idx="21" formatCode="General">
                  <c:v>101.02977868947301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102.89999999999999</c:v>
                </c:pt>
                <c:pt idx="1">
                  <c:v>104.1348</c:v>
                </c:pt>
                <c:pt idx="2">
                  <c:v>107.36297879999979</c:v>
                </c:pt>
                <c:pt idx="3">
                  <c:v>109.0807864608</c:v>
                </c:pt>
                <c:pt idx="4">
                  <c:v>113.00769477338882</c:v>
                </c:pt>
                <c:pt idx="5">
                  <c:v>113.57273324725561</c:v>
                </c:pt>
                <c:pt idx="6">
                  <c:v>114.59488784648077</c:v>
                </c:pt>
                <c:pt idx="7">
                  <c:v>113.79272363155566</c:v>
                </c:pt>
                <c:pt idx="8">
                  <c:v>111.97204005345051</c:v>
                </c:pt>
                <c:pt idx="9">
                  <c:v>112.86781637387837</c:v>
                </c:pt>
                <c:pt idx="10">
                  <c:v>111.40053476101818</c:v>
                </c:pt>
                <c:pt idx="11">
                  <c:v>101.82008877157028</c:v>
                </c:pt>
                <c:pt idx="12">
                  <c:v>97.238184776849678</c:v>
                </c:pt>
                <c:pt idx="13">
                  <c:v>93.251419200998896</c:v>
                </c:pt>
                <c:pt idx="14">
                  <c:v>91.945899332184695</c:v>
                </c:pt>
                <c:pt idx="15">
                  <c:v>92.865358325506534</c:v>
                </c:pt>
                <c:pt idx="16">
                  <c:v>92.865358325506534</c:v>
                </c:pt>
                <c:pt idx="17">
                  <c:v>95.372723000295409</c:v>
                </c:pt>
                <c:pt idx="18">
                  <c:v>96.707941122299559</c:v>
                </c:pt>
                <c:pt idx="19">
                  <c:v>98.642099944745567</c:v>
                </c:pt>
                <c:pt idx="20" formatCode="General">
                  <c:v>101.70000504303269</c:v>
                </c:pt>
                <c:pt idx="21" formatCode="General">
                  <c:v>103.42890512876409</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102</c:v>
                </c:pt>
                <c:pt idx="1">
                  <c:v>105.06</c:v>
                </c:pt>
                <c:pt idx="2">
                  <c:v>107.26626000000013</c:v>
                </c:pt>
                <c:pt idx="3">
                  <c:v>110.26971527999999</c:v>
                </c:pt>
                <c:pt idx="4">
                  <c:v>113.90861588423999</c:v>
                </c:pt>
                <c:pt idx="5">
                  <c:v>116.30069681780888</c:v>
                </c:pt>
                <c:pt idx="6">
                  <c:v>117.46370378598733</c:v>
                </c:pt>
                <c:pt idx="7">
                  <c:v>118.1684860087029</c:v>
                </c:pt>
                <c:pt idx="8">
                  <c:v>117.34130660664212</c:v>
                </c:pt>
                <c:pt idx="9">
                  <c:v>117.34130660664212</c:v>
                </c:pt>
                <c:pt idx="10">
                  <c:v>109.94880429042367</c:v>
                </c:pt>
                <c:pt idx="11">
                  <c:v>108.07967461748623</c:v>
                </c:pt>
                <c:pt idx="12">
                  <c:v>97.595946179590143</c:v>
                </c:pt>
                <c:pt idx="13">
                  <c:v>96.619986717794134</c:v>
                </c:pt>
                <c:pt idx="14">
                  <c:v>89.953207634266562</c:v>
                </c:pt>
                <c:pt idx="15">
                  <c:v>91.032646125877761</c:v>
                </c:pt>
                <c:pt idx="16">
                  <c:v>92.034005233262405</c:v>
                </c:pt>
                <c:pt idx="17">
                  <c:v>92.034005233262405</c:v>
                </c:pt>
                <c:pt idx="18">
                  <c:v>93.046379290828284</c:v>
                </c:pt>
                <c:pt idx="19">
                  <c:v>93.790750325154889</c:v>
                </c:pt>
                <c:pt idx="20" formatCode="General">
                  <c:v>94.822448578731326</c:v>
                </c:pt>
                <c:pt idx="21" formatCode="General">
                  <c:v>96.718897550306238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99.6</c:v>
                </c:pt>
                <c:pt idx="1">
                  <c:v>102.38879999999995</c:v>
                </c:pt>
                <c:pt idx="2">
                  <c:v>104.94852000000012</c:v>
                </c:pt>
                <c:pt idx="3">
                  <c:v>107.78213003999986</c:v>
                </c:pt>
                <c:pt idx="4">
                  <c:v>108.75216921035997</c:v>
                </c:pt>
                <c:pt idx="5">
                  <c:v>112.5584951327223</c:v>
                </c:pt>
                <c:pt idx="6">
                  <c:v>116.38548396723513</c:v>
                </c:pt>
                <c:pt idx="7">
                  <c:v>116.73464041913682</c:v>
                </c:pt>
                <c:pt idx="8">
                  <c:v>117.90198682332819</c:v>
                </c:pt>
                <c:pt idx="9">
                  <c:v>118.37359477062132</c:v>
                </c:pt>
                <c:pt idx="10">
                  <c:v>116.24287006475031</c:v>
                </c:pt>
                <c:pt idx="11">
                  <c:v>114.84795562397352</c:v>
                </c:pt>
                <c:pt idx="12">
                  <c:v>101.64044072721637</c:v>
                </c:pt>
                <c:pt idx="13">
                  <c:v>99.50599147194481</c:v>
                </c:pt>
                <c:pt idx="14">
                  <c:v>99.406485480472895</c:v>
                </c:pt>
                <c:pt idx="15">
                  <c:v>98.313014140187676</c:v>
                </c:pt>
                <c:pt idx="16">
                  <c:v>99.591083324010228</c:v>
                </c:pt>
                <c:pt idx="17">
                  <c:v>100.58699415725015</c:v>
                </c:pt>
                <c:pt idx="18">
                  <c:v>100.88875513972165</c:v>
                </c:pt>
                <c:pt idx="19">
                  <c:v>102.7047527322368</c:v>
                </c:pt>
                <c:pt idx="20" formatCode="General">
                  <c:v>106.29941907786522</c:v>
                </c:pt>
                <c:pt idx="21" formatCode="General">
                  <c:v>106.72461675417669</c:v>
                </c:pt>
              </c:numCache>
            </c:numRef>
          </c:val>
          <c:smooth val="1"/>
        </c:ser>
        <c:marker val="1"/>
        <c:axId val="126186240"/>
        <c:axId val="126188160"/>
      </c:lineChart>
      <c:catAx>
        <c:axId val="126186240"/>
        <c:scaling>
          <c:orientation val="minMax"/>
        </c:scaling>
        <c:axPos val="b"/>
        <c:majorGridlines>
          <c:spPr>
            <a:ln w="3175">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6188160"/>
        <c:crosses val="autoZero"/>
        <c:auto val="1"/>
        <c:lblAlgn val="ctr"/>
        <c:lblOffset val="0"/>
        <c:tickLblSkip val="1"/>
        <c:tickMarkSkip val="1"/>
        <c:noMultiLvlLbl val="1"/>
      </c:catAx>
      <c:valAx>
        <c:axId val="126188160"/>
        <c:scaling>
          <c:orientation val="minMax"/>
          <c:max val="120"/>
          <c:min val="8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6186240"/>
        <c:crosses val="autoZero"/>
        <c:crossBetween val="between"/>
        <c:majorUnit val="5"/>
      </c:valAx>
      <c:spPr>
        <a:noFill/>
        <a:ln w="6350">
          <a:solidFill>
            <a:sysClr val="window" lastClr="FFFFFF">
              <a:lumMod val="75000"/>
            </a:sysClr>
          </a:solidFill>
        </a:ln>
      </c:spPr>
    </c:plotArea>
    <c:legend>
      <c:legendPos val="b"/>
      <c:layout>
        <c:manualLayout>
          <c:xMode val="edge"/>
          <c:yMode val="edge"/>
          <c:x val="0.25271161951661575"/>
          <c:y val="0.50778940303694919"/>
          <c:w val="0.26086068923259564"/>
          <c:h val="0.24822684835628644"/>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81273"/>
          <c:h val="0.79735763030761286"/>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5043</c:v>
                </c:pt>
                <c:pt idx="1">
                  <c:v>4610</c:v>
                </c:pt>
                <c:pt idx="2">
                  <c:v>4722</c:v>
                </c:pt>
                <c:pt idx="3">
                  <c:v>4271</c:v>
                </c:pt>
                <c:pt idx="4">
                  <c:v>4653</c:v>
                </c:pt>
                <c:pt idx="5">
                  <c:v>4536</c:v>
                </c:pt>
                <c:pt idx="6">
                  <c:v>4622</c:v>
                </c:pt>
                <c:pt idx="7">
                  <c:v>4245</c:v>
                </c:pt>
                <c:pt idx="8">
                  <c:v>4180</c:v>
                </c:pt>
                <c:pt idx="9">
                  <c:v>4644</c:v>
                </c:pt>
                <c:pt idx="10">
                  <c:v>5068</c:v>
                </c:pt>
                <c:pt idx="11">
                  <c:v>5468</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4890</c:v>
                </c:pt>
                <c:pt idx="1">
                  <c:v>4577</c:v>
                </c:pt>
                <c:pt idx="2">
                  <c:v>4747</c:v>
                </c:pt>
                <c:pt idx="3">
                  <c:v>4231</c:v>
                </c:pt>
                <c:pt idx="4">
                  <c:v>4936</c:v>
                </c:pt>
                <c:pt idx="5">
                  <c:v>4798</c:v>
                </c:pt>
                <c:pt idx="6">
                  <c:v>4388</c:v>
                </c:pt>
                <c:pt idx="7">
                  <c:v>4539</c:v>
                </c:pt>
                <c:pt idx="8">
                  <c:v>3786</c:v>
                </c:pt>
                <c:pt idx="9">
                  <c:v>3837</c:v>
                </c:pt>
                <c:pt idx="10">
                  <c:v>4202</c:v>
                </c:pt>
                <c:pt idx="11">
                  <c:v>4748</c:v>
                </c:pt>
              </c:numCache>
            </c:numRef>
          </c:val>
        </c:ser>
        <c:ser>
          <c:idx val="4"/>
          <c:order val="2"/>
          <c:tx>
            <c:strRef>
              <c:f>Sheet1!$A$4</c:f>
              <c:strCache>
                <c:ptCount val="1"/>
                <c:pt idx="0">
                  <c:v>2010</c:v>
                </c:pt>
              </c:strCache>
            </c:strRef>
          </c:tx>
          <c:spPr>
            <a:ln w="19050">
              <a:solidFill>
                <a:schemeClr val="tx1"/>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4599</c:v>
                </c:pt>
                <c:pt idx="1">
                  <c:v>4321</c:v>
                </c:pt>
                <c:pt idx="2">
                  <c:v>4362</c:v>
                </c:pt>
                <c:pt idx="3">
                  <c:v>4320</c:v>
                </c:pt>
                <c:pt idx="4">
                  <c:v>3977</c:v>
                </c:pt>
                <c:pt idx="5">
                  <c:v>3711</c:v>
                </c:pt>
                <c:pt idx="6">
                  <c:v>3813</c:v>
                </c:pt>
                <c:pt idx="7">
                  <c:v>3815</c:v>
                </c:pt>
                <c:pt idx="8">
                  <c:v>4017</c:v>
                </c:pt>
                <c:pt idx="9">
                  <c:v>3916</c:v>
                </c:pt>
                <c:pt idx="10">
                  <c:v>4153</c:v>
                </c:pt>
                <c:pt idx="11">
                  <c:v>4160</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4666</c:v>
                </c:pt>
                <c:pt idx="1">
                  <c:v>4596</c:v>
                </c:pt>
                <c:pt idx="2">
                  <c:v>5569</c:v>
                </c:pt>
                <c:pt idx="3">
                  <c:v>5471</c:v>
                </c:pt>
                <c:pt idx="4">
                  <c:v>5065</c:v>
                </c:pt>
                <c:pt idx="5">
                  <c:v>4517</c:v>
                </c:pt>
                <c:pt idx="6">
                  <c:v>4548</c:v>
                </c:pt>
              </c:numCache>
            </c:numRef>
          </c:val>
        </c:ser>
        <c:marker val="1"/>
        <c:axId val="125890944"/>
        <c:axId val="125892480"/>
      </c:lineChart>
      <c:catAx>
        <c:axId val="125890944"/>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chemeClr val="tx1"/>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5892480"/>
        <c:crosses val="autoZero"/>
        <c:auto val="1"/>
        <c:lblAlgn val="ctr"/>
        <c:lblOffset val="100"/>
        <c:tickLblSkip val="1"/>
        <c:tickMarkSkip val="1"/>
      </c:catAx>
      <c:valAx>
        <c:axId val="125892480"/>
        <c:scaling>
          <c:orientation val="minMax"/>
          <c:max val="6000"/>
          <c:min val="35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5890944"/>
        <c:crosses val="autoZero"/>
        <c:crossBetween val="between"/>
        <c:majorUnit val="500"/>
      </c:valAx>
      <c:spPr>
        <a:noFill/>
        <a:ln w="6350">
          <a:solidFill>
            <a:schemeClr val="bg1">
              <a:lumMod val="75000"/>
            </a:schemeClr>
          </a:solidFill>
        </a:ln>
      </c:spPr>
    </c:plotArea>
    <c:legend>
      <c:legendPos val="r"/>
      <c:layout>
        <c:manualLayout>
          <c:xMode val="edge"/>
          <c:yMode val="edge"/>
          <c:x val="0.54528501645034821"/>
          <c:y val="5.1656926421012897E-2"/>
          <c:w val="0.24466117651788771"/>
          <c:h val="0.28649663538507886"/>
        </c:manualLayout>
      </c:layout>
      <c:spPr>
        <a:solidFill>
          <a:schemeClr val="bg1"/>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42252088195815E-2"/>
          <c:y val="5.4794520547950934E-2"/>
          <c:w val="0.89889387605053184"/>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103.3</c:v>
                </c:pt>
                <c:pt idx="1">
                  <c:v>105.15940000000001</c:v>
                </c:pt>
                <c:pt idx="2">
                  <c:v>104.94908120000002</c:v>
                </c:pt>
                <c:pt idx="3">
                  <c:v>107.99260455480002</c:v>
                </c:pt>
                <c:pt idx="4">
                  <c:v>109.72048622767667</c:v>
                </c:pt>
                <c:pt idx="5">
                  <c:v>110.04964768635982</c:v>
                </c:pt>
                <c:pt idx="6">
                  <c:v>112.36069028777339</c:v>
                </c:pt>
                <c:pt idx="7">
                  <c:v>113.37193650036328</c:v>
                </c:pt>
                <c:pt idx="8">
                  <c:v>115.18588748436908</c:v>
                </c:pt>
                <c:pt idx="9">
                  <c:v>114.37958627197855</c:v>
                </c:pt>
                <c:pt idx="10">
                  <c:v>113.35016999553076</c:v>
                </c:pt>
                <c:pt idx="11">
                  <c:v>107.22926081577209</c:v>
                </c:pt>
                <c:pt idx="12" formatCode="0.00">
                  <c:v>99.72321255866801</c:v>
                </c:pt>
                <c:pt idx="13" formatCode="0.00">
                  <c:v>96.731516181908134</c:v>
                </c:pt>
                <c:pt idx="14" formatCode="0.00">
                  <c:v>98.859609537909918</c:v>
                </c:pt>
                <c:pt idx="15">
                  <c:v>100.34250368097881</c:v>
                </c:pt>
                <c:pt idx="16">
                  <c:v>104.05517631717454</c:v>
                </c:pt>
                <c:pt idx="17">
                  <c:v>107.80116266459309</c:v>
                </c:pt>
                <c:pt idx="18">
                  <c:v>109.41818010456186</c:v>
                </c:pt>
                <c:pt idx="19">
                  <c:v>111.05945280613025</c:v>
                </c:pt>
                <c:pt idx="20" formatCode="General">
                  <c:v>112.61428514541623</c:v>
                </c:pt>
                <c:pt idx="21" formatCode="General">
                  <c:v>113.06474228599789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100.69999999999999</c:v>
                </c:pt>
                <c:pt idx="1">
                  <c:v>106.1378</c:v>
                </c:pt>
                <c:pt idx="2">
                  <c:v>107.72986699999998</c:v>
                </c:pt>
                <c:pt idx="3">
                  <c:v>108.69943580299972</c:v>
                </c:pt>
                <c:pt idx="4">
                  <c:v>114.56920533636195</c:v>
                </c:pt>
                <c:pt idx="5">
                  <c:v>114.56920533636195</c:v>
                </c:pt>
                <c:pt idx="6">
                  <c:v>111.70497520295291</c:v>
                </c:pt>
                <c:pt idx="7">
                  <c:v>109.35917072369075</c:v>
                </c:pt>
                <c:pt idx="8">
                  <c:v>113.18674169902008</c:v>
                </c:pt>
                <c:pt idx="9">
                  <c:v>107.75377809746685</c:v>
                </c:pt>
                <c:pt idx="10">
                  <c:v>106.67624031649218</c:v>
                </c:pt>
                <c:pt idx="11">
                  <c:v>94.301796439779309</c:v>
                </c:pt>
                <c:pt idx="12" formatCode="0.00">
                  <c:v>75.724342541142803</c:v>
                </c:pt>
                <c:pt idx="13" formatCode="0.00">
                  <c:v>67.62183788924051</c:v>
                </c:pt>
                <c:pt idx="14" formatCode="0.00">
                  <c:v>69.177140160692929</c:v>
                </c:pt>
                <c:pt idx="15">
                  <c:v>72.774351449049092</c:v>
                </c:pt>
                <c:pt idx="16">
                  <c:v>77.068038184542857</c:v>
                </c:pt>
                <c:pt idx="17">
                  <c:v>82.694004972014611</c:v>
                </c:pt>
                <c:pt idx="18">
                  <c:v>88.399891315083408</c:v>
                </c:pt>
                <c:pt idx="19">
                  <c:v>95.560282511605408</c:v>
                </c:pt>
                <c:pt idx="20" formatCode="General">
                  <c:v>105.59411217532397</c:v>
                </c:pt>
                <c:pt idx="21" formatCode="General">
                  <c:v>108.12837086753136</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101.6</c:v>
                </c:pt>
                <c:pt idx="1">
                  <c:v>105.46079999999999</c:v>
                </c:pt>
                <c:pt idx="2">
                  <c:v>114.21404639999999</c:v>
                </c:pt>
                <c:pt idx="3">
                  <c:v>121.63795941599997</c:v>
                </c:pt>
                <c:pt idx="4">
                  <c:v>130.88244433161648</c:v>
                </c:pt>
                <c:pt idx="5">
                  <c:v>130.35891455428987</c:v>
                </c:pt>
                <c:pt idx="6">
                  <c:v>128.92496649419232</c:v>
                </c:pt>
                <c:pt idx="7">
                  <c:v>126.21754219781428</c:v>
                </c:pt>
                <c:pt idx="8">
                  <c:v>123.31453872726455</c:v>
                </c:pt>
                <c:pt idx="9">
                  <c:v>119.98504618162841</c:v>
                </c:pt>
                <c:pt idx="10">
                  <c:v>113.38586864163884</c:v>
                </c:pt>
                <c:pt idx="11">
                  <c:v>104.20161328166635</c:v>
                </c:pt>
                <c:pt idx="12" formatCode="0.00">
                  <c:v>80.860451906572848</c:v>
                </c:pt>
                <c:pt idx="13" formatCode="0.00">
                  <c:v>74.149034398327345</c:v>
                </c:pt>
                <c:pt idx="14" formatCode="0.00">
                  <c:v>75.112971845505456</c:v>
                </c:pt>
                <c:pt idx="15">
                  <c:v>76.690344254261149</c:v>
                </c:pt>
                <c:pt idx="16">
                  <c:v>79.067744926143291</c:v>
                </c:pt>
                <c:pt idx="17">
                  <c:v>82.388590213041155</c:v>
                </c:pt>
                <c:pt idx="18">
                  <c:v>87.414294216036822</c:v>
                </c:pt>
                <c:pt idx="19">
                  <c:v>92.134666103702813</c:v>
                </c:pt>
                <c:pt idx="20" formatCode="General">
                  <c:v>96.7413994088881</c:v>
                </c:pt>
                <c:pt idx="21" formatCode="General">
                  <c:v>100.90127958347026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105.89999999999999</c:v>
                </c:pt>
                <c:pt idx="1">
                  <c:v>102.93480000000002</c:v>
                </c:pt>
                <c:pt idx="2">
                  <c:v>107.36099639999998</c:v>
                </c:pt>
                <c:pt idx="3">
                  <c:v>108.64932835679976</c:v>
                </c:pt>
                <c:pt idx="4">
                  <c:v>119.18831320740937</c:v>
                </c:pt>
                <c:pt idx="5">
                  <c:v>121.09532621872815</c:v>
                </c:pt>
                <c:pt idx="6">
                  <c:v>117.34137110594757</c:v>
                </c:pt>
                <c:pt idx="7">
                  <c:v>113.11708174613345</c:v>
                </c:pt>
                <c:pt idx="8">
                  <c:v>142.75375716362038</c:v>
                </c:pt>
                <c:pt idx="9">
                  <c:v>135.47331554827576</c:v>
                </c:pt>
                <c:pt idx="10">
                  <c:v>129.78343629524818</c:v>
                </c:pt>
                <c:pt idx="11">
                  <c:v>111.22440490502781</c:v>
                </c:pt>
                <c:pt idx="12" formatCode="0.00">
                  <c:v>96.431559052658983</c:v>
                </c:pt>
                <c:pt idx="13" formatCode="0.00">
                  <c:v>90.838528627604759</c:v>
                </c:pt>
                <c:pt idx="14" formatCode="0.00">
                  <c:v>93.01865331466729</c:v>
                </c:pt>
                <c:pt idx="15">
                  <c:v>91.530354861632617</c:v>
                </c:pt>
                <c:pt idx="16">
                  <c:v>100.22573857348738</c:v>
                </c:pt>
                <c:pt idx="17">
                  <c:v>106.03883141074979</c:v>
                </c:pt>
                <c:pt idx="18">
                  <c:v>111.76492830693051</c:v>
                </c:pt>
                <c:pt idx="19">
                  <c:v>120.25906285825724</c:v>
                </c:pt>
                <c:pt idx="20" formatCode="General">
                  <c:v>127.95564288118571</c:v>
                </c:pt>
                <c:pt idx="21" formatCode="General">
                  <c:v>122.83741716593829</c:v>
                </c:pt>
              </c:numCache>
            </c:numRef>
          </c:val>
          <c:smooth val="1"/>
        </c:ser>
        <c:marker val="1"/>
        <c:axId val="156028288"/>
        <c:axId val="156038272"/>
      </c:lineChart>
      <c:catAx>
        <c:axId val="156028288"/>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6038272"/>
        <c:crosses val="autoZero"/>
        <c:auto val="1"/>
        <c:lblAlgn val="ctr"/>
        <c:lblOffset val="0"/>
        <c:tickLblSkip val="1"/>
        <c:tickMarkSkip val="1"/>
        <c:noMultiLvlLbl val="1"/>
      </c:catAx>
      <c:valAx>
        <c:axId val="156038272"/>
        <c:scaling>
          <c:orientation val="minMax"/>
          <c:max val="150"/>
          <c:min val="6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6028288"/>
        <c:crosses val="autoZero"/>
        <c:crossBetween val="between"/>
        <c:majorUnit val="15"/>
      </c:valAx>
      <c:spPr>
        <a:solidFill>
          <a:sysClr val="window" lastClr="FFFFFF"/>
        </a:solidFill>
        <a:ln w="6350">
          <a:solidFill>
            <a:sysClr val="window" lastClr="FFFFFF">
              <a:lumMod val="75000"/>
            </a:sysClr>
          </a:solidFill>
        </a:ln>
      </c:spPr>
    </c:plotArea>
    <c:legend>
      <c:legendPos val="b"/>
      <c:layout>
        <c:manualLayout>
          <c:xMode val="edge"/>
          <c:yMode val="edge"/>
          <c:x val="0.10504672257987366"/>
          <c:y val="0.57781249999999951"/>
          <c:w val="0.43878598237110805"/>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-0.33000000000000063</c:v>
                </c:pt>
                <c:pt idx="1">
                  <c:v>-0.3740000000000005</c:v>
                </c:pt>
                <c:pt idx="2">
                  <c:v>-0.35300000000000031</c:v>
                </c:pt>
                <c:pt idx="3">
                  <c:v>-0.23</c:v>
                </c:pt>
                <c:pt idx="4">
                  <c:v>1.6000000000000021E-2</c:v>
                </c:pt>
                <c:pt idx="5">
                  <c:v>0.21900000000000028</c:v>
                </c:pt>
                <c:pt idx="6">
                  <c:v>0.27300000000000002</c:v>
                </c:pt>
                <c:pt idx="7">
                  <c:v>0.3100000000000005</c:v>
                </c:pt>
                <c:pt idx="8">
                  <c:v>0.3730000000000005</c:v>
                </c:pt>
                <c:pt idx="9">
                  <c:v>0.3110000000000005</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0.000</c:formatCode>
                <c:ptCount val="10"/>
                <c:pt idx="0">
                  <c:v>-0.34100000000000008</c:v>
                </c:pt>
                <c:pt idx="1">
                  <c:v>-0.38800000000000057</c:v>
                </c:pt>
                <c:pt idx="2">
                  <c:v>-0.33500000000000063</c:v>
                </c:pt>
                <c:pt idx="3">
                  <c:v>-0.26300000000000001</c:v>
                </c:pt>
                <c:pt idx="4">
                  <c:v>-2.0000000000000011E-2</c:v>
                </c:pt>
                <c:pt idx="5">
                  <c:v>0.1</c:v>
                </c:pt>
                <c:pt idx="6">
                  <c:v>0.16600000000000001</c:v>
                </c:pt>
                <c:pt idx="7">
                  <c:v>0.20700000000000021</c:v>
                </c:pt>
                <c:pt idx="8" formatCode="General">
                  <c:v>0.22600000000000001</c:v>
                </c:pt>
                <c:pt idx="9" formatCode="General">
                  <c:v>0.221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0.000</c:formatCode>
                <c:ptCount val="10"/>
                <c:pt idx="0">
                  <c:v>-0.32600000000000057</c:v>
                </c:pt>
                <c:pt idx="1">
                  <c:v>-0.33200000000000063</c:v>
                </c:pt>
                <c:pt idx="2">
                  <c:v>-0.28300000000000008</c:v>
                </c:pt>
                <c:pt idx="3">
                  <c:v>-0.18000000000000024</c:v>
                </c:pt>
                <c:pt idx="4">
                  <c:v>3.4000000000000002E-2</c:v>
                </c:pt>
                <c:pt idx="5">
                  <c:v>0.15900000000000028</c:v>
                </c:pt>
                <c:pt idx="6">
                  <c:v>0.19600000000000001</c:v>
                </c:pt>
                <c:pt idx="7">
                  <c:v>0.3120000000000005</c:v>
                </c:pt>
                <c:pt idx="8" formatCode="General">
                  <c:v>0.28100000000000008</c:v>
                </c:pt>
                <c:pt idx="9" formatCode="General">
                  <c:v>0.16200000000000001</c:v>
                </c:pt>
              </c:numCache>
            </c:numRef>
          </c:val>
        </c:ser>
        <c:gapWidth val="75"/>
        <c:overlap val="-25"/>
        <c:axId val="157086848"/>
        <c:axId val="15708876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-0.13700000000000001</c:v>
                </c:pt>
                <c:pt idx="1">
                  <c:v>-0.16400000000000001</c:v>
                </c:pt>
                <c:pt idx="2">
                  <c:v>-0.12400000000000012</c:v>
                </c:pt>
                <c:pt idx="3">
                  <c:v>-6.1000000000000013E-2</c:v>
                </c:pt>
                <c:pt idx="4">
                  <c:v>4.5999999999999999E-2</c:v>
                </c:pt>
                <c:pt idx="5">
                  <c:v>0.12000000000000002</c:v>
                </c:pt>
                <c:pt idx="6">
                  <c:v>0.10400000000000002</c:v>
                </c:pt>
                <c:pt idx="7">
                  <c:v>0.10600000000000002</c:v>
                </c:pt>
                <c:pt idx="8">
                  <c:v>8.7000000000000022E-2</c:v>
                </c:pt>
                <c:pt idx="9">
                  <c:v>5.3000000000000012E-2</c:v>
                </c:pt>
              </c:numCache>
            </c:numRef>
          </c:val>
        </c:ser>
        <c:marker val="1"/>
        <c:axId val="157086848"/>
        <c:axId val="157088768"/>
      </c:lineChart>
      <c:catAx>
        <c:axId val="15708684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088768"/>
        <c:crosses val="autoZero"/>
        <c:auto val="1"/>
        <c:lblAlgn val="ctr"/>
        <c:lblOffset val="0"/>
        <c:tickLblSkip val="1"/>
        <c:tickMarkSkip val="1"/>
        <c:noMultiLvlLbl val="1"/>
      </c:catAx>
      <c:valAx>
        <c:axId val="157088768"/>
        <c:scaling>
          <c:orientation val="minMax"/>
          <c:max val="0.4"/>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086848"/>
        <c:crosses val="autoZero"/>
        <c:crossBetween val="between"/>
        <c:majorUnit val="0.1"/>
      </c:valAx>
      <c:spPr>
        <a:solidFill>
          <a:sysClr val="window" lastClr="FFFFFF"/>
        </a:solidFill>
        <a:ln w="6350">
          <a:solidFill>
            <a:sysClr val="window" lastClr="FFFFFF">
              <a:lumMod val="75000"/>
            </a:sysClr>
          </a:solidFill>
        </a:ln>
      </c:spPr>
    </c:plotArea>
    <c:legend>
      <c:legendPos val="b"/>
      <c:layout>
        <c:manualLayout>
          <c:xMode val="edge"/>
          <c:yMode val="edge"/>
          <c:x val="0.25450897845690085"/>
          <c:y val="7.5480902777777775E-2"/>
          <c:w val="0.36265273771472689"/>
          <c:h val="0.1970144675926014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349256646254851"/>
          <c:h val="0.76170335429769465"/>
        </c:manualLayout>
      </c:layout>
      <c:lineChart>
        <c:grouping val="standard"/>
        <c:ser>
          <c:idx val="1"/>
          <c:order val="0"/>
          <c:tx>
            <c:strRef>
              <c:f>Sheet1!$A$3</c:f>
              <c:strCache>
                <c:ptCount val="1"/>
                <c:pt idx="0">
                  <c:v>Eksports</c:v>
                </c:pt>
              </c:strCache>
            </c:strRef>
          </c:tx>
          <c:spPr>
            <a:ln w="38100">
              <a:solidFill>
                <a:srgbClr val="FF0000"/>
              </a:solidFill>
              <a:prstDash val="solid"/>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Sheet1!$B$3:$AR$3</c:f>
              <c:numCache>
                <c:formatCode>0.0</c:formatCode>
                <c:ptCount val="43"/>
                <c:pt idx="0">
                  <c:v>336.9</c:v>
                </c:pt>
                <c:pt idx="1">
                  <c:v>380.9</c:v>
                </c:pt>
                <c:pt idx="2">
                  <c:v>383.2</c:v>
                </c:pt>
                <c:pt idx="3">
                  <c:v>410</c:v>
                </c:pt>
                <c:pt idx="4">
                  <c:v>407.7</c:v>
                </c:pt>
                <c:pt idx="5" formatCode="General">
                  <c:v>372.3</c:v>
                </c:pt>
                <c:pt idx="6" formatCode="General">
                  <c:v>400.9</c:v>
                </c:pt>
                <c:pt idx="7" formatCode="General">
                  <c:v>393.9</c:v>
                </c:pt>
                <c:pt idx="8" formatCode="General">
                  <c:v>441.7</c:v>
                </c:pt>
                <c:pt idx="9" formatCode="General">
                  <c:v>415.5</c:v>
                </c:pt>
                <c:pt idx="10" formatCode="General">
                  <c:v>331.7</c:v>
                </c:pt>
                <c:pt idx="11" formatCode="General">
                  <c:v>312.5</c:v>
                </c:pt>
                <c:pt idx="12" formatCode="General">
                  <c:v>265.5</c:v>
                </c:pt>
                <c:pt idx="13" formatCode="General">
                  <c:v>270.5</c:v>
                </c:pt>
                <c:pt idx="14" formatCode="General">
                  <c:v>302.89999999999969</c:v>
                </c:pt>
                <c:pt idx="15" formatCode="General">
                  <c:v>287.3</c:v>
                </c:pt>
                <c:pt idx="16" formatCode="General">
                  <c:v>284.7</c:v>
                </c:pt>
                <c:pt idx="17" formatCode="General">
                  <c:v>303.2</c:v>
                </c:pt>
                <c:pt idx="18" formatCode="General">
                  <c:v>282.7</c:v>
                </c:pt>
                <c:pt idx="19" formatCode="General">
                  <c:v>292.89999999999969</c:v>
                </c:pt>
                <c:pt idx="20" formatCode="General">
                  <c:v>359</c:v>
                </c:pt>
                <c:pt idx="21" formatCode="General">
                  <c:v>394.4</c:v>
                </c:pt>
                <c:pt idx="22" formatCode="General">
                  <c:v>341.9</c:v>
                </c:pt>
                <c:pt idx="23" formatCode="General">
                  <c:v>323.2</c:v>
                </c:pt>
                <c:pt idx="24" formatCode="General">
                  <c:v>273.5</c:v>
                </c:pt>
                <c:pt idx="25" formatCode="General">
                  <c:v>316.89999999999969</c:v>
                </c:pt>
                <c:pt idx="26" formatCode="General">
                  <c:v>371.6</c:v>
                </c:pt>
                <c:pt idx="27" formatCode="General">
                  <c:v>387.8</c:v>
                </c:pt>
                <c:pt idx="28" formatCode="General">
                  <c:v>385.9</c:v>
                </c:pt>
                <c:pt idx="29" formatCode="General">
                  <c:v>376.6</c:v>
                </c:pt>
                <c:pt idx="30" formatCode="General">
                  <c:v>404.7</c:v>
                </c:pt>
                <c:pt idx="31" formatCode="General">
                  <c:v>430.4</c:v>
                </c:pt>
                <c:pt idx="32" formatCode="General">
                  <c:v>485.2</c:v>
                </c:pt>
                <c:pt idx="33" formatCode="General">
                  <c:v>466.4</c:v>
                </c:pt>
                <c:pt idx="34" formatCode="General">
                  <c:v>488</c:v>
                </c:pt>
                <c:pt idx="35" formatCode="General">
                  <c:v>442.9</c:v>
                </c:pt>
                <c:pt idx="36" formatCode="General">
                  <c:v>416.9</c:v>
                </c:pt>
                <c:pt idx="37" formatCode="General">
                  <c:v>431.7</c:v>
                </c:pt>
                <c:pt idx="38" formatCode="General">
                  <c:v>509.2</c:v>
                </c:pt>
                <c:pt idx="39" formatCode="General">
                  <c:v>490.3</c:v>
                </c:pt>
                <c:pt idx="40" formatCode="General">
                  <c:v>529.20000000000005</c:v>
                </c:pt>
                <c:pt idx="41" formatCode="General">
                  <c:v>482.2</c:v>
                </c:pt>
                <c:pt idx="42" formatCode="General">
                  <c:v>477</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Sheet1!$B$4:$AR$4</c:f>
              <c:numCache>
                <c:formatCode>0.0</c:formatCode>
                <c:ptCount val="43"/>
                <c:pt idx="0">
                  <c:v>599.70000000000005</c:v>
                </c:pt>
                <c:pt idx="1">
                  <c:v>621.9</c:v>
                </c:pt>
                <c:pt idx="2">
                  <c:v>604.5</c:v>
                </c:pt>
                <c:pt idx="3">
                  <c:v>696.9</c:v>
                </c:pt>
                <c:pt idx="4">
                  <c:v>613.29999999999995</c:v>
                </c:pt>
                <c:pt idx="5" formatCode="General">
                  <c:v>617.9</c:v>
                </c:pt>
                <c:pt idx="6" formatCode="General">
                  <c:v>668.9</c:v>
                </c:pt>
                <c:pt idx="7" formatCode="General">
                  <c:v>605.5</c:v>
                </c:pt>
                <c:pt idx="8" formatCode="General">
                  <c:v>704.5</c:v>
                </c:pt>
                <c:pt idx="9" formatCode="General">
                  <c:v>669.2</c:v>
                </c:pt>
                <c:pt idx="10" formatCode="General">
                  <c:v>525.6</c:v>
                </c:pt>
                <c:pt idx="11" formatCode="General">
                  <c:v>521.5</c:v>
                </c:pt>
                <c:pt idx="12" formatCode="General">
                  <c:v>391</c:v>
                </c:pt>
                <c:pt idx="13" formatCode="General">
                  <c:v>380.3</c:v>
                </c:pt>
                <c:pt idx="14" formatCode="General">
                  <c:v>410.7</c:v>
                </c:pt>
                <c:pt idx="15" formatCode="General">
                  <c:v>372.4</c:v>
                </c:pt>
                <c:pt idx="16" formatCode="General">
                  <c:v>353.4</c:v>
                </c:pt>
                <c:pt idx="17" formatCode="General">
                  <c:v>361.6</c:v>
                </c:pt>
                <c:pt idx="18" formatCode="General">
                  <c:v>371.2</c:v>
                </c:pt>
                <c:pt idx="19" formatCode="General">
                  <c:v>372.6</c:v>
                </c:pt>
                <c:pt idx="20" formatCode="General">
                  <c:v>416.8</c:v>
                </c:pt>
                <c:pt idx="21" formatCode="General">
                  <c:v>410</c:v>
                </c:pt>
                <c:pt idx="22" formatCode="General">
                  <c:v>396.3</c:v>
                </c:pt>
                <c:pt idx="23" formatCode="General">
                  <c:v>403.3</c:v>
                </c:pt>
                <c:pt idx="24" formatCode="General">
                  <c:v>340.8</c:v>
                </c:pt>
                <c:pt idx="25" formatCode="General">
                  <c:v>378.1</c:v>
                </c:pt>
                <c:pt idx="26" formatCode="General">
                  <c:v>439.6</c:v>
                </c:pt>
                <c:pt idx="27" formatCode="General">
                  <c:v>425.1</c:v>
                </c:pt>
                <c:pt idx="28" formatCode="General">
                  <c:v>471.9</c:v>
                </c:pt>
                <c:pt idx="29" formatCode="General">
                  <c:v>445.4</c:v>
                </c:pt>
                <c:pt idx="30" formatCode="General">
                  <c:v>499.8</c:v>
                </c:pt>
                <c:pt idx="31" formatCode="General">
                  <c:v>532.5</c:v>
                </c:pt>
                <c:pt idx="32" formatCode="General">
                  <c:v>556.70000000000005</c:v>
                </c:pt>
                <c:pt idx="33" formatCode="General">
                  <c:v>538.4</c:v>
                </c:pt>
                <c:pt idx="34" formatCode="General">
                  <c:v>548.70000000000005</c:v>
                </c:pt>
                <c:pt idx="35" formatCode="General">
                  <c:v>552.4</c:v>
                </c:pt>
                <c:pt idx="36" formatCode="General">
                  <c:v>468.7</c:v>
                </c:pt>
                <c:pt idx="37" formatCode="General">
                  <c:v>509.1</c:v>
                </c:pt>
                <c:pt idx="38" formatCode="General">
                  <c:v>619.6</c:v>
                </c:pt>
                <c:pt idx="39" formatCode="General">
                  <c:v>551</c:v>
                </c:pt>
                <c:pt idx="40" formatCode="General">
                  <c:v>610.70000000000005</c:v>
                </c:pt>
                <c:pt idx="41" formatCode="General">
                  <c:v>598.4</c:v>
                </c:pt>
                <c:pt idx="42" formatCode="General">
                  <c:v>672.6</c:v>
                </c:pt>
              </c:numCache>
            </c:numRef>
          </c:val>
        </c:ser>
        <c:marker val="1"/>
        <c:axId val="157118464"/>
        <c:axId val="157120000"/>
      </c:lineChart>
      <c:catAx>
        <c:axId val="15711846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120000"/>
        <c:crosses val="autoZero"/>
        <c:auto val="1"/>
        <c:lblAlgn val="ctr"/>
        <c:lblOffset val="0"/>
        <c:tickLblSkip val="1"/>
        <c:tickMarkSkip val="1"/>
        <c:noMultiLvlLbl val="1"/>
      </c:catAx>
      <c:valAx>
        <c:axId val="157120000"/>
        <c:scaling>
          <c:orientation val="minMax"/>
          <c:max val="800"/>
          <c:min val="20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118464"/>
        <c:crosses val="autoZero"/>
        <c:crossBetween val="between"/>
        <c:majorUnit val="100"/>
      </c:valAx>
      <c:spPr>
        <a:noFill/>
        <a:ln w="6350">
          <a:solidFill>
            <a:sysClr val="window" lastClr="FFFFFF">
              <a:lumMod val="75000"/>
            </a:sysClr>
          </a:solidFill>
        </a:ln>
      </c:spPr>
    </c:plotArea>
    <c:legend>
      <c:legendPos val="b"/>
      <c:layout>
        <c:manualLayout>
          <c:xMode val="edge"/>
          <c:yMode val="edge"/>
          <c:x val="0.56417478234733487"/>
          <c:y val="5.7234221242675534E-2"/>
          <c:w val="0.15540273042391844"/>
          <c:h val="0.1995206078692219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336.9</c:v>
                </c:pt>
                <c:pt idx="1">
                  <c:v>380.9</c:v>
                </c:pt>
                <c:pt idx="2">
                  <c:v>383.2</c:v>
                </c:pt>
                <c:pt idx="3">
                  <c:v>410</c:v>
                </c:pt>
                <c:pt idx="4">
                  <c:v>407.7</c:v>
                </c:pt>
                <c:pt idx="5">
                  <c:v>372.3</c:v>
                </c:pt>
                <c:pt idx="6">
                  <c:v>400.9</c:v>
                </c:pt>
                <c:pt idx="7">
                  <c:v>393.9</c:v>
                </c:pt>
                <c:pt idx="8">
                  <c:v>441.7</c:v>
                </c:pt>
                <c:pt idx="9">
                  <c:v>415.5</c:v>
                </c:pt>
                <c:pt idx="10">
                  <c:v>331.7</c:v>
                </c:pt>
                <c:pt idx="11">
                  <c:v>312.5</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265.5</c:v>
                </c:pt>
                <c:pt idx="1">
                  <c:v>270.5</c:v>
                </c:pt>
                <c:pt idx="2">
                  <c:v>302.89999999999969</c:v>
                </c:pt>
                <c:pt idx="3">
                  <c:v>287.3</c:v>
                </c:pt>
                <c:pt idx="4">
                  <c:v>284.7</c:v>
                </c:pt>
                <c:pt idx="5">
                  <c:v>303.2</c:v>
                </c:pt>
                <c:pt idx="6">
                  <c:v>282.7</c:v>
                </c:pt>
                <c:pt idx="7">
                  <c:v>292.89999999999969</c:v>
                </c:pt>
                <c:pt idx="8">
                  <c:v>359</c:v>
                </c:pt>
                <c:pt idx="9">
                  <c:v>394.4</c:v>
                </c:pt>
                <c:pt idx="10">
                  <c:v>341.9</c:v>
                </c:pt>
                <c:pt idx="11">
                  <c:v>323.2</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273.5</c:v>
                </c:pt>
                <c:pt idx="1">
                  <c:v>316.89999999999969</c:v>
                </c:pt>
                <c:pt idx="2">
                  <c:v>371.6</c:v>
                </c:pt>
                <c:pt idx="3">
                  <c:v>387.8</c:v>
                </c:pt>
                <c:pt idx="4">
                  <c:v>385.9</c:v>
                </c:pt>
                <c:pt idx="5">
                  <c:v>376.6</c:v>
                </c:pt>
                <c:pt idx="6">
                  <c:v>404.7</c:v>
                </c:pt>
                <c:pt idx="7">
                  <c:v>430.4</c:v>
                </c:pt>
                <c:pt idx="8">
                  <c:v>485.2</c:v>
                </c:pt>
                <c:pt idx="9">
                  <c:v>466.4</c:v>
                </c:pt>
                <c:pt idx="10">
                  <c:v>488</c:v>
                </c:pt>
                <c:pt idx="11">
                  <c:v>442.9</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416.9</c:v>
                </c:pt>
                <c:pt idx="1">
                  <c:v>431.7</c:v>
                </c:pt>
                <c:pt idx="2">
                  <c:v>509.2</c:v>
                </c:pt>
                <c:pt idx="3">
                  <c:v>490.3</c:v>
                </c:pt>
                <c:pt idx="4">
                  <c:v>529.20000000000005</c:v>
                </c:pt>
                <c:pt idx="5">
                  <c:v>482.2</c:v>
                </c:pt>
                <c:pt idx="6">
                  <c:v>477</c:v>
                </c:pt>
              </c:numCache>
            </c:numRef>
          </c:val>
        </c:ser>
        <c:marker val="1"/>
        <c:axId val="156421120"/>
        <c:axId val="157156096"/>
      </c:lineChart>
      <c:catAx>
        <c:axId val="156421120"/>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156096"/>
        <c:crosses val="autoZero"/>
        <c:auto val="1"/>
        <c:lblAlgn val="ctr"/>
        <c:lblOffset val="0"/>
        <c:tickLblSkip val="1"/>
        <c:tickMarkSkip val="1"/>
        <c:noMultiLvlLbl val="1"/>
      </c:catAx>
      <c:valAx>
        <c:axId val="157156096"/>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6421120"/>
        <c:crosses val="autoZero"/>
        <c:crossBetween val="between"/>
        <c:majorUnit val="100"/>
      </c:valAx>
      <c:spPr>
        <a:noFill/>
        <a:ln w="6350">
          <a:noFill/>
        </a:ln>
      </c:spPr>
    </c:plotArea>
    <c:legend>
      <c:legendPos val="b"/>
      <c:layout>
        <c:manualLayout>
          <c:xMode val="edge"/>
          <c:yMode val="edge"/>
          <c:x val="0.15712231463236903"/>
          <c:y val="6.9230429292929413E-2"/>
          <c:w val="0.35738594920563704"/>
          <c:h val="0.26274936868686871"/>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599.70000000000005</c:v>
                </c:pt>
                <c:pt idx="1">
                  <c:v>621.9</c:v>
                </c:pt>
                <c:pt idx="2">
                  <c:v>604.5</c:v>
                </c:pt>
                <c:pt idx="3">
                  <c:v>696.9</c:v>
                </c:pt>
                <c:pt idx="4">
                  <c:v>613.29999999999995</c:v>
                </c:pt>
                <c:pt idx="5">
                  <c:v>617.9</c:v>
                </c:pt>
                <c:pt idx="6">
                  <c:v>668.9</c:v>
                </c:pt>
                <c:pt idx="7">
                  <c:v>605.5</c:v>
                </c:pt>
                <c:pt idx="8">
                  <c:v>704.5</c:v>
                </c:pt>
                <c:pt idx="9">
                  <c:v>669.2</c:v>
                </c:pt>
                <c:pt idx="10">
                  <c:v>525.6</c:v>
                </c:pt>
                <c:pt idx="11">
                  <c:v>521.5</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391</c:v>
                </c:pt>
                <c:pt idx="1">
                  <c:v>380.3</c:v>
                </c:pt>
                <c:pt idx="2">
                  <c:v>410.7</c:v>
                </c:pt>
                <c:pt idx="3">
                  <c:v>372.4</c:v>
                </c:pt>
                <c:pt idx="4">
                  <c:v>353.4</c:v>
                </c:pt>
                <c:pt idx="5">
                  <c:v>361.6</c:v>
                </c:pt>
                <c:pt idx="6">
                  <c:v>371.2</c:v>
                </c:pt>
                <c:pt idx="7">
                  <c:v>372.6</c:v>
                </c:pt>
                <c:pt idx="8">
                  <c:v>416.8</c:v>
                </c:pt>
                <c:pt idx="9">
                  <c:v>410</c:v>
                </c:pt>
                <c:pt idx="10">
                  <c:v>396.3</c:v>
                </c:pt>
                <c:pt idx="11">
                  <c:v>403.3</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340.8</c:v>
                </c:pt>
                <c:pt idx="1">
                  <c:v>378.1</c:v>
                </c:pt>
                <c:pt idx="2">
                  <c:v>439.6</c:v>
                </c:pt>
                <c:pt idx="3">
                  <c:v>425.1</c:v>
                </c:pt>
                <c:pt idx="4">
                  <c:v>471.9</c:v>
                </c:pt>
                <c:pt idx="5">
                  <c:v>445.4</c:v>
                </c:pt>
                <c:pt idx="6">
                  <c:v>499.8</c:v>
                </c:pt>
                <c:pt idx="7">
                  <c:v>532.5</c:v>
                </c:pt>
                <c:pt idx="8">
                  <c:v>556.70000000000005</c:v>
                </c:pt>
                <c:pt idx="9">
                  <c:v>538.4</c:v>
                </c:pt>
                <c:pt idx="10">
                  <c:v>548.70000000000005</c:v>
                </c:pt>
                <c:pt idx="11">
                  <c:v>552.4</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468.7</c:v>
                </c:pt>
                <c:pt idx="1">
                  <c:v>509.1</c:v>
                </c:pt>
                <c:pt idx="2">
                  <c:v>619.6</c:v>
                </c:pt>
                <c:pt idx="3">
                  <c:v>551</c:v>
                </c:pt>
                <c:pt idx="4">
                  <c:v>610.70000000000005</c:v>
                </c:pt>
                <c:pt idx="5">
                  <c:v>598.4</c:v>
                </c:pt>
                <c:pt idx="6">
                  <c:v>672.6</c:v>
                </c:pt>
              </c:numCache>
            </c:numRef>
          </c:val>
        </c:ser>
        <c:marker val="1"/>
        <c:axId val="157235456"/>
        <c:axId val="157261824"/>
      </c:lineChart>
      <c:catAx>
        <c:axId val="157235456"/>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261824"/>
        <c:crosses val="autoZero"/>
        <c:auto val="1"/>
        <c:lblAlgn val="ctr"/>
        <c:lblOffset val="0"/>
        <c:tickLblSkip val="1"/>
        <c:tickMarkSkip val="1"/>
        <c:noMultiLvlLbl val="1"/>
      </c:catAx>
      <c:valAx>
        <c:axId val="157261824"/>
        <c:scaling>
          <c:orientation val="minMax"/>
          <c:max val="800"/>
          <c:min val="2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235456"/>
        <c:crosses val="autoZero"/>
        <c:crossBetween val="between"/>
        <c:majorUnit val="100"/>
      </c:valAx>
      <c:spPr>
        <a:noFill/>
        <a:ln w="6350">
          <a:noFill/>
        </a:ln>
      </c:spPr>
    </c:plotArea>
    <c:legend>
      <c:legendPos val="b"/>
      <c:layout>
        <c:manualLayout>
          <c:xMode val="edge"/>
          <c:yMode val="edge"/>
          <c:x val="0.40853767800197477"/>
          <c:y val="0.63848547979797976"/>
          <c:w val="0.53511060262208165"/>
          <c:h val="0.15851957070707268"/>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70327414934E-2"/>
          <c:y val="3.493889435695538E-2"/>
          <c:w val="0.92349256646254851"/>
          <c:h val="0.78414622641512965"/>
        </c:manualLayout>
      </c:layout>
      <c:lineChart>
        <c:grouping val="standard"/>
        <c:ser>
          <c:idx val="1"/>
          <c:order val="0"/>
          <c:tx>
            <c:strRef>
              <c:f>Sheet1!$A$3</c:f>
              <c:strCache>
                <c:ptCount val="1"/>
                <c:pt idx="0">
                  <c:v>Eksports</c:v>
                </c:pt>
              </c:strCache>
            </c:strRef>
          </c:tx>
          <c:spPr>
            <a:ln w="38100">
              <a:solidFill>
                <a:srgbClr val="FF0000"/>
              </a:solidFill>
              <a:prstDash val="solid"/>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Sheet1!$B$3:$AR$3</c:f>
              <c:numCache>
                <c:formatCode>0.0</c:formatCode>
                <c:ptCount val="43"/>
                <c:pt idx="0">
                  <c:v>154</c:v>
                </c:pt>
                <c:pt idx="1">
                  <c:v>158</c:v>
                </c:pt>
                <c:pt idx="2">
                  <c:v>176.3</c:v>
                </c:pt>
                <c:pt idx="3">
                  <c:v>174.7</c:v>
                </c:pt>
                <c:pt idx="4">
                  <c:v>174.2</c:v>
                </c:pt>
                <c:pt idx="5">
                  <c:v>186.1</c:v>
                </c:pt>
                <c:pt idx="6">
                  <c:v>191.4</c:v>
                </c:pt>
                <c:pt idx="7">
                  <c:v>196.6</c:v>
                </c:pt>
                <c:pt idx="8">
                  <c:v>186.6</c:v>
                </c:pt>
                <c:pt idx="9">
                  <c:v>187.5</c:v>
                </c:pt>
                <c:pt idx="10">
                  <c:v>186.9</c:v>
                </c:pt>
                <c:pt idx="11">
                  <c:v>197.4</c:v>
                </c:pt>
                <c:pt idx="12">
                  <c:v>166.4</c:v>
                </c:pt>
                <c:pt idx="13">
                  <c:v>161.30000000000001</c:v>
                </c:pt>
                <c:pt idx="14">
                  <c:v>150.4</c:v>
                </c:pt>
                <c:pt idx="15">
                  <c:v>153.19999999999999</c:v>
                </c:pt>
                <c:pt idx="16">
                  <c:v>155.80000000000001</c:v>
                </c:pt>
                <c:pt idx="17">
                  <c:v>166.9</c:v>
                </c:pt>
                <c:pt idx="18">
                  <c:v>168.3</c:v>
                </c:pt>
                <c:pt idx="19">
                  <c:v>168.1</c:v>
                </c:pt>
                <c:pt idx="20">
                  <c:v>157.19999999999999</c:v>
                </c:pt>
                <c:pt idx="21">
                  <c:v>179.2</c:v>
                </c:pt>
                <c:pt idx="22">
                  <c:v>153.5</c:v>
                </c:pt>
                <c:pt idx="23">
                  <c:v>156.9</c:v>
                </c:pt>
                <c:pt idx="24">
                  <c:v>140.6</c:v>
                </c:pt>
                <c:pt idx="25">
                  <c:v>139.9</c:v>
                </c:pt>
                <c:pt idx="26">
                  <c:v>152.9</c:v>
                </c:pt>
                <c:pt idx="27">
                  <c:v>147.80000000000001</c:v>
                </c:pt>
                <c:pt idx="28">
                  <c:v>157.6</c:v>
                </c:pt>
                <c:pt idx="29">
                  <c:v>176.5</c:v>
                </c:pt>
                <c:pt idx="30">
                  <c:v>180</c:v>
                </c:pt>
                <c:pt idx="31">
                  <c:v>174.7</c:v>
                </c:pt>
                <c:pt idx="32">
                  <c:v>166.4</c:v>
                </c:pt>
                <c:pt idx="33">
                  <c:v>176.5</c:v>
                </c:pt>
                <c:pt idx="34" formatCode="General">
                  <c:v>173.4</c:v>
                </c:pt>
                <c:pt idx="35" formatCode="General">
                  <c:v>172.3</c:v>
                </c:pt>
                <c:pt idx="36" formatCode="General">
                  <c:v>154.4</c:v>
                </c:pt>
                <c:pt idx="37" formatCode="General">
                  <c:v>155.69999999999999</c:v>
                </c:pt>
                <c:pt idx="38" formatCode="General">
                  <c:v>161.19999999999999</c:v>
                </c:pt>
                <c:pt idx="39" formatCode="General">
                  <c:v>180</c:v>
                </c:pt>
                <c:pt idx="40" formatCode="General">
                  <c:v>180.5</c:v>
                </c:pt>
                <c:pt idx="41" formatCode="General">
                  <c:v>197.2</c:v>
                </c:pt>
                <c:pt idx="42" formatCode="General">
                  <c:v>180.3</c:v>
                </c:pt>
              </c:numCache>
            </c:numRef>
          </c:val>
        </c:ser>
        <c:ser>
          <c:idx val="0"/>
          <c:order val="1"/>
          <c:tx>
            <c:strRef>
              <c:f>Sheet1!$A$4</c:f>
              <c:strCache>
                <c:ptCount val="1"/>
                <c:pt idx="0">
                  <c:v>Imports</c:v>
                </c:pt>
              </c:strCache>
            </c:strRef>
          </c:tx>
          <c:spPr>
            <a:ln w="25400">
              <a:solidFill>
                <a:srgbClr val="000000"/>
              </a:solidFill>
              <a:prstDash val="sysDot"/>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Sheet1!$B$4:$AR$4</c:f>
              <c:numCache>
                <c:formatCode>0.0</c:formatCode>
                <c:ptCount val="43"/>
                <c:pt idx="0">
                  <c:v>110.8</c:v>
                </c:pt>
                <c:pt idx="1">
                  <c:v>109.6</c:v>
                </c:pt>
                <c:pt idx="2">
                  <c:v>127.8</c:v>
                </c:pt>
                <c:pt idx="3">
                  <c:v>117.1</c:v>
                </c:pt>
                <c:pt idx="4">
                  <c:v>120.8</c:v>
                </c:pt>
                <c:pt idx="5">
                  <c:v>121.5</c:v>
                </c:pt>
                <c:pt idx="6">
                  <c:v>141.6</c:v>
                </c:pt>
                <c:pt idx="7">
                  <c:v>144.80000000000001</c:v>
                </c:pt>
                <c:pt idx="8">
                  <c:v>129.30000000000001</c:v>
                </c:pt>
                <c:pt idx="9">
                  <c:v>151.19999999999999</c:v>
                </c:pt>
                <c:pt idx="10">
                  <c:v>130.19999999999999</c:v>
                </c:pt>
                <c:pt idx="11">
                  <c:v>120.8</c:v>
                </c:pt>
                <c:pt idx="12">
                  <c:v>89</c:v>
                </c:pt>
                <c:pt idx="13">
                  <c:v>84.4</c:v>
                </c:pt>
                <c:pt idx="14">
                  <c:v>100.5</c:v>
                </c:pt>
                <c:pt idx="15">
                  <c:v>90.3</c:v>
                </c:pt>
                <c:pt idx="16">
                  <c:v>90.8</c:v>
                </c:pt>
                <c:pt idx="17">
                  <c:v>96.4</c:v>
                </c:pt>
                <c:pt idx="18">
                  <c:v>104.5</c:v>
                </c:pt>
                <c:pt idx="19">
                  <c:v>103.5</c:v>
                </c:pt>
                <c:pt idx="20">
                  <c:v>93.6</c:v>
                </c:pt>
                <c:pt idx="21">
                  <c:v>98.2</c:v>
                </c:pt>
                <c:pt idx="22">
                  <c:v>98.9</c:v>
                </c:pt>
                <c:pt idx="23">
                  <c:v>96.6</c:v>
                </c:pt>
                <c:pt idx="24">
                  <c:v>77.400000000000006</c:v>
                </c:pt>
                <c:pt idx="25">
                  <c:v>86</c:v>
                </c:pt>
                <c:pt idx="26">
                  <c:v>87.7</c:v>
                </c:pt>
                <c:pt idx="27">
                  <c:v>87.9</c:v>
                </c:pt>
                <c:pt idx="28">
                  <c:v>91</c:v>
                </c:pt>
                <c:pt idx="29">
                  <c:v>96.3</c:v>
                </c:pt>
                <c:pt idx="30">
                  <c:v>104.1</c:v>
                </c:pt>
                <c:pt idx="31">
                  <c:v>110.5</c:v>
                </c:pt>
                <c:pt idx="32">
                  <c:v>107.1</c:v>
                </c:pt>
                <c:pt idx="33">
                  <c:v>107.3</c:v>
                </c:pt>
                <c:pt idx="34" formatCode="General">
                  <c:v>111.5</c:v>
                </c:pt>
                <c:pt idx="35" formatCode="General">
                  <c:v>113.9</c:v>
                </c:pt>
                <c:pt idx="36" formatCode="General">
                  <c:v>86.8</c:v>
                </c:pt>
                <c:pt idx="37" formatCode="General">
                  <c:v>95.3</c:v>
                </c:pt>
                <c:pt idx="38" formatCode="General">
                  <c:v>99.7</c:v>
                </c:pt>
                <c:pt idx="39" formatCode="General">
                  <c:v>104.1</c:v>
                </c:pt>
                <c:pt idx="40" formatCode="General">
                  <c:v>107.9</c:v>
                </c:pt>
                <c:pt idx="41" formatCode="General">
                  <c:v>110</c:v>
                </c:pt>
                <c:pt idx="42" formatCode="General">
                  <c:v>124.6</c:v>
                </c:pt>
              </c:numCache>
            </c:numRef>
          </c:val>
        </c:ser>
        <c:marker val="1"/>
        <c:axId val="157180672"/>
        <c:axId val="157182208"/>
      </c:lineChart>
      <c:catAx>
        <c:axId val="15718067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182208"/>
        <c:crosses val="autoZero"/>
        <c:auto val="1"/>
        <c:lblAlgn val="ctr"/>
        <c:lblOffset val="0"/>
        <c:tickLblSkip val="1"/>
        <c:tickMarkSkip val="1"/>
        <c:noMultiLvlLbl val="1"/>
      </c:catAx>
      <c:valAx>
        <c:axId val="157182208"/>
        <c:scaling>
          <c:orientation val="minMax"/>
          <c:max val="200"/>
          <c:min val="60"/>
        </c:scaling>
        <c:axPos val="l"/>
        <c:majorGridlines>
          <c:spPr>
            <a:ln w="6350">
              <a:solidFill>
                <a:sysClr val="window" lastClr="FFFFFF">
                  <a:lumMod val="85000"/>
                </a:sysClr>
              </a:solidFill>
              <a:prstDash val="solid"/>
            </a:ln>
          </c:spPr>
        </c:majorGridlines>
        <c:numFmt formatCode="0" sourceLinked="0"/>
        <c:majorTickMark val="none"/>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180672"/>
        <c:crosses val="autoZero"/>
        <c:crossBetween val="between"/>
      </c:valAx>
      <c:spPr>
        <a:noFill/>
        <a:ln w="6350">
          <a:solidFill>
            <a:sysClr val="window" lastClr="FFFFFF">
              <a:lumMod val="75000"/>
            </a:sysClr>
          </a:solidFill>
        </a:ln>
      </c:spPr>
    </c:plotArea>
    <c:legend>
      <c:legendPos val="b"/>
      <c:layout>
        <c:manualLayout>
          <c:xMode val="edge"/>
          <c:yMode val="edge"/>
          <c:x val="0.16655651894669235"/>
          <c:y val="0.6299376244971846"/>
          <c:w val="0.15540273042391844"/>
          <c:h val="0.1662863495100750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154</c:v>
                </c:pt>
                <c:pt idx="1">
                  <c:v>158</c:v>
                </c:pt>
                <c:pt idx="2">
                  <c:v>176.3</c:v>
                </c:pt>
                <c:pt idx="3">
                  <c:v>174.7</c:v>
                </c:pt>
                <c:pt idx="4">
                  <c:v>174.2</c:v>
                </c:pt>
                <c:pt idx="5">
                  <c:v>186.1</c:v>
                </c:pt>
                <c:pt idx="6">
                  <c:v>191.4</c:v>
                </c:pt>
                <c:pt idx="7">
                  <c:v>196.6</c:v>
                </c:pt>
                <c:pt idx="8">
                  <c:v>186.6</c:v>
                </c:pt>
                <c:pt idx="9">
                  <c:v>187.5</c:v>
                </c:pt>
                <c:pt idx="10">
                  <c:v>186.9</c:v>
                </c:pt>
                <c:pt idx="11">
                  <c:v>197.4</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166.4</c:v>
                </c:pt>
                <c:pt idx="1">
                  <c:v>161.30000000000001</c:v>
                </c:pt>
                <c:pt idx="2">
                  <c:v>150.4</c:v>
                </c:pt>
                <c:pt idx="3">
                  <c:v>153.19999999999999</c:v>
                </c:pt>
                <c:pt idx="4">
                  <c:v>155.80000000000001</c:v>
                </c:pt>
                <c:pt idx="5">
                  <c:v>166.9</c:v>
                </c:pt>
                <c:pt idx="6">
                  <c:v>168.3</c:v>
                </c:pt>
                <c:pt idx="7">
                  <c:v>168.1</c:v>
                </c:pt>
                <c:pt idx="8">
                  <c:v>157.19999999999999</c:v>
                </c:pt>
                <c:pt idx="9">
                  <c:v>179.2</c:v>
                </c:pt>
                <c:pt idx="10">
                  <c:v>153.5</c:v>
                </c:pt>
                <c:pt idx="11">
                  <c:v>156.9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140.6</c:v>
                </c:pt>
                <c:pt idx="1">
                  <c:v>139.9</c:v>
                </c:pt>
                <c:pt idx="2">
                  <c:v>152.9</c:v>
                </c:pt>
                <c:pt idx="3">
                  <c:v>147.80000000000001</c:v>
                </c:pt>
                <c:pt idx="4">
                  <c:v>157.6</c:v>
                </c:pt>
                <c:pt idx="5">
                  <c:v>176.5</c:v>
                </c:pt>
                <c:pt idx="6">
                  <c:v>180</c:v>
                </c:pt>
                <c:pt idx="7">
                  <c:v>174.7</c:v>
                </c:pt>
                <c:pt idx="8">
                  <c:v>166.4</c:v>
                </c:pt>
                <c:pt idx="9">
                  <c:v>176.5</c:v>
                </c:pt>
                <c:pt idx="10">
                  <c:v>173.4</c:v>
                </c:pt>
                <c:pt idx="11">
                  <c:v>172.3</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154.4</c:v>
                </c:pt>
                <c:pt idx="1">
                  <c:v>155.69999999999999</c:v>
                </c:pt>
                <c:pt idx="2">
                  <c:v>161.19999999999999</c:v>
                </c:pt>
                <c:pt idx="3">
                  <c:v>180</c:v>
                </c:pt>
                <c:pt idx="4">
                  <c:v>180.5</c:v>
                </c:pt>
                <c:pt idx="5">
                  <c:v>197.2</c:v>
                </c:pt>
                <c:pt idx="6">
                  <c:v>180.3</c:v>
                </c:pt>
              </c:numCache>
            </c:numRef>
          </c:val>
        </c:ser>
        <c:marker val="1"/>
        <c:axId val="157536256"/>
        <c:axId val="157537792"/>
      </c:lineChart>
      <c:catAx>
        <c:axId val="157536256"/>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537792"/>
        <c:crosses val="autoZero"/>
        <c:auto val="1"/>
        <c:lblAlgn val="ctr"/>
        <c:lblOffset val="0"/>
        <c:tickLblSkip val="1"/>
        <c:tickMarkSkip val="1"/>
        <c:noMultiLvlLbl val="1"/>
      </c:catAx>
      <c:valAx>
        <c:axId val="157537792"/>
        <c:scaling>
          <c:orientation val="minMax"/>
          <c:max val="21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536256"/>
        <c:crosses val="autoZero"/>
        <c:crossBetween val="between"/>
      </c:valAx>
      <c:spPr>
        <a:noFill/>
        <a:ln w="6350">
          <a:noFill/>
        </a:ln>
      </c:spPr>
    </c:plotArea>
    <c:legend>
      <c:legendPos val="b"/>
      <c:layout>
        <c:manualLayout>
          <c:xMode val="edge"/>
          <c:yMode val="edge"/>
          <c:x val="0.1441180716994567"/>
          <c:y val="0.51020265151515154"/>
          <c:w val="0.35738594920563727"/>
          <c:h val="0.29482007575757857"/>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5545427342754865"/>
          <c:h val="0.79070554536853765"/>
        </c:manualLayout>
      </c:layout>
      <c:lineChart>
        <c:grouping val="standard"/>
        <c:ser>
          <c:idx val="1"/>
          <c:order val="0"/>
          <c:tx>
            <c:strRef>
              <c:f>Sheet1!$A$2</c:f>
              <c:strCache>
                <c:ptCount val="1"/>
                <c:pt idx="0">
                  <c:v>2008</c:v>
                </c:pt>
              </c:strCache>
            </c:strRef>
          </c:tx>
          <c:spPr>
            <a:ln w="9525">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110.8</c:v>
                </c:pt>
                <c:pt idx="1">
                  <c:v>109.6</c:v>
                </c:pt>
                <c:pt idx="2">
                  <c:v>127.8</c:v>
                </c:pt>
                <c:pt idx="3">
                  <c:v>117.1</c:v>
                </c:pt>
                <c:pt idx="4">
                  <c:v>120.8</c:v>
                </c:pt>
                <c:pt idx="5">
                  <c:v>121.5</c:v>
                </c:pt>
                <c:pt idx="6">
                  <c:v>141.6</c:v>
                </c:pt>
                <c:pt idx="7">
                  <c:v>144.80000000000001</c:v>
                </c:pt>
                <c:pt idx="8">
                  <c:v>129.30000000000001</c:v>
                </c:pt>
                <c:pt idx="9">
                  <c:v>151.19999999999999</c:v>
                </c:pt>
                <c:pt idx="10">
                  <c:v>130.19999999999999</c:v>
                </c:pt>
                <c:pt idx="11">
                  <c:v>120.8</c:v>
                </c:pt>
              </c:numCache>
            </c:numRef>
          </c:val>
        </c:ser>
        <c:ser>
          <c:idx val="0"/>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89</c:v>
                </c:pt>
                <c:pt idx="1">
                  <c:v>84.4</c:v>
                </c:pt>
                <c:pt idx="2">
                  <c:v>100.5</c:v>
                </c:pt>
                <c:pt idx="3">
                  <c:v>90.3</c:v>
                </c:pt>
                <c:pt idx="4">
                  <c:v>90.8</c:v>
                </c:pt>
                <c:pt idx="5">
                  <c:v>96.4</c:v>
                </c:pt>
                <c:pt idx="6">
                  <c:v>104.5</c:v>
                </c:pt>
                <c:pt idx="7">
                  <c:v>103.5</c:v>
                </c:pt>
                <c:pt idx="8">
                  <c:v>93.6</c:v>
                </c:pt>
                <c:pt idx="9">
                  <c:v>98.2</c:v>
                </c:pt>
                <c:pt idx="10">
                  <c:v>98.9</c:v>
                </c:pt>
                <c:pt idx="11">
                  <c:v>96.6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77.400000000000006</c:v>
                </c:pt>
                <c:pt idx="1">
                  <c:v>86</c:v>
                </c:pt>
                <c:pt idx="2">
                  <c:v>87.7</c:v>
                </c:pt>
                <c:pt idx="3">
                  <c:v>87.9</c:v>
                </c:pt>
                <c:pt idx="4">
                  <c:v>91</c:v>
                </c:pt>
                <c:pt idx="5">
                  <c:v>96.3</c:v>
                </c:pt>
                <c:pt idx="6">
                  <c:v>104.1</c:v>
                </c:pt>
                <c:pt idx="7">
                  <c:v>110.5</c:v>
                </c:pt>
                <c:pt idx="8">
                  <c:v>107.1</c:v>
                </c:pt>
                <c:pt idx="9">
                  <c:v>107.3</c:v>
                </c:pt>
                <c:pt idx="10">
                  <c:v>111.5</c:v>
                </c:pt>
                <c:pt idx="11">
                  <c:v>113.9</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86.8</c:v>
                </c:pt>
                <c:pt idx="1">
                  <c:v>95.3</c:v>
                </c:pt>
                <c:pt idx="2">
                  <c:v>99.7</c:v>
                </c:pt>
                <c:pt idx="3">
                  <c:v>104.1</c:v>
                </c:pt>
                <c:pt idx="4">
                  <c:v>107.9</c:v>
                </c:pt>
                <c:pt idx="5">
                  <c:v>110</c:v>
                </c:pt>
                <c:pt idx="6">
                  <c:v>124.6</c:v>
                </c:pt>
              </c:numCache>
            </c:numRef>
          </c:val>
        </c:ser>
        <c:marker val="1"/>
        <c:axId val="157428736"/>
        <c:axId val="157475584"/>
      </c:lineChart>
      <c:catAx>
        <c:axId val="157428736"/>
        <c:scaling>
          <c:orientation val="minMax"/>
        </c:scaling>
        <c:axPos val="b"/>
        <c:majorGridlines>
          <c:spPr>
            <a:ln w="6350">
              <a:solidFill>
                <a:sysClr val="window" lastClr="FFFFFF">
                  <a:lumMod val="85000"/>
                </a:sysClr>
              </a:solidFill>
            </a:ln>
          </c:spPr>
        </c:majorGridlines>
        <c:numFmt formatCode="#,##0" sourceLinked="0"/>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475584"/>
        <c:crosses val="autoZero"/>
        <c:auto val="1"/>
        <c:lblAlgn val="ctr"/>
        <c:lblOffset val="0"/>
        <c:tickLblSkip val="1"/>
        <c:tickMarkSkip val="1"/>
        <c:noMultiLvlLbl val="1"/>
      </c:catAx>
      <c:valAx>
        <c:axId val="157475584"/>
        <c:scaling>
          <c:orientation val="minMax"/>
          <c:max val="21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7428736"/>
        <c:crosses val="autoZero"/>
        <c:crossBetween val="between"/>
      </c:valAx>
      <c:spPr>
        <a:noFill/>
        <a:ln w="6350">
          <a:noFill/>
        </a:ln>
      </c:spPr>
    </c:plotArea>
    <c:legend>
      <c:legendPos val="b"/>
      <c:layout>
        <c:manualLayout>
          <c:xMode val="edge"/>
          <c:yMode val="edge"/>
          <c:x val="0.1441180716994567"/>
          <c:y val="7.7248106060606045E-2"/>
          <c:w val="0.35738594920563743"/>
          <c:h val="0.30283775252525252"/>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1"/>
          <c:order val="0"/>
          <c:tx>
            <c:strRef>
              <c:f>Sheet1!$A$3</c:f>
              <c:strCache>
                <c:ptCount val="1"/>
                <c:pt idx="0">
                  <c:v>Tekošais un kapitāla konts</c:v>
                </c:pt>
              </c:strCache>
            </c:strRef>
          </c:tx>
          <c:spPr>
            <a:solidFill>
              <a:sysClr val="window" lastClr="FFFFFF">
                <a:lumMod val="75000"/>
              </a:sysClr>
            </a:solidFill>
            <a:ln w="6350">
              <a:solidFill>
                <a:sysClr val="windowText" lastClr="000000"/>
              </a:solidFill>
              <a:prstDash val="solid"/>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0.000</c:formatCode>
                <c:ptCount val="14"/>
                <c:pt idx="0">
                  <c:v>-0.15863031227248744</c:v>
                </c:pt>
                <c:pt idx="1">
                  <c:v>-0.12314902682845102</c:v>
                </c:pt>
                <c:pt idx="2">
                  <c:v>-0.11990961217784685</c:v>
                </c:pt>
                <c:pt idx="3">
                  <c:v>-6.7427503705920294E-2</c:v>
                </c:pt>
                <c:pt idx="4">
                  <c:v>4.1208524242880684E-2</c:v>
                </c:pt>
                <c:pt idx="5">
                  <c:v>0.16307091919782429</c:v>
                </c:pt>
                <c:pt idx="6">
                  <c:v>0.10997082647477482</c:v>
                </c:pt>
                <c:pt idx="7">
                  <c:v>0.12716869125119049</c:v>
                </c:pt>
                <c:pt idx="8">
                  <c:v>0.12057633378341512</c:v>
                </c:pt>
                <c:pt idx="9">
                  <c:v>6.8690985563137394E-2</c:v>
                </c:pt>
                <c:pt idx="10">
                  <c:v>1.7218859601305963E-2</c:v>
                </c:pt>
                <c:pt idx="11" formatCode="General">
                  <c:v>3.2428669955474406E-3</c:v>
                </c:pt>
                <c:pt idx="12" formatCode="General">
                  <c:v>1.2081144583395848E-2</c:v>
                </c:pt>
                <c:pt idx="13" formatCode="General">
                  <c:v>1.3179921331274757E-2</c:v>
                </c:pt>
              </c:numCache>
            </c:numRef>
          </c:val>
        </c:ser>
        <c:ser>
          <c:idx val="0"/>
          <c:order val="1"/>
          <c:tx>
            <c:strRef>
              <c:f>Sheet1!$A$4</c:f>
              <c:strCache>
                <c:ptCount val="1"/>
                <c:pt idx="0">
                  <c:v>Finanšu konts</c:v>
                </c:pt>
              </c:strCache>
            </c:strRef>
          </c:tx>
          <c:spPr>
            <a:solidFill>
              <a:srgbClr val="FF0000"/>
            </a:solidFill>
            <a:ln w="6350">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Sheet1!$B$4:$O$4</c:f>
              <c:numCache>
                <c:formatCode>0.000</c:formatCode>
                <c:ptCount val="14"/>
                <c:pt idx="0">
                  <c:v>0.19616241634645548</c:v>
                </c:pt>
                <c:pt idx="1">
                  <c:v>0.11850821268612002</c:v>
                </c:pt>
                <c:pt idx="2">
                  <c:v>0.13419434928671789</c:v>
                </c:pt>
                <c:pt idx="3">
                  <c:v>9.5079940231233728E-2</c:v>
                </c:pt>
                <c:pt idx="4">
                  <c:v>-4.2180280157230444E-2</c:v>
                </c:pt>
                <c:pt idx="5">
                  <c:v>-0.18956548320316119</c:v>
                </c:pt>
                <c:pt idx="6">
                  <c:v>-0.11870980746494</c:v>
                </c:pt>
                <c:pt idx="7">
                  <c:v>-0.12134393824664007</c:v>
                </c:pt>
                <c:pt idx="8">
                  <c:v>-0.12222854593729872</c:v>
                </c:pt>
                <c:pt idx="9">
                  <c:v>-6.0906854451681133E-2</c:v>
                </c:pt>
                <c:pt idx="10">
                  <c:v>-4.0632864455991922E-2</c:v>
                </c:pt>
                <c:pt idx="11" formatCode="General">
                  <c:v>-6.0514214470483519E-3</c:v>
                </c:pt>
                <c:pt idx="12" formatCode="General">
                  <c:v>-2.8791205977277651E-2</c:v>
                </c:pt>
                <c:pt idx="13" formatCode="General">
                  <c:v>-2.1966535552124652E-3</c:v>
                </c:pt>
              </c:numCache>
            </c:numRef>
          </c:val>
        </c:ser>
        <c:gapWidth val="20"/>
        <c:overlap val="100"/>
        <c:axId val="156387968"/>
        <c:axId val="157684480"/>
      </c:barChart>
      <c:lineChart>
        <c:grouping val="standard"/>
        <c:ser>
          <c:idx val="2"/>
          <c:order val="2"/>
          <c:tx>
            <c:strRef>
              <c:f>Sheet1!$A$5</c:f>
              <c:strCache>
                <c:ptCount val="1"/>
                <c:pt idx="0">
                  <c:v>Rezerves aktīvi</c:v>
                </c:pt>
              </c:strCache>
            </c:strRef>
          </c:tx>
          <c:spPr>
            <a:ln w="41275">
              <a:solidFill>
                <a:sysClr val="windowText" lastClr="000000"/>
              </a:solidFill>
            </a:ln>
          </c:spPr>
          <c:marker>
            <c:symbol val="diamond"/>
            <c:size val="8"/>
            <c:spPr>
              <a:solidFill>
                <a:sysClr val="window" lastClr="FFFFFF"/>
              </a:solidFill>
              <a:ln>
                <a:solidFill>
                  <a:sysClr val="windowText" lastClr="000000"/>
                </a:solidFill>
              </a:ln>
            </c:spPr>
          </c:marke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Sheet1!$B$5:$O$5</c:f>
              <c:numCache>
                <c:formatCode>0.000</c:formatCode>
                <c:ptCount val="14"/>
                <c:pt idx="0">
                  <c:v>-5.4186134483851532E-2</c:v>
                </c:pt>
                <c:pt idx="1">
                  <c:v>-1.1865174302041946E-2</c:v>
                </c:pt>
                <c:pt idx="2">
                  <c:v>6.1634652500203628E-3</c:v>
                </c:pt>
                <c:pt idx="3">
                  <c:v>0.13473155903449544</c:v>
                </c:pt>
                <c:pt idx="4">
                  <c:v>0.10051600239051962</c:v>
                </c:pt>
                <c:pt idx="5">
                  <c:v>9.4678666434331232E-2</c:v>
                </c:pt>
                <c:pt idx="6">
                  <c:v>-0.37268245573020592</c:v>
                </c:pt>
                <c:pt idx="7">
                  <c:v>-3.9187474402345275E-2</c:v>
                </c:pt>
                <c:pt idx="8">
                  <c:v>-0.15833113917215833</c:v>
                </c:pt>
                <c:pt idx="9">
                  <c:v>5.1724756936534562E-2</c:v>
                </c:pt>
                <c:pt idx="10">
                  <c:v>-9.9183060772249268E-2</c:v>
                </c:pt>
                <c:pt idx="11" formatCode="General">
                  <c:v>3.0372923913654051E-2</c:v>
                </c:pt>
                <c:pt idx="12" formatCode="General">
                  <c:v>7.0549944863363259E-2</c:v>
                </c:pt>
                <c:pt idx="13" formatCode="General">
                  <c:v>-3.8084837613099304E-2</c:v>
                </c:pt>
              </c:numCache>
            </c:numRef>
          </c:val>
        </c:ser>
        <c:marker val="1"/>
        <c:axId val="156387968"/>
        <c:axId val="157684480"/>
      </c:lineChart>
      <c:catAx>
        <c:axId val="15638796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7684480"/>
        <c:crosses val="autoZero"/>
        <c:auto val="1"/>
        <c:lblAlgn val="ctr"/>
        <c:lblOffset val="0"/>
        <c:tickLblSkip val="1"/>
        <c:tickMarkSkip val="1"/>
        <c:noMultiLvlLbl val="1"/>
      </c:catAx>
      <c:valAx>
        <c:axId val="157684480"/>
        <c:scaling>
          <c:orientation val="minMax"/>
          <c:max val="0.30000000000000032"/>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6387968"/>
        <c:crosses val="autoZero"/>
        <c:crossBetween val="between"/>
        <c:majorUnit val="0.1"/>
      </c:valAx>
      <c:spPr>
        <a:noFill/>
        <a:ln w="25395">
          <a:noFill/>
        </a:ln>
      </c:spPr>
    </c:plotArea>
    <c:legend>
      <c:legendPos val="b"/>
      <c:layout>
        <c:manualLayout>
          <c:xMode val="edge"/>
          <c:yMode val="edge"/>
          <c:x val="0.27342281049888556"/>
          <c:y val="5.9100912535576512E-2"/>
          <c:w val="0.68607408841630868"/>
          <c:h val="0.1116498605747219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7470469097457"/>
          <c:y val="3.6529680365296795E-2"/>
          <c:w val="0.83329436136420054"/>
          <c:h val="0.8582868055555557"/>
        </c:manualLayout>
      </c:layout>
      <c:barChart>
        <c:barDir val="col"/>
        <c:grouping val="stacked"/>
        <c:ser>
          <c:idx val="0"/>
          <c:order val="1"/>
          <c:tx>
            <c:strRef>
              <c:f>Sheet1!$A$4</c:f>
              <c:strCache>
                <c:ptCount val="1"/>
                <c:pt idx="0">
                  <c:v>Preces</c:v>
                </c:pt>
              </c:strCache>
            </c:strRef>
          </c:tx>
          <c:spPr>
            <a:solidFill>
              <a:sysClr val="window" lastClr="FFFFFF"/>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Sheet1!$B$4:$O$4</c:f>
              <c:numCache>
                <c:formatCode>0.000</c:formatCode>
                <c:ptCount val="14"/>
                <c:pt idx="0">
                  <c:v>-0.19511313171643163</c:v>
                </c:pt>
                <c:pt idx="1">
                  <c:v>-0.17659015463240663</c:v>
                </c:pt>
                <c:pt idx="2">
                  <c:v>-0.17944143535745721</c:v>
                </c:pt>
                <c:pt idx="3">
                  <c:v>-0.16211240912964942</c:v>
                </c:pt>
                <c:pt idx="4">
                  <c:v>-0.10422082181397679</c:v>
                </c:pt>
                <c:pt idx="5">
                  <c:v>-6.3099287114840447E-2</c:v>
                </c:pt>
                <c:pt idx="6">
                  <c:v>-7.2112540214462284E-2</c:v>
                </c:pt>
                <c:pt idx="7">
                  <c:v>-4.5774629632622833E-2</c:v>
                </c:pt>
                <c:pt idx="8">
                  <c:v>-6.9111682862447385E-2</c:v>
                </c:pt>
                <c:pt idx="9">
                  <c:v>-6.1065714270282186E-2</c:v>
                </c:pt>
                <c:pt idx="10">
                  <c:v>-8.1569412502835725E-2</c:v>
                </c:pt>
                <c:pt idx="11" formatCode="General">
                  <c:v>-7.0098044609110038E-2</c:v>
                </c:pt>
                <c:pt idx="12" formatCode="General">
                  <c:v>-7.862592738378546E-2</c:v>
                </c:pt>
                <c:pt idx="13" formatCode="General">
                  <c:v>-7.3716269956740826E-2</c:v>
                </c:pt>
              </c:numCache>
            </c:numRef>
          </c:val>
        </c:ser>
        <c:ser>
          <c:idx val="2"/>
          <c:order val="2"/>
          <c:tx>
            <c:strRef>
              <c:f>Sheet1!$A$5</c:f>
              <c:strCache>
                <c:ptCount val="1"/>
                <c:pt idx="0">
                  <c:v>Pakalpojumi</c:v>
                </c:pt>
              </c:strCache>
            </c:strRef>
          </c:tx>
          <c:spPr>
            <a:solidFill>
              <a:srgbClr val="FF0000"/>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Sheet1!$B$5:$O$5</c:f>
              <c:numCache>
                <c:formatCode>0.000</c:formatCode>
                <c:ptCount val="14"/>
                <c:pt idx="0">
                  <c:v>3.7720437212691069E-2</c:v>
                </c:pt>
                <c:pt idx="1">
                  <c:v>4.2006544504809583E-2</c:v>
                </c:pt>
                <c:pt idx="2">
                  <c:v>3.8406848165813363E-2</c:v>
                </c:pt>
                <c:pt idx="3">
                  <c:v>4.1848999920005493E-2</c:v>
                </c:pt>
                <c:pt idx="4">
                  <c:v>6.2040541656746918E-2</c:v>
                </c:pt>
                <c:pt idx="5">
                  <c:v>5.8995751949030888E-2</c:v>
                </c:pt>
                <c:pt idx="6">
                  <c:v>6.1268549204768666E-2</c:v>
                </c:pt>
                <c:pt idx="7">
                  <c:v>5.971134231890432E-2</c:v>
                </c:pt>
                <c:pt idx="8">
                  <c:v>6.4119892950714033E-2</c:v>
                </c:pt>
                <c:pt idx="9">
                  <c:v>6.5672649009715561E-2</c:v>
                </c:pt>
                <c:pt idx="10">
                  <c:v>6.0584876374965395E-2</c:v>
                </c:pt>
                <c:pt idx="11" formatCode="General">
                  <c:v>5.4868151397878394E-2</c:v>
                </c:pt>
                <c:pt idx="12" formatCode="General">
                  <c:v>6.221132876504111E-2</c:v>
                </c:pt>
                <c:pt idx="13" formatCode="General">
                  <c:v>6.724042116410088E-2</c:v>
                </c:pt>
              </c:numCache>
            </c:numRef>
          </c:val>
        </c:ser>
        <c:ser>
          <c:idx val="3"/>
          <c:order val="3"/>
          <c:tx>
            <c:strRef>
              <c:f>Sheet1!$A$6</c:f>
              <c:strCache>
                <c:ptCount val="1"/>
                <c:pt idx="0">
                  <c:v>Pārējie</c:v>
                </c:pt>
              </c:strCache>
            </c:strRef>
          </c:tx>
          <c:spPr>
            <a:solidFill>
              <a:sysClr val="window" lastClr="FFFFFF">
                <a:lumMod val="75000"/>
              </a:sysClr>
            </a:solidFill>
            <a:ln>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Sheet1!$B$6:$O$6</c:f>
              <c:numCache>
                <c:formatCode>0.000</c:formatCode>
                <c:ptCount val="14"/>
                <c:pt idx="0">
                  <c:v>-1.1515226196171026E-2</c:v>
                </c:pt>
                <c:pt idx="1">
                  <c:v>-1.5573041271429972E-2</c:v>
                </c:pt>
                <c:pt idx="2">
                  <c:v>1.2133566884353814E-2</c:v>
                </c:pt>
                <c:pt idx="3">
                  <c:v>4.0120722637173374E-2</c:v>
                </c:pt>
                <c:pt idx="4">
                  <c:v>5.3507310033865704E-2</c:v>
                </c:pt>
                <c:pt idx="5">
                  <c:v>0.14035279697551617</c:v>
                </c:pt>
                <c:pt idx="6">
                  <c:v>0.10295412640967896</c:v>
                </c:pt>
                <c:pt idx="7">
                  <c:v>9.1000329662722507E-2</c:v>
                </c:pt>
                <c:pt idx="8">
                  <c:v>9.1574737465246525E-2</c:v>
                </c:pt>
                <c:pt idx="9">
                  <c:v>5.0104386786802776E-2</c:v>
                </c:pt>
                <c:pt idx="10">
                  <c:v>1.7583279910328323E-2</c:v>
                </c:pt>
                <c:pt idx="11" formatCode="General">
                  <c:v>7.2385424007755453E-3</c:v>
                </c:pt>
                <c:pt idx="12" formatCode="General">
                  <c:v>2.731389210159061E-2</c:v>
                </c:pt>
                <c:pt idx="13" formatCode="General">
                  <c:v>1.5547742695984289E-2</c:v>
                </c:pt>
              </c:numCache>
            </c:numRef>
          </c:val>
        </c:ser>
        <c:gapWidth val="30"/>
        <c:overlap val="100"/>
        <c:axId val="159246976"/>
        <c:axId val="159470336"/>
      </c:barChart>
      <c:lineChart>
        <c:grouping val="standard"/>
        <c:ser>
          <c:idx val="1"/>
          <c:order val="0"/>
          <c:tx>
            <c:strRef>
              <c:f>Sheet1!$A$3</c:f>
              <c:strCache>
                <c:ptCount val="1"/>
                <c:pt idx="0">
                  <c:v>Tekošais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0.000</c:formatCode>
                <c:ptCount val="14"/>
                <c:pt idx="0">
                  <c:v>-0.16890792069991048</c:v>
                </c:pt>
                <c:pt idx="1">
                  <c:v>-0.15015665139902604</c:v>
                </c:pt>
                <c:pt idx="2">
                  <c:v>-0.12887684985532791</c:v>
                </c:pt>
                <c:pt idx="3">
                  <c:v>-8.0167376247939764E-2</c:v>
                </c:pt>
                <c:pt idx="4">
                  <c:v>1.1327029876635659E-2</c:v>
                </c:pt>
                <c:pt idx="5">
                  <c:v>0.13627899757177794</c:v>
                </c:pt>
                <c:pt idx="6">
                  <c:v>9.2142029491190353E-2</c:v>
                </c:pt>
                <c:pt idx="7">
                  <c:v>0.10493704234900396</c:v>
                </c:pt>
                <c:pt idx="8">
                  <c:v>8.6547794103430595E-2</c:v>
                </c:pt>
                <c:pt idx="9">
                  <c:v>5.4679549562515688E-2</c:v>
                </c:pt>
                <c:pt idx="10">
                  <c:v>-3.4012562175419329E-3</c:v>
                </c:pt>
                <c:pt idx="11" formatCode="General">
                  <c:v>-7.9623966408530894E-3</c:v>
                </c:pt>
                <c:pt idx="12" formatCode="General">
                  <c:v>1.0866464285608822E-2</c:v>
                </c:pt>
                <c:pt idx="13" formatCode="General">
                  <c:v>9.0718939033449728E-3</c:v>
                </c:pt>
              </c:numCache>
            </c:numRef>
          </c:val>
        </c:ser>
        <c:marker val="1"/>
        <c:axId val="159246976"/>
        <c:axId val="159470336"/>
      </c:lineChart>
      <c:catAx>
        <c:axId val="15924697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9470336"/>
        <c:crosses val="autoZero"/>
        <c:auto val="1"/>
        <c:lblAlgn val="ctr"/>
        <c:lblOffset val="0"/>
        <c:tickLblSkip val="1"/>
        <c:tickMarkSkip val="1"/>
        <c:noMultiLvlLbl val="1"/>
      </c:catAx>
      <c:valAx>
        <c:axId val="159470336"/>
        <c:scaling>
          <c:orientation val="minMax"/>
          <c:max val="0.21000000000000021"/>
          <c:min val="-0.2100000000000002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9246976"/>
        <c:crosses val="autoZero"/>
        <c:crossBetween val="between"/>
        <c:majorUnit val="7.0000000000000021E-2"/>
      </c:valAx>
      <c:spPr>
        <a:noFill/>
        <a:ln w="25395">
          <a:noFill/>
        </a:ln>
      </c:spPr>
    </c:plotArea>
    <c:legend>
      <c:legendPos val="b"/>
      <c:layout>
        <c:manualLayout>
          <c:xMode val="edge"/>
          <c:yMode val="edge"/>
          <c:x val="0.45877276922081917"/>
          <c:y val="0.66718039656663763"/>
          <c:w val="0.45129747403519177"/>
          <c:h val="0.1733390835923706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48527810408222"/>
          <c:y val="2.8994936365652597E-2"/>
          <c:w val="0.86914402657381273"/>
          <c:h val="0.81158538210955078"/>
        </c:manualLayout>
      </c:layout>
      <c:lineChart>
        <c:grouping val="standard"/>
        <c:ser>
          <c:idx val="0"/>
          <c:order val="0"/>
          <c:tx>
            <c:strRef>
              <c:f>Sheet1!$A$2</c:f>
              <c:strCache>
                <c:ptCount val="1"/>
                <c:pt idx="0">
                  <c:v>2008</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c:formatCode>
                <c:ptCount val="12"/>
                <c:pt idx="0">
                  <c:v>5629</c:v>
                </c:pt>
                <c:pt idx="1">
                  <c:v>5485</c:v>
                </c:pt>
                <c:pt idx="2">
                  <c:v>5715</c:v>
                </c:pt>
                <c:pt idx="3">
                  <c:v>5114</c:v>
                </c:pt>
                <c:pt idx="4">
                  <c:v>5256</c:v>
                </c:pt>
                <c:pt idx="5">
                  <c:v>5004</c:v>
                </c:pt>
                <c:pt idx="6">
                  <c:v>5498</c:v>
                </c:pt>
                <c:pt idx="7">
                  <c:v>4744</c:v>
                </c:pt>
                <c:pt idx="8">
                  <c:v>5103</c:v>
                </c:pt>
                <c:pt idx="9">
                  <c:v>4963</c:v>
                </c:pt>
                <c:pt idx="10">
                  <c:v>5373</c:v>
                </c:pt>
                <c:pt idx="11">
                  <c:v>5765</c:v>
                </c:pt>
              </c:numCache>
            </c:numRef>
          </c:val>
        </c:ser>
        <c:ser>
          <c:idx val="2"/>
          <c:order val="1"/>
          <c:tx>
            <c:strRef>
              <c:f>Sheet1!$A$3</c:f>
              <c:strCache>
                <c:ptCount val="1"/>
                <c:pt idx="0">
                  <c:v>2009</c:v>
                </c:pt>
              </c:strCache>
            </c:strRef>
          </c:tx>
          <c:spPr>
            <a:ln w="12700">
              <a:solidFill>
                <a:srgbClr val="000000"/>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c:formatCode>
                <c:ptCount val="12"/>
                <c:pt idx="0">
                  <c:v>5577</c:v>
                </c:pt>
                <c:pt idx="1">
                  <c:v>5445</c:v>
                </c:pt>
                <c:pt idx="2">
                  <c:v>5579</c:v>
                </c:pt>
                <c:pt idx="3">
                  <c:v>5152</c:v>
                </c:pt>
                <c:pt idx="4">
                  <c:v>5128</c:v>
                </c:pt>
                <c:pt idx="5">
                  <c:v>5409</c:v>
                </c:pt>
                <c:pt idx="6">
                  <c:v>5197</c:v>
                </c:pt>
                <c:pt idx="7">
                  <c:v>5219</c:v>
                </c:pt>
                <c:pt idx="8">
                  <c:v>4416</c:v>
                </c:pt>
                <c:pt idx="9">
                  <c:v>5134</c:v>
                </c:pt>
                <c:pt idx="10">
                  <c:v>4543</c:v>
                </c:pt>
                <c:pt idx="11">
                  <c:v>5182</c:v>
                </c:pt>
              </c:numCache>
            </c:numRef>
          </c:val>
        </c:ser>
        <c:ser>
          <c:idx val="4"/>
          <c:order val="2"/>
          <c:tx>
            <c:strRef>
              <c:f>Sheet1!$A$4</c:f>
              <c:strCache>
                <c:ptCount val="1"/>
                <c:pt idx="0">
                  <c:v>2010</c:v>
                </c:pt>
              </c:strCache>
            </c:strRef>
          </c:tx>
          <c:spPr>
            <a:ln w="15875">
              <a:solidFill>
                <a:schemeClr val="tx1"/>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c:formatCode>
                <c:ptCount val="12"/>
                <c:pt idx="0">
                  <c:v>4995</c:v>
                </c:pt>
                <c:pt idx="1">
                  <c:v>5171</c:v>
                </c:pt>
                <c:pt idx="2">
                  <c:v>5452</c:v>
                </c:pt>
                <c:pt idx="3">
                  <c:v>5483</c:v>
                </c:pt>
                <c:pt idx="4">
                  <c:v>5021</c:v>
                </c:pt>
                <c:pt idx="5">
                  <c:v>4764</c:v>
                </c:pt>
                <c:pt idx="6">
                  <c:v>5273</c:v>
                </c:pt>
                <c:pt idx="7">
                  <c:v>4617</c:v>
                </c:pt>
                <c:pt idx="8">
                  <c:v>4726</c:v>
                </c:pt>
                <c:pt idx="9">
                  <c:v>5200</c:v>
                </c:pt>
                <c:pt idx="10">
                  <c:v>5208</c:v>
                </c:pt>
                <c:pt idx="11">
                  <c:v>5250</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5130</c:v>
                </c:pt>
                <c:pt idx="1">
                  <c:v>4760</c:v>
                </c:pt>
                <c:pt idx="2">
                  <c:v>6456</c:v>
                </c:pt>
                <c:pt idx="3">
                  <c:v>6350</c:v>
                </c:pt>
                <c:pt idx="4">
                  <c:v>6327</c:v>
                </c:pt>
                <c:pt idx="5">
                  <c:v>5429</c:v>
                </c:pt>
                <c:pt idx="6">
                  <c:v>5852</c:v>
                </c:pt>
              </c:numCache>
            </c:numRef>
          </c:val>
        </c:ser>
        <c:marker val="1"/>
        <c:axId val="118943104"/>
        <c:axId val="119104640"/>
      </c:lineChart>
      <c:catAx>
        <c:axId val="118943104"/>
        <c:scaling>
          <c:orientation val="minMax"/>
        </c:scaling>
        <c:axPos val="b"/>
        <c:majorGridlines>
          <c:spPr>
            <a:ln>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104640"/>
        <c:crosses val="autoZero"/>
        <c:auto val="1"/>
        <c:lblAlgn val="ctr"/>
        <c:lblOffset val="100"/>
        <c:tickLblSkip val="1"/>
        <c:tickMarkSkip val="1"/>
      </c:catAx>
      <c:valAx>
        <c:axId val="119104640"/>
        <c:scaling>
          <c:orientation val="minMax"/>
          <c:max val="6500"/>
          <c:min val="4000"/>
        </c:scaling>
        <c:axPos val="l"/>
        <c:majorGridlines>
          <c:spPr>
            <a:ln w="6350">
              <a:solidFill>
                <a:schemeClr val="bg1">
                  <a:lumMod val="75000"/>
                </a:schemeClr>
              </a:solidFill>
              <a:prstDash val="solid"/>
            </a:ln>
          </c:spPr>
        </c:majorGridlines>
        <c:numFmt formatCode="0"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8943104"/>
        <c:crosses val="autoZero"/>
        <c:crossBetween val="between"/>
        <c:majorUnit val="500"/>
      </c:valAx>
      <c:spPr>
        <a:noFill/>
        <a:ln w="6350">
          <a:solidFill>
            <a:schemeClr val="bg1">
              <a:lumMod val="75000"/>
            </a:schemeClr>
          </a:solidFill>
        </a:ln>
      </c:spPr>
    </c:plotArea>
    <c:legend>
      <c:legendPos val="r"/>
      <c:layout>
        <c:manualLayout>
          <c:xMode val="edge"/>
          <c:yMode val="edge"/>
          <c:x val="0.63463203985340511"/>
          <c:y val="5.3346148589725216E-2"/>
          <c:w val="0.23615130167160345"/>
          <c:h val="0.27511380793710732"/>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372937293731765"/>
          <c:h val="0.86164375000000781"/>
        </c:manualLayout>
      </c:layout>
      <c:barChart>
        <c:barDir val="col"/>
        <c:grouping val="stacked"/>
        <c:ser>
          <c:idx val="0"/>
          <c:order val="1"/>
          <c:tx>
            <c:strRef>
              <c:f>Sheet1!$A$4</c:f>
              <c:strCache>
                <c:ptCount val="1"/>
                <c:pt idx="0">
                  <c:v>ĀTI</c:v>
                </c:pt>
              </c:strCache>
            </c:strRef>
          </c:tx>
          <c:spPr>
            <a:solidFill>
              <a:sysClr val="window" lastClr="FFFFFF"/>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Sheet1!$B$4:$O$4</c:f>
              <c:numCache>
                <c:formatCode>0.000</c:formatCode>
                <c:ptCount val="14"/>
                <c:pt idx="0">
                  <c:v>6.8822309835994119E-2</c:v>
                </c:pt>
                <c:pt idx="1">
                  <c:v>4.4590090522189804E-2</c:v>
                </c:pt>
                <c:pt idx="2">
                  <c:v>3.8576041329539214E-2</c:v>
                </c:pt>
                <c:pt idx="3">
                  <c:v>-2.7701815876251618E-2</c:v>
                </c:pt>
                <c:pt idx="4">
                  <c:v>9.7479265158177571E-3</c:v>
                </c:pt>
                <c:pt idx="5">
                  <c:v>-2.027978973247925E-2</c:v>
                </c:pt>
                <c:pt idx="6">
                  <c:v>3.0682115739191811E-2</c:v>
                </c:pt>
                <c:pt idx="7">
                  <c:v>5.7332647374637872E-3</c:v>
                </c:pt>
                <c:pt idx="8">
                  <c:v>-1.9685932046271785E-2</c:v>
                </c:pt>
                <c:pt idx="9">
                  <c:v>1.8967862340977443E-2</c:v>
                </c:pt>
                <c:pt idx="10">
                  <c:v>2.2229638850363383E-2</c:v>
                </c:pt>
                <c:pt idx="11">
                  <c:v>3.2747165821108412E-2</c:v>
                </c:pt>
                <c:pt idx="12">
                  <c:v>5.6761682023618247E-2</c:v>
                </c:pt>
                <c:pt idx="13">
                  <c:v>4.9895416468397333E-2</c:v>
                </c:pt>
              </c:numCache>
            </c:numRef>
          </c:val>
        </c:ser>
        <c:ser>
          <c:idx val="2"/>
          <c:order val="2"/>
          <c:tx>
            <c:strRef>
              <c:f>Sheet1!$A$5</c:f>
              <c:strCache>
                <c:ptCount val="1"/>
                <c:pt idx="0">
                  <c:v>Portfeļinvestīcijas</c:v>
                </c:pt>
              </c:strCache>
            </c:strRef>
          </c:tx>
          <c:spPr>
            <a:solidFill>
              <a:srgbClr val="FF0000"/>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Sheet1!$B$5:$O$5</c:f>
              <c:numCache>
                <c:formatCode>0.000</c:formatCode>
                <c:ptCount val="14"/>
                <c:pt idx="0">
                  <c:v>8.9189193552119045E-2</c:v>
                </c:pt>
                <c:pt idx="1">
                  <c:v>-2.9519405420805819E-2</c:v>
                </c:pt>
                <c:pt idx="2">
                  <c:v>2.7070906196168015E-3</c:v>
                </c:pt>
                <c:pt idx="3">
                  <c:v>-2.2492294352286113E-2</c:v>
                </c:pt>
                <c:pt idx="4">
                  <c:v>6.0400703551281992E-2</c:v>
                </c:pt>
                <c:pt idx="5">
                  <c:v>2.0577147353190092E-2</c:v>
                </c:pt>
                <c:pt idx="6">
                  <c:v>-1.339551830609211E-3</c:v>
                </c:pt>
                <c:pt idx="7">
                  <c:v>1.0856607694346239E-2</c:v>
                </c:pt>
                <c:pt idx="8">
                  <c:v>2.460741505783974E-4</c:v>
                </c:pt>
                <c:pt idx="9">
                  <c:v>-2.0048109107465201E-2</c:v>
                </c:pt>
                <c:pt idx="10">
                  <c:v>-4.4945171446089628E-3</c:v>
                </c:pt>
                <c:pt idx="11">
                  <c:v>-4.5400137937664023E-2</c:v>
                </c:pt>
                <c:pt idx="12">
                  <c:v>-9.9242663248928373E-2</c:v>
                </c:pt>
                <c:pt idx="13">
                  <c:v>5.7483856022767614E-2</c:v>
                </c:pt>
              </c:numCache>
            </c:numRef>
          </c:val>
        </c:ser>
        <c:ser>
          <c:idx val="3"/>
          <c:order val="3"/>
          <c:tx>
            <c:strRef>
              <c:f>Sheet1!$A$6</c:f>
              <c:strCache>
                <c:ptCount val="1"/>
                <c:pt idx="0">
                  <c:v>Citi ieguldījumi</c:v>
                </c:pt>
              </c:strCache>
            </c:strRef>
          </c:tx>
          <c:spPr>
            <a:solidFill>
              <a:sysClr val="window" lastClr="FFFFFF">
                <a:lumMod val="75000"/>
              </a:sysClr>
            </a:solidFill>
            <a:ln>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Sheet1!$B$6:$O$6</c:f>
              <c:numCache>
                <c:formatCode>0.000</c:formatCode>
                <c:ptCount val="14"/>
                <c:pt idx="0">
                  <c:v>9.2310142708090667E-2</c:v>
                </c:pt>
                <c:pt idx="1">
                  <c:v>0.11532662360916116</c:v>
                </c:pt>
                <c:pt idx="2">
                  <c:v>8.6723581635580638E-2</c:v>
                </c:pt>
                <c:pt idx="3">
                  <c:v>1.0567181100744739E-2</c:v>
                </c:pt>
                <c:pt idx="4">
                  <c:v>-0.21284491261484942</c:v>
                </c:pt>
                <c:pt idx="5">
                  <c:v>-0.28454150725820232</c:v>
                </c:pt>
                <c:pt idx="6">
                  <c:v>0.22463008435668183</c:v>
                </c:pt>
                <c:pt idx="7">
                  <c:v>-9.8715840187076201E-2</c:v>
                </c:pt>
                <c:pt idx="8">
                  <c:v>5.5542451130552527E-2</c:v>
                </c:pt>
                <c:pt idx="9">
                  <c:v>-0.11155136462172717</c:v>
                </c:pt>
                <c:pt idx="10">
                  <c:v>4.0784706251417904E-2</c:v>
                </c:pt>
                <c:pt idx="11">
                  <c:v>-2.3771373244146791E-2</c:v>
                </c:pt>
                <c:pt idx="12">
                  <c:v>-5.6860169615330441E-2</c:v>
                </c:pt>
                <c:pt idx="13">
                  <c:v>-7.1519616401527736E-2</c:v>
                </c:pt>
              </c:numCache>
            </c:numRef>
          </c:val>
        </c:ser>
        <c:gapWidth val="30"/>
        <c:overlap val="100"/>
        <c:axId val="159213824"/>
        <c:axId val="159547776"/>
      </c:barChart>
      <c:lineChart>
        <c:grouping val="standard"/>
        <c:ser>
          <c:idx val="1"/>
          <c:order val="0"/>
          <c:tx>
            <c:strRef>
              <c:f>Sheet1!$A$3</c:f>
              <c:strCache>
                <c:ptCount val="1"/>
                <c:pt idx="0">
                  <c:v>Finanšu konts</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0.000</c:formatCode>
                <c:ptCount val="14"/>
                <c:pt idx="0">
                  <c:v>0.19616241634645548</c:v>
                </c:pt>
                <c:pt idx="1">
                  <c:v>0.11850821268612002</c:v>
                </c:pt>
                <c:pt idx="2">
                  <c:v>0.13419434928671789</c:v>
                </c:pt>
                <c:pt idx="3">
                  <c:v>9.5079940231233728E-2</c:v>
                </c:pt>
                <c:pt idx="4">
                  <c:v>-4.2180280157230444E-2</c:v>
                </c:pt>
                <c:pt idx="5">
                  <c:v>-0.18956548320316119</c:v>
                </c:pt>
                <c:pt idx="6">
                  <c:v>-0.11870980746494</c:v>
                </c:pt>
                <c:pt idx="7">
                  <c:v>-0.12134393824664007</c:v>
                </c:pt>
                <c:pt idx="8">
                  <c:v>-0.12222854593729872</c:v>
                </c:pt>
                <c:pt idx="9">
                  <c:v>-6.0906854451681133E-2</c:v>
                </c:pt>
                <c:pt idx="10">
                  <c:v>-4.0632864455991922E-2</c:v>
                </c:pt>
                <c:pt idx="11">
                  <c:v>-6.0514214470483519E-3</c:v>
                </c:pt>
                <c:pt idx="12">
                  <c:v>-2.8791205977277651E-2</c:v>
                </c:pt>
                <c:pt idx="13">
                  <c:v>-2.1966535552124652E-3</c:v>
                </c:pt>
              </c:numCache>
            </c:numRef>
          </c:val>
        </c:ser>
        <c:marker val="1"/>
        <c:axId val="159213824"/>
        <c:axId val="159547776"/>
      </c:lineChart>
      <c:catAx>
        <c:axId val="159213824"/>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solidFill>
            <a:sysClr val="window" lastClr="FFFFFF"/>
          </a:solidFill>
          <a:ln w="6350">
            <a:solidFill>
              <a:srgbClr val="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9547776"/>
        <c:crosses val="autoZero"/>
        <c:auto val="1"/>
        <c:lblAlgn val="ctr"/>
        <c:lblOffset val="0"/>
        <c:tickLblSkip val="1"/>
        <c:tickMarkSkip val="1"/>
        <c:noMultiLvlLbl val="1"/>
      </c:catAx>
      <c:valAx>
        <c:axId val="159547776"/>
        <c:scaling>
          <c:orientation val="minMax"/>
          <c:max val="0.30000000000000032"/>
          <c:min val="-0.4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9213824"/>
        <c:crosses val="autoZero"/>
        <c:crossBetween val="between"/>
        <c:majorUnit val="0.15000000000000024"/>
      </c:valAx>
      <c:spPr>
        <a:noFill/>
        <a:ln w="25395">
          <a:noFill/>
        </a:ln>
      </c:spPr>
    </c:plotArea>
    <c:legend>
      <c:legendPos val="b"/>
      <c:layout>
        <c:manualLayout>
          <c:xMode val="edge"/>
          <c:yMode val="edge"/>
          <c:x val="0.34402214871614795"/>
          <c:y val="0.73722819704051801"/>
          <c:w val="0.56884554187466241"/>
          <c:h val="0.1523428893802594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2.2809375000000402E-2"/>
          <c:w val="0.83203073125793048"/>
          <c:h val="0.73641388888888892"/>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Sheet1!$B$1:$BD$2</c:f>
              <c:multiLvlStrCache>
                <c:ptCount val="5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lvl>
                <c:lvl>
                  <c:pt idx="0">
                    <c:v>2007</c:v>
                  </c:pt>
                  <c:pt idx="12">
                    <c:v>2008</c:v>
                  </c:pt>
                  <c:pt idx="24">
                    <c:v>2009</c:v>
                  </c:pt>
                  <c:pt idx="36">
                    <c:v>2010</c:v>
                  </c:pt>
                  <c:pt idx="48">
                    <c:v>2011</c:v>
                  </c:pt>
                </c:lvl>
              </c:multiLvlStrCache>
            </c:multiLvlStrRef>
          </c:cat>
          <c:val>
            <c:numRef>
              <c:f>Sheet1!$B$3:$BD$3</c:f>
              <c:numCache>
                <c:formatCode>0.0</c:formatCode>
                <c:ptCount val="55"/>
                <c:pt idx="0">
                  <c:v>100.31152647975082</c:v>
                </c:pt>
                <c:pt idx="1">
                  <c:v>100.70093457943925</c:v>
                </c:pt>
                <c:pt idx="2">
                  <c:v>101.86915887850417</c:v>
                </c:pt>
                <c:pt idx="3">
                  <c:v>102.10280373831777</c:v>
                </c:pt>
                <c:pt idx="4">
                  <c:v>102.41433021806856</c:v>
                </c:pt>
                <c:pt idx="5">
                  <c:v>103.34890965732089</c:v>
                </c:pt>
                <c:pt idx="6">
                  <c:v>104.36137071651039</c:v>
                </c:pt>
                <c:pt idx="7">
                  <c:v>105.68535825545098</c:v>
                </c:pt>
                <c:pt idx="8">
                  <c:v>107.00934579439254</c:v>
                </c:pt>
                <c:pt idx="9">
                  <c:v>108.25545171339535</c:v>
                </c:pt>
                <c:pt idx="10">
                  <c:v>109.19003115264742</c:v>
                </c:pt>
                <c:pt idx="11">
                  <c:v>110.12461059190032</c:v>
                </c:pt>
                <c:pt idx="12">
                  <c:v>111.52647975077878</c:v>
                </c:pt>
                <c:pt idx="13">
                  <c:v>112.46105919003116</c:v>
                </c:pt>
                <c:pt idx="14">
                  <c:v>113.3956386292835</c:v>
                </c:pt>
                <c:pt idx="15">
                  <c:v>114.40809968847384</c:v>
                </c:pt>
                <c:pt idx="16">
                  <c:v>114.56386292834902</c:v>
                </c:pt>
                <c:pt idx="17">
                  <c:v>114.79750778816199</c:v>
                </c:pt>
                <c:pt idx="18">
                  <c:v>114.87538940809924</c:v>
                </c:pt>
                <c:pt idx="19">
                  <c:v>114.87538940809924</c:v>
                </c:pt>
                <c:pt idx="20">
                  <c:v>115.73208722741401</c:v>
                </c:pt>
                <c:pt idx="21">
                  <c:v>116.66666666666667</c:v>
                </c:pt>
                <c:pt idx="22">
                  <c:v>116.82242990654207</c:v>
                </c:pt>
                <c:pt idx="23">
                  <c:v>119.54828660436139</c:v>
                </c:pt>
                <c:pt idx="24">
                  <c:v>122.50778816199355</c:v>
                </c:pt>
                <c:pt idx="25">
                  <c:v>125.23364485981332</c:v>
                </c:pt>
                <c:pt idx="26">
                  <c:v>125.07788161993771</c:v>
                </c:pt>
                <c:pt idx="27">
                  <c:v>123.28660436137122</c:v>
                </c:pt>
                <c:pt idx="28">
                  <c:v>122.04049844236762</c:v>
                </c:pt>
                <c:pt idx="29">
                  <c:v>121.65109034267881</c:v>
                </c:pt>
                <c:pt idx="30">
                  <c:v>121.02803738317758</c:v>
                </c:pt>
                <c:pt idx="31">
                  <c:v>120.09345794392523</c:v>
                </c:pt>
                <c:pt idx="32">
                  <c:v>119.54828660436139</c:v>
                </c:pt>
                <c:pt idx="33">
                  <c:v>119.2367601246106</c:v>
                </c:pt>
                <c:pt idx="34">
                  <c:v>118.06853582554518</c:v>
                </c:pt>
                <c:pt idx="35">
                  <c:v>117.91277258566949</c:v>
                </c:pt>
                <c:pt idx="36">
                  <c:v>115.88785046728974</c:v>
                </c:pt>
                <c:pt idx="37">
                  <c:v>114.71962616822432</c:v>
                </c:pt>
                <c:pt idx="38">
                  <c:v>113.70716510903426</c:v>
                </c:pt>
                <c:pt idx="39">
                  <c:v>113.47352024922122</c:v>
                </c:pt>
                <c:pt idx="40">
                  <c:v>113.16199376947071</c:v>
                </c:pt>
                <c:pt idx="41">
                  <c:v>113.2398753894081</c:v>
                </c:pt>
                <c:pt idx="42">
                  <c:v>113.86292834890961</c:v>
                </c:pt>
                <c:pt idx="43">
                  <c:v>113.62928348909659</c:v>
                </c:pt>
                <c:pt idx="44">
                  <c:v>113.55140186915888</c:v>
                </c:pt>
                <c:pt idx="45">
                  <c:v>114.40809968847384</c:v>
                </c:pt>
                <c:pt idx="46">
                  <c:v>114.4859813084109</c:v>
                </c:pt>
                <c:pt idx="47">
                  <c:v>113.55140186915888</c:v>
                </c:pt>
                <c:pt idx="48">
                  <c:v>113.0841121495327</c:v>
                </c:pt>
                <c:pt idx="49">
                  <c:v>112.92834890965725</c:v>
                </c:pt>
                <c:pt idx="50">
                  <c:v>112.92834890965725</c:v>
                </c:pt>
                <c:pt idx="51">
                  <c:v>113.55140186915888</c:v>
                </c:pt>
                <c:pt idx="52">
                  <c:v>113.3956386292835</c:v>
                </c:pt>
                <c:pt idx="53">
                  <c:v>114.01869158878506</c:v>
                </c:pt>
                <c:pt idx="54">
                  <c:v>114.25233644859782</c:v>
                </c:pt>
              </c:numCache>
            </c:numRef>
          </c:val>
        </c:ser>
        <c:ser>
          <c:idx val="4"/>
          <c:order val="1"/>
          <c:tx>
            <c:strRef>
              <c:f>Sheet1!$A$4</c:f>
              <c:strCache>
                <c:ptCount val="1"/>
                <c:pt idx="0">
                  <c:v>Pret attīstīto valstu valūtām</c:v>
                </c:pt>
              </c:strCache>
            </c:strRef>
          </c:tx>
          <c:spPr>
            <a:ln w="25400">
              <a:solidFill>
                <a:srgbClr val="FF0000"/>
              </a:solidFill>
              <a:prstDash val="solid"/>
            </a:ln>
          </c:spPr>
          <c:marker>
            <c:symbol val="none"/>
          </c:marker>
          <c:cat>
            <c:multiLvlStrRef>
              <c:f>Sheet1!$B$1:$BD$2</c:f>
              <c:multiLvlStrCache>
                <c:ptCount val="5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lvl>
                <c:lvl>
                  <c:pt idx="0">
                    <c:v>2007</c:v>
                  </c:pt>
                  <c:pt idx="12">
                    <c:v>2008</c:v>
                  </c:pt>
                  <c:pt idx="24">
                    <c:v>2009</c:v>
                  </c:pt>
                  <c:pt idx="36">
                    <c:v>2010</c:v>
                  </c:pt>
                  <c:pt idx="48">
                    <c:v>2011</c:v>
                  </c:pt>
                </c:lvl>
              </c:multiLvlStrCache>
            </c:multiLvlStrRef>
          </c:cat>
          <c:val>
            <c:numRef>
              <c:f>Sheet1!$B$4:$BD$4</c:f>
              <c:numCache>
                <c:formatCode>0.0</c:formatCode>
                <c:ptCount val="55"/>
                <c:pt idx="0">
                  <c:v>100.42643923240895</c:v>
                </c:pt>
                <c:pt idx="1">
                  <c:v>100.99502487562188</c:v>
                </c:pt>
                <c:pt idx="2">
                  <c:v>102.48756218905471</c:v>
                </c:pt>
                <c:pt idx="3">
                  <c:v>102.91400142146412</c:v>
                </c:pt>
                <c:pt idx="4">
                  <c:v>103.41151385927573</c:v>
                </c:pt>
                <c:pt idx="5">
                  <c:v>104.54868514570009</c:v>
                </c:pt>
                <c:pt idx="6">
                  <c:v>105.68585643212438</c:v>
                </c:pt>
                <c:pt idx="7">
                  <c:v>107.2494669509595</c:v>
                </c:pt>
                <c:pt idx="8">
                  <c:v>108.88415067519576</c:v>
                </c:pt>
                <c:pt idx="9">
                  <c:v>110.51883439943111</c:v>
                </c:pt>
                <c:pt idx="10">
                  <c:v>111.86922530206115</c:v>
                </c:pt>
                <c:pt idx="11">
                  <c:v>113.36176261549375</c:v>
                </c:pt>
                <c:pt idx="12">
                  <c:v>115.63610518834402</c:v>
                </c:pt>
                <c:pt idx="13">
                  <c:v>116.9154228855725</c:v>
                </c:pt>
                <c:pt idx="14">
                  <c:v>118.40796019900536</c:v>
                </c:pt>
                <c:pt idx="15">
                  <c:v>120.25586353944564</c:v>
                </c:pt>
                <c:pt idx="16">
                  <c:v>120.68230277185435</c:v>
                </c:pt>
                <c:pt idx="17">
                  <c:v>121.3219616204691</c:v>
                </c:pt>
                <c:pt idx="18">
                  <c:v>121.89054726368128</c:v>
                </c:pt>
                <c:pt idx="19">
                  <c:v>122.03269367448468</c:v>
                </c:pt>
                <c:pt idx="20">
                  <c:v>122.95664534470509</c:v>
                </c:pt>
                <c:pt idx="21">
                  <c:v>124.30703624733475</c:v>
                </c:pt>
                <c:pt idx="22">
                  <c:v>124.94669509594941</c:v>
                </c:pt>
                <c:pt idx="23">
                  <c:v>127.50533049040463</c:v>
                </c:pt>
                <c:pt idx="24">
                  <c:v>129.63752665245201</c:v>
                </c:pt>
                <c:pt idx="25">
                  <c:v>130.13503909026295</c:v>
                </c:pt>
                <c:pt idx="26">
                  <c:v>130.91684434968047</c:v>
                </c:pt>
                <c:pt idx="27">
                  <c:v>129.21108742004196</c:v>
                </c:pt>
                <c:pt idx="28">
                  <c:v>128.00284292821601</c:v>
                </c:pt>
                <c:pt idx="29">
                  <c:v>127.43425728500407</c:v>
                </c:pt>
                <c:pt idx="30">
                  <c:v>127.00781805259356</c:v>
                </c:pt>
                <c:pt idx="31">
                  <c:v>125.51528073916128</c:v>
                </c:pt>
                <c:pt idx="32">
                  <c:v>125.23098791755444</c:v>
                </c:pt>
                <c:pt idx="33">
                  <c:v>125.23098791755444</c:v>
                </c:pt>
                <c:pt idx="34">
                  <c:v>124.16488983653097</c:v>
                </c:pt>
                <c:pt idx="35">
                  <c:v>123.73845060412219</c:v>
                </c:pt>
                <c:pt idx="36">
                  <c:v>122.24591329068936</c:v>
                </c:pt>
                <c:pt idx="37">
                  <c:v>121.3930348258706</c:v>
                </c:pt>
                <c:pt idx="38">
                  <c:v>121.03766879886282</c:v>
                </c:pt>
                <c:pt idx="39">
                  <c:v>121.10874200426375</c:v>
                </c:pt>
                <c:pt idx="40">
                  <c:v>120.6112295664534</c:v>
                </c:pt>
                <c:pt idx="41">
                  <c:v>120.46908315565028</c:v>
                </c:pt>
                <c:pt idx="42">
                  <c:v>120.89552238805965</c:v>
                </c:pt>
                <c:pt idx="43">
                  <c:v>120.68230277185422</c:v>
                </c:pt>
                <c:pt idx="44">
                  <c:v>120.54015636105183</c:v>
                </c:pt>
                <c:pt idx="45">
                  <c:v>121.32196162046903</c:v>
                </c:pt>
                <c:pt idx="46">
                  <c:v>121.25088841506745</c:v>
                </c:pt>
                <c:pt idx="47">
                  <c:v>120.39800995024872</c:v>
                </c:pt>
                <c:pt idx="48">
                  <c:v>120.61122956645339</c:v>
                </c:pt>
                <c:pt idx="49">
                  <c:v>120.54015636105183</c:v>
                </c:pt>
                <c:pt idx="50">
                  <c:v>120.89552238805958</c:v>
                </c:pt>
                <c:pt idx="51">
                  <c:v>121.81947405827995</c:v>
                </c:pt>
                <c:pt idx="52">
                  <c:v>122.31698649609088</c:v>
                </c:pt>
                <c:pt idx="53">
                  <c:v>123.09879175550805</c:v>
                </c:pt>
                <c:pt idx="54">
                  <c:v>123.45415778251592</c:v>
                </c:pt>
              </c:numCache>
            </c:numRef>
          </c:val>
        </c:ser>
        <c:ser>
          <c:idx val="16"/>
          <c:order val="2"/>
          <c:tx>
            <c:strRef>
              <c:f>Sheet1!$A$5</c:f>
              <c:strCache>
                <c:ptCount val="1"/>
                <c:pt idx="0">
                  <c:v>Pret attīstības valstu valūtām</c:v>
                </c:pt>
              </c:strCache>
            </c:strRef>
          </c:tx>
          <c:spPr>
            <a:ln w="28575">
              <a:solidFill>
                <a:srgbClr val="FF0000"/>
              </a:solidFill>
              <a:prstDash val="dash"/>
            </a:ln>
          </c:spPr>
          <c:marker>
            <c:symbol val="none"/>
          </c:marker>
          <c:cat>
            <c:multiLvlStrRef>
              <c:f>Sheet1!$B$1:$BD$2</c:f>
              <c:multiLvlStrCache>
                <c:ptCount val="5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lvl>
                <c:lvl>
                  <c:pt idx="0">
                    <c:v>2007</c:v>
                  </c:pt>
                  <c:pt idx="12">
                    <c:v>2008</c:v>
                  </c:pt>
                  <c:pt idx="24">
                    <c:v>2009</c:v>
                  </c:pt>
                  <c:pt idx="36">
                    <c:v>2010</c:v>
                  </c:pt>
                  <c:pt idx="48">
                    <c:v>2011</c:v>
                  </c:pt>
                </c:lvl>
              </c:multiLvlStrCache>
            </c:multiLvlStrRef>
          </c:cat>
          <c:val>
            <c:numRef>
              <c:f>Sheet1!$B$5:$BD$5</c:f>
              <c:numCache>
                <c:formatCode>0.0</c:formatCode>
                <c:ptCount val="55"/>
                <c:pt idx="0">
                  <c:v>100.18165304268847</c:v>
                </c:pt>
                <c:pt idx="1">
                  <c:v>100.27247956403271</c:v>
                </c:pt>
                <c:pt idx="2">
                  <c:v>100.81743869209811</c:v>
                </c:pt>
                <c:pt idx="3">
                  <c:v>100.81743869209811</c:v>
                </c:pt>
                <c:pt idx="4">
                  <c:v>100.72661217075355</c:v>
                </c:pt>
                <c:pt idx="5">
                  <c:v>101.27157129881927</c:v>
                </c:pt>
                <c:pt idx="6">
                  <c:v>102.08900999091777</c:v>
                </c:pt>
                <c:pt idx="7">
                  <c:v>102.99727520435972</c:v>
                </c:pt>
                <c:pt idx="8">
                  <c:v>103.72388737511358</c:v>
                </c:pt>
                <c:pt idx="9">
                  <c:v>104.35967302452318</c:v>
                </c:pt>
                <c:pt idx="10">
                  <c:v>104.81380563124439</c:v>
                </c:pt>
                <c:pt idx="11">
                  <c:v>104.72297910990015</c:v>
                </c:pt>
                <c:pt idx="12">
                  <c:v>105.26793823796557</c:v>
                </c:pt>
                <c:pt idx="13">
                  <c:v>105.81289736603063</c:v>
                </c:pt>
                <c:pt idx="14">
                  <c:v>106.26702997275245</c:v>
                </c:pt>
                <c:pt idx="15">
                  <c:v>106.35785649409637</c:v>
                </c:pt>
                <c:pt idx="16">
                  <c:v>106.26702997275245</c:v>
                </c:pt>
                <c:pt idx="17">
                  <c:v>106.08537693006313</c:v>
                </c:pt>
                <c:pt idx="18">
                  <c:v>105.81289736603064</c:v>
                </c:pt>
                <c:pt idx="19">
                  <c:v>105.54041780199829</c:v>
                </c:pt>
                <c:pt idx="20">
                  <c:v>106.35785649409638</c:v>
                </c:pt>
                <c:pt idx="21">
                  <c:v>106.9028156221618</c:v>
                </c:pt>
                <c:pt idx="22">
                  <c:v>106.63033605812856</c:v>
                </c:pt>
                <c:pt idx="23">
                  <c:v>109.35513169845555</c:v>
                </c:pt>
                <c:pt idx="24">
                  <c:v>113.0790190735693</c:v>
                </c:pt>
                <c:pt idx="25">
                  <c:v>117.80199818346919</c:v>
                </c:pt>
                <c:pt idx="26">
                  <c:v>116.89373297002705</c:v>
                </c:pt>
                <c:pt idx="27">
                  <c:v>114.98637602179848</c:v>
                </c:pt>
                <c:pt idx="28">
                  <c:v>113.80563124432345</c:v>
                </c:pt>
                <c:pt idx="29">
                  <c:v>113.62397820163436</c:v>
                </c:pt>
                <c:pt idx="30">
                  <c:v>112.71571298819266</c:v>
                </c:pt>
                <c:pt idx="31">
                  <c:v>112.35240690281555</c:v>
                </c:pt>
                <c:pt idx="32">
                  <c:v>111.53496821071762</c:v>
                </c:pt>
                <c:pt idx="33">
                  <c:v>110.99000908265222</c:v>
                </c:pt>
                <c:pt idx="34">
                  <c:v>109.71843778383297</c:v>
                </c:pt>
                <c:pt idx="35">
                  <c:v>109.80926430517773</c:v>
                </c:pt>
                <c:pt idx="36">
                  <c:v>107.26612170753867</c:v>
                </c:pt>
                <c:pt idx="37">
                  <c:v>105.90372388737572</c:v>
                </c:pt>
                <c:pt idx="38">
                  <c:v>104.26884650317901</c:v>
                </c:pt>
                <c:pt idx="39">
                  <c:v>103.81471389645785</c:v>
                </c:pt>
                <c:pt idx="40">
                  <c:v>103.72388737511361</c:v>
                </c:pt>
                <c:pt idx="41">
                  <c:v>103.99636693914663</c:v>
                </c:pt>
                <c:pt idx="42">
                  <c:v>104.72297910990017</c:v>
                </c:pt>
                <c:pt idx="43">
                  <c:v>104.45049954586779</c:v>
                </c:pt>
                <c:pt idx="44">
                  <c:v>104.54132606721205</c:v>
                </c:pt>
                <c:pt idx="45">
                  <c:v>105.44959128065406</c:v>
                </c:pt>
                <c:pt idx="46">
                  <c:v>105.63124432334284</c:v>
                </c:pt>
                <c:pt idx="47">
                  <c:v>104.63215258855567</c:v>
                </c:pt>
                <c:pt idx="48">
                  <c:v>103.63306085376897</c:v>
                </c:pt>
                <c:pt idx="49">
                  <c:v>103.45140781108066</c:v>
                </c:pt>
                <c:pt idx="50">
                  <c:v>103.17892824704825</c:v>
                </c:pt>
                <c:pt idx="51">
                  <c:v>103.63306085376897</c:v>
                </c:pt>
                <c:pt idx="52">
                  <c:v>103.08810172570404</c:v>
                </c:pt>
                <c:pt idx="53">
                  <c:v>103.54223433242473</c:v>
                </c:pt>
                <c:pt idx="54">
                  <c:v>103.72388737511365</c:v>
                </c:pt>
              </c:numCache>
            </c:numRef>
          </c:val>
        </c:ser>
        <c:marker val="1"/>
        <c:axId val="159554944"/>
        <c:axId val="159614080"/>
      </c:lineChart>
      <c:catAx>
        <c:axId val="159554944"/>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lgn="just">
              <a:defRPr lang="lv-LV" sz="700">
                <a:latin typeface="Arial" pitchFamily="34" charset="0"/>
                <a:cs typeface="Arial" pitchFamily="34" charset="0"/>
              </a:defRPr>
            </a:pPr>
            <a:endParaRPr lang="lv-LV"/>
          </a:p>
        </c:txPr>
        <c:crossAx val="159614080"/>
        <c:crossesAt val="0"/>
        <c:lblAlgn val="ctr"/>
        <c:lblOffset val="0"/>
        <c:tickLblSkip val="3"/>
        <c:tickMarkSkip val="2"/>
        <c:noMultiLvlLbl val="1"/>
      </c:catAx>
      <c:valAx>
        <c:axId val="159614080"/>
        <c:scaling>
          <c:orientation val="minMax"/>
          <c:max val="135"/>
          <c:min val="100"/>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59554944"/>
        <c:crosses val="autoZero"/>
        <c:crossBetween val="midCat"/>
        <c:majorUnit val="5"/>
      </c:valAx>
      <c:spPr>
        <a:noFill/>
        <a:ln w="23661">
          <a:noFill/>
        </a:ln>
      </c:spPr>
    </c:plotArea>
    <c:legend>
      <c:legendPos val="r"/>
      <c:layout>
        <c:manualLayout>
          <c:xMode val="edge"/>
          <c:yMode val="edge"/>
          <c:x val="7.2941544558585814E-2"/>
          <c:y val="0.84935625000000003"/>
          <c:w val="0.8640260033721141"/>
          <c:h val="0.14964895833333344"/>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5.1260642895492273E-2"/>
          <c:y val="3.1591111111111202E-2"/>
          <c:w val="0.84165058837843965"/>
          <c:h val="0.7231847222222223"/>
        </c:manualLayout>
      </c:layout>
      <c:lineChart>
        <c:grouping val="standard"/>
        <c:ser>
          <c:idx val="3"/>
          <c:order val="0"/>
          <c:tx>
            <c:strRef>
              <c:f>Sheet1!$A$3</c:f>
              <c:strCache>
                <c:ptCount val="1"/>
                <c:pt idx="0">
                  <c:v>Pret galvenajām tirdzniecības partnervalstīm</c:v>
                </c:pt>
              </c:strCache>
            </c:strRef>
          </c:tx>
          <c:spPr>
            <a:ln w="38100">
              <a:solidFill>
                <a:schemeClr val="tx1"/>
              </a:solidFill>
              <a:prstDash val="solid"/>
            </a:ln>
          </c:spPr>
          <c:marker>
            <c:symbol val="none"/>
          </c:marker>
          <c:cat>
            <c:multiLvlStrRef>
              <c:f>Sheet1!$B$1:$BC$2</c:f>
              <c:multiLvlStrCache>
                <c:ptCount val="5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lvl>
                <c:lvl>
                  <c:pt idx="0">
                    <c:v>2007</c:v>
                  </c:pt>
                  <c:pt idx="12">
                    <c:v>2008</c:v>
                  </c:pt>
                  <c:pt idx="24">
                    <c:v>2009</c:v>
                  </c:pt>
                  <c:pt idx="36">
                    <c:v>2010</c:v>
                  </c:pt>
                  <c:pt idx="48">
                    <c:v>2011</c:v>
                  </c:pt>
                </c:lvl>
              </c:multiLvlStrCache>
            </c:multiLvlStrRef>
          </c:cat>
          <c:val>
            <c:numRef>
              <c:f>Sheet1!$B$3:$BC$3</c:f>
              <c:numCache>
                <c:formatCode>0.0</c:formatCode>
                <c:ptCount val="54"/>
                <c:pt idx="0">
                  <c:v>103.48343245539506</c:v>
                </c:pt>
                <c:pt idx="1">
                  <c:v>103.90824129141886</c:v>
                </c:pt>
                <c:pt idx="2">
                  <c:v>104.58793542905691</c:v>
                </c:pt>
                <c:pt idx="3">
                  <c:v>104.67289719626085</c:v>
                </c:pt>
                <c:pt idx="4">
                  <c:v>105.52251486830927</c:v>
                </c:pt>
                <c:pt idx="5">
                  <c:v>106.20220900594788</c:v>
                </c:pt>
                <c:pt idx="6">
                  <c:v>106.71197960917647</c:v>
                </c:pt>
                <c:pt idx="7">
                  <c:v>108.32625318606627</c:v>
                </c:pt>
                <c:pt idx="8">
                  <c:v>108.15632965165675</c:v>
                </c:pt>
                <c:pt idx="9">
                  <c:v>110.36533559898005</c:v>
                </c:pt>
                <c:pt idx="10">
                  <c:v>109.43075615972811</c:v>
                </c:pt>
                <c:pt idx="11">
                  <c:v>109.6856414613427</c:v>
                </c:pt>
                <c:pt idx="12">
                  <c:v>111.80968564146131</c:v>
                </c:pt>
                <c:pt idx="13">
                  <c:v>112.48937977909938</c:v>
                </c:pt>
                <c:pt idx="14">
                  <c:v>111.12999150382274</c:v>
                </c:pt>
                <c:pt idx="15">
                  <c:v>111.21495327102855</c:v>
                </c:pt>
                <c:pt idx="16">
                  <c:v>109.77060322854746</c:v>
                </c:pt>
                <c:pt idx="17">
                  <c:v>108.92098555649901</c:v>
                </c:pt>
                <c:pt idx="18">
                  <c:v>107.56159728122375</c:v>
                </c:pt>
                <c:pt idx="19">
                  <c:v>109.26083262531893</c:v>
                </c:pt>
                <c:pt idx="20">
                  <c:v>109.77060322854749</c:v>
                </c:pt>
                <c:pt idx="21">
                  <c:v>109.85556499575195</c:v>
                </c:pt>
                <c:pt idx="22">
                  <c:v>112.40441801189471</c:v>
                </c:pt>
                <c:pt idx="23">
                  <c:v>117.16227697536115</c:v>
                </c:pt>
                <c:pt idx="24">
                  <c:v>119.62616822429914</c:v>
                </c:pt>
                <c:pt idx="25">
                  <c:v>118.94647408666107</c:v>
                </c:pt>
                <c:pt idx="26">
                  <c:v>119.03143585386555</c:v>
                </c:pt>
                <c:pt idx="27">
                  <c:v>116.56754460492819</c:v>
                </c:pt>
                <c:pt idx="28">
                  <c:v>114.86830926083267</c:v>
                </c:pt>
                <c:pt idx="29">
                  <c:v>113.50892098555656</c:v>
                </c:pt>
                <c:pt idx="30">
                  <c:v>113.16907391673745</c:v>
                </c:pt>
                <c:pt idx="31">
                  <c:v>111.89464740866616</c:v>
                </c:pt>
                <c:pt idx="32">
                  <c:v>111.89464740866616</c:v>
                </c:pt>
                <c:pt idx="33">
                  <c:v>112.40441801189471</c:v>
                </c:pt>
                <c:pt idx="34">
                  <c:v>110.45029736618527</c:v>
                </c:pt>
                <c:pt idx="35">
                  <c:v>111.46983857264235</c:v>
                </c:pt>
                <c:pt idx="36">
                  <c:v>109.68564146134275</c:v>
                </c:pt>
                <c:pt idx="37">
                  <c:v>108.32625318606631</c:v>
                </c:pt>
                <c:pt idx="38">
                  <c:v>107.05182667799497</c:v>
                </c:pt>
                <c:pt idx="39">
                  <c:v>105.94732370433374</c:v>
                </c:pt>
                <c:pt idx="40">
                  <c:v>105.60747663551408</c:v>
                </c:pt>
                <c:pt idx="41">
                  <c:v>105.43755310110487</c:v>
                </c:pt>
                <c:pt idx="42">
                  <c:v>105.86236193712803</c:v>
                </c:pt>
                <c:pt idx="43">
                  <c:v>106.11724723874266</c:v>
                </c:pt>
                <c:pt idx="44">
                  <c:v>107.05182667799498</c:v>
                </c:pt>
                <c:pt idx="45">
                  <c:v>107.64655904842829</c:v>
                </c:pt>
                <c:pt idx="46">
                  <c:v>107.2217502124039</c:v>
                </c:pt>
                <c:pt idx="47">
                  <c:v>105.69243840271837</c:v>
                </c:pt>
                <c:pt idx="48">
                  <c:v>106.03228547153789</c:v>
                </c:pt>
                <c:pt idx="49">
                  <c:v>105.01274426508077</c:v>
                </c:pt>
                <c:pt idx="50">
                  <c:v>104.92778249787601</c:v>
                </c:pt>
                <c:pt idx="51">
                  <c:v>105.69243840271835</c:v>
                </c:pt>
                <c:pt idx="52">
                  <c:v>105.77740016992358</c:v>
                </c:pt>
                <c:pt idx="53">
                  <c:v>106.45709430756158</c:v>
                </c:pt>
              </c:numCache>
            </c:numRef>
          </c:val>
        </c:ser>
        <c:ser>
          <c:idx val="4"/>
          <c:order val="1"/>
          <c:tx>
            <c:strRef>
              <c:f>Sheet1!$A$4</c:f>
              <c:strCache>
                <c:ptCount val="1"/>
                <c:pt idx="0">
                  <c:v>Pret attīstīto valstu valūtām</c:v>
                </c:pt>
              </c:strCache>
            </c:strRef>
          </c:tx>
          <c:spPr>
            <a:ln w="25400">
              <a:solidFill>
                <a:srgbClr val="FF0000"/>
              </a:solidFill>
              <a:prstDash val="solid"/>
            </a:ln>
          </c:spPr>
          <c:marker>
            <c:symbol val="none"/>
          </c:marker>
          <c:cat>
            <c:multiLvlStrRef>
              <c:f>Sheet1!$B$1:$BC$2</c:f>
              <c:multiLvlStrCache>
                <c:ptCount val="5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lvl>
                <c:lvl>
                  <c:pt idx="0">
                    <c:v>2007</c:v>
                  </c:pt>
                  <c:pt idx="12">
                    <c:v>2008</c:v>
                  </c:pt>
                  <c:pt idx="24">
                    <c:v>2009</c:v>
                  </c:pt>
                  <c:pt idx="36">
                    <c:v>2010</c:v>
                  </c:pt>
                  <c:pt idx="48">
                    <c:v>2011</c:v>
                  </c:pt>
                </c:lvl>
              </c:multiLvlStrCache>
            </c:multiLvlStrRef>
          </c:cat>
          <c:val>
            <c:numRef>
              <c:f>Sheet1!$B$4:$BC$4</c:f>
              <c:numCache>
                <c:formatCode>0.0</c:formatCode>
                <c:ptCount val="54"/>
                <c:pt idx="0">
                  <c:v>103.46215780998388</c:v>
                </c:pt>
                <c:pt idx="1">
                  <c:v>103.9452495974235</c:v>
                </c:pt>
                <c:pt idx="2">
                  <c:v>104.91143317230276</c:v>
                </c:pt>
                <c:pt idx="3">
                  <c:v>105.55555555555522</c:v>
                </c:pt>
                <c:pt idx="4">
                  <c:v>107.00483091787407</c:v>
                </c:pt>
                <c:pt idx="5">
                  <c:v>107.72946859903381</c:v>
                </c:pt>
                <c:pt idx="6">
                  <c:v>108.13204508856651</c:v>
                </c:pt>
                <c:pt idx="7">
                  <c:v>110.22544283413795</c:v>
                </c:pt>
                <c:pt idx="8">
                  <c:v>110.30595813204438</c:v>
                </c:pt>
                <c:pt idx="9">
                  <c:v>113.12399355877618</c:v>
                </c:pt>
                <c:pt idx="10">
                  <c:v>112.80193236714975</c:v>
                </c:pt>
                <c:pt idx="11">
                  <c:v>113.52657004830918</c:v>
                </c:pt>
                <c:pt idx="12">
                  <c:v>115.94202898550773</c:v>
                </c:pt>
                <c:pt idx="13">
                  <c:v>116.82769726247975</c:v>
                </c:pt>
                <c:pt idx="14">
                  <c:v>116.02254428341381</c:v>
                </c:pt>
                <c:pt idx="15">
                  <c:v>116.82769726247975</c:v>
                </c:pt>
                <c:pt idx="16">
                  <c:v>115.37842190016075</c:v>
                </c:pt>
                <c:pt idx="17">
                  <c:v>115.86151368760112</c:v>
                </c:pt>
                <c:pt idx="18">
                  <c:v>114.73429951690819</c:v>
                </c:pt>
                <c:pt idx="19">
                  <c:v>116.98872785829305</c:v>
                </c:pt>
                <c:pt idx="20">
                  <c:v>117.06924315619968</c:v>
                </c:pt>
                <c:pt idx="21">
                  <c:v>117.06924315619968</c:v>
                </c:pt>
                <c:pt idx="22">
                  <c:v>119.08212560386474</c:v>
                </c:pt>
                <c:pt idx="23">
                  <c:v>121.90016103059583</c:v>
                </c:pt>
                <c:pt idx="24">
                  <c:v>122.38325281803525</c:v>
                </c:pt>
                <c:pt idx="25">
                  <c:v>119.64573268921096</c:v>
                </c:pt>
                <c:pt idx="26">
                  <c:v>120.1288244766501</c:v>
                </c:pt>
                <c:pt idx="27">
                  <c:v>117.6328502415459</c:v>
                </c:pt>
                <c:pt idx="28">
                  <c:v>115.86151368760113</c:v>
                </c:pt>
                <c:pt idx="29">
                  <c:v>114.6537842190012</c:v>
                </c:pt>
                <c:pt idx="30">
                  <c:v>114.41223832528181</c:v>
                </c:pt>
                <c:pt idx="31">
                  <c:v>112.72141706924347</c:v>
                </c:pt>
                <c:pt idx="32">
                  <c:v>113.04347826086958</c:v>
                </c:pt>
                <c:pt idx="33">
                  <c:v>114.0096618357488</c:v>
                </c:pt>
                <c:pt idx="34">
                  <c:v>112.07729468599088</c:v>
                </c:pt>
                <c:pt idx="35">
                  <c:v>112.88244766505635</c:v>
                </c:pt>
                <c:pt idx="36">
                  <c:v>111.43317230273745</c:v>
                </c:pt>
                <c:pt idx="37">
                  <c:v>110.38647342995168</c:v>
                </c:pt>
                <c:pt idx="38">
                  <c:v>109.66183574879227</c:v>
                </c:pt>
                <c:pt idx="39">
                  <c:v>108.69565217391305</c:v>
                </c:pt>
                <c:pt idx="40">
                  <c:v>108.53462157809984</c:v>
                </c:pt>
                <c:pt idx="41">
                  <c:v>108.13204508856651</c:v>
                </c:pt>
                <c:pt idx="42">
                  <c:v>108.3735909822863</c:v>
                </c:pt>
                <c:pt idx="43">
                  <c:v>108.77616747181962</c:v>
                </c:pt>
                <c:pt idx="44">
                  <c:v>109.74235104669854</c:v>
                </c:pt>
                <c:pt idx="45">
                  <c:v>110.38647342995165</c:v>
                </c:pt>
                <c:pt idx="46">
                  <c:v>110.22544283413795</c:v>
                </c:pt>
                <c:pt idx="47">
                  <c:v>108.77616747181962</c:v>
                </c:pt>
                <c:pt idx="48">
                  <c:v>109.25925925925932</c:v>
                </c:pt>
                <c:pt idx="49">
                  <c:v>108.85668276972621</c:v>
                </c:pt>
                <c:pt idx="50">
                  <c:v>109.09822866344606</c:v>
                </c:pt>
                <c:pt idx="51">
                  <c:v>110.14492753623188</c:v>
                </c:pt>
                <c:pt idx="52">
                  <c:v>110.70853462157812</c:v>
                </c:pt>
                <c:pt idx="53">
                  <c:v>111.43317230273745</c:v>
                </c:pt>
              </c:numCache>
            </c:numRef>
          </c:val>
        </c:ser>
        <c:ser>
          <c:idx val="16"/>
          <c:order val="2"/>
          <c:tx>
            <c:strRef>
              <c:f>Sheet1!$A$5</c:f>
              <c:strCache>
                <c:ptCount val="1"/>
                <c:pt idx="0">
                  <c:v>Pret attīstības valstu valūtām</c:v>
                </c:pt>
              </c:strCache>
            </c:strRef>
          </c:tx>
          <c:spPr>
            <a:ln w="28575">
              <a:solidFill>
                <a:srgbClr val="FF0000"/>
              </a:solidFill>
              <a:prstDash val="dash"/>
            </a:ln>
          </c:spPr>
          <c:marker>
            <c:symbol val="none"/>
          </c:marker>
          <c:cat>
            <c:multiLvlStrRef>
              <c:f>Sheet1!$B$1:$BC$2</c:f>
              <c:multiLvlStrCache>
                <c:ptCount val="5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lvl>
                <c:lvl>
                  <c:pt idx="0">
                    <c:v>2007</c:v>
                  </c:pt>
                  <c:pt idx="12">
                    <c:v>2008</c:v>
                  </c:pt>
                  <c:pt idx="24">
                    <c:v>2009</c:v>
                  </c:pt>
                  <c:pt idx="36">
                    <c:v>2010</c:v>
                  </c:pt>
                  <c:pt idx="48">
                    <c:v>2011</c:v>
                  </c:pt>
                </c:lvl>
              </c:multiLvlStrCache>
            </c:multiLvlStrRef>
          </c:cat>
          <c:val>
            <c:numRef>
              <c:f>Sheet1!$B$5:$BC$5</c:f>
              <c:numCache>
                <c:formatCode>0.0</c:formatCode>
                <c:ptCount val="54"/>
                <c:pt idx="0">
                  <c:v>103.46766635426432</c:v>
                </c:pt>
                <c:pt idx="1">
                  <c:v>103.84254920337396</c:v>
                </c:pt>
                <c:pt idx="2">
                  <c:v>103.84254920337396</c:v>
                </c:pt>
                <c:pt idx="3">
                  <c:v>103.09278350515433</c:v>
                </c:pt>
                <c:pt idx="4">
                  <c:v>102.90534208059944</c:v>
                </c:pt>
                <c:pt idx="5">
                  <c:v>103.46766635426432</c:v>
                </c:pt>
                <c:pt idx="6">
                  <c:v>104.02999062792877</c:v>
                </c:pt>
                <c:pt idx="7">
                  <c:v>105.15463917525774</c:v>
                </c:pt>
                <c:pt idx="8">
                  <c:v>104.49859418931641</c:v>
                </c:pt>
                <c:pt idx="9">
                  <c:v>105.71696344892285</c:v>
                </c:pt>
                <c:pt idx="10">
                  <c:v>103.74882849109656</c:v>
                </c:pt>
                <c:pt idx="11">
                  <c:v>103.18650421743205</c:v>
                </c:pt>
                <c:pt idx="12">
                  <c:v>104.96719775070299</c:v>
                </c:pt>
                <c:pt idx="13">
                  <c:v>105.52952202436742</c:v>
                </c:pt>
                <c:pt idx="14">
                  <c:v>103.65510777881885</c:v>
                </c:pt>
                <c:pt idx="15">
                  <c:v>102.90534208059945</c:v>
                </c:pt>
                <c:pt idx="16">
                  <c:v>101.59325210871606</c:v>
                </c:pt>
                <c:pt idx="17">
                  <c:v>99.625117150889722</c:v>
                </c:pt>
                <c:pt idx="18">
                  <c:v>97.938144329896929</c:v>
                </c:pt>
                <c:pt idx="19">
                  <c:v>99.156513589503305</c:v>
                </c:pt>
                <c:pt idx="20">
                  <c:v>100.00000000000003</c:v>
                </c:pt>
                <c:pt idx="21">
                  <c:v>100.18744142455432</c:v>
                </c:pt>
                <c:pt idx="22">
                  <c:v>103.28022492970989</c:v>
                </c:pt>
                <c:pt idx="23">
                  <c:v>109.55951265229618</c:v>
                </c:pt>
                <c:pt idx="24">
                  <c:v>113.96438612933459</c:v>
                </c:pt>
                <c:pt idx="25">
                  <c:v>115.37019681349513</c:v>
                </c:pt>
                <c:pt idx="26">
                  <c:v>115.08903467666345</c:v>
                </c:pt>
                <c:pt idx="27">
                  <c:v>112.74601686972822</c:v>
                </c:pt>
                <c:pt idx="28">
                  <c:v>111.05904404873478</c:v>
                </c:pt>
                <c:pt idx="29">
                  <c:v>109.65323336457358</c:v>
                </c:pt>
                <c:pt idx="30">
                  <c:v>109.27835051546329</c:v>
                </c:pt>
                <c:pt idx="31">
                  <c:v>108.34114339268955</c:v>
                </c:pt>
                <c:pt idx="32">
                  <c:v>107.96626054358012</c:v>
                </c:pt>
                <c:pt idx="33">
                  <c:v>108.15370196813463</c:v>
                </c:pt>
                <c:pt idx="34">
                  <c:v>106.09184629803185</c:v>
                </c:pt>
                <c:pt idx="35">
                  <c:v>107.403936269916</c:v>
                </c:pt>
                <c:pt idx="36">
                  <c:v>105.34208059981253</c:v>
                </c:pt>
                <c:pt idx="37">
                  <c:v>103.65510777881885</c:v>
                </c:pt>
                <c:pt idx="38">
                  <c:v>101.78069353327082</c:v>
                </c:pt>
                <c:pt idx="39">
                  <c:v>100.56232427366425</c:v>
                </c:pt>
                <c:pt idx="40">
                  <c:v>100.18744142455425</c:v>
                </c:pt>
                <c:pt idx="41">
                  <c:v>100.18744142455425</c:v>
                </c:pt>
                <c:pt idx="42">
                  <c:v>100.93720712277408</c:v>
                </c:pt>
                <c:pt idx="43">
                  <c:v>100.8434864104963</c:v>
                </c:pt>
                <c:pt idx="44">
                  <c:v>101.78069353327079</c:v>
                </c:pt>
                <c:pt idx="45">
                  <c:v>102.24929709465786</c:v>
                </c:pt>
                <c:pt idx="46">
                  <c:v>101.68697282099284</c:v>
                </c:pt>
                <c:pt idx="47">
                  <c:v>100.09372071227736</c:v>
                </c:pt>
                <c:pt idx="48">
                  <c:v>100.18744142455425</c:v>
                </c:pt>
                <c:pt idx="49">
                  <c:v>98.875351452670344</c:v>
                </c:pt>
                <c:pt idx="50">
                  <c:v>98.500468603561288</c:v>
                </c:pt>
                <c:pt idx="51">
                  <c:v>98.9690721649484</c:v>
                </c:pt>
                <c:pt idx="52">
                  <c:v>98.781630740393595</c:v>
                </c:pt>
                <c:pt idx="53">
                  <c:v>99.437675726335527</c:v>
                </c:pt>
              </c:numCache>
            </c:numRef>
          </c:val>
        </c:ser>
        <c:marker val="1"/>
        <c:axId val="157665152"/>
        <c:axId val="157666688"/>
      </c:lineChart>
      <c:catAx>
        <c:axId val="157665152"/>
        <c:scaling>
          <c:orientation val="minMax"/>
        </c:scaling>
        <c:axPos val="b"/>
        <c:majorGridlines>
          <c:spPr>
            <a:ln>
              <a:solidFill>
                <a:schemeClr val="bg1">
                  <a:lumMod val="85000"/>
                </a:schemeClr>
              </a:solidFill>
            </a:ln>
          </c:spPr>
        </c:majorGridlines>
        <c:numFmt formatCode="General" sourceLinked="1"/>
        <c:tickLblPos val="nextTo"/>
        <c:spPr>
          <a:ln w="2564">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7666688"/>
        <c:crossesAt val="0"/>
        <c:lblAlgn val="ctr"/>
        <c:lblOffset val="0"/>
        <c:tickLblSkip val="2"/>
        <c:tickMarkSkip val="2"/>
        <c:noMultiLvlLbl val="1"/>
      </c:catAx>
      <c:valAx>
        <c:axId val="157666688"/>
        <c:scaling>
          <c:orientation val="minMax"/>
          <c:max val="125"/>
          <c:min val="95"/>
        </c:scaling>
        <c:axPos val="l"/>
        <c:majorGridlines>
          <c:spPr>
            <a:ln>
              <a:solidFill>
                <a:schemeClr val="bg1">
                  <a:lumMod val="85000"/>
                </a:schemeClr>
              </a:solidFill>
            </a:ln>
          </c:spPr>
        </c:majorGridlines>
        <c:numFmt formatCode="0" sourceLinked="0"/>
        <c:tickLblPos val="nextTo"/>
        <c:spPr>
          <a:ln w="2564">
            <a:solidFill>
              <a:srgbClr val="000000"/>
            </a:solidFill>
            <a:prstDash val="solid"/>
          </a:ln>
        </c:spPr>
        <c:txPr>
          <a:bodyPr rot="0" vert="horz"/>
          <a:lstStyle/>
          <a:p>
            <a:pPr>
              <a:defRPr lang="lv-LV" sz="900">
                <a:latin typeface="Arial" pitchFamily="34" charset="0"/>
                <a:cs typeface="Arial" pitchFamily="34" charset="0"/>
              </a:defRPr>
            </a:pPr>
            <a:endParaRPr lang="lv-LV"/>
          </a:p>
        </c:txPr>
        <c:crossAx val="157665152"/>
        <c:crosses val="autoZero"/>
        <c:crossBetween val="between"/>
      </c:valAx>
      <c:spPr>
        <a:noFill/>
        <a:ln w="23661">
          <a:noFill/>
        </a:ln>
      </c:spPr>
    </c:plotArea>
    <c:legend>
      <c:legendPos val="r"/>
      <c:layout>
        <c:manualLayout>
          <c:xMode val="edge"/>
          <c:yMode val="edge"/>
          <c:x val="0.10384662182128361"/>
          <c:y val="0.82730763888890002"/>
          <c:w val="0.8640260033721141"/>
          <c:h val="0.16728784722222753"/>
        </c:manualLayout>
      </c:layout>
      <c:spPr>
        <a:solidFill>
          <a:schemeClr val="bg1"/>
        </a:solidFill>
        <a:ln w="2564">
          <a:noFill/>
          <a:prstDash val="solid"/>
        </a:ln>
      </c:spPr>
      <c:txPr>
        <a:bodyPr/>
        <a:lstStyle/>
        <a:p>
          <a:pPr>
            <a:defRPr lang="lv-LV" sz="90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741" b="0" i="0" u="none" strike="noStrike" baseline="0">
          <a:solidFill>
            <a:srgbClr val="000000"/>
          </a:solidFill>
          <a:latin typeface="Garamond"/>
          <a:ea typeface="Garamond"/>
          <a:cs typeface="Garamond"/>
        </a:defRPr>
      </a:pPr>
      <a:endParaRPr lang="lv-LV"/>
    </a:p>
  </c:tx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3280423280423409E-2"/>
          <c:y val="6.5769805680119586E-2"/>
          <c:w val="0.92731334509104935"/>
          <c:h val="0.78750953701637494"/>
        </c:manualLayout>
      </c:layout>
      <c:barChart>
        <c:barDir val="col"/>
        <c:grouping val="clustered"/>
        <c:ser>
          <c:idx val="1"/>
          <c:order val="2"/>
          <c:tx>
            <c:strRef>
              <c:f>Sheet1!$A$6</c:f>
              <c:strCache>
                <c:ptCount val="1"/>
                <c:pt idx="0">
                  <c:v>Finansiālā bilance</c:v>
                </c:pt>
              </c:strCache>
            </c:strRef>
          </c:tx>
          <c:spPr>
            <a:solidFill>
              <a:schemeClr val="tx1">
                <a:lumMod val="65000"/>
                <a:lumOff val="35000"/>
              </a:schemeClr>
            </a:solidFill>
            <a:ln>
              <a:solidFill>
                <a:schemeClr val="tx1"/>
              </a:solidFill>
            </a:ln>
          </c:spPr>
          <c:dLbls>
            <c:dLbl>
              <c:idx val="2"/>
              <c:layout>
                <c:manualLayout>
                  <c:x val="-6.3291139240507031E-3"/>
                  <c:y val="1.3071895424836669E-2"/>
                </c:manualLayout>
              </c:layout>
              <c:showVal val="1"/>
            </c:dLbl>
            <c:dLbl>
              <c:idx val="9"/>
              <c:layout>
                <c:manualLayout>
                  <c:x val="-6.3291139240507031E-3"/>
                  <c:y val="6.5359477124185975E-3"/>
                </c:manualLayout>
              </c:layout>
              <c:showVal val="1"/>
            </c:dLbl>
            <c:dLbl>
              <c:idx val="17"/>
              <c:layout>
                <c:manualLayout>
                  <c:x val="-6.3291139240505591E-3"/>
                  <c:y val="6.5359477124185975E-3"/>
                </c:manualLayout>
              </c:layout>
              <c:showVal val="1"/>
            </c:dLbl>
            <c:dLbl>
              <c:idx val="18"/>
              <c:layout>
                <c:manualLayout>
                  <c:x val="0"/>
                  <c:y val="1.9607843137254902E-2"/>
                </c:manualLayout>
              </c:layout>
              <c:showVal val="1"/>
            </c:dLbl>
            <c:dLbl>
              <c:idx val="21"/>
              <c:layout>
                <c:manualLayout>
                  <c:x val="0"/>
                  <c:y val="-6.5359477124185975E-3"/>
                </c:manualLayout>
              </c:layout>
              <c:showVal val="1"/>
            </c:dLbl>
            <c:dLbl>
              <c:idx val="22"/>
              <c:layout>
                <c:manualLayout>
                  <c:x val="-7.7354943238619734E-17"/>
                  <c:y val="6.5359477124185975E-3"/>
                </c:manualLayout>
              </c:layout>
              <c:showVal val="1"/>
            </c:dLbl>
            <c:dLbl>
              <c:idx val="26"/>
              <c:layout>
                <c:manualLayout>
                  <c:x val="0"/>
                  <c:y val="1.9607843137254902E-2"/>
                </c:manualLayout>
              </c:layout>
              <c:showVal val="1"/>
            </c:dLbl>
            <c:numFmt formatCode="#,##0" sourceLinked="0"/>
            <c:txPr>
              <a:bodyPr/>
              <a:lstStyle/>
              <a:p>
                <a:pPr>
                  <a:defRPr lang="lv-LV" sz="700"/>
                </a:pPr>
                <a:endParaRPr lang="lv-LV"/>
              </a:p>
            </c:txPr>
            <c:showVal val="1"/>
          </c:dLbls>
          <c:cat>
            <c:multiLvlStrRef>
              <c:f>Sheet1!$B$2:$AR$3</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Sheet1!$B$6:$AR$6</c:f>
              <c:numCache>
                <c:formatCode>0.0</c:formatCode>
                <c:ptCount val="43"/>
                <c:pt idx="0">
                  <c:v>92.072999999999979</c:v>
                </c:pt>
                <c:pt idx="1">
                  <c:v>13.556000000000052</c:v>
                </c:pt>
                <c:pt idx="2">
                  <c:v>8.6370000000000005</c:v>
                </c:pt>
                <c:pt idx="3">
                  <c:v>38.463000000000008</c:v>
                </c:pt>
                <c:pt idx="4">
                  <c:v>120.285</c:v>
                </c:pt>
                <c:pt idx="5">
                  <c:v>-107.18700000000001</c:v>
                </c:pt>
                <c:pt idx="6">
                  <c:v>-64.748000000000005</c:v>
                </c:pt>
                <c:pt idx="7">
                  <c:v>15.446000000000025</c:v>
                </c:pt>
                <c:pt idx="8">
                  <c:v>19.361999999999966</c:v>
                </c:pt>
                <c:pt idx="9">
                  <c:v>-228.49800000000027</c:v>
                </c:pt>
                <c:pt idx="10">
                  <c:v>-192.815</c:v>
                </c:pt>
                <c:pt idx="11">
                  <c:v>-245.67099999999999</c:v>
                </c:pt>
                <c:pt idx="12">
                  <c:v>58.603000000000009</c:v>
                </c:pt>
                <c:pt idx="13">
                  <c:v>-51.774000000000001</c:v>
                </c:pt>
                <c:pt idx="14">
                  <c:v>-148.876</c:v>
                </c:pt>
                <c:pt idx="15">
                  <c:v>-190.78999999999996</c:v>
                </c:pt>
                <c:pt idx="16" formatCode="General">
                  <c:v>-5.0120000000000005</c:v>
                </c:pt>
                <c:pt idx="17" formatCode="General">
                  <c:v>-87.305999999999983</c:v>
                </c:pt>
                <c:pt idx="18" formatCode="General">
                  <c:v>-3.7569999999999477</c:v>
                </c:pt>
                <c:pt idx="19" formatCode="General">
                  <c:v>12.202</c:v>
                </c:pt>
                <c:pt idx="20">
                  <c:v>-77.036999999999992</c:v>
                </c:pt>
                <c:pt idx="21">
                  <c:v>-20.740000000000009</c:v>
                </c:pt>
                <c:pt idx="22">
                  <c:v>-73.60799999999999</c:v>
                </c:pt>
                <c:pt idx="23">
                  <c:v>-304.01800000000003</c:v>
                </c:pt>
                <c:pt idx="24">
                  <c:v>70.669999999999973</c:v>
                </c:pt>
                <c:pt idx="25">
                  <c:v>-87.842000000000013</c:v>
                </c:pt>
                <c:pt idx="26">
                  <c:v>-115.49299999999999</c:v>
                </c:pt>
                <c:pt idx="27">
                  <c:v>-55.56</c:v>
                </c:pt>
                <c:pt idx="28">
                  <c:v>32.944999999999993</c:v>
                </c:pt>
                <c:pt idx="29">
                  <c:v>-18.372000000000014</c:v>
                </c:pt>
                <c:pt idx="30">
                  <c:v>-12.887</c:v>
                </c:pt>
                <c:pt idx="31">
                  <c:v>-9.3430000000000177</c:v>
                </c:pt>
                <c:pt idx="32" formatCode="General">
                  <c:v>-97.958000000000013</c:v>
                </c:pt>
                <c:pt idx="33" formatCode="General">
                  <c:v>-55.905999999999963</c:v>
                </c:pt>
                <c:pt idx="34" formatCode="General">
                  <c:v>-90.269000000000005</c:v>
                </c:pt>
                <c:pt idx="35" formatCode="General">
                  <c:v>-362.65700000000032</c:v>
                </c:pt>
                <c:pt idx="36" formatCode="General">
                  <c:v>-0.78800000000001091</c:v>
                </c:pt>
                <c:pt idx="37" formatCode="General">
                  <c:v>-92.87700000000001</c:v>
                </c:pt>
                <c:pt idx="38" formatCode="General">
                  <c:v>-88.117999999999995</c:v>
                </c:pt>
                <c:pt idx="39" formatCode="General">
                  <c:v>-33.132000000000012</c:v>
                </c:pt>
                <c:pt idx="40" formatCode="General">
                  <c:v>-12.807000000000016</c:v>
                </c:pt>
                <c:pt idx="41" formatCode="General">
                  <c:v>10.37700000000002</c:v>
                </c:pt>
                <c:pt idx="42" formatCode="General">
                  <c:v>-25.947000000000003</c:v>
                </c:pt>
              </c:numCache>
            </c:numRef>
          </c:val>
        </c:ser>
        <c:gapWidth val="40"/>
        <c:axId val="159910144"/>
        <c:axId val="159936512"/>
      </c:barChart>
      <c:lineChart>
        <c:grouping val="standard"/>
        <c:ser>
          <c:idx val="0"/>
          <c:order val="0"/>
          <c:tx>
            <c:strRef>
              <c:f>Sheet1!$A$4</c:f>
              <c:strCache>
                <c:ptCount val="1"/>
                <c:pt idx="0">
                  <c:v>Ieņēmumi</c:v>
                </c:pt>
              </c:strCache>
            </c:strRef>
          </c:tx>
          <c:spPr>
            <a:ln w="31750">
              <a:solidFill>
                <a:srgbClr val="FF0000"/>
              </a:solidFill>
              <a:prstDash val="solid"/>
            </a:ln>
          </c:spPr>
          <c:marker>
            <c:symbol val="none"/>
          </c:marker>
          <c:cat>
            <c:multiLvlStrRef>
              <c:f>Sheet1!$B$2:$AR$3</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Sheet1!$B$4:$AR$4</c:f>
              <c:numCache>
                <c:formatCode>0.0</c:formatCode>
                <c:ptCount val="43"/>
                <c:pt idx="0">
                  <c:v>440.28599999999869</c:v>
                </c:pt>
                <c:pt idx="1">
                  <c:v>448.55200000000002</c:v>
                </c:pt>
                <c:pt idx="2">
                  <c:v>460.58199999999869</c:v>
                </c:pt>
                <c:pt idx="3">
                  <c:v>579.23500000000001</c:v>
                </c:pt>
                <c:pt idx="4">
                  <c:v>534.50199999999938</c:v>
                </c:pt>
                <c:pt idx="5">
                  <c:v>473.29799999999869</c:v>
                </c:pt>
                <c:pt idx="6">
                  <c:v>463.69900000000001</c:v>
                </c:pt>
                <c:pt idx="7">
                  <c:v>488.375</c:v>
                </c:pt>
                <c:pt idx="8">
                  <c:v>508.73099999999869</c:v>
                </c:pt>
                <c:pt idx="9">
                  <c:v>448.08699999999845</c:v>
                </c:pt>
                <c:pt idx="10">
                  <c:v>414.065</c:v>
                </c:pt>
                <c:pt idx="11">
                  <c:v>463.55599999999993</c:v>
                </c:pt>
                <c:pt idx="12">
                  <c:v>412.9</c:v>
                </c:pt>
                <c:pt idx="13">
                  <c:v>432.87</c:v>
                </c:pt>
                <c:pt idx="14">
                  <c:v>351.14900000000148</c:v>
                </c:pt>
                <c:pt idx="15">
                  <c:v>436.1</c:v>
                </c:pt>
                <c:pt idx="16" formatCode="General">
                  <c:v>414.34899999999999</c:v>
                </c:pt>
                <c:pt idx="17" formatCode="General">
                  <c:v>440.54</c:v>
                </c:pt>
                <c:pt idx="18" formatCode="General">
                  <c:v>342.78500000000003</c:v>
                </c:pt>
                <c:pt idx="19" formatCode="General">
                  <c:v>402.42599999999845</c:v>
                </c:pt>
                <c:pt idx="20">
                  <c:v>308.06200000000001</c:v>
                </c:pt>
                <c:pt idx="21">
                  <c:v>425.62299999999999</c:v>
                </c:pt>
                <c:pt idx="22">
                  <c:v>397.97699999999816</c:v>
                </c:pt>
                <c:pt idx="23">
                  <c:v>357.35199999999969</c:v>
                </c:pt>
                <c:pt idx="24">
                  <c:v>411.87799999999999</c:v>
                </c:pt>
                <c:pt idx="25">
                  <c:v>350.3</c:v>
                </c:pt>
                <c:pt idx="26">
                  <c:v>377.99599999999833</c:v>
                </c:pt>
                <c:pt idx="27">
                  <c:v>407.88400000000001</c:v>
                </c:pt>
                <c:pt idx="28">
                  <c:v>391.56200000000001</c:v>
                </c:pt>
                <c:pt idx="29">
                  <c:v>394.30399999999969</c:v>
                </c:pt>
                <c:pt idx="30">
                  <c:v>380.64000000000038</c:v>
                </c:pt>
                <c:pt idx="31">
                  <c:v>376.23599999999863</c:v>
                </c:pt>
                <c:pt idx="32" formatCode="General">
                  <c:v>348.49400000000003</c:v>
                </c:pt>
                <c:pt idx="33" formatCode="General">
                  <c:v>363.35700000000008</c:v>
                </c:pt>
                <c:pt idx="34" formatCode="General">
                  <c:v>390.94099999999969</c:v>
                </c:pt>
                <c:pt idx="35" formatCode="General">
                  <c:v>413.452</c:v>
                </c:pt>
                <c:pt idx="36" formatCode="General">
                  <c:v>365.48899999999816</c:v>
                </c:pt>
                <c:pt idx="37" formatCode="General">
                  <c:v>344.44</c:v>
                </c:pt>
                <c:pt idx="38" formatCode="General">
                  <c:v>357.36599999999999</c:v>
                </c:pt>
                <c:pt idx="39" formatCode="General">
                  <c:v>389.97099999999864</c:v>
                </c:pt>
                <c:pt idx="40" formatCode="General">
                  <c:v>427.404</c:v>
                </c:pt>
                <c:pt idx="41" formatCode="General">
                  <c:v>461.82499999999999</c:v>
                </c:pt>
                <c:pt idx="42" formatCode="General">
                  <c:v>397.24900000000002</c:v>
                </c:pt>
              </c:numCache>
            </c:numRef>
          </c:val>
          <c:smooth val="1"/>
        </c:ser>
        <c:ser>
          <c:idx val="2"/>
          <c:order val="1"/>
          <c:tx>
            <c:strRef>
              <c:f>Sheet1!$A$5</c:f>
              <c:strCache>
                <c:ptCount val="1"/>
                <c:pt idx="0">
                  <c:v>Izdevumi</c:v>
                </c:pt>
              </c:strCache>
            </c:strRef>
          </c:tx>
          <c:spPr>
            <a:ln w="12700">
              <a:solidFill>
                <a:srgbClr val="FF0000"/>
              </a:solidFill>
              <a:prstDash val="sysDash"/>
            </a:ln>
          </c:spPr>
          <c:marker>
            <c:symbol val="none"/>
          </c:marker>
          <c:cat>
            <c:multiLvlStrRef>
              <c:f>Sheet1!$B$2:$AR$3</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Sheet1!$B$5:$AR$5</c:f>
              <c:numCache>
                <c:formatCode>0.0</c:formatCode>
                <c:ptCount val="43"/>
                <c:pt idx="0">
                  <c:v>348.21299999999923</c:v>
                </c:pt>
                <c:pt idx="1">
                  <c:v>434.99599999999833</c:v>
                </c:pt>
                <c:pt idx="2">
                  <c:v>451.94499999999999</c:v>
                </c:pt>
                <c:pt idx="3">
                  <c:v>540.77200000000005</c:v>
                </c:pt>
                <c:pt idx="4">
                  <c:v>414.21699999999839</c:v>
                </c:pt>
                <c:pt idx="5">
                  <c:v>580.48500000000001</c:v>
                </c:pt>
                <c:pt idx="6">
                  <c:v>528.44699999999796</c:v>
                </c:pt>
                <c:pt idx="7">
                  <c:v>472.92899999999815</c:v>
                </c:pt>
                <c:pt idx="8">
                  <c:v>489.36900000000031</c:v>
                </c:pt>
                <c:pt idx="9">
                  <c:v>676.58500000000004</c:v>
                </c:pt>
                <c:pt idx="10">
                  <c:v>606.88</c:v>
                </c:pt>
                <c:pt idx="11">
                  <c:v>709.22699999999998</c:v>
                </c:pt>
                <c:pt idx="12">
                  <c:v>354.29700000000003</c:v>
                </c:pt>
                <c:pt idx="13">
                  <c:v>484.64400000000165</c:v>
                </c:pt>
                <c:pt idx="14">
                  <c:v>500.02499999999969</c:v>
                </c:pt>
                <c:pt idx="15">
                  <c:v>626.89</c:v>
                </c:pt>
                <c:pt idx="16" formatCode="General">
                  <c:v>419.36099999999999</c:v>
                </c:pt>
                <c:pt idx="17" formatCode="General">
                  <c:v>527.84599999999796</c:v>
                </c:pt>
                <c:pt idx="18" formatCode="General">
                  <c:v>346.54199999999969</c:v>
                </c:pt>
                <c:pt idx="19" formatCode="General">
                  <c:v>390.22399999999863</c:v>
                </c:pt>
                <c:pt idx="20">
                  <c:v>385.09899999999863</c:v>
                </c:pt>
                <c:pt idx="21">
                  <c:v>446.363</c:v>
                </c:pt>
                <c:pt idx="22">
                  <c:v>471.58499999999964</c:v>
                </c:pt>
                <c:pt idx="23">
                  <c:v>661.37</c:v>
                </c:pt>
                <c:pt idx="24">
                  <c:v>341.20800000000003</c:v>
                </c:pt>
                <c:pt idx="25">
                  <c:v>438.14200000000136</c:v>
                </c:pt>
                <c:pt idx="26">
                  <c:v>493.48899999999816</c:v>
                </c:pt>
                <c:pt idx="27">
                  <c:v>463.44400000000002</c:v>
                </c:pt>
                <c:pt idx="28">
                  <c:v>358.61700000000002</c:v>
                </c:pt>
                <c:pt idx="29">
                  <c:v>412.67599999999999</c:v>
                </c:pt>
                <c:pt idx="30">
                  <c:v>393.52699999999845</c:v>
                </c:pt>
                <c:pt idx="31">
                  <c:v>385.57900000000001</c:v>
                </c:pt>
                <c:pt idx="32" formatCode="General">
                  <c:v>446.452</c:v>
                </c:pt>
                <c:pt idx="33" formatCode="General">
                  <c:v>419.26299999999969</c:v>
                </c:pt>
                <c:pt idx="34" formatCode="General">
                  <c:v>481.21</c:v>
                </c:pt>
                <c:pt idx="35" formatCode="General">
                  <c:v>776.10900000000004</c:v>
                </c:pt>
                <c:pt idx="36" formatCode="General">
                  <c:v>366.27699999999845</c:v>
                </c:pt>
                <c:pt idx="37" formatCode="General">
                  <c:v>437.31700000000001</c:v>
                </c:pt>
                <c:pt idx="38" formatCode="General">
                  <c:v>445.48399999999828</c:v>
                </c:pt>
                <c:pt idx="39" formatCode="General">
                  <c:v>423.10300000000001</c:v>
                </c:pt>
                <c:pt idx="40" formatCode="General">
                  <c:v>440.21099999999899</c:v>
                </c:pt>
                <c:pt idx="41" formatCode="General">
                  <c:v>451.44799999999969</c:v>
                </c:pt>
                <c:pt idx="42" formatCode="General">
                  <c:v>423.19600000000003</c:v>
                </c:pt>
              </c:numCache>
            </c:numRef>
          </c:val>
          <c:smooth val="1"/>
        </c:ser>
        <c:marker val="1"/>
        <c:axId val="159910144"/>
        <c:axId val="159936512"/>
      </c:lineChart>
      <c:catAx>
        <c:axId val="15991014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9936512"/>
        <c:crosses val="autoZero"/>
        <c:auto val="1"/>
        <c:lblAlgn val="ctr"/>
        <c:lblOffset val="0"/>
        <c:tickLblSkip val="1"/>
        <c:tickMarkSkip val="1"/>
        <c:noMultiLvlLbl val="1"/>
      </c:catAx>
      <c:valAx>
        <c:axId val="159936512"/>
        <c:scaling>
          <c:orientation val="minMax"/>
          <c:max val="800"/>
          <c:min val="-600"/>
        </c:scaling>
        <c:axPos val="l"/>
        <c:majorGridlines>
          <c:spPr>
            <a:ln w="6350">
              <a:solidFill>
                <a:schemeClr val="bg1">
                  <a:lumMod val="85000"/>
                </a:schemeClr>
              </a:solidFill>
              <a:prstDash val="solid"/>
            </a:ln>
          </c:spPr>
        </c:majorGridlines>
        <c:numFmt formatCode="0" sourceLinked="0"/>
        <c:tickLblPos val="nextTo"/>
        <c:spPr>
          <a:ln w="6350">
            <a:solidFill>
              <a:schemeClr val="tx1"/>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9910144"/>
        <c:crosses val="autoZero"/>
        <c:crossBetween val="between"/>
        <c:majorUnit val="200"/>
      </c:valAx>
      <c:spPr>
        <a:noFill/>
        <a:ln w="6350">
          <a:solidFill>
            <a:schemeClr val="bg1">
              <a:lumMod val="75000"/>
            </a:schemeClr>
          </a:solidFill>
        </a:ln>
      </c:spPr>
    </c:plotArea>
    <c:legend>
      <c:legendPos val="b"/>
      <c:layout>
        <c:manualLayout>
          <c:xMode val="edge"/>
          <c:yMode val="edge"/>
          <c:x val="0.58700056480281393"/>
          <c:y val="0.65322114147496269"/>
          <c:w val="0.20078906275956021"/>
          <c:h val="0.19458339766352736"/>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27"/>
          <c:h val="0.8185382099125435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389.2706</c:v>
                </c:pt>
                <c:pt idx="1">
                  <c:v>375.16359999999969</c:v>
                </c:pt>
                <c:pt idx="2">
                  <c:v>369.87170000000003</c:v>
                </c:pt>
                <c:pt idx="3">
                  <c:v>403.89429999999999</c:v>
                </c:pt>
                <c:pt idx="4">
                  <c:v>438.99159999999762</c:v>
                </c:pt>
                <c:pt idx="5">
                  <c:v>388.61149999999969</c:v>
                </c:pt>
                <c:pt idx="6">
                  <c:v>405.21469999999999</c:v>
                </c:pt>
                <c:pt idx="7">
                  <c:v>419.85782100000165</c:v>
                </c:pt>
                <c:pt idx="8">
                  <c:v>415.75109499999894</c:v>
                </c:pt>
                <c:pt idx="9">
                  <c:v>393.01625499999869</c:v>
                </c:pt>
                <c:pt idx="10">
                  <c:v>371.65135399999969</c:v>
                </c:pt>
                <c:pt idx="11">
                  <c:v>365.27275200000003</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340.34051099999999</c:v>
                </c:pt>
                <c:pt idx="1">
                  <c:v>295.83786799999996</c:v>
                </c:pt>
                <c:pt idx="2">
                  <c:v>294.36836900000003</c:v>
                </c:pt>
                <c:pt idx="3">
                  <c:v>289.22354799999869</c:v>
                </c:pt>
                <c:pt idx="4">
                  <c:v>320.72085580999999</c:v>
                </c:pt>
                <c:pt idx="5">
                  <c:v>285.20995019000031</c:v>
                </c:pt>
                <c:pt idx="6">
                  <c:v>302.72658199999893</c:v>
                </c:pt>
                <c:pt idx="7">
                  <c:v>291.69227899999993</c:v>
                </c:pt>
                <c:pt idx="8">
                  <c:v>276.42720299999894</c:v>
                </c:pt>
                <c:pt idx="9">
                  <c:v>270.46198899999899</c:v>
                </c:pt>
                <c:pt idx="10">
                  <c:v>267.71164600000003</c:v>
                </c:pt>
                <c:pt idx="11">
                  <c:v>280.28732199999899</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271.27915658999899</c:v>
                </c:pt>
                <c:pt idx="1">
                  <c:v>263.40353699999821</c:v>
                </c:pt>
                <c:pt idx="2">
                  <c:v>281.61976699999997</c:v>
                </c:pt>
                <c:pt idx="3">
                  <c:v>296.15869888999998</c:v>
                </c:pt>
                <c:pt idx="4">
                  <c:v>278.99215210999893</c:v>
                </c:pt>
                <c:pt idx="5">
                  <c:v>275.98158099999893</c:v>
                </c:pt>
                <c:pt idx="6">
                  <c:v>292.42952599999899</c:v>
                </c:pt>
                <c:pt idx="7">
                  <c:v>294.75468899999998</c:v>
                </c:pt>
                <c:pt idx="8">
                  <c:v>276.83283399999999</c:v>
                </c:pt>
                <c:pt idx="9">
                  <c:v>293.57339099999899</c:v>
                </c:pt>
                <c:pt idx="10">
                  <c:v>286.64354699999996</c:v>
                </c:pt>
                <c:pt idx="11">
                  <c:v>303.48697099999833</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304.81420699999995</c:v>
                </c:pt>
                <c:pt idx="1">
                  <c:v>257.86978899999997</c:v>
                </c:pt>
                <c:pt idx="2">
                  <c:v>297.21754699999963</c:v>
                </c:pt>
                <c:pt idx="3">
                  <c:v>318.63276299999995</c:v>
                </c:pt>
                <c:pt idx="4">
                  <c:v>326.49677299999797</c:v>
                </c:pt>
                <c:pt idx="5" formatCode="General">
                  <c:v>317.04620599999993</c:v>
                </c:pt>
                <c:pt idx="6" formatCode="General">
                  <c:v>354.87799400000006</c:v>
                </c:pt>
              </c:numCache>
            </c:numRef>
          </c:val>
        </c:ser>
        <c:marker val="1"/>
        <c:axId val="159561216"/>
        <c:axId val="159562752"/>
      </c:lineChart>
      <c:catAx>
        <c:axId val="159561216"/>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9562752"/>
        <c:crosses val="autoZero"/>
        <c:auto val="1"/>
        <c:lblAlgn val="ctr"/>
        <c:lblOffset val="100"/>
        <c:tickLblSkip val="1"/>
        <c:tickMarkSkip val="1"/>
      </c:catAx>
      <c:valAx>
        <c:axId val="159562752"/>
        <c:scaling>
          <c:orientation val="minMax"/>
          <c:max val="450"/>
          <c:min val="2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9561216"/>
        <c:crosses val="autoZero"/>
        <c:crossBetween val="between"/>
        <c:majorUnit val="50"/>
      </c:valAx>
      <c:spPr>
        <a:noFill/>
        <a:ln w="6350">
          <a:solidFill>
            <a:schemeClr val="bg1">
              <a:lumMod val="75000"/>
            </a:schemeClr>
          </a:solidFill>
        </a:ln>
      </c:spPr>
    </c:plotArea>
    <c:legend>
      <c:legendPos val="r"/>
      <c:layout>
        <c:manualLayout>
          <c:xMode val="edge"/>
          <c:yMode val="edge"/>
          <c:x val="0.59028173207572476"/>
          <c:y val="0.31159891151161684"/>
          <c:w val="0.24046570753686319"/>
          <c:h val="0.32167618333656239"/>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71"/>
          <c:h val="0.84245708867579983"/>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123.532</c:v>
                </c:pt>
                <c:pt idx="1">
                  <c:v>93.338999999999999</c:v>
                </c:pt>
                <c:pt idx="2">
                  <c:v>86.388999999999982</c:v>
                </c:pt>
                <c:pt idx="3">
                  <c:v>88.881999999999991</c:v>
                </c:pt>
                <c:pt idx="4">
                  <c:v>99.55</c:v>
                </c:pt>
                <c:pt idx="5">
                  <c:v>86.877999999999986</c:v>
                </c:pt>
                <c:pt idx="6">
                  <c:v>96.346000000000004</c:v>
                </c:pt>
                <c:pt idx="7">
                  <c:v>96.863570999999979</c:v>
                </c:pt>
                <c:pt idx="8">
                  <c:v>104.20231099999998</c:v>
                </c:pt>
                <c:pt idx="9">
                  <c:v>94.396984000000003</c:v>
                </c:pt>
                <c:pt idx="10">
                  <c:v>79.472529999999992</c:v>
                </c:pt>
                <c:pt idx="11">
                  <c:v>67.298914999999994</c:v>
                </c:pt>
              </c:numCache>
            </c:numRef>
          </c:val>
        </c:ser>
        <c:ser>
          <c:idx val="1"/>
          <c:order val="1"/>
          <c:tx>
            <c:strRef>
              <c:f>Sheet1!$A$3</c:f>
              <c:strCache>
                <c:ptCount val="1"/>
                <c:pt idx="0">
                  <c:v>2009</c:v>
                </c:pt>
              </c:strCache>
            </c:strRef>
          </c:tx>
          <c:spPr>
            <a:ln w="12700">
              <a:solidFill>
                <a:schemeClr val="tx1"/>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92.008349999999979</c:v>
                </c:pt>
                <c:pt idx="1">
                  <c:v>60.214483000000001</c:v>
                </c:pt>
                <c:pt idx="2">
                  <c:v>64.408785000000009</c:v>
                </c:pt>
                <c:pt idx="3">
                  <c:v>64.996883999999994</c:v>
                </c:pt>
                <c:pt idx="4">
                  <c:v>72.674061999999978</c:v>
                </c:pt>
                <c:pt idx="5">
                  <c:v>59.954106000000003</c:v>
                </c:pt>
                <c:pt idx="6">
                  <c:v>74.294358000000003</c:v>
                </c:pt>
                <c:pt idx="7">
                  <c:v>67.328129000000004</c:v>
                </c:pt>
                <c:pt idx="8">
                  <c:v>67.463460000000026</c:v>
                </c:pt>
                <c:pt idx="9">
                  <c:v>58.818530000000003</c:v>
                </c:pt>
                <c:pt idx="10">
                  <c:v>61.452569000000004</c:v>
                </c:pt>
                <c:pt idx="11">
                  <c:v>54.823806000000005</c:v>
                </c:pt>
              </c:numCache>
            </c:numRef>
          </c:val>
        </c:ser>
        <c:ser>
          <c:idx val="2"/>
          <c:order val="2"/>
          <c:tx>
            <c:strRef>
              <c:f>Sheet1!$A$4</c:f>
              <c:strCache>
                <c:ptCount val="1"/>
                <c:pt idx="0">
                  <c:v>2010</c:v>
                </c:pt>
              </c:strCache>
            </c:strRef>
          </c:tx>
          <c:spPr>
            <a:ln w="15875">
              <a:solidFill>
                <a:schemeClr val="tx1"/>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76.097393999999994</c:v>
                </c:pt>
                <c:pt idx="1">
                  <c:v>59.759726000000001</c:v>
                </c:pt>
                <c:pt idx="2">
                  <c:v>60.240527</c:v>
                </c:pt>
                <c:pt idx="3">
                  <c:v>72.517896999999991</c:v>
                </c:pt>
                <c:pt idx="4">
                  <c:v>67.344003000000328</c:v>
                </c:pt>
                <c:pt idx="5">
                  <c:v>74.773268000000002</c:v>
                </c:pt>
                <c:pt idx="6">
                  <c:v>73.728714000000011</c:v>
                </c:pt>
                <c:pt idx="7">
                  <c:v>70.785780999999858</c:v>
                </c:pt>
                <c:pt idx="8">
                  <c:v>73.860647</c:v>
                </c:pt>
                <c:pt idx="9">
                  <c:v>80.912649000000357</c:v>
                </c:pt>
                <c:pt idx="10">
                  <c:v>59.501625999999995</c:v>
                </c:pt>
                <c:pt idx="11">
                  <c:v>55.72501000000026</c:v>
                </c:pt>
              </c:numCache>
            </c:numRef>
          </c:val>
        </c:ser>
        <c:ser>
          <c:idx val="3"/>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100.09961199999999</c:v>
                </c:pt>
                <c:pt idx="1">
                  <c:v>36.735113000000275</c:v>
                </c:pt>
                <c:pt idx="2">
                  <c:v>62.588919000000011</c:v>
                </c:pt>
                <c:pt idx="3">
                  <c:v>84.955995999999999</c:v>
                </c:pt>
                <c:pt idx="4">
                  <c:v>72.184057999999979</c:v>
                </c:pt>
                <c:pt idx="5" formatCode="General">
                  <c:v>86.796571999999998</c:v>
                </c:pt>
                <c:pt idx="6" formatCode="General">
                  <c:v>88.061105999999995</c:v>
                </c:pt>
              </c:numCache>
            </c:numRef>
          </c:val>
        </c:ser>
        <c:marker val="1"/>
        <c:axId val="160068352"/>
        <c:axId val="160069888"/>
      </c:lineChart>
      <c:catAx>
        <c:axId val="160068352"/>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069888"/>
        <c:crosses val="autoZero"/>
        <c:auto val="1"/>
        <c:lblAlgn val="ctr"/>
        <c:lblOffset val="100"/>
        <c:tickLblSkip val="1"/>
        <c:tickMarkSkip val="1"/>
      </c:catAx>
      <c:valAx>
        <c:axId val="160069888"/>
        <c:scaling>
          <c:orientation val="minMax"/>
          <c:max val="130"/>
          <c:min val="2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068352"/>
        <c:crosses val="autoZero"/>
        <c:crossBetween val="between"/>
        <c:majorUnit val="20"/>
      </c:valAx>
      <c:spPr>
        <a:noFill/>
        <a:ln w="6350">
          <a:solidFill>
            <a:schemeClr val="bg1">
              <a:lumMod val="75000"/>
            </a:schemeClr>
          </a:solidFill>
        </a:ln>
      </c:spPr>
    </c:plotArea>
    <c:legend>
      <c:legendPos val="r"/>
      <c:layout>
        <c:manualLayout>
          <c:xMode val="edge"/>
          <c:yMode val="edge"/>
          <c:x val="0.34319770231307756"/>
          <c:y val="0.62477975618748882"/>
          <c:w val="0.55814517437456079"/>
          <c:h val="0.20423336658311289"/>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71"/>
          <c:h val="0.8185382099125435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104.925</c:v>
                </c:pt>
                <c:pt idx="1">
                  <c:v>122.483</c:v>
                </c:pt>
                <c:pt idx="2">
                  <c:v>117.20099999999999</c:v>
                </c:pt>
                <c:pt idx="3">
                  <c:v>112.492</c:v>
                </c:pt>
                <c:pt idx="4">
                  <c:v>110.27200000000001</c:v>
                </c:pt>
                <c:pt idx="5">
                  <c:v>119.85899999999998</c:v>
                </c:pt>
                <c:pt idx="6">
                  <c:v>117.44400000000033</c:v>
                </c:pt>
                <c:pt idx="7">
                  <c:v>123.288258</c:v>
                </c:pt>
                <c:pt idx="8">
                  <c:v>134.02353299999999</c:v>
                </c:pt>
                <c:pt idx="9">
                  <c:v>114.00924800000001</c:v>
                </c:pt>
                <c:pt idx="10">
                  <c:v>106.37773999999995</c:v>
                </c:pt>
                <c:pt idx="11">
                  <c:v>119.32036699999998</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92.535119999999992</c:v>
                </c:pt>
                <c:pt idx="1">
                  <c:v>86.951042000000001</c:v>
                </c:pt>
                <c:pt idx="2">
                  <c:v>89.170878999999417</c:v>
                </c:pt>
                <c:pt idx="3">
                  <c:v>104.73695300000031</c:v>
                </c:pt>
                <c:pt idx="4">
                  <c:v>103.08752400000031</c:v>
                </c:pt>
                <c:pt idx="5">
                  <c:v>110.73055599999999</c:v>
                </c:pt>
                <c:pt idx="6">
                  <c:v>109.20092299999999</c:v>
                </c:pt>
                <c:pt idx="7">
                  <c:v>95.959660999999997</c:v>
                </c:pt>
                <c:pt idx="8">
                  <c:v>94.319429000000127</c:v>
                </c:pt>
                <c:pt idx="9">
                  <c:v>92.070109000000002</c:v>
                </c:pt>
                <c:pt idx="10">
                  <c:v>84.378793999999758</c:v>
                </c:pt>
                <c:pt idx="11">
                  <c:v>103.538586</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82.244661590000391</c:v>
                </c:pt>
                <c:pt idx="1">
                  <c:v>85.572146999999958</c:v>
                </c:pt>
                <c:pt idx="2">
                  <c:v>87.103660000000005</c:v>
                </c:pt>
                <c:pt idx="3">
                  <c:v>89.279205889999986</c:v>
                </c:pt>
                <c:pt idx="4">
                  <c:v>89.972925109999949</c:v>
                </c:pt>
                <c:pt idx="5">
                  <c:v>92.413329000000388</c:v>
                </c:pt>
                <c:pt idx="6">
                  <c:v>95.573846999999958</c:v>
                </c:pt>
                <c:pt idx="7">
                  <c:v>90.915918000000005</c:v>
                </c:pt>
                <c:pt idx="8">
                  <c:v>85.218751999999981</c:v>
                </c:pt>
                <c:pt idx="9">
                  <c:v>90.413965000000374</c:v>
                </c:pt>
                <c:pt idx="10">
                  <c:v>92.585371999999467</c:v>
                </c:pt>
                <c:pt idx="11">
                  <c:v>111.92831699999998</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83.777125000000026</c:v>
                </c:pt>
                <c:pt idx="1">
                  <c:v>95.512267999999992</c:v>
                </c:pt>
                <c:pt idx="2" formatCode="General">
                  <c:v>97.598948999999948</c:v>
                </c:pt>
                <c:pt idx="3" formatCode="General">
                  <c:v>97.713515000000328</c:v>
                </c:pt>
                <c:pt idx="4" formatCode="General">
                  <c:v>101.083145</c:v>
                </c:pt>
                <c:pt idx="5" formatCode="General">
                  <c:v>101.507436</c:v>
                </c:pt>
                <c:pt idx="6" formatCode="General">
                  <c:v>114.55835400000001</c:v>
                </c:pt>
              </c:numCache>
            </c:numRef>
          </c:val>
        </c:ser>
        <c:marker val="1"/>
        <c:axId val="160006144"/>
        <c:axId val="160007680"/>
      </c:lineChart>
      <c:catAx>
        <c:axId val="16000614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007680"/>
        <c:crosses val="autoZero"/>
        <c:auto val="1"/>
        <c:lblAlgn val="ctr"/>
        <c:lblOffset val="100"/>
        <c:tickLblSkip val="1"/>
        <c:tickMarkSkip val="1"/>
      </c:catAx>
      <c:valAx>
        <c:axId val="160007680"/>
        <c:scaling>
          <c:orientation val="minMax"/>
          <c:max val="140"/>
          <c:min val="8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006144"/>
        <c:crosses val="autoZero"/>
        <c:crossBetween val="between"/>
        <c:majorUnit val="15"/>
      </c:valAx>
      <c:spPr>
        <a:noFill/>
        <a:ln w="6350">
          <a:solidFill>
            <a:schemeClr val="bg1">
              <a:lumMod val="75000"/>
            </a:schemeClr>
          </a:solidFill>
        </a:ln>
      </c:spPr>
    </c:plotArea>
    <c:legend>
      <c:legendPos val="r"/>
      <c:layout>
        <c:manualLayout>
          <c:xMode val="edge"/>
          <c:yMode val="edge"/>
          <c:x val="0.1269991762707614"/>
          <c:y val="5.3224714654027692E-2"/>
          <c:w val="0.45666423357917835"/>
          <c:h val="0.21206288770000944"/>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71"/>
          <c:h val="0.82636773102944028"/>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77.712999999999994</c:v>
                </c:pt>
                <c:pt idx="1">
                  <c:v>80.09</c:v>
                </c:pt>
                <c:pt idx="2">
                  <c:v>79.456000000000003</c:v>
                </c:pt>
                <c:pt idx="3">
                  <c:v>90.668999999999983</c:v>
                </c:pt>
                <c:pt idx="4">
                  <c:v>81.662999999999982</c:v>
                </c:pt>
                <c:pt idx="5">
                  <c:v>88.86</c:v>
                </c:pt>
                <c:pt idx="6">
                  <c:v>92.462999999999994</c:v>
                </c:pt>
                <c:pt idx="7">
                  <c:v>83.621296999999998</c:v>
                </c:pt>
                <c:pt idx="8">
                  <c:v>82.692732999999464</c:v>
                </c:pt>
                <c:pt idx="9">
                  <c:v>84.697661999999994</c:v>
                </c:pt>
                <c:pt idx="10">
                  <c:v>93.351608999999982</c:v>
                </c:pt>
                <c:pt idx="11">
                  <c:v>93.83477400000001</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73.785687999999979</c:v>
                </c:pt>
                <c:pt idx="1">
                  <c:v>61.489974000000004</c:v>
                </c:pt>
                <c:pt idx="2">
                  <c:v>65.092420000000004</c:v>
                </c:pt>
                <c:pt idx="3">
                  <c:v>68.552959000000001</c:v>
                </c:pt>
                <c:pt idx="4">
                  <c:v>58.090815810000187</c:v>
                </c:pt>
                <c:pt idx="5">
                  <c:v>63.440286189999995</c:v>
                </c:pt>
                <c:pt idx="6">
                  <c:v>60.965956000000013</c:v>
                </c:pt>
                <c:pt idx="7">
                  <c:v>55.743189000000001</c:v>
                </c:pt>
                <c:pt idx="8">
                  <c:v>52.805364000000004</c:v>
                </c:pt>
                <c:pt idx="9">
                  <c:v>54.32850100000001</c:v>
                </c:pt>
                <c:pt idx="10">
                  <c:v>52.567306000000002</c:v>
                </c:pt>
                <c:pt idx="11">
                  <c:v>62.555724000000005</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55.123066000000001</c:v>
                </c:pt>
                <c:pt idx="1">
                  <c:v>68.399602999999999</c:v>
                </c:pt>
                <c:pt idx="2">
                  <c:v>66.271786999999989</c:v>
                </c:pt>
                <c:pt idx="3">
                  <c:v>73.721066999999991</c:v>
                </c:pt>
                <c:pt idx="4">
                  <c:v>65.337611999999993</c:v>
                </c:pt>
                <c:pt idx="5">
                  <c:v>61.974862999999999</c:v>
                </c:pt>
                <c:pt idx="6">
                  <c:v>68.552580999999989</c:v>
                </c:pt>
                <c:pt idx="7">
                  <c:v>62.418366000000006</c:v>
                </c:pt>
                <c:pt idx="8">
                  <c:v>60.184653999999995</c:v>
                </c:pt>
                <c:pt idx="9">
                  <c:v>64.301846999999981</c:v>
                </c:pt>
                <c:pt idx="10">
                  <c:v>65.062087999999989</c:v>
                </c:pt>
                <c:pt idx="11">
                  <c:v>79.807025999999993</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60.824709000000006</c:v>
                </c:pt>
                <c:pt idx="1">
                  <c:v>59.639409000000001</c:v>
                </c:pt>
                <c:pt idx="2" formatCode="General">
                  <c:v>62.539971000000008</c:v>
                </c:pt>
                <c:pt idx="3" formatCode="General">
                  <c:v>67.820865000000012</c:v>
                </c:pt>
                <c:pt idx="4" formatCode="General">
                  <c:v>65.977785999999981</c:v>
                </c:pt>
                <c:pt idx="5" formatCode="General">
                  <c:v>66.115895999999978</c:v>
                </c:pt>
                <c:pt idx="6" formatCode="General">
                  <c:v>72.273954000000003</c:v>
                </c:pt>
              </c:numCache>
            </c:numRef>
          </c:val>
        </c:ser>
        <c:marker val="1"/>
        <c:axId val="160455680"/>
        <c:axId val="160482048"/>
      </c:lineChart>
      <c:catAx>
        <c:axId val="160455680"/>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482048"/>
        <c:crosses val="autoZero"/>
        <c:auto val="1"/>
        <c:lblAlgn val="ctr"/>
        <c:lblOffset val="100"/>
        <c:tickLblSkip val="1"/>
        <c:tickMarkSkip val="1"/>
      </c:catAx>
      <c:valAx>
        <c:axId val="160482048"/>
        <c:scaling>
          <c:orientation val="minMax"/>
          <c:max val="100"/>
          <c:min val="5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455680"/>
        <c:crosses val="autoZero"/>
        <c:crossBetween val="between"/>
        <c:majorUnit val="10"/>
      </c:valAx>
      <c:spPr>
        <a:noFill/>
        <a:ln w="6350">
          <a:solidFill>
            <a:schemeClr val="bg1">
              <a:lumMod val="75000"/>
            </a:schemeClr>
          </a:solidFill>
        </a:ln>
      </c:spPr>
    </c:plotArea>
    <c:legend>
      <c:legendPos val="r"/>
      <c:layout>
        <c:manualLayout>
          <c:xMode val="edge"/>
          <c:yMode val="edge"/>
          <c:x val="0.11817474663638167"/>
          <c:y val="5.322471465402763E-2"/>
          <c:w val="0.84052692267471962"/>
          <c:h val="7.1131507595868476E-2"/>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71"/>
          <c:h val="0.82636773102944028"/>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44.990600000000001</c:v>
                </c:pt>
                <c:pt idx="1">
                  <c:v>41.627600000000008</c:v>
                </c:pt>
                <c:pt idx="2">
                  <c:v>39.880699999999997</c:v>
                </c:pt>
                <c:pt idx="3">
                  <c:v>44.8063</c:v>
                </c:pt>
                <c:pt idx="4">
                  <c:v>46.217600000000004</c:v>
                </c:pt>
                <c:pt idx="5">
                  <c:v>44.795500000000224</c:v>
                </c:pt>
                <c:pt idx="6">
                  <c:v>49.618700000000011</c:v>
                </c:pt>
                <c:pt idx="7">
                  <c:v>48.310471999999997</c:v>
                </c:pt>
                <c:pt idx="8">
                  <c:v>46.088173000000012</c:v>
                </c:pt>
                <c:pt idx="9">
                  <c:v>50.970700000000001</c:v>
                </c:pt>
                <c:pt idx="10">
                  <c:v>40.836500000000001</c:v>
                </c:pt>
                <c:pt idx="11">
                  <c:v>42.779356000000156</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42.939900000000002</c:v>
                </c:pt>
                <c:pt idx="1">
                  <c:v>49.70920000000001</c:v>
                </c:pt>
                <c:pt idx="2">
                  <c:v>33.840600000000002</c:v>
                </c:pt>
                <c:pt idx="3">
                  <c:v>34.187800000000003</c:v>
                </c:pt>
                <c:pt idx="4">
                  <c:v>46.503100000000003</c:v>
                </c:pt>
                <c:pt idx="5">
                  <c:v>42.012809000000004</c:v>
                </c:pt>
                <c:pt idx="6">
                  <c:v>46.313699999999997</c:v>
                </c:pt>
                <c:pt idx="7">
                  <c:v>44.531200000000005</c:v>
                </c:pt>
                <c:pt idx="8">
                  <c:v>43.9863</c:v>
                </c:pt>
                <c:pt idx="9">
                  <c:v>44.359400000000001</c:v>
                </c:pt>
                <c:pt idx="10">
                  <c:v>39.480200000000004</c:v>
                </c:pt>
                <c:pt idx="11">
                  <c:v>36.222200000000164</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39.12570000000018</c:v>
                </c:pt>
                <c:pt idx="1">
                  <c:v>32.997300000000003</c:v>
                </c:pt>
                <c:pt idx="2">
                  <c:v>34.600300000000011</c:v>
                </c:pt>
                <c:pt idx="3">
                  <c:v>37.548900000000003</c:v>
                </c:pt>
                <c:pt idx="4">
                  <c:v>35.666800000000002</c:v>
                </c:pt>
                <c:pt idx="5">
                  <c:v>40.994300000000003</c:v>
                </c:pt>
                <c:pt idx="6">
                  <c:v>41.216100000000012</c:v>
                </c:pt>
                <c:pt idx="7">
                  <c:v>43.099700000000013</c:v>
                </c:pt>
                <c:pt idx="8">
                  <c:v>40.365200000000009</c:v>
                </c:pt>
                <c:pt idx="9">
                  <c:v>39.07</c:v>
                </c:pt>
                <c:pt idx="10">
                  <c:v>38.548600000000008</c:v>
                </c:pt>
                <c:pt idx="11">
                  <c:v>34.825400000000009</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38.895900000000012</c:v>
                </c:pt>
                <c:pt idx="1">
                  <c:v>37.844300000000004</c:v>
                </c:pt>
                <c:pt idx="2">
                  <c:v>29.105400000000003</c:v>
                </c:pt>
                <c:pt idx="3">
                  <c:v>35.832700000000003</c:v>
                </c:pt>
                <c:pt idx="4">
                  <c:v>36.080800000000004</c:v>
                </c:pt>
                <c:pt idx="5" formatCode="General">
                  <c:v>40.644200000000005</c:v>
                </c:pt>
                <c:pt idx="6" formatCode="General">
                  <c:v>43.714300000000001</c:v>
                </c:pt>
              </c:numCache>
            </c:numRef>
          </c:val>
        </c:ser>
        <c:marker val="1"/>
        <c:axId val="159971584"/>
        <c:axId val="160268288"/>
      </c:lineChart>
      <c:catAx>
        <c:axId val="15997158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268288"/>
        <c:crosses val="autoZero"/>
        <c:auto val="1"/>
        <c:lblAlgn val="ctr"/>
        <c:lblOffset val="100"/>
        <c:tickLblSkip val="1"/>
        <c:tickMarkSkip val="1"/>
      </c:catAx>
      <c:valAx>
        <c:axId val="160268288"/>
        <c:scaling>
          <c:orientation val="minMax"/>
          <c:max val="60"/>
          <c:min val="29"/>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59971584"/>
        <c:crosses val="autoZero"/>
        <c:crossBetween val="between"/>
        <c:majorUnit val="5"/>
      </c:valAx>
      <c:spPr>
        <a:noFill/>
        <a:ln w="6350">
          <a:solidFill>
            <a:schemeClr val="bg1">
              <a:lumMod val="75000"/>
            </a:schemeClr>
          </a:solidFill>
        </a:ln>
      </c:spPr>
    </c:plotArea>
    <c:legend>
      <c:legendPos val="r"/>
      <c:layout>
        <c:manualLayout>
          <c:xMode val="edge"/>
          <c:yMode val="edge"/>
          <c:x val="0.2505411911520849"/>
          <c:y val="7.6713278004717514E-2"/>
          <c:w val="0.53167188547141064"/>
          <c:h val="0.19514125812389879"/>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637928788242508"/>
          <c:y val="3.6015797137725652E-2"/>
          <c:w val="0.86397662846342793"/>
          <c:h val="0.81070868879564706"/>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28.666</c:v>
                </c:pt>
                <c:pt idx="1">
                  <c:v>27.22</c:v>
                </c:pt>
                <c:pt idx="2">
                  <c:v>33.441000000000003</c:v>
                </c:pt>
                <c:pt idx="3">
                  <c:v>43.753</c:v>
                </c:pt>
                <c:pt idx="4">
                  <c:v>84.381999999999991</c:v>
                </c:pt>
                <c:pt idx="5">
                  <c:v>40.545000000000002</c:v>
                </c:pt>
                <c:pt idx="6">
                  <c:v>40.353000000000002</c:v>
                </c:pt>
                <c:pt idx="7">
                  <c:v>51.544774000000004</c:v>
                </c:pt>
                <c:pt idx="8">
                  <c:v>41.357319000000004</c:v>
                </c:pt>
                <c:pt idx="9">
                  <c:v>40.425432000000157</c:v>
                </c:pt>
                <c:pt idx="10">
                  <c:v>36.463929</c:v>
                </c:pt>
                <c:pt idx="11">
                  <c:v>34.965140000000012</c:v>
                </c:pt>
              </c:numCache>
            </c:numRef>
          </c:val>
        </c:ser>
        <c:ser>
          <c:idx val="2"/>
          <c:order val="1"/>
          <c:tx>
            <c:strRef>
              <c:f>Sheet1!$A$3</c:f>
              <c:strCache>
                <c:ptCount val="1"/>
                <c:pt idx="0">
                  <c:v>2009</c:v>
                </c:pt>
              </c:strCache>
            </c:strRef>
          </c:tx>
          <c:spPr>
            <a:ln w="12700">
              <a:solidFill>
                <a:srgbClr val="000000"/>
              </a:solidFill>
              <a:prstDash val="lg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31.497375000000005</c:v>
                </c:pt>
                <c:pt idx="1">
                  <c:v>26.819556000000031</c:v>
                </c:pt>
                <c:pt idx="2">
                  <c:v>21.896872999999999</c:v>
                </c:pt>
                <c:pt idx="3">
                  <c:v>6.5982310000000002</c:v>
                </c:pt>
                <c:pt idx="4">
                  <c:v>24.561001000000001</c:v>
                </c:pt>
                <c:pt idx="5">
                  <c:v>4.1331109999999791</c:v>
                </c:pt>
                <c:pt idx="6">
                  <c:v>6.3197740000000007</c:v>
                </c:pt>
                <c:pt idx="7">
                  <c:v>13.902064000000006</c:v>
                </c:pt>
                <c:pt idx="8">
                  <c:v>13.390776000000002</c:v>
                </c:pt>
                <c:pt idx="9">
                  <c:v>14.507092</c:v>
                </c:pt>
                <c:pt idx="10">
                  <c:v>16.108774</c:v>
                </c:pt>
                <c:pt idx="11">
                  <c:v>17.442013999999876</c:v>
                </c:pt>
              </c:numCache>
            </c:numRef>
          </c:val>
        </c:ser>
        <c:ser>
          <c:idx val="4"/>
          <c:order val="2"/>
          <c:tx>
            <c:strRef>
              <c:f>Sheet1!$A$4</c:f>
              <c:strCache>
                <c:ptCount val="1"/>
                <c:pt idx="0">
                  <c:v>2010</c:v>
                </c:pt>
              </c:strCache>
            </c:strRef>
          </c:tx>
          <c:spPr>
            <a:ln w="1587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13.692493000000002</c:v>
                </c:pt>
                <c:pt idx="1">
                  <c:v>10.538459000000001</c:v>
                </c:pt>
                <c:pt idx="2">
                  <c:v>14.224592000000001</c:v>
                </c:pt>
                <c:pt idx="3">
                  <c:v>13.102457000000006</c:v>
                </c:pt>
                <c:pt idx="4">
                  <c:v>5.4492080000000289</c:v>
                </c:pt>
                <c:pt idx="5">
                  <c:v>-7.2654999999999997E-2</c:v>
                </c:pt>
                <c:pt idx="6">
                  <c:v>5.2132589999999999</c:v>
                </c:pt>
                <c:pt idx="7">
                  <c:v>10.917489000000026</c:v>
                </c:pt>
                <c:pt idx="8">
                  <c:v>8.2480139999999889</c:v>
                </c:pt>
                <c:pt idx="9">
                  <c:v>8.9027950000000047</c:v>
                </c:pt>
                <c:pt idx="10">
                  <c:v>9.5146010000000008</c:v>
                </c:pt>
                <c:pt idx="11">
                  <c:v>12.446177</c:v>
                </c:pt>
              </c:numCache>
            </c:numRef>
          </c:val>
        </c:ser>
        <c:ser>
          <c:idx val="1"/>
          <c:order val="3"/>
          <c:tx>
            <c:strRef>
              <c:f>Sheet1!$A$5</c:f>
              <c:strCache>
                <c:ptCount val="1"/>
                <c:pt idx="0">
                  <c:v>2011</c:v>
                </c:pt>
              </c:strCache>
            </c:strRef>
          </c:tx>
          <c:spPr>
            <a:ln>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10.149661</c:v>
                </c:pt>
                <c:pt idx="1">
                  <c:v>12.105936000000026</c:v>
                </c:pt>
                <c:pt idx="2" formatCode="General">
                  <c:v>12.044325999999998</c:v>
                </c:pt>
                <c:pt idx="3" formatCode="General">
                  <c:v>16.06175</c:v>
                </c:pt>
                <c:pt idx="4" formatCode="General">
                  <c:v>26.546118</c:v>
                </c:pt>
                <c:pt idx="5" formatCode="General">
                  <c:v>9.3665310000000268</c:v>
                </c:pt>
                <c:pt idx="6" formatCode="General">
                  <c:v>21.864666</c:v>
                </c:pt>
              </c:numCache>
            </c:numRef>
          </c:val>
        </c:ser>
        <c:marker val="1"/>
        <c:axId val="160638464"/>
        <c:axId val="160640000"/>
      </c:lineChart>
      <c:catAx>
        <c:axId val="160638464"/>
        <c:scaling>
          <c:orientation val="minMax"/>
        </c:scaling>
        <c:axPos val="b"/>
        <c:majorGridlines>
          <c:spPr>
            <a:ln w="6350">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640000"/>
        <c:crosses val="autoZero"/>
        <c:auto val="1"/>
        <c:lblAlgn val="ctr"/>
        <c:lblOffset val="100"/>
        <c:tickLblSkip val="1"/>
        <c:tickMarkSkip val="1"/>
      </c:catAx>
      <c:valAx>
        <c:axId val="160640000"/>
        <c:scaling>
          <c:orientation val="minMax"/>
          <c:max val="90"/>
          <c:min val="0"/>
        </c:scaling>
        <c:axPos val="l"/>
        <c:majorGridlines>
          <c:spPr>
            <a:ln w="6350">
              <a:solidFill>
                <a:schemeClr val="bg1">
                  <a:lumMod val="85000"/>
                </a:schemeClr>
              </a:solidFill>
              <a:prstDash val="solid"/>
            </a:ln>
          </c:spPr>
        </c:majorGridlines>
        <c:numFmt formatCode="0" sourceLinked="0"/>
        <c:majorTickMark val="none"/>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0638464"/>
        <c:crosses val="autoZero"/>
        <c:crossBetween val="between"/>
        <c:majorUnit val="30"/>
      </c:valAx>
      <c:spPr>
        <a:noFill/>
        <a:ln w="6350">
          <a:solidFill>
            <a:schemeClr val="bg1">
              <a:lumMod val="75000"/>
            </a:schemeClr>
          </a:solidFill>
        </a:ln>
      </c:spPr>
    </c:plotArea>
    <c:legend>
      <c:legendPos val="r"/>
      <c:layout>
        <c:manualLayout>
          <c:xMode val="edge"/>
          <c:yMode val="edge"/>
          <c:x val="0.49762522091473232"/>
          <c:y val="6.1054235770924226E-2"/>
          <c:w val="0.46107644839636835"/>
          <c:h val="0.21989240881690791"/>
        </c:manualLayout>
      </c:layout>
      <c:spPr>
        <a:solidFill>
          <a:schemeClr val="bg1"/>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0898593585946E-2"/>
          <c:y val="2.7980535279805416E-2"/>
          <c:w val="0.91690515526525151"/>
          <c:h val="0.8120616278897341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Sheet1!$B$3:$AR$3</c:f>
              <c:numCache>
                <c:formatCode>0.0</c:formatCode>
                <c:ptCount val="43"/>
                <c:pt idx="0">
                  <c:v>102.3</c:v>
                </c:pt>
                <c:pt idx="1">
                  <c:v>102.1977</c:v>
                </c:pt>
                <c:pt idx="2">
                  <c:v>100.66473449999998</c:v>
                </c:pt>
                <c:pt idx="3">
                  <c:v>101.268722907</c:v>
                </c:pt>
                <c:pt idx="4">
                  <c:v>98.53446738851099</c:v>
                </c:pt>
                <c:pt idx="5">
                  <c:v>98.33739845373357</c:v>
                </c:pt>
                <c:pt idx="6">
                  <c:v>97.55069926610409</c:v>
                </c:pt>
                <c:pt idx="7">
                  <c:v>96.965395070507469</c:v>
                </c:pt>
                <c:pt idx="8">
                  <c:v>95.413948749379699</c:v>
                </c:pt>
                <c:pt idx="9">
                  <c:v>93.505669774391762</c:v>
                </c:pt>
                <c:pt idx="10">
                  <c:v>90.139465662513672</c:v>
                </c:pt>
                <c:pt idx="11">
                  <c:v>87.435281692638242</c:v>
                </c:pt>
                <c:pt idx="12">
                  <c:v>83.675564579854225</c:v>
                </c:pt>
                <c:pt idx="13">
                  <c:v>82.336755546577109</c:v>
                </c:pt>
                <c:pt idx="14">
                  <c:v>81.760398257750495</c:v>
                </c:pt>
                <c:pt idx="15">
                  <c:v>81.269835868204552</c:v>
                </c:pt>
                <c:pt idx="16">
                  <c:v>81.351105704072765</c:v>
                </c:pt>
                <c:pt idx="17">
                  <c:v>82.083265655409392</c:v>
                </c:pt>
                <c:pt idx="18">
                  <c:v>82.329515452375617</c:v>
                </c:pt>
                <c:pt idx="19">
                  <c:v>82.65883351418438</c:v>
                </c:pt>
                <c:pt idx="20">
                  <c:v>83.650739516354662</c:v>
                </c:pt>
                <c:pt idx="21">
                  <c:v>83.483438037322458</c:v>
                </c:pt>
                <c:pt idx="22">
                  <c:v>84.401755855733171</c:v>
                </c:pt>
                <c:pt idx="23">
                  <c:v>84.232952344021328</c:v>
                </c:pt>
                <c:pt idx="24">
                  <c:v>85.664912533870051</c:v>
                </c:pt>
                <c:pt idx="25">
                  <c:v>85.83624235893781</c:v>
                </c:pt>
                <c:pt idx="26">
                  <c:v>87.810475933193359</c:v>
                </c:pt>
                <c:pt idx="27">
                  <c:v>87.810475933193359</c:v>
                </c:pt>
                <c:pt idx="28">
                  <c:v>88.688580692524653</c:v>
                </c:pt>
                <c:pt idx="29">
                  <c:v>89.752843660835623</c:v>
                </c:pt>
                <c:pt idx="30">
                  <c:v>89.214326598870727</c:v>
                </c:pt>
                <c:pt idx="31">
                  <c:v>90.374112844655528</c:v>
                </c:pt>
                <c:pt idx="32">
                  <c:v>89.831868167587658</c:v>
                </c:pt>
                <c:pt idx="33">
                  <c:v>90.550523112928659</c:v>
                </c:pt>
                <c:pt idx="34">
                  <c:v>91.637129390283832</c:v>
                </c:pt>
                <c:pt idx="35">
                  <c:v>92.186952166624934</c:v>
                </c:pt>
                <c:pt idx="36">
                  <c:v>93.016634736125141</c:v>
                </c:pt>
                <c:pt idx="37">
                  <c:v>93.853784448750218</c:v>
                </c:pt>
                <c:pt idx="38">
                  <c:v>93.384515526506448</c:v>
                </c:pt>
                <c:pt idx="39">
                  <c:v>93.758053588612526</c:v>
                </c:pt>
                <c:pt idx="40">
                  <c:v>94.039327749378728</c:v>
                </c:pt>
                <c:pt idx="41">
                  <c:v>92.346619849889564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Sheet1!$B$4:$AR$4</c:f>
              <c:numCache>
                <c:formatCode>0.0</c:formatCode>
                <c:ptCount val="43"/>
                <c:pt idx="0">
                  <c:v>101.8</c:v>
                </c:pt>
                <c:pt idx="1">
                  <c:v>103.12339999999998</c:v>
                </c:pt>
                <c:pt idx="2">
                  <c:v>97.864106599999985</c:v>
                </c:pt>
                <c:pt idx="3">
                  <c:v>100.60430158479966</c:v>
                </c:pt>
                <c:pt idx="4">
                  <c:v>95.775295108729054</c:v>
                </c:pt>
                <c:pt idx="5">
                  <c:v>97.882351601121286</c:v>
                </c:pt>
                <c:pt idx="6">
                  <c:v>98.078116304323558</c:v>
                </c:pt>
                <c:pt idx="7">
                  <c:v>94.351147884759214</c:v>
                </c:pt>
                <c:pt idx="8">
                  <c:v>93.879392145335558</c:v>
                </c:pt>
                <c:pt idx="9">
                  <c:v>86.087402597272899</c:v>
                </c:pt>
                <c:pt idx="10">
                  <c:v>82.213469480396313</c:v>
                </c:pt>
                <c:pt idx="11">
                  <c:v>78.7605037622194</c:v>
                </c:pt>
                <c:pt idx="12">
                  <c:v>74.743718070345835</c:v>
                </c:pt>
                <c:pt idx="13">
                  <c:v>71.978200501743032</c:v>
                </c:pt>
                <c:pt idx="14">
                  <c:v>69.099072481673304</c:v>
                </c:pt>
                <c:pt idx="15">
                  <c:v>66.058713292479169</c:v>
                </c:pt>
                <c:pt idx="16">
                  <c:v>67.974415977961584</c:v>
                </c:pt>
                <c:pt idx="17">
                  <c:v>68.382262473829158</c:v>
                </c:pt>
                <c:pt idx="18">
                  <c:v>70.98078844783447</c:v>
                </c:pt>
                <c:pt idx="19">
                  <c:v>71.761577120761018</c:v>
                </c:pt>
                <c:pt idx="20">
                  <c:v>69.249921921534423</c:v>
                </c:pt>
                <c:pt idx="21">
                  <c:v>69.526921609220565</c:v>
                </c:pt>
                <c:pt idx="22">
                  <c:v>72.238471551979771</c:v>
                </c:pt>
                <c:pt idx="23">
                  <c:v>70.576986706284018</c:v>
                </c:pt>
                <c:pt idx="24">
                  <c:v>72.059103427116597</c:v>
                </c:pt>
                <c:pt idx="25">
                  <c:v>72.491458047679274</c:v>
                </c:pt>
                <c:pt idx="26">
                  <c:v>74.666201789109664</c:v>
                </c:pt>
                <c:pt idx="27">
                  <c:v>77.279518851728113</c:v>
                </c:pt>
                <c:pt idx="28">
                  <c:v>78.979668266466419</c:v>
                </c:pt>
                <c:pt idx="29">
                  <c:v>80.954159973128327</c:v>
                </c:pt>
                <c:pt idx="30">
                  <c:v>84.597097171918932</c:v>
                </c:pt>
                <c:pt idx="31">
                  <c:v>84.850888463434089</c:v>
                </c:pt>
                <c:pt idx="32">
                  <c:v>89.093432886605854</c:v>
                </c:pt>
                <c:pt idx="33">
                  <c:v>94.973599457122432</c:v>
                </c:pt>
                <c:pt idx="34">
                  <c:v>95.068573056579069</c:v>
                </c:pt>
                <c:pt idx="35">
                  <c:v>96.589670225484326</c:v>
                </c:pt>
                <c:pt idx="36">
                  <c:v>101.99869175811196</c:v>
                </c:pt>
                <c:pt idx="37">
                  <c:v>102.81468129217686</c:v>
                </c:pt>
                <c:pt idx="38">
                  <c:v>106.61882449998762</c:v>
                </c:pt>
                <c:pt idx="39">
                  <c:v>105.65925507948751</c:v>
                </c:pt>
                <c:pt idx="40">
                  <c:v>101.22156636614903</c:v>
                </c:pt>
                <c:pt idx="41">
                  <c:v>101.93011733071206</c:v>
                </c:pt>
                <c:pt idx="42">
                  <c:v>107.74013401856264</c:v>
                </c:pt>
              </c:numCache>
            </c:numRef>
          </c:val>
          <c:smooth val="1"/>
        </c:ser>
        <c:ser>
          <c:idx val="2"/>
          <c:order val="2"/>
          <c:tx>
            <c:strRef>
              <c:f>Sheet1!$A$5</c:f>
              <c:strCache>
                <c:ptCount val="1"/>
                <c:pt idx="0">
                  <c:v>LV</c:v>
                </c:pt>
              </c:strCache>
            </c:strRef>
          </c:tx>
          <c:spPr>
            <a:ln w="31750">
              <a:solidFill>
                <a:srgbClr val="FF0000"/>
              </a:solidFill>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Sheet1!$B$5:$AR$5</c:f>
              <c:numCache>
                <c:formatCode>0.0</c:formatCode>
                <c:ptCount val="43"/>
                <c:pt idx="0">
                  <c:v>105.2</c:v>
                </c:pt>
                <c:pt idx="1">
                  <c:v>106.35719999999999</c:v>
                </c:pt>
                <c:pt idx="2">
                  <c:v>104.54912759999999</c:v>
                </c:pt>
                <c:pt idx="3">
                  <c:v>102.14449766519999</c:v>
                </c:pt>
                <c:pt idx="4">
                  <c:v>98.569440246917992</c:v>
                </c:pt>
                <c:pt idx="5">
                  <c:v>99.062287448152574</c:v>
                </c:pt>
                <c:pt idx="6">
                  <c:v>95.991356537259819</c:v>
                </c:pt>
                <c:pt idx="7">
                  <c:v>92.919633128067929</c:v>
                </c:pt>
                <c:pt idx="8">
                  <c:v>92.919633128067929</c:v>
                </c:pt>
                <c:pt idx="9">
                  <c:v>91.897517163658748</c:v>
                </c:pt>
                <c:pt idx="10">
                  <c:v>89.04869413158535</c:v>
                </c:pt>
                <c:pt idx="11">
                  <c:v>85.219600283927591</c:v>
                </c:pt>
                <c:pt idx="12">
                  <c:v>79.935985066323681</c:v>
                </c:pt>
                <c:pt idx="13">
                  <c:v>79.456369155925756</c:v>
                </c:pt>
                <c:pt idx="14">
                  <c:v>76.039745282220949</c:v>
                </c:pt>
                <c:pt idx="15">
                  <c:v>78.70113636709867</c:v>
                </c:pt>
                <c:pt idx="16">
                  <c:v>77.59932045795928</c:v>
                </c:pt>
                <c:pt idx="17">
                  <c:v>77.59932045795928</c:v>
                </c:pt>
                <c:pt idx="18">
                  <c:v>75.73693676696827</c:v>
                </c:pt>
                <c:pt idx="19">
                  <c:v>77.781834059676413</c:v>
                </c:pt>
                <c:pt idx="20">
                  <c:v>76.381761046602179</c:v>
                </c:pt>
                <c:pt idx="21">
                  <c:v>76.381761046602179</c:v>
                </c:pt>
                <c:pt idx="22">
                  <c:v>82.645065452423097</c:v>
                </c:pt>
                <c:pt idx="23">
                  <c:v>79.587198030683396</c:v>
                </c:pt>
                <c:pt idx="24">
                  <c:v>81.33811638735898</c:v>
                </c:pt>
                <c:pt idx="25">
                  <c:v>81.582130736520284</c:v>
                </c:pt>
                <c:pt idx="26">
                  <c:v>85.905983665556676</c:v>
                </c:pt>
                <c:pt idx="27">
                  <c:v>86.679137518545957</c:v>
                </c:pt>
                <c:pt idx="28">
                  <c:v>88.672757681473158</c:v>
                </c:pt>
                <c:pt idx="29">
                  <c:v>89.20479422756209</c:v>
                </c:pt>
                <c:pt idx="30">
                  <c:v>93.308214762029948</c:v>
                </c:pt>
                <c:pt idx="31">
                  <c:v>94.054680480126194</c:v>
                </c:pt>
                <c:pt idx="32">
                  <c:v>93.678461758205458</c:v>
                </c:pt>
                <c:pt idx="33">
                  <c:v>96.488815610951818</c:v>
                </c:pt>
                <c:pt idx="34">
                  <c:v>95.620416270452708</c:v>
                </c:pt>
                <c:pt idx="35">
                  <c:v>94.759832524019188</c:v>
                </c:pt>
                <c:pt idx="36">
                  <c:v>92.485596543442753</c:v>
                </c:pt>
                <c:pt idx="37">
                  <c:v>94.150337281224154</c:v>
                </c:pt>
                <c:pt idx="38">
                  <c:v>97.351448748785955</c:v>
                </c:pt>
                <c:pt idx="39">
                  <c:v>101.24550669873815</c:v>
                </c:pt>
                <c:pt idx="40">
                  <c:v>101.1442611920391</c:v>
                </c:pt>
                <c:pt idx="41">
                  <c:v>102.25684806515135</c:v>
                </c:pt>
                <c:pt idx="42">
                  <c:v>102.97264600160757</c:v>
                </c:pt>
              </c:numCache>
            </c:numRef>
          </c:val>
          <c:smooth val="1"/>
        </c:ser>
        <c:ser>
          <c:idx val="3"/>
          <c:order val="3"/>
          <c:tx>
            <c:strRef>
              <c:f>Sheet1!$A$6</c:f>
              <c:strCache>
                <c:ptCount val="1"/>
                <c:pt idx="0">
                  <c:v>LT</c:v>
                </c:pt>
              </c:strCache>
            </c:strRef>
          </c:tx>
          <c:spPr>
            <a:ln w="19050">
              <a:solidFill>
                <a:sysClr val="windowText" lastClr="000000"/>
              </a:solidFill>
              <a:prstDash val="dash"/>
            </a:ln>
          </c:spPr>
          <c:marker>
            <c:symbol val="none"/>
          </c:marker>
          <c:cat>
            <c:multiLvlStrRef>
              <c:f>Sheet1!$B$1:$AR$2</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Sheet1!$B$6:$AR$6</c:f>
              <c:numCache>
                <c:formatCode>0.0</c:formatCode>
                <c:ptCount val="43"/>
                <c:pt idx="0">
                  <c:v>102.2</c:v>
                </c:pt>
                <c:pt idx="1">
                  <c:v>108.2298</c:v>
                </c:pt>
                <c:pt idx="2">
                  <c:v>109.74501719999998</c:v>
                </c:pt>
                <c:pt idx="3">
                  <c:v>112.92762269879999</c:v>
                </c:pt>
                <c:pt idx="4">
                  <c:v>111.34663598101726</c:v>
                </c:pt>
                <c:pt idx="5">
                  <c:v>111.79202252494086</c:v>
                </c:pt>
                <c:pt idx="6">
                  <c:v>109.89155814201685</c:v>
                </c:pt>
                <c:pt idx="7">
                  <c:v>106.04535360704629</c:v>
                </c:pt>
                <c:pt idx="8">
                  <c:v>104.45467330294056</c:v>
                </c:pt>
                <c:pt idx="9">
                  <c:v>94.009205972646512</c:v>
                </c:pt>
                <c:pt idx="10">
                  <c:v>94.573261208482378</c:v>
                </c:pt>
                <c:pt idx="11">
                  <c:v>97.221312522319849</c:v>
                </c:pt>
                <c:pt idx="12">
                  <c:v>94.985222334306542</c:v>
                </c:pt>
                <c:pt idx="13">
                  <c:v>90.330946439925512</c:v>
                </c:pt>
                <c:pt idx="14">
                  <c:v>84.278773028449919</c:v>
                </c:pt>
                <c:pt idx="15">
                  <c:v>84.278773028449919</c:v>
                </c:pt>
                <c:pt idx="16">
                  <c:v>89.925450821356648</c:v>
                </c:pt>
                <c:pt idx="17">
                  <c:v>92.26351254271195</c:v>
                </c:pt>
                <c:pt idx="18">
                  <c:v>93.001620643053727</c:v>
                </c:pt>
                <c:pt idx="19">
                  <c:v>90.76958174762035</c:v>
                </c:pt>
                <c:pt idx="20">
                  <c:v>89.226498857910443</c:v>
                </c:pt>
                <c:pt idx="21">
                  <c:v>84.943626912731077</c:v>
                </c:pt>
                <c:pt idx="22">
                  <c:v>84.943626912731077</c:v>
                </c:pt>
                <c:pt idx="23">
                  <c:v>87.237104839374823</c:v>
                </c:pt>
                <c:pt idx="24">
                  <c:v>84.532754589354184</c:v>
                </c:pt>
                <c:pt idx="25">
                  <c:v>89.520187110125505</c:v>
                </c:pt>
                <c:pt idx="26">
                  <c:v>84.148975883518489</c:v>
                </c:pt>
                <c:pt idx="27">
                  <c:v>90.03940419536481</c:v>
                </c:pt>
                <c:pt idx="28">
                  <c:v>93.640980363179409</c:v>
                </c:pt>
                <c:pt idx="29">
                  <c:v>98.229388400975182</c:v>
                </c:pt>
                <c:pt idx="30">
                  <c:v>100.58689372259855</c:v>
                </c:pt>
                <c:pt idx="31">
                  <c:v>101.08982819121158</c:v>
                </c:pt>
                <c:pt idx="32">
                  <c:v>98.764762142813709</c:v>
                </c:pt>
                <c:pt idx="33">
                  <c:v>104.49311834709691</c:v>
                </c:pt>
                <c:pt idx="34">
                  <c:v>103.65717340032013</c:v>
                </c:pt>
                <c:pt idx="35">
                  <c:v>102.93157318651789</c:v>
                </c:pt>
                <c:pt idx="36">
                  <c:v>106.22538352848591</c:v>
                </c:pt>
                <c:pt idx="37">
                  <c:v>103.67597432380224</c:v>
                </c:pt>
                <c:pt idx="38">
                  <c:v>98.906879504907863</c:v>
                </c:pt>
                <c:pt idx="39">
                  <c:v>98.906879504907863</c:v>
                </c:pt>
                <c:pt idx="40">
                  <c:v>105.92926794975632</c:v>
                </c:pt>
                <c:pt idx="41">
                  <c:v>108.36564111260006</c:v>
                </c:pt>
                <c:pt idx="42">
                  <c:v>109.34093188261379</c:v>
                </c:pt>
              </c:numCache>
            </c:numRef>
          </c:val>
          <c:smooth val="1"/>
        </c:ser>
        <c:marker val="1"/>
        <c:axId val="126570880"/>
        <c:axId val="126572416"/>
      </c:lineChart>
      <c:catAx>
        <c:axId val="12657088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6572416"/>
        <c:crosses val="autoZero"/>
        <c:auto val="1"/>
        <c:lblAlgn val="ctr"/>
        <c:lblOffset val="0"/>
        <c:tickLblSkip val="1"/>
        <c:tickMarkSkip val="1"/>
        <c:noMultiLvlLbl val="1"/>
      </c:catAx>
      <c:valAx>
        <c:axId val="126572416"/>
        <c:scaling>
          <c:orientation val="minMax"/>
          <c:max val="12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26570880"/>
        <c:crosses val="autoZero"/>
        <c:crossBetween val="between"/>
        <c:majorUnit val="10"/>
      </c:valAx>
      <c:spPr>
        <a:noFill/>
        <a:ln w="6350">
          <a:solidFill>
            <a:sysClr val="window" lastClr="FFFFFF">
              <a:lumMod val="85000"/>
            </a:sysClr>
          </a:solidFill>
        </a:ln>
      </c:spPr>
    </c:plotArea>
    <c:legend>
      <c:legendPos val="b"/>
      <c:layout>
        <c:manualLayout>
          <c:xMode val="edge"/>
          <c:yMode val="edge"/>
          <c:x val="0.34281044078015932"/>
          <c:y val="6.5591311149665724E-2"/>
          <c:w val="0.33059136973038838"/>
          <c:h val="0.17895498761807321"/>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9.6726534700541697E-2"/>
          <c:y val="3.7828947368426423E-2"/>
          <c:w val="0.81247844420325122"/>
          <c:h val="0.80770196676960004"/>
        </c:manualLayout>
      </c:layout>
      <c:barChart>
        <c:barDir val="col"/>
        <c:grouping val="clustered"/>
        <c:ser>
          <c:idx val="0"/>
          <c:order val="0"/>
          <c:tx>
            <c:strRef>
              <c:f>Sheet1!$C$1</c:f>
              <c:strCache>
                <c:ptCount val="1"/>
                <c:pt idx="0">
                  <c:v>Izmaiņas pret iepriekšējo ceturksni, atlikumu starpība, milj. latu (kreisā ass)</c:v>
                </c:pt>
              </c:strCache>
            </c:strRef>
          </c:tx>
          <c:spPr>
            <a:solidFill>
              <a:srgbClr val="FF0000"/>
            </a:solidFill>
            <a:ln w="3175">
              <a:solidFill>
                <a:srgbClr val="000000"/>
              </a:solidFill>
              <a:prstDash val="solid"/>
            </a:ln>
          </c:spP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Sheet1!$C$2:$C$31</c:f>
              <c:numCache>
                <c:formatCode>#,##0.0</c:formatCode>
                <c:ptCount val="18"/>
                <c:pt idx="0">
                  <c:v>1044.3</c:v>
                </c:pt>
                <c:pt idx="1">
                  <c:v>987.4</c:v>
                </c:pt>
                <c:pt idx="2">
                  <c:v>652</c:v>
                </c:pt>
                <c:pt idx="3">
                  <c:v>644</c:v>
                </c:pt>
                <c:pt idx="4">
                  <c:v>449.4</c:v>
                </c:pt>
                <c:pt idx="5">
                  <c:v>608.5</c:v>
                </c:pt>
                <c:pt idx="6">
                  <c:v>485.5</c:v>
                </c:pt>
                <c:pt idx="7">
                  <c:v>-16.3</c:v>
                </c:pt>
                <c:pt idx="8">
                  <c:v>-209.4</c:v>
                </c:pt>
                <c:pt idx="9">
                  <c:v>-292.2</c:v>
                </c:pt>
                <c:pt idx="10">
                  <c:v>-195.3</c:v>
                </c:pt>
                <c:pt idx="11">
                  <c:v>-365.9</c:v>
                </c:pt>
                <c:pt idx="12">
                  <c:v>-297.60000000000002</c:v>
                </c:pt>
                <c:pt idx="13">
                  <c:v>-224.1</c:v>
                </c:pt>
                <c:pt idx="14">
                  <c:v>-191.5</c:v>
                </c:pt>
                <c:pt idx="15">
                  <c:v>-408.2</c:v>
                </c:pt>
                <c:pt idx="16">
                  <c:v>-317.2</c:v>
                </c:pt>
                <c:pt idx="17">
                  <c:v>-285.2</c:v>
                </c:pt>
              </c:numCache>
            </c:numRef>
          </c:val>
        </c:ser>
        <c:gapWidth val="40"/>
        <c:axId val="160985472"/>
        <c:axId val="160987008"/>
      </c:barChart>
      <c:lineChart>
        <c:grouping val="standard"/>
        <c:ser>
          <c:idx val="1"/>
          <c:order val="1"/>
          <c:tx>
            <c:strRef>
              <c:f>Sheet1!$D$1</c:f>
              <c:strCache>
                <c:ptCount val="1"/>
                <c:pt idx="0">
                  <c:v>Izmaiņas pret iepriekšējā gada atbilstošo ceturksni, % (labā ass)</c:v>
                </c:pt>
              </c:strCache>
            </c:strRef>
          </c:tx>
          <c:spPr>
            <a:ln w="25400">
              <a:solidFill>
                <a:sysClr val="windowText" lastClr="000000"/>
              </a:solidFill>
              <a:prstDash val="solid"/>
            </a:ln>
          </c:spPr>
          <c:marker>
            <c:symbol val="none"/>
          </c:marke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Sheet1!$D$2:$D$31</c:f>
              <c:numCache>
                <c:formatCode>0.0</c:formatCode>
                <c:ptCount val="18"/>
                <c:pt idx="0">
                  <c:v>58.2</c:v>
                </c:pt>
                <c:pt idx="1">
                  <c:v>56.2</c:v>
                </c:pt>
                <c:pt idx="2">
                  <c:v>45.3</c:v>
                </c:pt>
                <c:pt idx="3">
                  <c:v>34.200000000000003</c:v>
                </c:pt>
                <c:pt idx="4" formatCode="#,##0.0">
                  <c:v>25.4</c:v>
                </c:pt>
                <c:pt idx="5" formatCode="#,##0.0">
                  <c:v>20</c:v>
                </c:pt>
                <c:pt idx="6" formatCode="#,##0.0">
                  <c:v>17.600000000000001</c:v>
                </c:pt>
                <c:pt idx="7" formatCode="#,##0.0">
                  <c:v>11.7</c:v>
                </c:pt>
                <c:pt idx="8" formatCode="#,##0.0">
                  <c:v>6.4</c:v>
                </c:pt>
                <c:pt idx="9" formatCode="#,##0.0">
                  <c:v>-0.2</c:v>
                </c:pt>
                <c:pt idx="10" formatCode="#,##0.0">
                  <c:v>-4.9000000000000004</c:v>
                </c:pt>
                <c:pt idx="11" formatCode="#,##0.0">
                  <c:v>-7.3</c:v>
                </c:pt>
                <c:pt idx="12" formatCode="#,##0.0">
                  <c:v>-8</c:v>
                </c:pt>
                <c:pt idx="13" formatCode="#,##0.0">
                  <c:v>-7.7</c:v>
                </c:pt>
                <c:pt idx="14" formatCode="#,##0.0">
                  <c:v>-7.8</c:v>
                </c:pt>
                <c:pt idx="15" formatCode="#,##0.0">
                  <c:v>-8.3000000000000007</c:v>
                </c:pt>
                <c:pt idx="16" formatCode="#,##0.0">
                  <c:v>-8.6</c:v>
                </c:pt>
                <c:pt idx="17" formatCode="#,##0.0">
                  <c:v>-9.3000000000000007</c:v>
                </c:pt>
              </c:numCache>
            </c:numRef>
          </c:val>
        </c:ser>
        <c:marker val="1"/>
        <c:axId val="160988544"/>
        <c:axId val="160998528"/>
      </c:lineChart>
      <c:catAx>
        <c:axId val="160985472"/>
        <c:scaling>
          <c:orientation val="minMax"/>
        </c:scaling>
        <c:axPos val="b"/>
        <c:majorGridlines>
          <c:spPr>
            <a:ln>
              <a:solidFill>
                <a:sysClr val="window" lastClr="FFFFFF">
                  <a:lumMod val="85000"/>
                </a:sysClr>
              </a:solidFill>
            </a:ln>
          </c:spPr>
        </c:majorGridlines>
        <c:numFmt formatCode="General" sourceLinked="1"/>
        <c:tickLblPos val="low"/>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60987008"/>
        <c:crosses val="autoZero"/>
        <c:auto val="1"/>
        <c:lblAlgn val="ctr"/>
        <c:lblOffset val="0"/>
        <c:tickLblSkip val="1"/>
        <c:tickMarkSkip val="1"/>
        <c:noMultiLvlLbl val="1"/>
      </c:catAx>
      <c:valAx>
        <c:axId val="160987008"/>
        <c:scaling>
          <c:orientation val="minMax"/>
          <c:min val="-500"/>
        </c:scaling>
        <c:axPos val="l"/>
        <c:majorGridlines/>
        <c:numFmt formatCode="#,##0"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60985472"/>
        <c:crosses val="autoZero"/>
        <c:crossBetween val="between"/>
        <c:majorUnit val="250"/>
      </c:valAx>
      <c:catAx>
        <c:axId val="160988544"/>
        <c:scaling>
          <c:orientation val="minMax"/>
        </c:scaling>
        <c:delete val="1"/>
        <c:axPos val="b"/>
        <c:tickLblPos val="none"/>
        <c:crossAx val="160998528"/>
        <c:crosses val="autoZero"/>
        <c:auto val="1"/>
        <c:lblAlgn val="ctr"/>
        <c:lblOffset val="100"/>
      </c:catAx>
      <c:valAx>
        <c:axId val="160998528"/>
        <c:scaling>
          <c:orientation val="minMax"/>
          <c:max val="90"/>
          <c:min val="-30"/>
        </c:scaling>
        <c:axPos val="r"/>
        <c:numFmt formatCode="General" sourceLinked="0"/>
        <c:tickLblPos val="nextTo"/>
        <c:spPr>
          <a:ln w="2893">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60988544"/>
        <c:crosses val="max"/>
        <c:crossBetween val="between"/>
        <c:majorUnit val="30"/>
      </c:valAx>
      <c:spPr>
        <a:noFill/>
        <a:ln w="25400">
          <a:noFill/>
        </a:ln>
      </c:spPr>
    </c:plotArea>
    <c:legend>
      <c:legendPos val="r"/>
      <c:layout>
        <c:manualLayout>
          <c:xMode val="edge"/>
          <c:yMode val="edge"/>
          <c:x val="0.22867664813605457"/>
          <c:y val="4.2406319320697522E-2"/>
          <c:w val="0.67742603761369014"/>
          <c:h val="0.24294535817757812"/>
        </c:manualLayout>
      </c:layout>
      <c:spPr>
        <a:solidFill>
          <a:sysClr val="window" lastClr="FFFFFF"/>
        </a:solidFill>
        <a:ln w="23138">
          <a:noFill/>
        </a:ln>
      </c:spPr>
      <c:txPr>
        <a:bodyPr/>
        <a:lstStyle/>
        <a:p>
          <a:pPr>
            <a:defRPr lang="lv-LV" sz="7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plotArea>
      <c:layout>
        <c:manualLayout>
          <c:layoutTarget val="inner"/>
          <c:xMode val="edge"/>
          <c:yMode val="edge"/>
          <c:x val="0.15926542351273401"/>
          <c:y val="3.8610038610038609E-2"/>
          <c:w val="0.84073457648730165"/>
          <c:h val="0.84192040904412813"/>
        </c:manualLayout>
      </c:layout>
      <c:barChart>
        <c:barDir val="col"/>
        <c:grouping val="stacked"/>
        <c:ser>
          <c:idx val="0"/>
          <c:order val="0"/>
          <c:tx>
            <c:strRef>
              <c:f>Sheet1!$B$1</c:f>
              <c:strCache>
                <c:ptCount val="1"/>
                <c:pt idx="0">
                  <c:v>Komerckredīts</c:v>
                </c:pt>
              </c:strCache>
            </c:strRef>
          </c:tx>
          <c:spPr>
            <a:solidFill>
              <a:srgbClr val="FF0000"/>
            </a:solidFill>
            <a:ln w="3175">
              <a:solidFill>
                <a:sysClr val="windowText" lastClr="000000"/>
              </a:solidFill>
              <a:prstDash val="solid"/>
            </a:ln>
          </c:spPr>
          <c:dLbls>
            <c:delete val="1"/>
          </c:dLbls>
          <c:cat>
            <c:strRef>
              <c:f>Sheet1!$A$2:$A$8</c:f>
              <c:strCache>
                <c:ptCount val="7"/>
                <c:pt idx="0">
                  <c:v>2005</c:v>
                </c:pt>
                <c:pt idx="1">
                  <c:v>2006</c:v>
                </c:pt>
                <c:pt idx="2">
                  <c:v>2007</c:v>
                </c:pt>
                <c:pt idx="3">
                  <c:v>2008</c:v>
                </c:pt>
                <c:pt idx="4">
                  <c:v>2009</c:v>
                </c:pt>
                <c:pt idx="5">
                  <c:v>2010</c:v>
                </c:pt>
                <c:pt idx="6">
                  <c:v>2011 II</c:v>
                </c:pt>
              </c:strCache>
            </c:strRef>
          </c:cat>
          <c:val>
            <c:numRef>
              <c:f>Sheet1!$B$2:$B$8</c:f>
              <c:numCache>
                <c:formatCode>General</c:formatCode>
                <c:ptCount val="7"/>
                <c:pt idx="0">
                  <c:v>1618.5</c:v>
                </c:pt>
                <c:pt idx="1">
                  <c:v>1984.8</c:v>
                </c:pt>
                <c:pt idx="2">
                  <c:v>2398.1999999999998</c:v>
                </c:pt>
                <c:pt idx="3">
                  <c:v>2712.1</c:v>
                </c:pt>
                <c:pt idx="4">
                  <c:v>2193.6</c:v>
                </c:pt>
                <c:pt idx="5" formatCode="0.0">
                  <c:v>1770.4</c:v>
                </c:pt>
                <c:pt idx="6">
                  <c:v>1699.4</c:v>
                </c:pt>
              </c:numCache>
            </c:numRef>
          </c:val>
        </c:ser>
        <c:ser>
          <c:idx val="1"/>
          <c:order val="1"/>
          <c:tx>
            <c:strRef>
              <c:f>Sheet1!$C$1</c:f>
              <c:strCache>
                <c:ptCount val="1"/>
                <c:pt idx="0">
                  <c:v>Industriālais</c:v>
                </c:pt>
              </c:strCache>
            </c:strRef>
          </c:tx>
          <c:spPr>
            <a:solidFill>
              <a:sysClr val="window" lastClr="FFFFFF">
                <a:lumMod val="65000"/>
              </a:sysClr>
            </a:solidFill>
            <a:ln w="3175">
              <a:solidFill>
                <a:sysClr val="windowText" lastClr="000000"/>
              </a:solidFill>
              <a:prstDash val="solid"/>
            </a:ln>
          </c:spPr>
          <c:dLbls>
            <c:delete val="1"/>
          </c:dLbls>
          <c:cat>
            <c:strRef>
              <c:f>Sheet1!$A$2:$A$8</c:f>
              <c:strCache>
                <c:ptCount val="7"/>
                <c:pt idx="0">
                  <c:v>2005</c:v>
                </c:pt>
                <c:pt idx="1">
                  <c:v>2006</c:v>
                </c:pt>
                <c:pt idx="2">
                  <c:v>2007</c:v>
                </c:pt>
                <c:pt idx="3">
                  <c:v>2008</c:v>
                </c:pt>
                <c:pt idx="4">
                  <c:v>2009</c:v>
                </c:pt>
                <c:pt idx="5">
                  <c:v>2010</c:v>
                </c:pt>
                <c:pt idx="6">
                  <c:v>2011 II</c:v>
                </c:pt>
              </c:strCache>
            </c:strRef>
          </c:cat>
          <c:val>
            <c:numRef>
              <c:f>Sheet1!$C$2:$C$8</c:f>
              <c:numCache>
                <c:formatCode>General</c:formatCode>
                <c:ptCount val="7"/>
                <c:pt idx="0">
                  <c:v>1003.2</c:v>
                </c:pt>
                <c:pt idx="1">
                  <c:v>1239.5</c:v>
                </c:pt>
                <c:pt idx="2">
                  <c:v>1726.8</c:v>
                </c:pt>
                <c:pt idx="3">
                  <c:v>1863.1</c:v>
                </c:pt>
                <c:pt idx="4">
                  <c:v>1840.8</c:v>
                </c:pt>
                <c:pt idx="5">
                  <c:v>2112</c:v>
                </c:pt>
                <c:pt idx="6">
                  <c:v>2053.4</c:v>
                </c:pt>
              </c:numCache>
            </c:numRef>
          </c:val>
        </c:ser>
        <c:ser>
          <c:idx val="2"/>
          <c:order val="2"/>
          <c:tx>
            <c:strRef>
              <c:f>Sheet1!$D$1</c:f>
              <c:strCache>
                <c:ptCount val="1"/>
                <c:pt idx="0">
                  <c:v>Patēriņa preču iegādei</c:v>
                </c:pt>
              </c:strCache>
            </c:strRef>
          </c:tx>
          <c:spPr>
            <a:solidFill>
              <a:sysClr val="window" lastClr="FFFFFF"/>
            </a:solidFill>
            <a:ln w="3175">
              <a:solidFill>
                <a:sysClr val="windowText" lastClr="000000"/>
              </a:solidFill>
              <a:prstDash val="solid"/>
            </a:ln>
          </c:spPr>
          <c:dLbls>
            <c:delete val="1"/>
          </c:dLbls>
          <c:cat>
            <c:strRef>
              <c:f>Sheet1!$A$2:$A$8</c:f>
              <c:strCache>
                <c:ptCount val="7"/>
                <c:pt idx="0">
                  <c:v>2005</c:v>
                </c:pt>
                <c:pt idx="1">
                  <c:v>2006</c:v>
                </c:pt>
                <c:pt idx="2">
                  <c:v>2007</c:v>
                </c:pt>
                <c:pt idx="3">
                  <c:v>2008</c:v>
                </c:pt>
                <c:pt idx="4">
                  <c:v>2009</c:v>
                </c:pt>
                <c:pt idx="5">
                  <c:v>2010</c:v>
                </c:pt>
                <c:pt idx="6">
                  <c:v>2011 II</c:v>
                </c:pt>
              </c:strCache>
            </c:strRef>
          </c:cat>
          <c:val>
            <c:numRef>
              <c:f>Sheet1!$D$2:$D$8</c:f>
              <c:numCache>
                <c:formatCode>General</c:formatCode>
                <c:ptCount val="7"/>
                <c:pt idx="0">
                  <c:v>265.5</c:v>
                </c:pt>
                <c:pt idx="1">
                  <c:v>432.9</c:v>
                </c:pt>
                <c:pt idx="2">
                  <c:v>615.5</c:v>
                </c:pt>
                <c:pt idx="3">
                  <c:v>668.7</c:v>
                </c:pt>
                <c:pt idx="4">
                  <c:v>482.2</c:v>
                </c:pt>
                <c:pt idx="5">
                  <c:v>491.7</c:v>
                </c:pt>
                <c:pt idx="6">
                  <c:v>426.7</c:v>
                </c:pt>
              </c:numCache>
            </c:numRef>
          </c:val>
        </c:ser>
        <c:ser>
          <c:idx val="3"/>
          <c:order val="3"/>
          <c:tx>
            <c:strRef>
              <c:f>Sheet1!$E$1</c:f>
              <c:strCache>
                <c:ptCount val="1"/>
                <c:pt idx="0">
                  <c:v>Hipotēku kredīts</c:v>
                </c:pt>
              </c:strCache>
            </c:strRef>
          </c:tx>
          <c:spPr>
            <a:solidFill>
              <a:srgbClr val="800000"/>
            </a:solidFill>
            <a:ln w="3175">
              <a:solidFill>
                <a:sysClr val="windowText" lastClr="000000"/>
              </a:solidFill>
              <a:prstDash val="solid"/>
            </a:ln>
          </c:spPr>
          <c:dLbls>
            <c:delete val="1"/>
          </c:dLbls>
          <c:cat>
            <c:strRef>
              <c:f>Sheet1!$A$2:$A$8</c:f>
              <c:strCache>
                <c:ptCount val="7"/>
                <c:pt idx="0">
                  <c:v>2005</c:v>
                </c:pt>
                <c:pt idx="1">
                  <c:v>2006</c:v>
                </c:pt>
                <c:pt idx="2">
                  <c:v>2007</c:v>
                </c:pt>
                <c:pt idx="3">
                  <c:v>2008</c:v>
                </c:pt>
                <c:pt idx="4">
                  <c:v>2009</c:v>
                </c:pt>
                <c:pt idx="5">
                  <c:v>2010</c:v>
                </c:pt>
                <c:pt idx="6">
                  <c:v>2011 II</c:v>
                </c:pt>
              </c:strCache>
            </c:strRef>
          </c:cat>
          <c:val>
            <c:numRef>
              <c:f>Sheet1!$E$2:$E$8</c:f>
              <c:numCache>
                <c:formatCode>General</c:formatCode>
                <c:ptCount val="7"/>
                <c:pt idx="0">
                  <c:v>2806.7</c:v>
                </c:pt>
                <c:pt idx="1">
                  <c:v>5311</c:v>
                </c:pt>
                <c:pt idx="2">
                  <c:v>7359.9</c:v>
                </c:pt>
                <c:pt idx="3">
                  <c:v>8287.2000000000007</c:v>
                </c:pt>
                <c:pt idx="4">
                  <c:v>7900.1</c:v>
                </c:pt>
                <c:pt idx="5">
                  <c:v>7180.7</c:v>
                </c:pt>
                <c:pt idx="6">
                  <c:v>6817.3</c:v>
                </c:pt>
              </c:numCache>
            </c:numRef>
          </c:val>
        </c:ser>
        <c:ser>
          <c:idx val="4"/>
          <c:order val="4"/>
          <c:tx>
            <c:strRef>
              <c:f>Sheet1!$F$1</c:f>
              <c:strCache>
                <c:ptCount val="1"/>
                <c:pt idx="0">
                  <c:v>Pārējie</c:v>
                </c:pt>
              </c:strCache>
            </c:strRef>
          </c:tx>
          <c:spPr>
            <a:solidFill>
              <a:srgbClr val="C0504D">
                <a:lumMod val="60000"/>
                <a:lumOff val="40000"/>
              </a:srgbClr>
            </a:solidFill>
            <a:ln w="3175">
              <a:solidFill>
                <a:sysClr val="windowText" lastClr="000000"/>
              </a:solidFill>
            </a:ln>
          </c:spPr>
          <c:dLbls>
            <c:delete val="1"/>
          </c:dLbls>
          <c:cat>
            <c:strRef>
              <c:f>Sheet1!$A$2:$A$8</c:f>
              <c:strCache>
                <c:ptCount val="7"/>
                <c:pt idx="0">
                  <c:v>2005</c:v>
                </c:pt>
                <c:pt idx="1">
                  <c:v>2006</c:v>
                </c:pt>
                <c:pt idx="2">
                  <c:v>2007</c:v>
                </c:pt>
                <c:pt idx="3">
                  <c:v>2008</c:v>
                </c:pt>
                <c:pt idx="4">
                  <c:v>2009</c:v>
                </c:pt>
                <c:pt idx="5">
                  <c:v>2010</c:v>
                </c:pt>
                <c:pt idx="6">
                  <c:v>2011 II</c:v>
                </c:pt>
              </c:strCache>
            </c:strRef>
          </c:cat>
          <c:val>
            <c:numRef>
              <c:f>Sheet1!$F$2:$F$8</c:f>
              <c:numCache>
                <c:formatCode>General</c:formatCode>
                <c:ptCount val="7"/>
                <c:pt idx="0">
                  <c:v>445.8</c:v>
                </c:pt>
                <c:pt idx="1">
                  <c:v>754.7</c:v>
                </c:pt>
                <c:pt idx="2">
                  <c:v>950.2</c:v>
                </c:pt>
                <c:pt idx="3">
                  <c:v>1046.7</c:v>
                </c:pt>
                <c:pt idx="4">
                  <c:v>1098.0999999999999</c:v>
                </c:pt>
                <c:pt idx="5" formatCode="0.0">
                  <c:v>838.7</c:v>
                </c:pt>
                <c:pt idx="6" formatCode="0.0">
                  <c:v>794.2</c:v>
                </c:pt>
              </c:numCache>
            </c:numRef>
          </c:val>
        </c:ser>
        <c:dLbls>
          <c:showSerName val="1"/>
        </c:dLbls>
        <c:gapWidth val="40"/>
        <c:overlap val="100"/>
        <c:axId val="161074560"/>
        <c:axId val="161080448"/>
      </c:barChart>
      <c:catAx>
        <c:axId val="161074560"/>
        <c:scaling>
          <c:orientation val="minMax"/>
        </c:scaling>
        <c:axPos val="b"/>
        <c:majorGridlines>
          <c:spPr>
            <a:ln>
              <a:solidFill>
                <a:sysClr val="window" lastClr="FFFFFF">
                  <a:lumMod val="85000"/>
                </a:sysClr>
              </a:solidFill>
            </a:ln>
          </c:spPr>
        </c:majorGridlines>
        <c:numFmt formatCode="General" sourceLinked="1"/>
        <c:tickLblPos val="nextTo"/>
        <c:spPr>
          <a:ln w="2958">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61080448"/>
        <c:crosses val="autoZero"/>
        <c:auto val="1"/>
        <c:lblAlgn val="ctr"/>
        <c:lblOffset val="100"/>
        <c:tickMarkSkip val="1"/>
      </c:catAx>
      <c:valAx>
        <c:axId val="161080448"/>
        <c:scaling>
          <c:orientation val="minMax"/>
          <c:max val="18000"/>
          <c:min val="0"/>
        </c:scaling>
        <c:axPos val="l"/>
        <c:majorGridlines>
          <c:spPr>
            <a:ln>
              <a:solidFill>
                <a:sysClr val="window" lastClr="FFFFFF">
                  <a:lumMod val="85000"/>
                </a:sysClr>
              </a:solidFill>
            </a:ln>
          </c:spPr>
        </c:majorGridlines>
        <c:numFmt formatCode="General" sourceLinked="0"/>
        <c:tickLblPos val="nextTo"/>
        <c:spPr>
          <a:ln w="3175">
            <a:solidFill>
              <a:sysClr val="window" lastClr="FFFFFF">
                <a:lumMod val="50000"/>
              </a:sysClr>
            </a:solidFill>
            <a:prstDash val="solid"/>
          </a:ln>
        </c:spPr>
        <c:txPr>
          <a:bodyPr rot="0" vert="horz"/>
          <a:lstStyle/>
          <a:p>
            <a:pPr>
              <a:defRPr lang="lv-LV" sz="700">
                <a:latin typeface="Arial" pitchFamily="34" charset="0"/>
                <a:cs typeface="Arial" pitchFamily="34" charset="0"/>
              </a:defRPr>
            </a:pPr>
            <a:endParaRPr lang="lv-LV"/>
          </a:p>
        </c:txPr>
        <c:crossAx val="161074560"/>
        <c:crosses val="autoZero"/>
        <c:crossBetween val="between"/>
        <c:majorUnit val="3000"/>
      </c:valAx>
      <c:spPr>
        <a:solidFill>
          <a:srgbClr val="FFFFFF"/>
        </a:solidFill>
        <a:ln w="2958">
          <a:noFill/>
          <a:prstDash val="solid"/>
        </a:ln>
      </c:spPr>
    </c:plotArea>
    <c:legend>
      <c:legendPos val="r"/>
      <c:layout>
        <c:manualLayout>
          <c:xMode val="edge"/>
          <c:yMode val="edge"/>
          <c:x val="0.16122968122258"/>
          <c:y val="3.0059259259259272E-2"/>
          <c:w val="0.78754170760415965"/>
          <c:h val="0.2325711111111112"/>
        </c:manualLayout>
      </c:layout>
      <c:spPr>
        <a:noFill/>
        <a:ln w="2958">
          <a:noFill/>
          <a:prstDash val="solid"/>
        </a:ln>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pitchFamily="18" charset="0"/>
          <a:ea typeface="Arial"/>
          <a:cs typeface="Arial"/>
        </a:defRPr>
      </a:pPr>
      <a:endParaRPr lang="lv-LV"/>
    </a:p>
  </c:txPr>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9115226337474"/>
          <c:y val="3.7828947368426506E-2"/>
          <c:w val="0.82439094650205769"/>
          <c:h val="0.92780901063218801"/>
        </c:manualLayout>
      </c:layout>
      <c:lineChart>
        <c:grouping val="standard"/>
        <c:ser>
          <c:idx val="0"/>
          <c:order val="0"/>
          <c:tx>
            <c:strRef>
              <c:f>Sheet1!$C$1</c:f>
              <c:strCache>
                <c:ptCount val="1"/>
                <c:pt idx="0">
                  <c:v>Hipotēku kredīti</c:v>
                </c:pt>
              </c:strCache>
            </c:strRef>
          </c:tx>
          <c:spPr>
            <a:ln w="25400">
              <a:solidFill>
                <a:srgbClr val="FF0000"/>
              </a:solidFill>
              <a:prstDash val="solid"/>
            </a:ln>
          </c:spPr>
          <c:marker>
            <c:symbol val="none"/>
          </c:marke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Sheet1!$C$2:$C$31</c:f>
              <c:numCache>
                <c:formatCode>0.0</c:formatCode>
                <c:ptCount val="18"/>
                <c:pt idx="0">
                  <c:v>86.5</c:v>
                </c:pt>
                <c:pt idx="1">
                  <c:v>70.7</c:v>
                </c:pt>
                <c:pt idx="2">
                  <c:v>55.5</c:v>
                </c:pt>
                <c:pt idx="3">
                  <c:v>38.6</c:v>
                </c:pt>
                <c:pt idx="4">
                  <c:v>28.6</c:v>
                </c:pt>
                <c:pt idx="5">
                  <c:v>24.4</c:v>
                </c:pt>
                <c:pt idx="6">
                  <c:v>18.399999999999999</c:v>
                </c:pt>
                <c:pt idx="7">
                  <c:v>12.6</c:v>
                </c:pt>
                <c:pt idx="8">
                  <c:v>7.5</c:v>
                </c:pt>
                <c:pt idx="9">
                  <c:v>0.1</c:v>
                </c:pt>
                <c:pt idx="10">
                  <c:v>-3.2</c:v>
                </c:pt>
                <c:pt idx="11">
                  <c:v>-4.7</c:v>
                </c:pt>
                <c:pt idx="12">
                  <c:v>-6.3</c:v>
                </c:pt>
                <c:pt idx="13">
                  <c:v>-8</c:v>
                </c:pt>
                <c:pt idx="14">
                  <c:v>-8.4</c:v>
                </c:pt>
                <c:pt idx="15">
                  <c:v>-9.1</c:v>
                </c:pt>
                <c:pt idx="16">
                  <c:v>-8.9</c:v>
                </c:pt>
                <c:pt idx="17">
                  <c:v>-8.6</c:v>
                </c:pt>
              </c:numCache>
            </c:numRef>
          </c:val>
        </c:ser>
        <c:ser>
          <c:idx val="1"/>
          <c:order val="1"/>
          <c:tx>
            <c:strRef>
              <c:f>Sheet1!$D$1</c:f>
              <c:strCache>
                <c:ptCount val="1"/>
                <c:pt idx="0">
                  <c:v>Kredīti patēriņa preču iegādei</c:v>
                </c:pt>
              </c:strCache>
            </c:strRef>
          </c:tx>
          <c:spPr>
            <a:ln w="25400">
              <a:solidFill>
                <a:sysClr val="windowText" lastClr="000000"/>
              </a:solidFill>
              <a:prstDash val="sysDash"/>
            </a:ln>
          </c:spPr>
          <c:marker>
            <c:symbol val="none"/>
          </c:marke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Sheet1!$D$2:$D$31</c:f>
              <c:numCache>
                <c:formatCode>0.0</c:formatCode>
                <c:ptCount val="18"/>
                <c:pt idx="0">
                  <c:v>60.6</c:v>
                </c:pt>
                <c:pt idx="1">
                  <c:v>54.8</c:v>
                </c:pt>
                <c:pt idx="2">
                  <c:v>50</c:v>
                </c:pt>
                <c:pt idx="3">
                  <c:v>42.2</c:v>
                </c:pt>
                <c:pt idx="4">
                  <c:v>36.800000000000004</c:v>
                </c:pt>
                <c:pt idx="5">
                  <c:v>27.3</c:v>
                </c:pt>
                <c:pt idx="6">
                  <c:v>17.3</c:v>
                </c:pt>
                <c:pt idx="7">
                  <c:v>8.6</c:v>
                </c:pt>
                <c:pt idx="8">
                  <c:v>0.2</c:v>
                </c:pt>
                <c:pt idx="9">
                  <c:v>-24.2</c:v>
                </c:pt>
                <c:pt idx="10">
                  <c:v>-26.9</c:v>
                </c:pt>
                <c:pt idx="11">
                  <c:v>-27.9</c:v>
                </c:pt>
                <c:pt idx="12">
                  <c:v>-27.1</c:v>
                </c:pt>
                <c:pt idx="13">
                  <c:v>-2.2000000000000002</c:v>
                </c:pt>
                <c:pt idx="14">
                  <c:v>-3.3</c:v>
                </c:pt>
                <c:pt idx="15">
                  <c:v>2</c:v>
                </c:pt>
                <c:pt idx="16">
                  <c:v>-8.7000000000000011</c:v>
                </c:pt>
                <c:pt idx="17">
                  <c:v>-14</c:v>
                </c:pt>
              </c:numCache>
            </c:numRef>
          </c:val>
        </c:ser>
        <c:marker val="1"/>
        <c:axId val="160545408"/>
        <c:axId val="160543872"/>
      </c:lineChart>
      <c:valAx>
        <c:axId val="160543872"/>
        <c:scaling>
          <c:orientation val="minMax"/>
          <c:max val="90"/>
          <c:min val="-30"/>
        </c:scaling>
        <c:axPos val="l"/>
        <c:majorGridlines>
          <c:spPr>
            <a:ln>
              <a:solidFill>
                <a:sysClr val="window" lastClr="FFFFFF">
                  <a:lumMod val="85000"/>
                </a:sysClr>
              </a:solidFill>
            </a:ln>
          </c:spPr>
        </c:majorGridlines>
        <c:numFmt formatCode="#,##0" sourceLinked="0"/>
        <c:tickLblPos val="low"/>
        <c:spPr>
          <a:ln w="3175"/>
        </c:spPr>
        <c:txPr>
          <a:bodyPr/>
          <a:lstStyle/>
          <a:p>
            <a:pPr>
              <a:defRPr lang="lv-LV" sz="700">
                <a:latin typeface="Arial" pitchFamily="34" charset="0"/>
                <a:cs typeface="Arial" pitchFamily="34" charset="0"/>
              </a:defRPr>
            </a:pPr>
            <a:endParaRPr lang="lv-LV"/>
          </a:p>
        </c:txPr>
        <c:crossAx val="160545408"/>
        <c:crosses val="autoZero"/>
        <c:crossBetween val="midCat"/>
        <c:majorUnit val="30"/>
        <c:minorUnit val="6"/>
      </c:valAx>
      <c:catAx>
        <c:axId val="160545408"/>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60543872"/>
        <c:crossesAt val="0"/>
        <c:auto val="1"/>
        <c:lblAlgn val="ctr"/>
        <c:lblOffset val="0"/>
        <c:tickLblSkip val="1"/>
        <c:noMultiLvlLbl val="1"/>
      </c:catAx>
      <c:spPr>
        <a:noFill/>
        <a:ln w="25400">
          <a:noFill/>
        </a:ln>
      </c:spPr>
    </c:plotArea>
    <c:legend>
      <c:legendPos val="r"/>
      <c:layout>
        <c:manualLayout>
          <c:xMode val="edge"/>
          <c:yMode val="edge"/>
          <c:x val="0.33843860155134992"/>
          <c:y val="5.5641666666666666E-2"/>
          <c:w val="0.59985288065843612"/>
          <c:h val="0.1803201506591337"/>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087145969498906E-2"/>
          <c:y val="3.7828947368426527E-2"/>
          <c:w val="0.83591889249140905"/>
          <c:h val="0.84030838041431266"/>
        </c:manualLayout>
      </c:layout>
      <c:lineChart>
        <c:grouping val="standard"/>
        <c:ser>
          <c:idx val="0"/>
          <c:order val="0"/>
          <c:tx>
            <c:strRef>
              <c:f>Sheet1!$C$1</c:f>
              <c:strCache>
                <c:ptCount val="1"/>
                <c:pt idx="0">
                  <c:v>Industriālie kredīti</c:v>
                </c:pt>
              </c:strCache>
            </c:strRef>
          </c:tx>
          <c:spPr>
            <a:ln w="25400">
              <a:solidFill>
                <a:srgbClr val="FF0000"/>
              </a:solidFill>
              <a:prstDash val="solid"/>
            </a:ln>
          </c:spPr>
          <c:marker>
            <c:symbol val="none"/>
          </c:marke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Sheet1!$C$2:$C$31</c:f>
              <c:numCache>
                <c:formatCode>0.0</c:formatCode>
                <c:ptCount val="18"/>
                <c:pt idx="0">
                  <c:v>31.4</c:v>
                </c:pt>
                <c:pt idx="1">
                  <c:v>42</c:v>
                </c:pt>
                <c:pt idx="2">
                  <c:v>43.5</c:v>
                </c:pt>
                <c:pt idx="3">
                  <c:v>39.300000000000004</c:v>
                </c:pt>
                <c:pt idx="4">
                  <c:v>37.300000000000004</c:v>
                </c:pt>
                <c:pt idx="5">
                  <c:v>12.8</c:v>
                </c:pt>
                <c:pt idx="6">
                  <c:v>9.7000000000000011</c:v>
                </c:pt>
                <c:pt idx="7">
                  <c:v>7.9</c:v>
                </c:pt>
                <c:pt idx="8">
                  <c:v>2.1</c:v>
                </c:pt>
                <c:pt idx="9">
                  <c:v>10.7</c:v>
                </c:pt>
                <c:pt idx="10">
                  <c:v>4.3</c:v>
                </c:pt>
                <c:pt idx="11">
                  <c:v>-1.2</c:v>
                </c:pt>
                <c:pt idx="12">
                  <c:v>18.899999999999999</c:v>
                </c:pt>
                <c:pt idx="13">
                  <c:v>18.8</c:v>
                </c:pt>
                <c:pt idx="14">
                  <c:v>18.100000000000001</c:v>
                </c:pt>
                <c:pt idx="15">
                  <c:v>14.7</c:v>
                </c:pt>
                <c:pt idx="16">
                  <c:v>-3.4</c:v>
                </c:pt>
                <c:pt idx="17">
                  <c:v>-6.4</c:v>
                </c:pt>
              </c:numCache>
            </c:numRef>
          </c:val>
        </c:ser>
        <c:ser>
          <c:idx val="1"/>
          <c:order val="1"/>
          <c:tx>
            <c:strRef>
              <c:f>Sheet1!$D$1</c:f>
              <c:strCache>
                <c:ptCount val="1"/>
                <c:pt idx="0">
                  <c:v>Komerckredīti</c:v>
                </c:pt>
              </c:strCache>
            </c:strRef>
          </c:tx>
          <c:spPr>
            <a:ln w="25400">
              <a:solidFill>
                <a:sysClr val="windowText" lastClr="000000"/>
              </a:solidFill>
              <a:prstDash val="sysDash"/>
            </a:ln>
          </c:spPr>
          <c:marker>
            <c:symbol val="none"/>
          </c:marker>
          <c:cat>
            <c:multiLvlStrRef>
              <c:f>Sheet1!$A$2:$B$31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Sheet1!$D$2:$D$31</c:f>
              <c:numCache>
                <c:formatCode>0.0</c:formatCode>
                <c:ptCount val="18"/>
                <c:pt idx="0">
                  <c:v>30.8</c:v>
                </c:pt>
                <c:pt idx="1">
                  <c:v>36.1</c:v>
                </c:pt>
                <c:pt idx="2">
                  <c:v>25.5</c:v>
                </c:pt>
                <c:pt idx="3">
                  <c:v>20.8</c:v>
                </c:pt>
                <c:pt idx="4">
                  <c:v>10.4</c:v>
                </c:pt>
                <c:pt idx="5">
                  <c:v>14.6</c:v>
                </c:pt>
                <c:pt idx="6">
                  <c:v>22.7</c:v>
                </c:pt>
                <c:pt idx="7">
                  <c:v>13.1</c:v>
                </c:pt>
                <c:pt idx="8">
                  <c:v>8.7000000000000011</c:v>
                </c:pt>
                <c:pt idx="9">
                  <c:v>-8.3000000000000007</c:v>
                </c:pt>
                <c:pt idx="10">
                  <c:v>-15.2</c:v>
                </c:pt>
                <c:pt idx="11">
                  <c:v>-19.100000000000001</c:v>
                </c:pt>
                <c:pt idx="12">
                  <c:v>-24.9</c:v>
                </c:pt>
                <c:pt idx="13">
                  <c:v>-20.9</c:v>
                </c:pt>
                <c:pt idx="14">
                  <c:v>-20.100000000000001</c:v>
                </c:pt>
                <c:pt idx="15">
                  <c:v>-19.3</c:v>
                </c:pt>
                <c:pt idx="16">
                  <c:v>-13.9</c:v>
                </c:pt>
                <c:pt idx="17">
                  <c:v>-11.4</c:v>
                </c:pt>
              </c:numCache>
            </c:numRef>
          </c:val>
        </c:ser>
        <c:marker val="1"/>
        <c:axId val="161337728"/>
        <c:axId val="161327744"/>
      </c:lineChart>
      <c:valAx>
        <c:axId val="161327744"/>
        <c:scaling>
          <c:orientation val="minMax"/>
          <c:max val="90"/>
          <c:min val="-30"/>
        </c:scaling>
        <c:axPos val="r"/>
        <c:majorGridlines>
          <c:spPr>
            <a:ln>
              <a:solidFill>
                <a:sysClr val="window" lastClr="FFFFFF">
                  <a:lumMod val="85000"/>
                </a:sysClr>
              </a:solidFill>
            </a:ln>
          </c:spPr>
        </c:majorGridlines>
        <c:numFmt formatCode="#,##0" sourceLinked="0"/>
        <c:tickLblPos val="nextTo"/>
        <c:spPr>
          <a:ln w="3175"/>
        </c:spPr>
        <c:txPr>
          <a:bodyPr/>
          <a:lstStyle/>
          <a:p>
            <a:pPr>
              <a:defRPr lang="lv-LV" sz="700">
                <a:latin typeface="Arial" pitchFamily="34" charset="0"/>
                <a:cs typeface="Arial" pitchFamily="34" charset="0"/>
              </a:defRPr>
            </a:pPr>
            <a:endParaRPr lang="lv-LV"/>
          </a:p>
        </c:txPr>
        <c:crossAx val="161337728"/>
        <c:crosses val="max"/>
        <c:crossBetween val="midCat"/>
        <c:majorUnit val="30"/>
        <c:minorUnit val="6"/>
      </c:valAx>
      <c:catAx>
        <c:axId val="161337728"/>
        <c:scaling>
          <c:orientation val="minMax"/>
        </c:scaling>
        <c:axPos val="b"/>
        <c:majorGridlines>
          <c:spPr>
            <a:ln>
              <a:solidFill>
                <a:sysClr val="window" lastClr="FFFFFF">
                  <a:lumMod val="85000"/>
                </a:sysClr>
              </a:solidFill>
            </a:ln>
          </c:spPr>
        </c:majorGridlines>
        <c:tickLblPos val="low"/>
        <c:spPr>
          <a:ln w="3175"/>
        </c:spPr>
        <c:txPr>
          <a:bodyPr rot="0"/>
          <a:lstStyle/>
          <a:p>
            <a:pPr>
              <a:defRPr lang="lv-LV" sz="700">
                <a:latin typeface="Arial" pitchFamily="34" charset="0"/>
                <a:cs typeface="Arial" pitchFamily="34" charset="0"/>
              </a:defRPr>
            </a:pPr>
            <a:endParaRPr lang="lv-LV"/>
          </a:p>
        </c:txPr>
        <c:crossAx val="161327744"/>
        <c:crossesAt val="0"/>
        <c:auto val="1"/>
        <c:lblAlgn val="ctr"/>
        <c:lblOffset val="0"/>
        <c:tickLblSkip val="1"/>
        <c:noMultiLvlLbl val="1"/>
      </c:catAx>
      <c:spPr>
        <a:noFill/>
        <a:ln w="25400">
          <a:noFill/>
        </a:ln>
      </c:spPr>
    </c:plotArea>
    <c:legend>
      <c:legendPos val="r"/>
      <c:layout>
        <c:manualLayout>
          <c:xMode val="edge"/>
          <c:yMode val="edge"/>
          <c:x val="0.30187699035924725"/>
          <c:y val="5.9186111111112133E-2"/>
          <c:w val="0.54758950617283952"/>
          <c:h val="0.16854990583804144"/>
        </c:manualLayout>
      </c:layout>
      <c:spPr>
        <a:solidFill>
          <a:sysClr val="window" lastClr="FFFFFF"/>
        </a:solidFill>
        <a:ln w="23138">
          <a:noFill/>
        </a:ln>
      </c:spPr>
      <c:txPr>
        <a:bodyPr/>
        <a:lstStyle/>
        <a:p>
          <a:pPr>
            <a:defRPr lang="lv-LV" sz="800">
              <a:latin typeface="Arial" pitchFamily="34" charset="0"/>
              <a:cs typeface="Arial" pitchFamily="34" charset="0"/>
            </a:defRPr>
          </a:pPr>
          <a:endParaRPr lang="lv-LV"/>
        </a:p>
      </c:txPr>
    </c:legend>
    <c:plotVisOnly val="1"/>
    <c:dispBlanksAs val="gap"/>
  </c:chart>
  <c:spPr>
    <a:noFill/>
    <a:ln>
      <a:noFill/>
    </a:ln>
  </c:spPr>
  <c:txPr>
    <a:bodyPr/>
    <a:lstStyle/>
    <a:p>
      <a:pPr>
        <a:defRPr sz="900" b="0" i="0" u="none" strike="noStrike" baseline="0">
          <a:solidFill>
            <a:srgbClr val="000000"/>
          </a:solidFill>
          <a:latin typeface="Garamond" pitchFamily="18" charset="0"/>
          <a:ea typeface="Arial"/>
          <a:cs typeface="Times New Roman" pitchFamily="18" charset="0"/>
        </a:defRPr>
      </a:pPr>
      <a:endParaRPr lang="lv-LV"/>
    </a:p>
  </c:tx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87278377448467"/>
          <c:y val="3.9293155092901551E-2"/>
          <c:w val="0.45639472595981551"/>
          <c:h val="0.83977731067519279"/>
        </c:manualLayout>
      </c:layout>
      <c:barChart>
        <c:barDir val="bar"/>
        <c:grouping val="clustered"/>
        <c:ser>
          <c:idx val="0"/>
          <c:order val="0"/>
          <c:tx>
            <c:strRef>
              <c:f>Sheet1!$B$1</c:f>
              <c:strCache>
                <c:ptCount val="1"/>
                <c:pt idx="0">
                  <c:v>2010.gada 2.cet.</c:v>
                </c:pt>
              </c:strCache>
            </c:strRef>
          </c:tx>
          <c:spPr>
            <a:solidFill>
              <a:sysClr val="window" lastClr="FFFFFF">
                <a:lumMod val="85000"/>
              </a:sysClr>
            </a:solidFill>
            <a:ln w="3175">
              <a:solidFill>
                <a:sysClr val="windowText" lastClr="000000"/>
              </a:solidFill>
              <a:prstDash val="solid"/>
            </a:ln>
          </c:spPr>
          <c:cat>
            <c:strRef>
              <c:f>Sheet1!$A$2:$A$11</c:f>
              <c:strCache>
                <c:ptCount val="10"/>
                <c:pt idx="0">
                  <c:v>Sabiedriskie pakalpojumi</c:v>
                </c:pt>
                <c:pt idx="1">
                  <c:v>Citi komercpakalpojumi</c:v>
                </c:pt>
                <c:pt idx="2">
                  <c:v>Operācijas ar nekustamo īpašumu</c:v>
                </c:pt>
                <c:pt idx="3">
                  <c:v>Finanšu darbības</c:v>
                </c:pt>
                <c:pt idx="4">
                  <c:v>Transports, uzglabāšana</c:v>
                </c:pt>
                <c:pt idx="5">
                  <c:v>Tirdzniecība, izmitināšana</c:v>
                </c:pt>
                <c:pt idx="6">
                  <c:v>Būvniecība</c:v>
                </c:pt>
                <c:pt idx="7">
                  <c:v>Pārējā rūpniecība</c:v>
                </c:pt>
                <c:pt idx="8">
                  <c:v>Apstrādes rūpniecība</c:v>
                </c:pt>
                <c:pt idx="9">
                  <c:v>Lauksaimniecība</c:v>
                </c:pt>
              </c:strCache>
            </c:strRef>
          </c:cat>
          <c:val>
            <c:numRef>
              <c:f>Sheet1!$B$2:$B$11</c:f>
              <c:numCache>
                <c:formatCode>0.0</c:formatCode>
                <c:ptCount val="10"/>
                <c:pt idx="0">
                  <c:v>72.610444999999999</c:v>
                </c:pt>
                <c:pt idx="1">
                  <c:v>540.94709699999908</c:v>
                </c:pt>
                <c:pt idx="2">
                  <c:v>2368.2055060000002</c:v>
                </c:pt>
                <c:pt idx="3">
                  <c:v>518.84487899999999</c:v>
                </c:pt>
                <c:pt idx="4">
                  <c:v>417.92892199999955</c:v>
                </c:pt>
                <c:pt idx="5">
                  <c:v>858.54329899999948</c:v>
                </c:pt>
                <c:pt idx="6">
                  <c:v>744.57465400000001</c:v>
                </c:pt>
                <c:pt idx="7">
                  <c:v>267.49246099999999</c:v>
                </c:pt>
                <c:pt idx="8">
                  <c:v>944.72138399999994</c:v>
                </c:pt>
                <c:pt idx="9">
                  <c:v>321.672774</c:v>
                </c:pt>
              </c:numCache>
            </c:numRef>
          </c:val>
        </c:ser>
        <c:ser>
          <c:idx val="1"/>
          <c:order val="1"/>
          <c:tx>
            <c:strRef>
              <c:f>Sheet1!$C$1</c:f>
              <c:strCache>
                <c:ptCount val="1"/>
                <c:pt idx="0">
                  <c:v>2011.gada 2.cet.</c:v>
                </c:pt>
              </c:strCache>
            </c:strRef>
          </c:tx>
          <c:spPr>
            <a:solidFill>
              <a:srgbClr val="FF0000"/>
            </a:solidFill>
            <a:ln w="3175">
              <a:solidFill>
                <a:sysClr val="windowText" lastClr="000000"/>
              </a:solidFill>
            </a:ln>
          </c:spPr>
          <c:cat>
            <c:strRef>
              <c:f>Sheet1!$A$2:$A$11</c:f>
              <c:strCache>
                <c:ptCount val="10"/>
                <c:pt idx="0">
                  <c:v>Sabiedriskie pakalpojumi</c:v>
                </c:pt>
                <c:pt idx="1">
                  <c:v>Citi komercpakalpojumi</c:v>
                </c:pt>
                <c:pt idx="2">
                  <c:v>Operācijas ar nekustamo īpašumu</c:v>
                </c:pt>
                <c:pt idx="3">
                  <c:v>Finanšu darbības</c:v>
                </c:pt>
                <c:pt idx="4">
                  <c:v>Transports, uzglabāšana</c:v>
                </c:pt>
                <c:pt idx="5">
                  <c:v>Tirdzniecība, izmitināšana</c:v>
                </c:pt>
                <c:pt idx="6">
                  <c:v>Būvniecība</c:v>
                </c:pt>
                <c:pt idx="7">
                  <c:v>Pārējā rūpniecība</c:v>
                </c:pt>
                <c:pt idx="8">
                  <c:v>Apstrādes rūpniecība</c:v>
                </c:pt>
                <c:pt idx="9">
                  <c:v>Lauksaimniecība</c:v>
                </c:pt>
              </c:strCache>
            </c:strRef>
          </c:cat>
          <c:val>
            <c:numRef>
              <c:f>Sheet1!$C$2:$C$11</c:f>
              <c:numCache>
                <c:formatCode>0.0</c:formatCode>
                <c:ptCount val="10"/>
                <c:pt idx="0">
                  <c:v>79.027448999999919</c:v>
                </c:pt>
                <c:pt idx="1">
                  <c:v>463.04739899999993</c:v>
                </c:pt>
                <c:pt idx="2">
                  <c:v>2159.307429</c:v>
                </c:pt>
                <c:pt idx="3">
                  <c:v>383.86900400000002</c:v>
                </c:pt>
                <c:pt idx="4">
                  <c:v>380.64742300000046</c:v>
                </c:pt>
                <c:pt idx="5">
                  <c:v>754.60310400000003</c:v>
                </c:pt>
                <c:pt idx="6">
                  <c:v>616.46733799999947</c:v>
                </c:pt>
                <c:pt idx="7">
                  <c:v>297.07523699999956</c:v>
                </c:pt>
                <c:pt idx="8">
                  <c:v>856.23466700000006</c:v>
                </c:pt>
                <c:pt idx="9">
                  <c:v>306.45330199999955</c:v>
                </c:pt>
              </c:numCache>
            </c:numRef>
          </c:val>
        </c:ser>
        <c:axId val="161142656"/>
        <c:axId val="161141120"/>
      </c:barChart>
      <c:valAx>
        <c:axId val="161141120"/>
        <c:scaling>
          <c:orientation val="minMax"/>
          <c:max val="2500"/>
          <c:min val="0"/>
        </c:scaling>
        <c:axPos val="b"/>
        <c:numFmt formatCode="0" sourceLinked="0"/>
        <c:tickLblPos val="nextTo"/>
        <c:spPr>
          <a:ln w="3175"/>
        </c:spPr>
        <c:txPr>
          <a:bodyPr/>
          <a:lstStyle/>
          <a:p>
            <a:pPr>
              <a:defRPr lang="lv-LV" sz="700">
                <a:latin typeface="Arial" pitchFamily="34" charset="0"/>
                <a:cs typeface="Arial" pitchFamily="34" charset="0"/>
              </a:defRPr>
            </a:pPr>
            <a:endParaRPr lang="lv-LV"/>
          </a:p>
        </c:txPr>
        <c:crossAx val="161142656"/>
        <c:crosses val="autoZero"/>
        <c:crossBetween val="between"/>
        <c:majorUnit val="500"/>
      </c:valAx>
      <c:catAx>
        <c:axId val="161142656"/>
        <c:scaling>
          <c:orientation val="minMax"/>
        </c:scaling>
        <c:axPos val="l"/>
        <c:tickLblPos val="nextTo"/>
        <c:spPr>
          <a:ln w="3175"/>
        </c:spPr>
        <c:txPr>
          <a:bodyPr/>
          <a:lstStyle/>
          <a:p>
            <a:pPr>
              <a:defRPr lang="lv-LV" sz="700">
                <a:latin typeface="Arial" pitchFamily="34" charset="0"/>
                <a:cs typeface="Arial" pitchFamily="34" charset="0"/>
              </a:defRPr>
            </a:pPr>
            <a:endParaRPr lang="lv-LV"/>
          </a:p>
        </c:txPr>
        <c:crossAx val="161141120"/>
        <c:crosses val="autoZero"/>
        <c:auto val="1"/>
        <c:lblAlgn val="l"/>
        <c:lblOffset val="0"/>
      </c:catAx>
      <c:spPr>
        <a:noFill/>
        <a:ln w="25304">
          <a:noFill/>
        </a:ln>
      </c:spPr>
    </c:plotArea>
    <c:legend>
      <c:legendPos val="r"/>
      <c:layout>
        <c:manualLayout>
          <c:xMode val="edge"/>
          <c:yMode val="edge"/>
          <c:x val="0.64084385461861204"/>
          <c:y val="0.48160957598657794"/>
          <c:w val="0.3273694898876961"/>
          <c:h val="0.14229644489828888"/>
        </c:manualLayout>
      </c:layout>
      <c:spPr>
        <a:solidFill>
          <a:sysClr val="window" lastClr="FFFFFF"/>
        </a:solidFill>
      </c:spPr>
      <c:txPr>
        <a:bodyPr/>
        <a:lstStyle/>
        <a:p>
          <a:pPr>
            <a:defRPr lang="lv-LV" sz="700">
              <a:latin typeface="Arial" pitchFamily="34" charset="0"/>
              <a:cs typeface="Arial" pitchFamily="34" charset="0"/>
            </a:defRPr>
          </a:pPr>
          <a:endParaRPr lang="lv-LV"/>
        </a:p>
      </c:txPr>
    </c:legend>
    <c:plotVisOnly val="1"/>
    <c:dispBlanksAs val="zero"/>
  </c:chart>
  <c:spPr>
    <a:noFill/>
    <a:ln>
      <a:noFill/>
    </a:ln>
  </c:spPr>
  <c:txPr>
    <a:bodyPr/>
    <a:lstStyle/>
    <a:p>
      <a:pPr>
        <a:defRPr sz="900" b="0" i="0" u="none" strike="noStrike" baseline="0">
          <a:solidFill>
            <a:srgbClr val="000000"/>
          </a:solidFill>
          <a:latin typeface="Garamond"/>
          <a:ea typeface="Garamond"/>
          <a:cs typeface="Garamond"/>
        </a:defRPr>
      </a:pPr>
      <a:endParaRPr lang="lv-LV"/>
    </a:p>
  </c:txPr>
  <c:externalData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6844350930738"/>
          <c:y val="0.18982000000000004"/>
          <c:w val="0.55910042066660004"/>
          <c:h val="0.62470914349995166"/>
        </c:manualLayout>
      </c:layout>
      <c:pieChart>
        <c:varyColors val="1"/>
        <c:ser>
          <c:idx val="0"/>
          <c:order val="0"/>
          <c:tx>
            <c:strRef>
              <c:f>Sheet1!$B$1</c:f>
              <c:strCache>
                <c:ptCount val="1"/>
                <c:pt idx="0">
                  <c:v>2011 II</c:v>
                </c:pt>
              </c:strCache>
            </c:strRef>
          </c:tx>
          <c:spPr>
            <a:solidFill>
              <a:srgbClr val="9999FF"/>
            </a:solidFill>
            <a:ln w="3175">
              <a:solidFill>
                <a:srgbClr val="000000"/>
              </a:solidFill>
              <a:prstDash val="solid"/>
            </a:ln>
          </c:spPr>
          <c:dPt>
            <c:idx val="0"/>
            <c:spPr>
              <a:solidFill>
                <a:srgbClr val="800000"/>
              </a:solidFill>
              <a:ln w="3175">
                <a:solidFill>
                  <a:srgbClr val="000000"/>
                </a:solidFill>
                <a:prstDash val="solid"/>
              </a:ln>
            </c:spPr>
          </c:dPt>
          <c:dPt>
            <c:idx val="1"/>
            <c:spPr>
              <a:solidFill>
                <a:sysClr val="windowText" lastClr="000000">
                  <a:lumMod val="65000"/>
                  <a:lumOff val="35000"/>
                </a:sysClr>
              </a:solidFill>
              <a:ln w="3175">
                <a:solidFill>
                  <a:srgbClr val="000000"/>
                </a:solidFill>
                <a:prstDash val="solid"/>
              </a:ln>
            </c:spPr>
          </c:dPt>
          <c:dPt>
            <c:idx val="2"/>
            <c:spPr>
              <a:solidFill>
                <a:sysClr val="windowText" lastClr="000000"/>
              </a:solidFill>
              <a:ln w="3175">
                <a:solidFill>
                  <a:srgbClr val="000000"/>
                </a:solidFill>
                <a:prstDash val="solid"/>
              </a:ln>
            </c:spPr>
          </c:dPt>
          <c:dPt>
            <c:idx val="3"/>
            <c:spPr>
              <a:solidFill>
                <a:sysClr val="window" lastClr="FFFFFF">
                  <a:lumMod val="50000"/>
                </a:sysClr>
              </a:solidFill>
              <a:ln w="3175">
                <a:solidFill>
                  <a:sysClr val="windowText" lastClr="000000"/>
                </a:solidFill>
                <a:prstDash val="solid"/>
              </a:ln>
            </c:spPr>
          </c:dPt>
          <c:dPt>
            <c:idx val="4"/>
            <c:spPr>
              <a:solidFill>
                <a:srgbClr val="FF0000"/>
              </a:solidFill>
              <a:ln w="3175">
                <a:solidFill>
                  <a:srgbClr val="000000"/>
                </a:solidFill>
                <a:prstDash val="solid"/>
              </a:ln>
            </c:spPr>
          </c:dPt>
          <c:dPt>
            <c:idx val="5"/>
            <c:spPr>
              <a:solidFill>
                <a:sysClr val="window" lastClr="FFFFFF">
                  <a:lumMod val="85000"/>
                </a:sysClr>
              </a:solidFill>
              <a:ln w="3175">
                <a:solidFill>
                  <a:srgbClr val="000000"/>
                </a:solidFill>
                <a:prstDash val="solid"/>
              </a:ln>
            </c:spPr>
          </c:dPt>
          <c:dPt>
            <c:idx val="6"/>
            <c:spPr>
              <a:solidFill>
                <a:srgbClr val="C0504D">
                  <a:lumMod val="60000"/>
                  <a:lumOff val="40000"/>
                </a:srgbClr>
              </a:solidFill>
              <a:ln w="3175">
                <a:solidFill>
                  <a:srgbClr val="000000"/>
                </a:solidFill>
                <a:prstDash val="solid"/>
              </a:ln>
            </c:spPr>
          </c:dPt>
          <c:dPt>
            <c:idx val="7"/>
            <c:spPr>
              <a:solidFill>
                <a:sysClr val="window" lastClr="FFFFFF"/>
              </a:solidFill>
              <a:ln w="3175">
                <a:solidFill>
                  <a:srgbClr val="000000"/>
                </a:solidFill>
                <a:prstDash val="solid"/>
              </a:ln>
            </c:spPr>
          </c:dPt>
          <c:dPt>
            <c:idx val="8"/>
            <c:spPr>
              <a:solidFill>
                <a:srgbClr val="C0504D">
                  <a:lumMod val="20000"/>
                  <a:lumOff val="80000"/>
                </a:srgbClr>
              </a:solidFill>
              <a:ln w="3175">
                <a:solidFill>
                  <a:srgbClr val="000000"/>
                </a:solidFill>
                <a:prstDash val="solid"/>
              </a:ln>
            </c:spPr>
          </c:dPt>
          <c:dPt>
            <c:idx val="9"/>
            <c:spPr>
              <a:solidFill>
                <a:srgbClr val="EEECE1">
                  <a:lumMod val="75000"/>
                </a:srgbClr>
              </a:solidFill>
              <a:ln w="3175">
                <a:solidFill>
                  <a:srgbClr val="000000"/>
                </a:solidFill>
                <a:prstDash val="solid"/>
              </a:ln>
            </c:spPr>
          </c:dPt>
          <c:dLbls>
            <c:dLbl>
              <c:idx val="0"/>
              <c:layout>
                <c:manualLayout>
                  <c:x val="8.3291475800173348E-2"/>
                  <c:y val="-1.2941111111111131E-2"/>
                </c:manualLayout>
              </c:layout>
              <c:dLblPos val="bestFit"/>
              <c:showCatName val="1"/>
              <c:showPercent val="1"/>
            </c:dLbl>
            <c:dLbl>
              <c:idx val="1"/>
              <c:layout>
                <c:manualLayout>
                  <c:x val="0"/>
                  <c:y val="2.116666666666667E-2"/>
                </c:manualLayout>
              </c:layout>
              <c:dLblPos val="bestFit"/>
              <c:showCatName val="1"/>
              <c:showPercent val="1"/>
            </c:dLbl>
            <c:dLbl>
              <c:idx val="2"/>
              <c:layout>
                <c:manualLayout>
                  <c:x val="2.9397104924683445E-2"/>
                  <c:y val="3.6448333333333346E-2"/>
                </c:manualLayout>
              </c:layout>
              <c:dLblPos val="bestFit"/>
              <c:showCatName val="1"/>
              <c:showPercent val="1"/>
            </c:dLbl>
            <c:dLbl>
              <c:idx val="3"/>
              <c:layout>
                <c:manualLayout>
                  <c:x val="8.9822270851753059E-17"/>
                  <c:y val="3.5277777777777866E-2"/>
                </c:manualLayout>
              </c:layout>
              <c:dLblPos val="bestFit"/>
              <c:showCatName val="1"/>
              <c:showPercent val="1"/>
            </c:dLbl>
            <c:dLbl>
              <c:idx val="4"/>
              <c:layout>
                <c:manualLayout>
                  <c:x val="9.7985205966068002E-3"/>
                  <c:y val="-3.5277777777777866E-2"/>
                </c:manualLayout>
              </c:layout>
              <c:dLblPos val="bestFit"/>
              <c:showCatName val="1"/>
              <c:showPercent val="1"/>
            </c:dLbl>
            <c:dLbl>
              <c:idx val="5"/>
              <c:layout>
                <c:manualLayout>
                  <c:x val="0"/>
                  <c:y val="-2.116666666666667E-2"/>
                </c:manualLayout>
              </c:layout>
              <c:dLblPos val="bestFit"/>
              <c:showCatName val="1"/>
              <c:showPercent val="1"/>
            </c:dLbl>
            <c:dLbl>
              <c:idx val="6"/>
              <c:layout>
                <c:manualLayout>
                  <c:x val="-4.4095078711451526E-2"/>
                  <c:y val="7.0555555555555545E-3"/>
                </c:manualLayout>
              </c:layout>
              <c:dLblPos val="bestFit"/>
              <c:showCatName val="1"/>
              <c:showPercent val="1"/>
            </c:dLbl>
            <c:dLbl>
              <c:idx val="8"/>
              <c:layout>
                <c:manualLayout>
                  <c:x val="-7.3493340987282274E-2"/>
                  <c:y val="0.1128888888888888"/>
                </c:manualLayout>
              </c:layout>
              <c:dLblPos val="bestFit"/>
              <c:showCatName val="1"/>
              <c:showPercent val="1"/>
            </c:dLbl>
            <c:dLbl>
              <c:idx val="9"/>
              <c:layout>
                <c:manualLayout>
                  <c:x val="-9.7992921640382997E-3"/>
                  <c:y val="7.0549999999999996E-3"/>
                </c:manualLayout>
              </c:layout>
              <c:dLblPos val="bestFit"/>
              <c:showCatName val="1"/>
              <c:showPercent val="1"/>
            </c:dLbl>
            <c:txPr>
              <a:bodyPr/>
              <a:lstStyle/>
              <a:p>
                <a:pPr>
                  <a:defRPr lang="lv-LV" sz="600">
                    <a:latin typeface="Arial" pitchFamily="34" charset="0"/>
                    <a:cs typeface="Arial" pitchFamily="34" charset="0"/>
                  </a:defRPr>
                </a:pPr>
                <a:endParaRPr lang="lv-LV"/>
              </a:p>
            </c:txPr>
            <c:dLblPos val="outEnd"/>
            <c:showCatName val="1"/>
            <c:showPercent val="1"/>
          </c:dLbls>
          <c:cat>
            <c:strRef>
              <c:f>Sheet1!$A$2:$A$11</c:f>
              <c:strCache>
                <c:ptCount val="10"/>
                <c:pt idx="0">
                  <c:v>Lauksaimniecība</c:v>
                </c:pt>
                <c:pt idx="1">
                  <c:v>Apstrādes rūpniecība</c:v>
                </c:pt>
                <c:pt idx="2">
                  <c:v>Pārējā rūpniecība</c:v>
                </c:pt>
                <c:pt idx="3">
                  <c:v>Būvniecība</c:v>
                </c:pt>
                <c:pt idx="4">
                  <c:v>Tirdzniecība, izmitināšana</c:v>
                </c:pt>
                <c:pt idx="5">
                  <c:v>Transports, uzglabāšana</c:v>
                </c:pt>
                <c:pt idx="6">
                  <c:v>Finanšu darbības</c:v>
                </c:pt>
                <c:pt idx="7">
                  <c:v>Operācijas ar nekustamo īpašumu</c:v>
                </c:pt>
                <c:pt idx="8">
                  <c:v>Citi komercpakalpojumi</c:v>
                </c:pt>
                <c:pt idx="9">
                  <c:v>Sabiedriskie pakalpojumi</c:v>
                </c:pt>
              </c:strCache>
            </c:strRef>
          </c:cat>
          <c:val>
            <c:numRef>
              <c:f>Sheet1!$B$2:$B$11</c:f>
              <c:numCache>
                <c:formatCode>0.0</c:formatCode>
                <c:ptCount val="10"/>
                <c:pt idx="0">
                  <c:v>306.45330199999955</c:v>
                </c:pt>
                <c:pt idx="1">
                  <c:v>856.23466700000006</c:v>
                </c:pt>
                <c:pt idx="2">
                  <c:v>297.07523699999956</c:v>
                </c:pt>
                <c:pt idx="3">
                  <c:v>616.46733799999947</c:v>
                </c:pt>
                <c:pt idx="4">
                  <c:v>754.60310400000003</c:v>
                </c:pt>
                <c:pt idx="5">
                  <c:v>380.64742300000046</c:v>
                </c:pt>
                <c:pt idx="6">
                  <c:v>383.86900400000002</c:v>
                </c:pt>
                <c:pt idx="7">
                  <c:v>2159.307429</c:v>
                </c:pt>
                <c:pt idx="8">
                  <c:v>463.04739899999993</c:v>
                </c:pt>
                <c:pt idx="9">
                  <c:v>79.027448999999919</c:v>
                </c:pt>
              </c:numCache>
            </c:numRef>
          </c:val>
        </c:ser>
        <c:dLbls>
          <c:showCatName val="1"/>
          <c:showPercent val="1"/>
        </c:dLbls>
        <c:firstSliceAng val="340"/>
      </c:pieChart>
      <c:spPr>
        <a:noFill/>
        <a:ln w="25304">
          <a:noFill/>
        </a:ln>
      </c:spPr>
    </c:plotArea>
    <c:plotVisOnly val="1"/>
    <c:dispBlanksAs val="zero"/>
  </c:chart>
  <c:spPr>
    <a:noFill/>
    <a:ln>
      <a:noFill/>
    </a:ln>
  </c:spPr>
  <c:txPr>
    <a:bodyPr/>
    <a:lstStyle/>
    <a:p>
      <a:pPr>
        <a:defRPr sz="822" b="0" i="0" u="none" strike="noStrike" baseline="0">
          <a:solidFill>
            <a:srgbClr val="000000"/>
          </a:solidFill>
          <a:latin typeface="Garamond"/>
          <a:ea typeface="Garamond"/>
          <a:cs typeface="Garamond"/>
        </a:defRPr>
      </a:pPr>
      <a:endParaRPr lang="lv-LV"/>
    </a:p>
  </c:txPr>
  <c:externalData r:id="rId2"/>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5.1194539249147034E-2"/>
          <c:y val="3.8350694444444444E-2"/>
          <c:w val="0.87721373386320445"/>
          <c:h val="0.77152569444447094"/>
        </c:manualLayout>
      </c:layout>
      <c:lineChart>
        <c:grouping val="standard"/>
        <c:ser>
          <c:idx val="0"/>
          <c:order val="0"/>
          <c:tx>
            <c:strRef>
              <c:f>Sheet1!$A$3</c:f>
              <c:strCache>
                <c:ptCount val="1"/>
                <c:pt idx="0">
                  <c:v>LVL</c:v>
                </c:pt>
              </c:strCache>
            </c:strRef>
          </c:tx>
          <c:spPr>
            <a:ln w="25400">
              <a:solidFill>
                <a:srgbClr val="FF0000"/>
              </a:solidFill>
            </a:ln>
          </c:spPr>
          <c:marker>
            <c:symbol val="none"/>
          </c:marker>
          <c:cat>
            <c:multiLvlStrRef>
              <c:f>Sheet1!$B$1:$AY$2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Sheet1!$B$3:$AY$3</c:f>
              <c:numCache>
                <c:formatCode>General</c:formatCode>
                <c:ptCount val="14"/>
                <c:pt idx="0">
                  <c:v>11.5</c:v>
                </c:pt>
                <c:pt idx="1">
                  <c:v>9.7000000000000011</c:v>
                </c:pt>
                <c:pt idx="2">
                  <c:v>10.5</c:v>
                </c:pt>
                <c:pt idx="3">
                  <c:v>14.6</c:v>
                </c:pt>
                <c:pt idx="4">
                  <c:v>17.3</c:v>
                </c:pt>
                <c:pt idx="5">
                  <c:v>24.4</c:v>
                </c:pt>
                <c:pt idx="6">
                  <c:v>15.9</c:v>
                </c:pt>
                <c:pt idx="7">
                  <c:v>9</c:v>
                </c:pt>
                <c:pt idx="8">
                  <c:v>10.5</c:v>
                </c:pt>
                <c:pt idx="9">
                  <c:v>7.1</c:v>
                </c:pt>
                <c:pt idx="10">
                  <c:v>8</c:v>
                </c:pt>
                <c:pt idx="11">
                  <c:v>6.6</c:v>
                </c:pt>
                <c:pt idx="12">
                  <c:v>6.4</c:v>
                </c:pt>
                <c:pt idx="13">
                  <c:v>6.8</c:v>
                </c:pt>
              </c:numCache>
            </c:numRef>
          </c:val>
          <c:smooth val="1"/>
        </c:ser>
        <c:ser>
          <c:idx val="1"/>
          <c:order val="1"/>
          <c:tx>
            <c:strRef>
              <c:f>Sheet1!$A$4</c:f>
              <c:strCache>
                <c:ptCount val="1"/>
                <c:pt idx="0">
                  <c:v>EUR</c:v>
                </c:pt>
              </c:strCache>
            </c:strRef>
          </c:tx>
          <c:spPr>
            <a:ln w="25400">
              <a:solidFill>
                <a:schemeClr val="tx1"/>
              </a:solidFill>
              <a:prstDash val="dash"/>
            </a:ln>
          </c:spPr>
          <c:marker>
            <c:symbol val="none"/>
          </c:marker>
          <c:cat>
            <c:multiLvlStrRef>
              <c:f>Sheet1!$B$1:$AY$2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Sheet1!$B$4:$AY$4</c:f>
              <c:numCache>
                <c:formatCode>General</c:formatCode>
                <c:ptCount val="14"/>
                <c:pt idx="0">
                  <c:v>6.7</c:v>
                </c:pt>
                <c:pt idx="1">
                  <c:v>7.3</c:v>
                </c:pt>
                <c:pt idx="2">
                  <c:v>7.4</c:v>
                </c:pt>
                <c:pt idx="3">
                  <c:v>7.4</c:v>
                </c:pt>
                <c:pt idx="4">
                  <c:v>6.2</c:v>
                </c:pt>
                <c:pt idx="5">
                  <c:v>5.4</c:v>
                </c:pt>
                <c:pt idx="6">
                  <c:v>4.7</c:v>
                </c:pt>
                <c:pt idx="7">
                  <c:v>4.5</c:v>
                </c:pt>
                <c:pt idx="8">
                  <c:v>4.5999999999999996</c:v>
                </c:pt>
                <c:pt idx="9">
                  <c:v>4.3</c:v>
                </c:pt>
                <c:pt idx="10">
                  <c:v>4.5999999999999996</c:v>
                </c:pt>
                <c:pt idx="11">
                  <c:v>4.4000000000000004</c:v>
                </c:pt>
                <c:pt idx="12">
                  <c:v>4.7</c:v>
                </c:pt>
                <c:pt idx="13">
                  <c:v>4.2</c:v>
                </c:pt>
              </c:numCache>
            </c:numRef>
          </c:val>
          <c:smooth val="1"/>
        </c:ser>
        <c:marker val="1"/>
        <c:axId val="161411072"/>
        <c:axId val="161412608"/>
      </c:lineChart>
      <c:catAx>
        <c:axId val="161411072"/>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chemeClr val="tx1"/>
            </a:solidFill>
          </a:ln>
        </c:spPr>
        <c:txPr>
          <a:bodyPr rot="0" vert="horz"/>
          <a:lstStyle/>
          <a:p>
            <a:pPr>
              <a:defRPr lang="lv-LV" sz="700" baseline="0">
                <a:latin typeface="Arial" pitchFamily="34" charset="0"/>
                <a:cs typeface="Arial" pitchFamily="34" charset="0"/>
              </a:defRPr>
            </a:pPr>
            <a:endParaRPr lang="lv-LV"/>
          </a:p>
        </c:txPr>
        <c:crossAx val="161412608"/>
        <c:crosses val="autoZero"/>
        <c:auto val="1"/>
        <c:lblAlgn val="ctr"/>
        <c:lblOffset val="0"/>
        <c:tickLblSkip val="1"/>
        <c:tickMarkSkip val="1"/>
        <c:noMultiLvlLbl val="1"/>
      </c:catAx>
      <c:valAx>
        <c:axId val="161412608"/>
        <c:scaling>
          <c:orientation val="minMax"/>
          <c:max val="25"/>
          <c:min val="0"/>
        </c:scaling>
        <c:axPos val="l"/>
        <c:majorGridlines>
          <c:spPr>
            <a:ln w="6350">
              <a:solidFill>
                <a:schemeClr val="bg1">
                  <a:lumMod val="85000"/>
                </a:schemeClr>
              </a:solidFill>
            </a:ln>
          </c:spPr>
        </c:majorGridlines>
        <c:numFmt formatCode="General" sourceLinked="1"/>
        <c:tickLblPos val="nextTo"/>
        <c:spPr>
          <a:ln w="6350">
            <a:solidFill>
              <a:schemeClr val="tx1"/>
            </a:solidFill>
          </a:ln>
        </c:spPr>
        <c:txPr>
          <a:bodyPr rot="0" vert="horz"/>
          <a:lstStyle/>
          <a:p>
            <a:pPr>
              <a:defRPr lang="lv-LV" sz="700">
                <a:latin typeface="Arial" pitchFamily="34" charset="0"/>
                <a:cs typeface="Arial" pitchFamily="34" charset="0"/>
              </a:defRPr>
            </a:pPr>
            <a:endParaRPr lang="lv-LV"/>
          </a:p>
        </c:txPr>
        <c:crossAx val="161411072"/>
        <c:crosses val="autoZero"/>
        <c:crossBetween val="between"/>
        <c:majorUnit val="5"/>
      </c:valAx>
      <c:spPr>
        <a:ln w="6350">
          <a:solidFill>
            <a:schemeClr val="bg1">
              <a:lumMod val="75000"/>
            </a:schemeClr>
          </a:solidFill>
        </a:ln>
      </c:spPr>
    </c:plotArea>
    <c:legend>
      <c:legendPos val="l"/>
      <c:layout>
        <c:manualLayout>
          <c:xMode val="edge"/>
          <c:yMode val="edge"/>
          <c:x val="0.5325445231849707"/>
          <c:y val="0.14027500000000001"/>
          <c:w val="0.39302259926695177"/>
          <c:h val="0.11499930555555557"/>
        </c:manualLayout>
      </c:layout>
      <c:overlay val="1"/>
      <c:spPr>
        <a:solidFill>
          <a:schemeClr val="bg1"/>
        </a:solidFill>
      </c:spPr>
      <c:txPr>
        <a:bodyPr/>
        <a:lstStyle/>
        <a:p>
          <a:pPr>
            <a:defRPr lang="lv-LV" sz="8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286738910111484"/>
          <c:y val="3.4273427081217292E-2"/>
          <c:w val="0.85883388338834465"/>
          <c:h val="0.70562815842602611"/>
        </c:manualLayout>
      </c:layout>
      <c:lineChart>
        <c:grouping val="standard"/>
        <c:ser>
          <c:idx val="0"/>
          <c:order val="0"/>
          <c:tx>
            <c:strRef>
              <c:f>Sheet1!$A$3</c:f>
              <c:strCache>
                <c:ptCount val="1"/>
                <c:pt idx="0">
                  <c:v>LVL</c:v>
                </c:pt>
              </c:strCache>
            </c:strRef>
          </c:tx>
          <c:spPr>
            <a:ln w="25400">
              <a:solidFill>
                <a:srgbClr val="FF0000"/>
              </a:solidFill>
              <a:prstDash val="solid"/>
            </a:ln>
          </c:spPr>
          <c:marker>
            <c:symbol val="none"/>
          </c:marker>
          <c:cat>
            <c:multiLvlStrRef>
              <c:f>Sheet1!$B$1:$AY$2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Sheet1!$B$3:$AY$3</c:f>
              <c:numCache>
                <c:formatCode>0.0</c:formatCode>
                <c:ptCount val="14"/>
                <c:pt idx="0">
                  <c:v>17.2</c:v>
                </c:pt>
                <c:pt idx="1">
                  <c:v>16.600000000000001</c:v>
                </c:pt>
                <c:pt idx="2">
                  <c:v>16.8</c:v>
                </c:pt>
                <c:pt idx="3">
                  <c:v>15.2</c:v>
                </c:pt>
                <c:pt idx="4">
                  <c:v>17.8</c:v>
                </c:pt>
                <c:pt idx="5">
                  <c:v>15.2</c:v>
                </c:pt>
                <c:pt idx="6">
                  <c:v>16.399999999999999</c:v>
                </c:pt>
                <c:pt idx="7">
                  <c:v>12.5</c:v>
                </c:pt>
                <c:pt idx="8">
                  <c:v>13.6</c:v>
                </c:pt>
                <c:pt idx="9">
                  <c:v>13</c:v>
                </c:pt>
                <c:pt idx="10">
                  <c:v>13.2</c:v>
                </c:pt>
                <c:pt idx="11">
                  <c:v>10.200000000000001</c:v>
                </c:pt>
                <c:pt idx="12">
                  <c:v>11.1</c:v>
                </c:pt>
                <c:pt idx="13" formatCode="General">
                  <c:v>10.3</c:v>
                </c:pt>
              </c:numCache>
            </c:numRef>
          </c:val>
          <c:smooth val="1"/>
        </c:ser>
        <c:ser>
          <c:idx val="2"/>
          <c:order val="1"/>
          <c:tx>
            <c:strRef>
              <c:f>Sheet1!$A$4</c:f>
              <c:strCache>
                <c:ptCount val="1"/>
                <c:pt idx="0">
                  <c:v>EUR</c:v>
                </c:pt>
              </c:strCache>
            </c:strRef>
          </c:tx>
          <c:spPr>
            <a:ln w="25400">
              <a:solidFill>
                <a:schemeClr val="tx1"/>
              </a:solidFill>
              <a:prstDash val="dash"/>
            </a:ln>
          </c:spPr>
          <c:marker>
            <c:symbol val="none"/>
          </c:marker>
          <c:cat>
            <c:multiLvlStrRef>
              <c:f>Sheet1!$B$1:$AY$2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Sheet1!$B$4:$AY$4</c:f>
              <c:numCache>
                <c:formatCode>0.0</c:formatCode>
                <c:ptCount val="14"/>
                <c:pt idx="0">
                  <c:v>6.5</c:v>
                </c:pt>
                <c:pt idx="1">
                  <c:v>7.2</c:v>
                </c:pt>
                <c:pt idx="2">
                  <c:v>7.7</c:v>
                </c:pt>
                <c:pt idx="3">
                  <c:v>7.8</c:v>
                </c:pt>
                <c:pt idx="4">
                  <c:v>7.1</c:v>
                </c:pt>
                <c:pt idx="5">
                  <c:v>7.2</c:v>
                </c:pt>
                <c:pt idx="6">
                  <c:v>7.8</c:v>
                </c:pt>
                <c:pt idx="7">
                  <c:v>7.5</c:v>
                </c:pt>
                <c:pt idx="8">
                  <c:v>8.3000000000000007</c:v>
                </c:pt>
                <c:pt idx="9">
                  <c:v>6.5</c:v>
                </c:pt>
                <c:pt idx="10">
                  <c:v>7.6</c:v>
                </c:pt>
                <c:pt idx="11">
                  <c:v>6.7</c:v>
                </c:pt>
                <c:pt idx="12">
                  <c:v>7</c:v>
                </c:pt>
                <c:pt idx="13" formatCode="General">
                  <c:v>7</c:v>
                </c:pt>
              </c:numCache>
            </c:numRef>
          </c:val>
        </c:ser>
        <c:marker val="1"/>
        <c:axId val="161814016"/>
        <c:axId val="161815552"/>
      </c:lineChart>
      <c:catAx>
        <c:axId val="161814016"/>
        <c:scaling>
          <c:orientation val="minMax"/>
        </c:scaling>
        <c:axPos val="b"/>
        <c:majorGridlines>
          <c:spPr>
            <a:ln w="6350">
              <a:solidFill>
                <a:schemeClr val="bg1">
                  <a:lumMod val="85000"/>
                </a:schemeClr>
              </a:solidFill>
            </a:ln>
          </c:spPr>
        </c:majorGridlines>
        <c:numFmt formatCode="General" sourceLinked="1"/>
        <c:majorTickMark val="none"/>
        <c:tickLblPos val="nextTo"/>
        <c:spPr>
          <a:solidFill>
            <a:sysClr val="window" lastClr="FFFFFF"/>
          </a:solidFill>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1815552"/>
        <c:crosses val="autoZero"/>
        <c:auto val="1"/>
        <c:lblAlgn val="ctr"/>
        <c:lblOffset val="0"/>
        <c:tickLblSkip val="1"/>
        <c:tickMarkSkip val="1"/>
        <c:noMultiLvlLbl val="1"/>
      </c:catAx>
      <c:valAx>
        <c:axId val="161815552"/>
        <c:scaling>
          <c:orientation val="minMax"/>
          <c:max val="25"/>
          <c:min val="0"/>
        </c:scaling>
        <c:axPos val="l"/>
        <c:majorGridlines>
          <c:spPr>
            <a:ln w="6350">
              <a:solidFill>
                <a:schemeClr val="bg1">
                  <a:lumMod val="85000"/>
                </a:schemeClr>
              </a:solidFill>
              <a:prstDash val="solid"/>
            </a:ln>
          </c:spPr>
        </c:majorGridlines>
        <c:numFmt formatCode="0" sourceLinked="0"/>
        <c:tickLblPos val="nextTo"/>
        <c:spPr>
          <a:ln w="3175">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1814016"/>
        <c:crosses val="autoZero"/>
        <c:crossBetween val="between"/>
        <c:majorUnit val="5"/>
      </c:valAx>
      <c:spPr>
        <a:noFill/>
        <a:ln w="6350">
          <a:solidFill>
            <a:schemeClr val="bg1">
              <a:lumMod val="75000"/>
            </a:schemeClr>
          </a:solidFill>
        </a:ln>
      </c:spPr>
    </c:plotArea>
    <c:legend>
      <c:legendPos val="r"/>
      <c:layout>
        <c:manualLayout>
          <c:xMode val="edge"/>
          <c:yMode val="edge"/>
          <c:x val="0.53738989290495309"/>
          <c:y val="0.10974040646432626"/>
          <c:w val="0.38783955906950818"/>
          <c:h val="0.10718196922632377"/>
        </c:manualLayout>
      </c:layout>
      <c:spPr>
        <a:solidFill>
          <a:schemeClr val="bg1"/>
        </a:solidFill>
        <a:ln w="25400">
          <a:noFill/>
        </a:ln>
      </c:spPr>
      <c:txPr>
        <a:bodyPr/>
        <a:lstStyle/>
        <a:p>
          <a:pPr>
            <a:defRPr lang="lv-LV" sz="800" b="0" i="0" u="none" strike="noStrike" baseline="0">
              <a:solidFill>
                <a:srgbClr val="000000"/>
              </a:solidFill>
              <a:latin typeface="Times New Roman" pitchFamily="18" charset="0"/>
              <a:ea typeface="Arial"/>
              <a:cs typeface="Times New Roman" pitchFamily="18" charset="0"/>
            </a:defRPr>
          </a:pPr>
          <a:endParaRPr lang="lv-LV"/>
        </a:p>
      </c:txPr>
    </c:legend>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lv-LV"/>
    </a:p>
  </c:tx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850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Sheet1!$B$3:$S$3</c:f>
              <c:numCache>
                <c:formatCode>0.0</c:formatCode>
                <c:ptCount val="18"/>
                <c:pt idx="0">
                  <c:v>99.591976853892518</c:v>
                </c:pt>
                <c:pt idx="1">
                  <c:v>101.11854063459585</c:v>
                </c:pt>
                <c:pt idx="2">
                  <c:v>102.23139823816797</c:v>
                </c:pt>
                <c:pt idx="3">
                  <c:v>101.93061342544478</c:v>
                </c:pt>
                <c:pt idx="4">
                  <c:v>101.51972566207321</c:v>
                </c:pt>
                <c:pt idx="5">
                  <c:v>102.48782768680317</c:v>
                </c:pt>
                <c:pt idx="6">
                  <c:v>103.26358452330457</c:v>
                </c:pt>
                <c:pt idx="7">
                  <c:v>102.41219255033178</c:v>
                </c:pt>
                <c:pt idx="8">
                  <c:v>100.49179009932838</c:v>
                </c:pt>
                <c:pt idx="9">
                  <c:v>100.8357751885332</c:v>
                </c:pt>
                <c:pt idx="10">
                  <c:v>100.88595219415804</c:v>
                </c:pt>
                <c:pt idx="11">
                  <c:v>100.33502160937903</c:v>
                </c:pt>
                <c:pt idx="12">
                  <c:v>98.967397883325063</c:v>
                </c:pt>
                <c:pt idx="13">
                  <c:v>100.15154749396811</c:v>
                </c:pt>
                <c:pt idx="14">
                  <c:v>100.67868327405409</c:v>
                </c:pt>
                <c:pt idx="15">
                  <c:v>100.23092511428435</c:v>
                </c:pt>
                <c:pt idx="16">
                  <c:v>99.5405523536526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Sheet1!$B$4:$S$4</c:f>
              <c:numCache>
                <c:formatCode>0.0</c:formatCode>
                <c:ptCount val="18"/>
                <c:pt idx="0">
                  <c:v>99.431381589057935</c:v>
                </c:pt>
                <c:pt idx="1">
                  <c:v>101.21407714768711</c:v>
                </c:pt>
                <c:pt idx="2">
                  <c:v>101.75195942830818</c:v>
                </c:pt>
                <c:pt idx="3">
                  <c:v>100.47641001997849</c:v>
                </c:pt>
                <c:pt idx="4">
                  <c:v>100.89134777931459</c:v>
                </c:pt>
                <c:pt idx="5">
                  <c:v>100.90671584447517</c:v>
                </c:pt>
                <c:pt idx="6">
                  <c:v>101.50607038573843</c:v>
                </c:pt>
                <c:pt idx="7">
                  <c:v>100.29199323805132</c:v>
                </c:pt>
                <c:pt idx="8">
                  <c:v>94.067926848009833</c:v>
                </c:pt>
                <c:pt idx="9">
                  <c:v>91.07115414169354</c:v>
                </c:pt>
                <c:pt idx="10">
                  <c:v>91.916397725526338</c:v>
                </c:pt>
                <c:pt idx="11">
                  <c:v>89.211618257261392</c:v>
                </c:pt>
                <c:pt idx="12">
                  <c:v>85.077608729060984</c:v>
                </c:pt>
                <c:pt idx="13">
                  <c:v>85.876748117411637</c:v>
                </c:pt>
                <c:pt idx="14">
                  <c:v>88.858152758567556</c:v>
                </c:pt>
                <c:pt idx="15">
                  <c:v>91.117258337175315</c:v>
                </c:pt>
                <c:pt idx="16">
                  <c:v>90.871369294605771</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Sheet1!$B$5:$S$5</c:f>
              <c:numCache>
                <c:formatCode>0.0</c:formatCode>
                <c:ptCount val="18"/>
                <c:pt idx="0">
                  <c:v>98.465449922818507</c:v>
                </c:pt>
                <c:pt idx="1">
                  <c:v>100.60837192408948</c:v>
                </c:pt>
                <c:pt idx="2">
                  <c:v>102.67865250158883</c:v>
                </c:pt>
                <c:pt idx="3">
                  <c:v>104.31308453645671</c:v>
                </c:pt>
                <c:pt idx="4">
                  <c:v>103.31426495959332</c:v>
                </c:pt>
                <c:pt idx="5">
                  <c:v>103.70471261236719</c:v>
                </c:pt>
                <c:pt idx="6">
                  <c:v>102.83301552710431</c:v>
                </c:pt>
                <c:pt idx="7">
                  <c:v>98.574412058476199</c:v>
                </c:pt>
                <c:pt idx="8">
                  <c:v>95.042222827567414</c:v>
                </c:pt>
                <c:pt idx="9">
                  <c:v>90.738218469081986</c:v>
                </c:pt>
                <c:pt idx="10">
                  <c:v>86.615817670026289</c:v>
                </c:pt>
                <c:pt idx="11">
                  <c:v>84.681739762099227</c:v>
                </c:pt>
                <c:pt idx="12">
                  <c:v>83.183510396803669</c:v>
                </c:pt>
                <c:pt idx="13">
                  <c:v>84.990465813129859</c:v>
                </c:pt>
                <c:pt idx="14">
                  <c:v>87.196949060201575</c:v>
                </c:pt>
                <c:pt idx="15">
                  <c:v>86.352492508853004</c:v>
                </c:pt>
                <c:pt idx="16">
                  <c:v>85.744120584763621</c:v>
                </c:pt>
                <c:pt idx="17">
                  <c:v>87.7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Sheet1!$B$6:$S$6</c:f>
              <c:numCache>
                <c:formatCode>0.0</c:formatCode>
                <c:ptCount val="18"/>
                <c:pt idx="0">
                  <c:v>100.63409424642894</c:v>
                </c:pt>
                <c:pt idx="1">
                  <c:v>103.04365238285941</c:v>
                </c:pt>
                <c:pt idx="2">
                  <c:v>104.13829929248411</c:v>
                </c:pt>
                <c:pt idx="3">
                  <c:v>101.78881324255771</c:v>
                </c:pt>
                <c:pt idx="4">
                  <c:v>100.80763582966223</c:v>
                </c:pt>
                <c:pt idx="5">
                  <c:v>101.79548791883585</c:v>
                </c:pt>
                <c:pt idx="6">
                  <c:v>102.62982245361087</c:v>
                </c:pt>
                <c:pt idx="7">
                  <c:v>100.59404618875978</c:v>
                </c:pt>
                <c:pt idx="8">
                  <c:v>95.654785742891278</c:v>
                </c:pt>
                <c:pt idx="9">
                  <c:v>94.940595381124027</c:v>
                </c:pt>
                <c:pt idx="10">
                  <c:v>95.060739554131558</c:v>
                </c:pt>
                <c:pt idx="11">
                  <c:v>92.3641703377385</c:v>
                </c:pt>
                <c:pt idx="12">
                  <c:v>88.666399679615523</c:v>
                </c:pt>
                <c:pt idx="13">
                  <c:v>88.639700974502688</c:v>
                </c:pt>
                <c:pt idx="14">
                  <c:v>90.188225871045233</c:v>
                </c:pt>
                <c:pt idx="15">
                  <c:v>91.24949939927923</c:v>
                </c:pt>
                <c:pt idx="16">
                  <c:v>89.467360832999518</c:v>
                </c:pt>
              </c:numCache>
            </c:numRef>
          </c:val>
          <c:smooth val="1"/>
        </c:ser>
        <c:marker val="1"/>
        <c:axId val="161886208"/>
        <c:axId val="161887744"/>
      </c:lineChart>
      <c:catAx>
        <c:axId val="16188620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1887744"/>
        <c:crosses val="autoZero"/>
        <c:auto val="1"/>
        <c:lblAlgn val="ctr"/>
        <c:lblOffset val="0"/>
        <c:tickLblSkip val="1"/>
        <c:tickMarkSkip val="1"/>
        <c:noMultiLvlLbl val="1"/>
      </c:catAx>
      <c:valAx>
        <c:axId val="161887744"/>
        <c:scaling>
          <c:orientation val="minMax"/>
          <c:max val="106"/>
          <c:min val="7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1886208"/>
        <c:crosses val="autoZero"/>
        <c:crossBetween val="between"/>
        <c:majorUnit val="3"/>
      </c:valAx>
      <c:spPr>
        <a:noFill/>
        <a:ln w="6350">
          <a:solidFill>
            <a:sysClr val="window" lastClr="FFFFFF">
              <a:lumMod val="75000"/>
            </a:sysClr>
          </a:solidFill>
        </a:ln>
      </c:spPr>
    </c:plotArea>
    <c:legend>
      <c:legendPos val="b"/>
      <c:layout>
        <c:manualLayout>
          <c:xMode val="edge"/>
          <c:yMode val="edge"/>
          <c:x val="0.1247407010471753"/>
          <c:y val="0.57168413978494559"/>
          <c:w val="0.34548471554975296"/>
          <c:h val="0.21741801075269673"/>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43962265235766E-2"/>
          <c:y val="4.5454311441059762E-2"/>
          <c:w val="0.85630777474818265"/>
          <c:h val="0.77702083333338567"/>
        </c:manualLayout>
      </c:layout>
      <c:lineChart>
        <c:grouping val="standard"/>
        <c:ser>
          <c:idx val="0"/>
          <c:order val="0"/>
          <c:tx>
            <c:strRef>
              <c:f>Sheet1!$A$3</c:f>
              <c:strCache>
                <c:ptCount val="1"/>
                <c:pt idx="0">
                  <c:v>Ekonomiski aktīvo iedzīvotāju skaits</c:v>
                </c:pt>
              </c:strCache>
            </c:strRef>
          </c:tx>
          <c:spPr>
            <a:ln w="19050">
              <a:solidFill>
                <a:srgbClr val="000000"/>
              </a:solidFill>
              <a:prstDash val="sysDash"/>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Sheet1!$B$3:$S$3</c:f>
              <c:numCache>
                <c:formatCode>0.0</c:formatCode>
                <c:ptCount val="18"/>
                <c:pt idx="0">
                  <c:v>1164.2</c:v>
                </c:pt>
                <c:pt idx="1">
                  <c:v>1178.5</c:v>
                </c:pt>
                <c:pt idx="2">
                  <c:v>1201.5</c:v>
                </c:pt>
                <c:pt idx="3">
                  <c:v>1213.0999999999999</c:v>
                </c:pt>
                <c:pt idx="4">
                  <c:v>1217.5</c:v>
                </c:pt>
                <c:pt idx="5">
                  <c:v>1218.5</c:v>
                </c:pt>
                <c:pt idx="6">
                  <c:v>1219.9000000000001</c:v>
                </c:pt>
                <c:pt idx="7">
                  <c:v>1204.2</c:v>
                </c:pt>
                <c:pt idx="8">
                  <c:v>1215.4000000000001</c:v>
                </c:pt>
                <c:pt idx="9">
                  <c:v>1199</c:v>
                </c:pt>
                <c:pt idx="10">
                  <c:v>1168.8</c:v>
                </c:pt>
                <c:pt idx="11">
                  <c:v>1162</c:v>
                </c:pt>
                <c:pt idx="12">
                  <c:v>1152.0999999999999</c:v>
                </c:pt>
                <c:pt idx="13">
                  <c:v>1161.7</c:v>
                </c:pt>
                <c:pt idx="14">
                  <c:v>1170.5999999999999</c:v>
                </c:pt>
                <c:pt idx="15">
                  <c:v>1144.0999999999999</c:v>
                </c:pt>
                <c:pt idx="16">
                  <c:v>1132.5</c:v>
                </c:pt>
                <c:pt idx="17">
                  <c:v>1153.4000000000001</c:v>
                </c:pt>
              </c:numCache>
            </c:numRef>
          </c:val>
          <c:smooth val="1"/>
        </c:ser>
        <c:ser>
          <c:idx val="2"/>
          <c:order val="1"/>
          <c:tx>
            <c:strRef>
              <c:f>Sheet1!$A$4</c:f>
              <c:strCache>
                <c:ptCount val="1"/>
                <c:pt idx="0">
                  <c:v>Nodarbināto iedzīvotāju skaits</c:v>
                </c:pt>
              </c:strCache>
            </c:strRef>
          </c:tx>
          <c:spPr>
            <a:ln>
              <a:solidFill>
                <a:srgbClr val="FF0000"/>
              </a:solidFill>
            </a:ln>
          </c:spPr>
          <c:marker>
            <c:symbol val="none"/>
          </c:marker>
          <c:cat>
            <c:multiLvlStrRef>
              <c:f>Sheet1!$B$1:$S$2</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2007</c:v>
                  </c:pt>
                  <c:pt idx="4">
                    <c:v>2008</c:v>
                  </c:pt>
                  <c:pt idx="8">
                    <c:v>2009</c:v>
                  </c:pt>
                  <c:pt idx="12">
                    <c:v>2010</c:v>
                  </c:pt>
                  <c:pt idx="16">
                    <c:v>2011</c:v>
                  </c:pt>
                </c:lvl>
              </c:multiLvlStrCache>
            </c:multiLvlStrRef>
          </c:cat>
          <c:val>
            <c:numRef>
              <c:f>Sheet1!$B$4:$S$4</c:f>
              <c:numCache>
                <c:formatCode>0.0</c:formatCode>
                <c:ptCount val="18"/>
                <c:pt idx="0">
                  <c:v>1084.4000000000001</c:v>
                </c:pt>
                <c:pt idx="1">
                  <c:v>1108</c:v>
                </c:pt>
                <c:pt idx="2">
                  <c:v>1130.8</c:v>
                </c:pt>
                <c:pt idx="3">
                  <c:v>1148.8</c:v>
                </c:pt>
                <c:pt idx="4">
                  <c:v>1137.8</c:v>
                </c:pt>
                <c:pt idx="5">
                  <c:v>1142.0999999999999</c:v>
                </c:pt>
                <c:pt idx="6">
                  <c:v>1132.5</c:v>
                </c:pt>
                <c:pt idx="7">
                  <c:v>1085.5999999999999</c:v>
                </c:pt>
                <c:pt idx="8">
                  <c:v>1046.7</c:v>
                </c:pt>
                <c:pt idx="9">
                  <c:v>999.3</c:v>
                </c:pt>
                <c:pt idx="10">
                  <c:v>953.9</c:v>
                </c:pt>
                <c:pt idx="11">
                  <c:v>932.6</c:v>
                </c:pt>
                <c:pt idx="12">
                  <c:v>916.7</c:v>
                </c:pt>
                <c:pt idx="13">
                  <c:v>935.9</c:v>
                </c:pt>
                <c:pt idx="14">
                  <c:v>960.4</c:v>
                </c:pt>
                <c:pt idx="15">
                  <c:v>950.4</c:v>
                </c:pt>
                <c:pt idx="16">
                  <c:v>944.3</c:v>
                </c:pt>
                <c:pt idx="17">
                  <c:v>966.5</c:v>
                </c:pt>
              </c:numCache>
            </c:numRef>
          </c:val>
          <c:smooth val="1"/>
        </c:ser>
        <c:marker val="1"/>
        <c:axId val="162067968"/>
        <c:axId val="162069504"/>
      </c:lineChart>
      <c:catAx>
        <c:axId val="16206796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069504"/>
        <c:crosses val="autoZero"/>
        <c:auto val="1"/>
        <c:lblAlgn val="ctr"/>
        <c:lblOffset val="0"/>
        <c:tickLblSkip val="1"/>
        <c:tickMarkSkip val="1"/>
        <c:noMultiLvlLbl val="1"/>
      </c:catAx>
      <c:valAx>
        <c:axId val="162069504"/>
        <c:scaling>
          <c:orientation val="minMax"/>
          <c:min val="8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067968"/>
        <c:crosses val="autoZero"/>
        <c:crossBetween val="between"/>
      </c:valAx>
      <c:spPr>
        <a:noFill/>
        <a:ln w="6350">
          <a:solidFill>
            <a:sysClr val="window" lastClr="FFFFFF">
              <a:lumMod val="75000"/>
            </a:sysClr>
          </a:solidFill>
        </a:ln>
      </c:spPr>
    </c:plotArea>
    <c:legend>
      <c:legendPos val="b"/>
      <c:layout>
        <c:manualLayout>
          <c:xMode val="edge"/>
          <c:yMode val="edge"/>
          <c:x val="0.11631816024667202"/>
          <c:y val="0.51550134408601911"/>
          <c:w val="0.42955669824302095"/>
          <c:h val="0.2951671146953405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13403774290374E-2"/>
          <c:y val="3.6529680365296795E-2"/>
          <c:w val="0.91621881614793377"/>
          <c:h val="0.7677868480725627"/>
        </c:manualLayout>
      </c:layout>
      <c:barChart>
        <c:barDir val="col"/>
        <c:grouping val="clustered"/>
        <c:ser>
          <c:idx val="0"/>
          <c:order val="1"/>
          <c:tx>
            <c:strRef>
              <c:f>Sheet1!$A$4</c:f>
              <c:strCache>
                <c:ptCount val="1"/>
                <c:pt idx="0">
                  <c:v>EE</c:v>
                </c:pt>
              </c:strCache>
            </c:strRef>
          </c:tx>
          <c:spPr>
            <a:solidFill>
              <a:sysClr val="window" lastClr="FFFFFF"/>
            </a:solidFill>
            <a:ln w="635">
              <a:solidFill>
                <a:sysClr val="windowText" lastClr="000000"/>
              </a:solidFill>
            </a:ln>
          </c:spPr>
          <c:cat>
            <c:multiLvlStrRef>
              <c:f>Sheet1!$B$1:$AR$2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2009</c:v>
                  </c:pt>
                  <c:pt idx="12">
                    <c:v>2010</c:v>
                  </c:pt>
                  <c:pt idx="24">
                    <c:v>2011</c:v>
                  </c:pt>
                </c:lvl>
              </c:multiLvlStrCache>
            </c:multiLvlStrRef>
          </c:cat>
          <c:val>
            <c:numRef>
              <c:f>Sheet1!$B$4:$AR$4</c:f>
              <c:numCache>
                <c:formatCode>0.000</c:formatCode>
                <c:ptCount val="31"/>
                <c:pt idx="0">
                  <c:v>-0.26600000000000001</c:v>
                </c:pt>
                <c:pt idx="1">
                  <c:v>-0.30200000000000032</c:v>
                </c:pt>
                <c:pt idx="2">
                  <c:v>-0.29400000000000032</c:v>
                </c:pt>
                <c:pt idx="3">
                  <c:v>-0.34200000000000008</c:v>
                </c:pt>
                <c:pt idx="4">
                  <c:v>-0.29000000000000031</c:v>
                </c:pt>
                <c:pt idx="5">
                  <c:v>-0.30100000000000032</c:v>
                </c:pt>
                <c:pt idx="6">
                  <c:v>-0.27600000000000002</c:v>
                </c:pt>
                <c:pt idx="7">
                  <c:v>-0.23900000000000021</c:v>
                </c:pt>
                <c:pt idx="8">
                  <c:v>-0.26100000000000001</c:v>
                </c:pt>
                <c:pt idx="9">
                  <c:v>-0.192</c:v>
                </c:pt>
                <c:pt idx="10">
                  <c:v>-0.12100000000000002</c:v>
                </c:pt>
                <c:pt idx="11">
                  <c:v>-0.10400000000000002</c:v>
                </c:pt>
                <c:pt idx="12">
                  <c:v>-3.500000000000001E-2</c:v>
                </c:pt>
                <c:pt idx="13">
                  <c:v>8.0000000000000227E-3</c:v>
                </c:pt>
                <c:pt idx="14">
                  <c:v>8.1000000000000003E-2</c:v>
                </c:pt>
                <c:pt idx="15">
                  <c:v>0.16800000000000001</c:v>
                </c:pt>
                <c:pt idx="16">
                  <c:v>0.1590000000000005</c:v>
                </c:pt>
                <c:pt idx="17">
                  <c:v>0.18100000000000024</c:v>
                </c:pt>
                <c:pt idx="18">
                  <c:v>0.191</c:v>
                </c:pt>
                <c:pt idx="19">
                  <c:v>0.18000000000000024</c:v>
                </c:pt>
                <c:pt idx="20">
                  <c:v>0.28500000000000031</c:v>
                </c:pt>
                <c:pt idx="21">
                  <c:v>0.36700000000000038</c:v>
                </c:pt>
                <c:pt idx="22">
                  <c:v>0.316000000000001</c:v>
                </c:pt>
                <c:pt idx="23">
                  <c:v>0.36700000000000038</c:v>
                </c:pt>
                <c:pt idx="24">
                  <c:v>0.41400000000000031</c:v>
                </c:pt>
                <c:pt idx="25">
                  <c:v>0.41900000000000032</c:v>
                </c:pt>
                <c:pt idx="26">
                  <c:v>0.43000000000000038</c:v>
                </c:pt>
                <c:pt idx="27">
                  <c:v>0.36900000000000038</c:v>
                </c:pt>
                <c:pt idx="28">
                  <c:v>0.28300000000000008</c:v>
                </c:pt>
                <c:pt idx="29" formatCode="General">
                  <c:v>0.26100000000000001</c:v>
                </c:pt>
                <c:pt idx="30" formatCode="General">
                  <c:v>0.27600000000000002</c:v>
                </c:pt>
              </c:numCache>
            </c:numRef>
          </c:val>
        </c:ser>
        <c:ser>
          <c:idx val="2"/>
          <c:order val="2"/>
          <c:tx>
            <c:strRef>
              <c:f>Sheet1!$A$5</c:f>
              <c:strCache>
                <c:ptCount val="1"/>
                <c:pt idx="0">
                  <c:v>LV</c:v>
                </c:pt>
              </c:strCache>
            </c:strRef>
          </c:tx>
          <c:spPr>
            <a:solidFill>
              <a:srgbClr val="FF0000"/>
            </a:solidFill>
            <a:ln w="635">
              <a:solidFill>
                <a:sysClr val="windowText" lastClr="000000"/>
              </a:solidFill>
            </a:ln>
          </c:spPr>
          <c:cat>
            <c:multiLvlStrRef>
              <c:f>Sheet1!$B$1:$AR$2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2009</c:v>
                  </c:pt>
                  <c:pt idx="12">
                    <c:v>2010</c:v>
                  </c:pt>
                  <c:pt idx="24">
                    <c:v>2011</c:v>
                  </c:pt>
                </c:lvl>
              </c:multiLvlStrCache>
            </c:multiLvlStrRef>
          </c:cat>
          <c:val>
            <c:numRef>
              <c:f>Sheet1!$B$5:$AR$5</c:f>
              <c:numCache>
                <c:formatCode>0.000</c:formatCode>
                <c:ptCount val="31"/>
                <c:pt idx="0">
                  <c:v>-0.254</c:v>
                </c:pt>
                <c:pt idx="1">
                  <c:v>-0.27</c:v>
                </c:pt>
                <c:pt idx="2">
                  <c:v>-0.29200000000000031</c:v>
                </c:pt>
                <c:pt idx="3">
                  <c:v>-0.23</c:v>
                </c:pt>
                <c:pt idx="4">
                  <c:v>-0.21500000000000041</c:v>
                </c:pt>
                <c:pt idx="5">
                  <c:v>-0.21600000000000041</c:v>
                </c:pt>
                <c:pt idx="6">
                  <c:v>-0.20500000000000004</c:v>
                </c:pt>
                <c:pt idx="7">
                  <c:v>-0.15300000000000041</c:v>
                </c:pt>
                <c:pt idx="8">
                  <c:v>-0.17700000000000021</c:v>
                </c:pt>
                <c:pt idx="9">
                  <c:v>-0.16400000000000001</c:v>
                </c:pt>
                <c:pt idx="10">
                  <c:v>-7.0000000000000021E-2</c:v>
                </c:pt>
                <c:pt idx="11">
                  <c:v>-6.8000000000000019E-2</c:v>
                </c:pt>
                <c:pt idx="12">
                  <c:v>5.0000000000000114E-3</c:v>
                </c:pt>
                <c:pt idx="13">
                  <c:v>1.3999999999999999E-2</c:v>
                </c:pt>
                <c:pt idx="14">
                  <c:v>0.11900000000000002</c:v>
                </c:pt>
                <c:pt idx="15">
                  <c:v>0.10700000000000012</c:v>
                </c:pt>
                <c:pt idx="16">
                  <c:v>0.14700000000000021</c:v>
                </c:pt>
                <c:pt idx="17">
                  <c:v>0.15400000000000041</c:v>
                </c:pt>
                <c:pt idx="18">
                  <c:v>0.24600000000000041</c:v>
                </c:pt>
                <c:pt idx="19">
                  <c:v>0.224</c:v>
                </c:pt>
                <c:pt idx="20">
                  <c:v>0.23200000000000001</c:v>
                </c:pt>
                <c:pt idx="21">
                  <c:v>0.27500000000000002</c:v>
                </c:pt>
                <c:pt idx="22">
                  <c:v>0.16200000000000001</c:v>
                </c:pt>
                <c:pt idx="23">
                  <c:v>0.18600000000000044</c:v>
                </c:pt>
                <c:pt idx="24">
                  <c:v>0.12100000000000002</c:v>
                </c:pt>
                <c:pt idx="25">
                  <c:v>0.13900000000000001</c:v>
                </c:pt>
                <c:pt idx="26">
                  <c:v>0.127</c:v>
                </c:pt>
                <c:pt idx="27">
                  <c:v>0.17300000000000001</c:v>
                </c:pt>
                <c:pt idx="28">
                  <c:v>0.14300000000000004</c:v>
                </c:pt>
                <c:pt idx="29" formatCode="General">
                  <c:v>0.14800000000000021</c:v>
                </c:pt>
                <c:pt idx="30" formatCode="General">
                  <c:v>0.10800000000000012</c:v>
                </c:pt>
              </c:numCache>
            </c:numRef>
          </c:val>
        </c:ser>
        <c:ser>
          <c:idx val="3"/>
          <c:order val="3"/>
          <c:tx>
            <c:strRef>
              <c:f>Sheet1!$A$6</c:f>
              <c:strCache>
                <c:ptCount val="1"/>
                <c:pt idx="0">
                  <c:v>LT</c:v>
                </c:pt>
              </c:strCache>
            </c:strRef>
          </c:tx>
          <c:spPr>
            <a:solidFill>
              <a:sysClr val="window" lastClr="FFFFFF">
                <a:lumMod val="75000"/>
              </a:sysClr>
            </a:solidFill>
            <a:ln w="635">
              <a:solidFill>
                <a:sysClr val="windowText" lastClr="000000"/>
              </a:solidFill>
            </a:ln>
          </c:spPr>
          <c:cat>
            <c:multiLvlStrRef>
              <c:f>Sheet1!$B$1:$AR$2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2009</c:v>
                  </c:pt>
                  <c:pt idx="12">
                    <c:v>2010</c:v>
                  </c:pt>
                  <c:pt idx="24">
                    <c:v>2011</c:v>
                  </c:pt>
                </c:lvl>
              </c:multiLvlStrCache>
            </c:multiLvlStrRef>
          </c:cat>
          <c:val>
            <c:numRef>
              <c:f>Sheet1!$B$6:$AR$6</c:f>
              <c:numCache>
                <c:formatCode>0.000</c:formatCode>
                <c:ptCount val="31"/>
                <c:pt idx="0">
                  <c:v>-6.0000000000000032E-2</c:v>
                </c:pt>
                <c:pt idx="1">
                  <c:v>-0.16200000000000001</c:v>
                </c:pt>
                <c:pt idx="2">
                  <c:v>-0.23200000000000001</c:v>
                </c:pt>
                <c:pt idx="3">
                  <c:v>-0.255</c:v>
                </c:pt>
                <c:pt idx="4">
                  <c:v>-0.19400000000000001</c:v>
                </c:pt>
                <c:pt idx="5">
                  <c:v>-0.17700000000000021</c:v>
                </c:pt>
                <c:pt idx="6">
                  <c:v>-0.15000000000000024</c:v>
                </c:pt>
                <c:pt idx="7">
                  <c:v>-0.14200000000000004</c:v>
                </c:pt>
                <c:pt idx="8">
                  <c:v>-0.14700000000000021</c:v>
                </c:pt>
                <c:pt idx="9">
                  <c:v>-0.10099999999999998</c:v>
                </c:pt>
                <c:pt idx="10">
                  <c:v>-0.10300000000000002</c:v>
                </c:pt>
                <c:pt idx="11">
                  <c:v>-0.111</c:v>
                </c:pt>
                <c:pt idx="12">
                  <c:v>-0.11900000000000002</c:v>
                </c:pt>
                <c:pt idx="13">
                  <c:v>-1.8000000000000023E-2</c:v>
                </c:pt>
                <c:pt idx="14">
                  <c:v>-3.0000000000000079E-3</c:v>
                </c:pt>
                <c:pt idx="15">
                  <c:v>6.9000000000000034E-2</c:v>
                </c:pt>
                <c:pt idx="16">
                  <c:v>4.1000000000000002E-2</c:v>
                </c:pt>
                <c:pt idx="17">
                  <c:v>6.4000000000000112E-2</c:v>
                </c:pt>
                <c:pt idx="18">
                  <c:v>7.9000000000000237E-2</c:v>
                </c:pt>
                <c:pt idx="19">
                  <c:v>0.11199999999999995</c:v>
                </c:pt>
                <c:pt idx="20">
                  <c:v>0.10500000000000002</c:v>
                </c:pt>
                <c:pt idx="21">
                  <c:v>0.23300000000000001</c:v>
                </c:pt>
                <c:pt idx="22">
                  <c:v>0.221</c:v>
                </c:pt>
                <c:pt idx="23">
                  <c:v>0.17700000000000021</c:v>
                </c:pt>
                <c:pt idx="24">
                  <c:v>0.27500000000000002</c:v>
                </c:pt>
                <c:pt idx="25">
                  <c:v>0.17300000000000001</c:v>
                </c:pt>
                <c:pt idx="26">
                  <c:v>0.1890000000000005</c:v>
                </c:pt>
                <c:pt idx="27">
                  <c:v>0.10900000000000012</c:v>
                </c:pt>
                <c:pt idx="28">
                  <c:v>0.14300000000000004</c:v>
                </c:pt>
                <c:pt idx="29" formatCode="General">
                  <c:v>0.113</c:v>
                </c:pt>
                <c:pt idx="30" formatCode="General">
                  <c:v>9.5000000000000043E-2</c:v>
                </c:pt>
              </c:numCache>
            </c:numRef>
          </c:val>
        </c:ser>
        <c:gapWidth val="75"/>
        <c:overlap val="-25"/>
        <c:axId val="126041472"/>
        <c:axId val="126322176"/>
      </c:barChart>
      <c:lineChart>
        <c:grouping val="standard"/>
        <c:ser>
          <c:idx val="1"/>
          <c:order val="0"/>
          <c:tx>
            <c:strRef>
              <c:f>Sheet1!$A$3</c:f>
              <c:strCache>
                <c:ptCount val="1"/>
                <c:pt idx="0">
                  <c:v>EU27</c:v>
                </c:pt>
              </c:strCache>
            </c:strRef>
          </c:tx>
          <c:spPr>
            <a:ln w="28575">
              <a:solidFill>
                <a:srgbClr val="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Sheet1!$B$1:$AR$2</c:f>
              <c:multiLvlStrCache>
                <c:ptCount val="3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lvl>
                <c:lvl>
                  <c:pt idx="0">
                    <c:v>2009</c:v>
                  </c:pt>
                  <c:pt idx="12">
                    <c:v>2010</c:v>
                  </c:pt>
                  <c:pt idx="24">
                    <c:v>2011</c:v>
                  </c:pt>
                </c:lvl>
              </c:multiLvlStrCache>
            </c:multiLvlStrRef>
          </c:cat>
          <c:val>
            <c:numRef>
              <c:f>Sheet1!$B$3:$AR$3</c:f>
              <c:numCache>
                <c:formatCode>0.000</c:formatCode>
                <c:ptCount val="31"/>
                <c:pt idx="0">
                  <c:v>-0.18600000000000044</c:v>
                </c:pt>
                <c:pt idx="1">
                  <c:v>-0.19900000000000001</c:v>
                </c:pt>
                <c:pt idx="2">
                  <c:v>-0.19</c:v>
                </c:pt>
                <c:pt idx="3">
                  <c:v>-0.2</c:v>
                </c:pt>
                <c:pt idx="4">
                  <c:v>-0.17500000000000004</c:v>
                </c:pt>
                <c:pt idx="5">
                  <c:v>-0.16700000000000001</c:v>
                </c:pt>
                <c:pt idx="6">
                  <c:v>-0.15700000000000044</c:v>
                </c:pt>
                <c:pt idx="7">
                  <c:v>-0.14700000000000021</c:v>
                </c:pt>
                <c:pt idx="8">
                  <c:v>-0.12400000000000012</c:v>
                </c:pt>
                <c:pt idx="9">
                  <c:v>-0.10900000000000012</c:v>
                </c:pt>
                <c:pt idx="10">
                  <c:v>-6.3E-2</c:v>
                </c:pt>
                <c:pt idx="11">
                  <c:v>-3.7999999999999999E-2</c:v>
                </c:pt>
                <c:pt idx="12">
                  <c:v>2.5000000000000001E-2</c:v>
                </c:pt>
                <c:pt idx="13">
                  <c:v>4.4000000000000032E-2</c:v>
                </c:pt>
                <c:pt idx="14">
                  <c:v>7.6999999999999999E-2</c:v>
                </c:pt>
                <c:pt idx="15">
                  <c:v>8.2000000000000017E-2</c:v>
                </c:pt>
                <c:pt idx="16">
                  <c:v>9.3000000000000208E-2</c:v>
                </c:pt>
                <c:pt idx="17">
                  <c:v>9.1000000000000025E-2</c:v>
                </c:pt>
                <c:pt idx="18">
                  <c:v>8.0000000000000043E-2</c:v>
                </c:pt>
                <c:pt idx="19">
                  <c:v>9.1000000000000025E-2</c:v>
                </c:pt>
                <c:pt idx="20">
                  <c:v>6.8000000000000019E-2</c:v>
                </c:pt>
                <c:pt idx="21">
                  <c:v>7.9000000000000237E-2</c:v>
                </c:pt>
                <c:pt idx="22">
                  <c:v>8.2000000000000017E-2</c:v>
                </c:pt>
                <c:pt idx="23">
                  <c:v>9.1000000000000025E-2</c:v>
                </c:pt>
                <c:pt idx="24">
                  <c:v>8.5000000000000006E-2</c:v>
                </c:pt>
                <c:pt idx="25">
                  <c:v>9.5000000000000043E-2</c:v>
                </c:pt>
                <c:pt idx="26">
                  <c:v>6.4000000000000112E-2</c:v>
                </c:pt>
                <c:pt idx="27">
                  <c:v>6.9000000000000034E-2</c:v>
                </c:pt>
                <c:pt idx="28">
                  <c:v>6.3E-2</c:v>
                </c:pt>
                <c:pt idx="29" formatCode="General">
                  <c:v>2.5000000000000001E-2</c:v>
                </c:pt>
              </c:numCache>
            </c:numRef>
          </c:val>
        </c:ser>
        <c:marker val="1"/>
        <c:axId val="126041472"/>
        <c:axId val="126322176"/>
      </c:lineChart>
      <c:catAx>
        <c:axId val="12604147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26322176"/>
        <c:crosses val="autoZero"/>
        <c:auto val="1"/>
        <c:lblAlgn val="ctr"/>
        <c:lblOffset val="0"/>
        <c:tickLblSkip val="1"/>
        <c:tickMarkSkip val="1"/>
        <c:noMultiLvlLbl val="1"/>
      </c:catAx>
      <c:valAx>
        <c:axId val="126322176"/>
        <c:scaling>
          <c:orientation val="minMax"/>
          <c:max val="0.5"/>
          <c:min val="-0.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26041472"/>
        <c:crosses val="autoZero"/>
        <c:crossBetween val="between"/>
      </c:valAx>
      <c:spPr>
        <a:noFill/>
        <a:ln w="6350">
          <a:solidFill>
            <a:sysClr val="window" lastClr="FFFFFF">
              <a:lumMod val="85000"/>
            </a:sysClr>
          </a:solidFill>
        </a:ln>
      </c:spPr>
    </c:plotArea>
    <c:legend>
      <c:legendPos val="b"/>
      <c:layout>
        <c:manualLayout>
          <c:xMode val="edge"/>
          <c:yMode val="edge"/>
          <c:x val="0.30249139772592298"/>
          <c:y val="9.4373266900959443E-2"/>
          <c:w val="0.25485066997454758"/>
          <c:h val="0.17979558699231968"/>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39971609031714E-2"/>
          <c:y val="6.7100359910809912E-2"/>
          <c:w val="0.93746665518732342"/>
          <c:h val="0.80303287232373222"/>
        </c:manualLayout>
      </c:layout>
      <c:barChart>
        <c:barDir val="col"/>
        <c:grouping val="clustered"/>
        <c:ser>
          <c:idx val="2"/>
          <c:order val="0"/>
          <c:tx>
            <c:strRef>
              <c:f>Sheet1!$A$4</c:f>
              <c:strCache>
                <c:ptCount val="1"/>
                <c:pt idx="0">
                  <c:v>Reģistrētais bezdarba līmenis</c:v>
                </c:pt>
              </c:strCache>
            </c:strRef>
          </c:tx>
          <c:spPr>
            <a:solidFill>
              <a:srgbClr val="FF0000"/>
            </a:solidFill>
            <a:ln>
              <a:solidFill>
                <a:sysClr val="windowText" lastClr="000000"/>
              </a:solidFill>
            </a:ln>
          </c:spPr>
          <c:cat>
            <c:multiLvlStrRef>
              <c:f>Sheet1!$B$1:$AS$3</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Sheet1!$B$4:$AS$4</c:f>
              <c:numCache>
                <c:formatCode>0.0</c:formatCode>
                <c:ptCount val="20"/>
                <c:pt idx="0">
                  <c:v>16.600000000000001</c:v>
                </c:pt>
                <c:pt idx="1">
                  <c:v>17.100000000000001</c:v>
                </c:pt>
                <c:pt idx="2">
                  <c:v>17.3</c:v>
                </c:pt>
                <c:pt idx="3">
                  <c:v>17</c:v>
                </c:pt>
                <c:pt idx="4">
                  <c:v>16.7</c:v>
                </c:pt>
                <c:pt idx="5">
                  <c:v>15.6</c:v>
                </c:pt>
                <c:pt idx="6">
                  <c:v>15.3</c:v>
                </c:pt>
                <c:pt idx="7">
                  <c:v>15</c:v>
                </c:pt>
                <c:pt idx="8">
                  <c:v>14.6</c:v>
                </c:pt>
                <c:pt idx="9">
                  <c:v>14.3</c:v>
                </c:pt>
                <c:pt idx="10" formatCode="General">
                  <c:v>14.3</c:v>
                </c:pt>
                <c:pt idx="11" formatCode="General">
                  <c:v>14.3</c:v>
                </c:pt>
                <c:pt idx="12" formatCode="General">
                  <c:v>14.5</c:v>
                </c:pt>
                <c:pt idx="13" formatCode="General">
                  <c:v>14.5</c:v>
                </c:pt>
                <c:pt idx="14" formatCode="General">
                  <c:v>14.4</c:v>
                </c:pt>
                <c:pt idx="15" formatCode="General">
                  <c:v>13.9</c:v>
                </c:pt>
                <c:pt idx="16" formatCode="General">
                  <c:v>13.2</c:v>
                </c:pt>
                <c:pt idx="17" formatCode="General">
                  <c:v>12.6</c:v>
                </c:pt>
                <c:pt idx="18" formatCode="General">
                  <c:v>12.1</c:v>
                </c:pt>
                <c:pt idx="19" formatCode="General">
                  <c:v>11.8</c:v>
                </c:pt>
              </c:numCache>
            </c:numRef>
          </c:val>
        </c:ser>
        <c:gapWidth val="30"/>
        <c:overlap val="50"/>
        <c:axId val="161310976"/>
        <c:axId val="161710080"/>
      </c:barChart>
      <c:catAx>
        <c:axId val="161310976"/>
        <c:scaling>
          <c:orientation val="minMax"/>
        </c:scaling>
        <c:axPos val="b"/>
        <c:majorGridlines>
          <c:spPr>
            <a:ln>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a:latin typeface="Arial" pitchFamily="34" charset="0"/>
                <a:cs typeface="Arial" pitchFamily="34" charset="0"/>
              </a:defRPr>
            </a:pPr>
            <a:endParaRPr lang="lv-LV"/>
          </a:p>
        </c:txPr>
        <c:crossAx val="161710080"/>
        <c:crosses val="autoZero"/>
        <c:lblAlgn val="ctr"/>
        <c:lblOffset val="0"/>
        <c:tickLblSkip val="1"/>
        <c:tickMarkSkip val="1"/>
        <c:noMultiLvlLbl val="1"/>
      </c:catAx>
      <c:valAx>
        <c:axId val="161710080"/>
        <c:scaling>
          <c:orientation val="minMax"/>
          <c:max val="18"/>
          <c:min val="6"/>
        </c:scaling>
        <c:axPos val="l"/>
        <c:majorGridlines>
          <c:spPr>
            <a:ln w="6350">
              <a:solidFill>
                <a:sysClr val="window" lastClr="FFFFFF">
                  <a:lumMod val="85000"/>
                </a:sysClr>
              </a:solidFill>
              <a:prstDash val="solid"/>
            </a:ln>
          </c:spPr>
        </c:majorGridlines>
        <c:numFmt formatCode="0" sourceLinked="0"/>
        <c:majorTickMark val="none"/>
        <c:tickLblPos val="nextTo"/>
        <c:spPr>
          <a:ln w="9525">
            <a:solidFill>
              <a:sysClr val="windowText" lastClr="000000"/>
            </a:solidFill>
          </a:ln>
        </c:spPr>
        <c:txPr>
          <a:bodyPr rot="0" vert="horz"/>
          <a:lstStyle/>
          <a:p>
            <a:pPr>
              <a:defRPr lang="lv-LV" sz="800">
                <a:latin typeface="Arial" pitchFamily="34" charset="0"/>
                <a:cs typeface="Arial" pitchFamily="34" charset="0"/>
              </a:defRPr>
            </a:pPr>
            <a:endParaRPr lang="lv-LV"/>
          </a:p>
        </c:txPr>
        <c:crossAx val="161310976"/>
        <c:crosses val="autoZero"/>
        <c:crossBetween val="between"/>
        <c:majorUnit val="2"/>
      </c:valAx>
      <c:spPr>
        <a:solidFill>
          <a:srgbClr val="FFFFFF"/>
        </a:solidFill>
        <a:ln w="6350">
          <a:solidFill>
            <a:sysClr val="window" lastClr="FFFFFF">
              <a:lumMod val="75000"/>
            </a:sysClr>
          </a:solidFill>
        </a:ln>
      </c:spPr>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Arial"/>
        </a:defRPr>
      </a:pPr>
      <a:endParaRPr lang="lv-LV"/>
    </a:p>
  </c:txPr>
  <c:externalData r:id="rId2"/>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8501321015776"/>
          <c:y val="3.6529680365296795E-2"/>
          <c:w val="0.89621498678984157"/>
          <c:h val="0.83145075077132757"/>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Sheet1!$B$4:$O$4</c:f>
              <c:numCache>
                <c:formatCode>0.000</c:formatCode>
                <c:ptCount val="14"/>
                <c:pt idx="0">
                  <c:v>4.2000000000000023E-2</c:v>
                </c:pt>
                <c:pt idx="1">
                  <c:v>4.0000000000000022E-2</c:v>
                </c:pt>
                <c:pt idx="2" formatCode="General">
                  <c:v>6.2000000000000034E-2</c:v>
                </c:pt>
                <c:pt idx="3" formatCode="General">
                  <c:v>7.5999999999999998E-2</c:v>
                </c:pt>
                <c:pt idx="4" formatCode="General">
                  <c:v>0.114</c:v>
                </c:pt>
                <c:pt idx="5" formatCode="General">
                  <c:v>0.13500000000000001</c:v>
                </c:pt>
                <c:pt idx="6" formatCode="General">
                  <c:v>0.14600000000000019</c:v>
                </c:pt>
                <c:pt idx="7" formatCode="General">
                  <c:v>0.15500000000000022</c:v>
                </c:pt>
                <c:pt idx="8" formatCode="General">
                  <c:v>0.19800000000000001</c:v>
                </c:pt>
                <c:pt idx="9" formatCode="General">
                  <c:v>0.18600000000000025</c:v>
                </c:pt>
                <c:pt idx="10" formatCode="General">
                  <c:v>0.15500000000000022</c:v>
                </c:pt>
                <c:pt idx="11" formatCode="General">
                  <c:v>0.13600000000000001</c:v>
                </c:pt>
                <c:pt idx="12">
                  <c:v>0.14400000000000004</c:v>
                </c:pt>
                <c:pt idx="13" formatCode="General">
                  <c:v>0.13300000000000001</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Sheet1!$B$5:$O$5</c:f>
              <c:numCache>
                <c:formatCode>0.000</c:formatCode>
                <c:ptCount val="14"/>
                <c:pt idx="0">
                  <c:v>6.5000000000000002E-2</c:v>
                </c:pt>
                <c:pt idx="1">
                  <c:v>6.3E-2</c:v>
                </c:pt>
                <c:pt idx="2" formatCode="General">
                  <c:v>7.2000000000000022E-2</c:v>
                </c:pt>
                <c:pt idx="3" formatCode="General">
                  <c:v>9.9000000000000046E-2</c:v>
                </c:pt>
                <c:pt idx="4" formatCode="General">
                  <c:v>0.13900000000000001</c:v>
                </c:pt>
                <c:pt idx="5" formatCode="General">
                  <c:v>0.16700000000000001</c:v>
                </c:pt>
                <c:pt idx="6" formatCode="General">
                  <c:v>0.18400000000000019</c:v>
                </c:pt>
                <c:pt idx="7" formatCode="General">
                  <c:v>0.19700000000000001</c:v>
                </c:pt>
                <c:pt idx="8" formatCode="General">
                  <c:v>0.20500000000000004</c:v>
                </c:pt>
                <c:pt idx="9" formatCode="General">
                  <c:v>0.19400000000000001</c:v>
                </c:pt>
                <c:pt idx="10" formatCode="General">
                  <c:v>0.17900000000000019</c:v>
                </c:pt>
                <c:pt idx="11" formatCode="General">
                  <c:v>0.16900000000000001</c:v>
                </c:pt>
                <c:pt idx="12">
                  <c:v>0.16600000000000001</c:v>
                </c:pt>
                <c:pt idx="13" formatCode="General">
                  <c:v>0.16200000000000001</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Sheet1!$B$6:$O$6</c:f>
              <c:numCache>
                <c:formatCode>0.000</c:formatCode>
                <c:ptCount val="14"/>
                <c:pt idx="0">
                  <c:v>4.9000000000000064E-2</c:v>
                </c:pt>
                <c:pt idx="1">
                  <c:v>4.5000000000000012E-2</c:v>
                </c:pt>
                <c:pt idx="2" formatCode="General">
                  <c:v>6.0000000000000032E-2</c:v>
                </c:pt>
                <c:pt idx="3" formatCode="General">
                  <c:v>7.9000000000000098E-2</c:v>
                </c:pt>
                <c:pt idx="4" formatCode="General">
                  <c:v>0.11900000000000002</c:v>
                </c:pt>
                <c:pt idx="5" formatCode="General">
                  <c:v>0.13600000000000001</c:v>
                </c:pt>
                <c:pt idx="6" formatCode="General">
                  <c:v>0.13800000000000001</c:v>
                </c:pt>
                <c:pt idx="7" formatCode="General">
                  <c:v>0.15600000000000022</c:v>
                </c:pt>
                <c:pt idx="8" formatCode="General">
                  <c:v>0.18100000000000022</c:v>
                </c:pt>
                <c:pt idx="9" formatCode="General">
                  <c:v>0.18300000000000019</c:v>
                </c:pt>
                <c:pt idx="10" formatCode="General">
                  <c:v>0.17800000000000021</c:v>
                </c:pt>
                <c:pt idx="11" formatCode="General">
                  <c:v>0.17100000000000001</c:v>
                </c:pt>
                <c:pt idx="12" formatCode="General">
                  <c:v>0.17200000000000001</c:v>
                </c:pt>
                <c:pt idx="13" formatCode="General">
                  <c:v>0.15600000000000022</c:v>
                </c:pt>
              </c:numCache>
            </c:numRef>
          </c:val>
        </c:ser>
        <c:gapWidth val="75"/>
        <c:overlap val="-25"/>
        <c:axId val="162486912"/>
        <c:axId val="16249728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0.000</c:formatCode>
                <c:ptCount val="14"/>
                <c:pt idx="0">
                  <c:v>7.0999999999999994E-2</c:v>
                </c:pt>
                <c:pt idx="1">
                  <c:v>6.9000000000000034E-2</c:v>
                </c:pt>
                <c:pt idx="2" formatCode="General">
                  <c:v>6.9000000000000034E-2</c:v>
                </c:pt>
                <c:pt idx="3" formatCode="General">
                  <c:v>7.4000000000000024E-2</c:v>
                </c:pt>
                <c:pt idx="4" formatCode="General">
                  <c:v>8.8000000000000064E-2</c:v>
                </c:pt>
                <c:pt idx="5" formatCode="General">
                  <c:v>8.8000000000000064E-2</c:v>
                </c:pt>
                <c:pt idx="6" formatCode="General">
                  <c:v>9.0000000000000024E-2</c:v>
                </c:pt>
                <c:pt idx="7" formatCode="General">
                  <c:v>9.4000000000000028E-2</c:v>
                </c:pt>
                <c:pt idx="8" formatCode="General">
                  <c:v>0.10199999999999998</c:v>
                </c:pt>
                <c:pt idx="9" formatCode="General">
                  <c:v>9.6000000000000002E-2</c:v>
                </c:pt>
                <c:pt idx="10" formatCode="General">
                  <c:v>9.4000000000000028E-2</c:v>
                </c:pt>
                <c:pt idx="11" formatCode="General">
                  <c:v>9.6000000000000002E-2</c:v>
                </c:pt>
                <c:pt idx="12">
                  <c:v>9.9000000000000046E-2</c:v>
                </c:pt>
                <c:pt idx="13" formatCode="General">
                  <c:v>9.4000000000000028E-2</c:v>
                </c:pt>
              </c:numCache>
            </c:numRef>
          </c:val>
        </c:ser>
        <c:marker val="1"/>
        <c:axId val="162486912"/>
        <c:axId val="162497280"/>
      </c:lineChart>
      <c:catAx>
        <c:axId val="16248691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497280"/>
        <c:crosses val="autoZero"/>
        <c:auto val="1"/>
        <c:lblAlgn val="ctr"/>
        <c:lblOffset val="0"/>
        <c:tickLblSkip val="1"/>
        <c:tickMarkSkip val="1"/>
        <c:noMultiLvlLbl val="1"/>
      </c:catAx>
      <c:valAx>
        <c:axId val="162497280"/>
        <c:scaling>
          <c:orientation val="minMax"/>
          <c:max val="0.24000000000000021"/>
          <c:min val="0"/>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486912"/>
        <c:crosses val="autoZero"/>
        <c:crossBetween val="between"/>
        <c:majorUnit val="4.0000000000000022E-2"/>
      </c:valAx>
      <c:spPr>
        <a:noFill/>
        <a:ln w="6350">
          <a:solidFill>
            <a:sysClr val="window" lastClr="FFFFFF">
              <a:lumMod val="75000"/>
            </a:sysClr>
          </a:solidFill>
        </a:ln>
      </c:spPr>
    </c:plotArea>
    <c:legend>
      <c:legendPos val="b"/>
      <c:layout>
        <c:manualLayout>
          <c:xMode val="edge"/>
          <c:yMode val="edge"/>
          <c:x val="0.15138927789673676"/>
          <c:y val="6.2671296296296294E-2"/>
          <c:w val="0.39031297046078978"/>
          <c:h val="0.1529404072039332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6384742222051069"/>
          <c:y val="4.0969286992042032E-2"/>
          <c:w val="0.87710149997121611"/>
          <c:h val="0.85412278526677055"/>
        </c:manualLayout>
      </c:layout>
      <c:lineChart>
        <c:grouping val="standard"/>
        <c:ser>
          <c:idx val="0"/>
          <c:order val="0"/>
          <c:tx>
            <c:strRef>
              <c:f>Sheet1!$A$2</c:f>
              <c:strCache>
                <c:ptCount val="1"/>
                <c:pt idx="0">
                  <c:v>2008</c:v>
                </c:pt>
              </c:strCache>
            </c:strRef>
          </c:tx>
          <c:spPr>
            <a:ln w="12700">
              <a:solidFill>
                <a:srgbClr val="000000"/>
              </a:solidFill>
              <a:prstDash val="sys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446</c:v>
                </c:pt>
                <c:pt idx="1">
                  <c:v>449</c:v>
                </c:pt>
                <c:pt idx="2">
                  <c:v>465</c:v>
                </c:pt>
                <c:pt idx="3">
                  <c:v>469</c:v>
                </c:pt>
                <c:pt idx="4">
                  <c:v>473</c:v>
                </c:pt>
                <c:pt idx="5">
                  <c:v>490</c:v>
                </c:pt>
                <c:pt idx="6">
                  <c:v>504</c:v>
                </c:pt>
                <c:pt idx="7">
                  <c:v>474</c:v>
                </c:pt>
                <c:pt idx="8">
                  <c:v>482</c:v>
                </c:pt>
                <c:pt idx="9">
                  <c:v>489</c:v>
                </c:pt>
                <c:pt idx="10">
                  <c:v>486</c:v>
                </c:pt>
                <c:pt idx="11">
                  <c:v>526</c:v>
                </c:pt>
              </c:numCache>
            </c:numRef>
          </c:val>
          <c:smooth val="1"/>
        </c:ser>
        <c:ser>
          <c:idx val="2"/>
          <c:order val="1"/>
          <c:tx>
            <c:strRef>
              <c:f>Sheet1!$A$3</c:f>
              <c:strCache>
                <c:ptCount val="1"/>
                <c:pt idx="0">
                  <c:v>2009</c:v>
                </c:pt>
              </c:strCache>
            </c:strRef>
          </c:tx>
          <c:spPr>
            <a:ln w="15875">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471</c:v>
                </c:pt>
                <c:pt idx="1">
                  <c:v>464</c:v>
                </c:pt>
                <c:pt idx="2">
                  <c:v>475</c:v>
                </c:pt>
                <c:pt idx="3">
                  <c:v>470</c:v>
                </c:pt>
                <c:pt idx="4">
                  <c:v>470</c:v>
                </c:pt>
                <c:pt idx="5">
                  <c:v>482</c:v>
                </c:pt>
                <c:pt idx="6">
                  <c:v>483</c:v>
                </c:pt>
                <c:pt idx="7">
                  <c:v>450</c:v>
                </c:pt>
                <c:pt idx="8">
                  <c:v>433</c:v>
                </c:pt>
                <c:pt idx="9">
                  <c:v>429</c:v>
                </c:pt>
                <c:pt idx="10">
                  <c:v>426</c:v>
                </c:pt>
                <c:pt idx="11">
                  <c:v>465</c:v>
                </c:pt>
              </c:numCache>
            </c:numRef>
          </c:val>
          <c:smooth val="1"/>
        </c:ser>
        <c:ser>
          <c:idx val="4"/>
          <c:order val="2"/>
          <c:tx>
            <c:strRef>
              <c:f>Sheet1!$A$4</c:f>
              <c:strCache>
                <c:ptCount val="1"/>
                <c:pt idx="0">
                  <c:v>2010</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427</c:v>
                </c:pt>
                <c:pt idx="1">
                  <c:v>426</c:v>
                </c:pt>
                <c:pt idx="2">
                  <c:v>441</c:v>
                </c:pt>
                <c:pt idx="3">
                  <c:v>442</c:v>
                </c:pt>
                <c:pt idx="4">
                  <c:v>443</c:v>
                </c:pt>
                <c:pt idx="5">
                  <c:v>447</c:v>
                </c:pt>
                <c:pt idx="6">
                  <c:v>456</c:v>
                </c:pt>
                <c:pt idx="7">
                  <c:v>445</c:v>
                </c:pt>
                <c:pt idx="8">
                  <c:v>442</c:v>
                </c:pt>
                <c:pt idx="9">
                  <c:v>443</c:v>
                </c:pt>
                <c:pt idx="10">
                  <c:v>442</c:v>
                </c:pt>
                <c:pt idx="11">
                  <c:v>479</c:v>
                </c:pt>
              </c:numCache>
            </c:numRef>
          </c:val>
          <c:smooth val="1"/>
        </c:ser>
        <c:ser>
          <c:idx val="1"/>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448</c:v>
                </c:pt>
                <c:pt idx="1">
                  <c:v>440</c:v>
                </c:pt>
                <c:pt idx="2">
                  <c:v>464</c:v>
                </c:pt>
                <c:pt idx="3">
                  <c:v>461</c:v>
                </c:pt>
                <c:pt idx="4">
                  <c:v>463</c:v>
                </c:pt>
                <c:pt idx="5">
                  <c:v>481</c:v>
                </c:pt>
              </c:numCache>
            </c:numRef>
          </c:val>
          <c:smooth val="1"/>
        </c:ser>
        <c:marker val="1"/>
        <c:axId val="162534144"/>
        <c:axId val="162535680"/>
      </c:lineChart>
      <c:catAx>
        <c:axId val="16253414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2535680"/>
        <c:crosses val="autoZero"/>
        <c:auto val="1"/>
        <c:lblAlgn val="ctr"/>
        <c:lblOffset val="100"/>
        <c:tickLblSkip val="1"/>
        <c:tickMarkSkip val="1"/>
      </c:catAx>
      <c:valAx>
        <c:axId val="162535680"/>
        <c:scaling>
          <c:orientation val="minMax"/>
          <c:min val="400"/>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2534144"/>
        <c:crosses val="autoZero"/>
        <c:crossBetween val="between"/>
        <c:majorUnit val="50"/>
      </c:valAx>
      <c:spPr>
        <a:solidFill>
          <a:sysClr val="window" lastClr="FFFFFF"/>
        </a:solidFill>
        <a:ln w="6350">
          <a:solidFill>
            <a:schemeClr val="bg1">
              <a:lumMod val="75000"/>
            </a:schemeClr>
          </a:solidFill>
        </a:ln>
      </c:spPr>
    </c:plotArea>
    <c:legend>
      <c:legendPos val="l"/>
      <c:layout>
        <c:manualLayout>
          <c:xMode val="edge"/>
          <c:yMode val="edge"/>
          <c:x val="0.14825699971260536"/>
          <c:y val="8.6627542009496669E-2"/>
          <c:w val="0.71093629330243568"/>
          <c:h val="0.17996565298893821"/>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930968602482495"/>
          <c:y val="4.0969363134540922E-2"/>
          <c:w val="0.82932225168394014"/>
          <c:h val="0.8143328272306769"/>
        </c:manualLayout>
      </c:layout>
      <c:barChart>
        <c:barDir val="col"/>
        <c:grouping val="clustered"/>
        <c:ser>
          <c:idx val="0"/>
          <c:order val="0"/>
          <c:tx>
            <c:strRef>
              <c:f>Sheet1!$A$3</c:f>
              <c:strCache>
                <c:ptCount val="1"/>
                <c:pt idx="0">
                  <c:v>%</c:v>
                </c:pt>
              </c:strCache>
            </c:strRef>
          </c:tx>
          <c:spPr>
            <a:solidFill>
              <a:srgbClr val="FF0000"/>
            </a:solidFill>
            <a:ln w="9525">
              <a:solidFill>
                <a:schemeClr val="tx1"/>
              </a:solidFill>
              <a:prstDash val="solid"/>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c:formatCode>
                <c:ptCount val="14"/>
                <c:pt idx="0">
                  <c:v>27.966101694915189</c:v>
                </c:pt>
                <c:pt idx="1">
                  <c:v>23.575129533678641</c:v>
                </c:pt>
                <c:pt idx="2">
                  <c:v>20.544554455445535</c:v>
                </c:pt>
                <c:pt idx="3">
                  <c:v>12.107623318385636</c:v>
                </c:pt>
                <c:pt idx="4">
                  <c:v>3.752759381898457</c:v>
                </c:pt>
                <c:pt idx="5">
                  <c:v>-0.62893081761007508</c:v>
                </c:pt>
                <c:pt idx="6">
                  <c:v>-6.3655030800821404</c:v>
                </c:pt>
                <c:pt idx="7">
                  <c:v>-12</c:v>
                </c:pt>
                <c:pt idx="8">
                  <c:v>-8.0851063829787222</c:v>
                </c:pt>
                <c:pt idx="9">
                  <c:v>-6.3291139240506311</c:v>
                </c:pt>
                <c:pt idx="10">
                  <c:v>-1.7543859649122973</c:v>
                </c:pt>
                <c:pt idx="11">
                  <c:v>3.4090909090909207</c:v>
                </c:pt>
                <c:pt idx="12">
                  <c:v>4.3981481481481381</c:v>
                </c:pt>
                <c:pt idx="13">
                  <c:v>5.6306306306306384</c:v>
                </c:pt>
              </c:numCache>
            </c:numRef>
          </c:val>
        </c:ser>
        <c:gapWidth val="25"/>
        <c:axId val="161765248"/>
        <c:axId val="161766784"/>
      </c:barChart>
      <c:catAx>
        <c:axId val="161765248"/>
        <c:scaling>
          <c:orientation val="minMax"/>
        </c:scaling>
        <c:axPos val="b"/>
        <c:majorGridlines>
          <c:spPr>
            <a:ln>
              <a:solidFill>
                <a:schemeClr val="bg1">
                  <a:lumMod val="85000"/>
                </a:schemeClr>
              </a:solidFill>
            </a:ln>
          </c:spPr>
        </c:majorGridlines>
        <c:numFmt formatCode="General" sourceLinked="1"/>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1766784"/>
        <c:crosses val="autoZero"/>
        <c:auto val="1"/>
        <c:lblAlgn val="ctr"/>
        <c:lblOffset val="100"/>
        <c:tickLblSkip val="1"/>
        <c:tickMarkSkip val="1"/>
        <c:noMultiLvlLbl val="1"/>
      </c:catAx>
      <c:valAx>
        <c:axId val="161766784"/>
        <c:scaling>
          <c:orientation val="minMax"/>
        </c:scaling>
        <c:axPos val="l"/>
        <c:majorGridlines>
          <c:spPr>
            <a:ln w="6350">
              <a:solidFill>
                <a:schemeClr val="bg1">
                  <a:lumMod val="7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1765248"/>
        <c:crosses val="autoZero"/>
        <c:crossBetween val="between"/>
      </c:valAx>
      <c:spPr>
        <a:solidFill>
          <a:sysClr val="window" lastClr="FFFFFF"/>
        </a:solid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0049372483410372"/>
          <c:y val="4.0969363134540922E-2"/>
          <c:w val="0.83120345746636093"/>
          <c:h val="0.8143328272306769"/>
        </c:manualLayout>
      </c:layout>
      <c:lineChart>
        <c:grouping val="standard"/>
        <c:ser>
          <c:idx val="0"/>
          <c:order val="0"/>
          <c:tx>
            <c:strRef>
              <c:f>Sheet1!$A$3</c:f>
              <c:strCache>
                <c:ptCount val="1"/>
                <c:pt idx="0">
                  <c:v>   Sabiedriskajā sektorā</c:v>
                </c:pt>
              </c:strCache>
            </c:strRef>
          </c:tx>
          <c:spPr>
            <a:ln w="22225">
              <a:solidFill>
                <a:srgbClr val="000000"/>
              </a:solidFill>
              <a:prstDash val="sysDash"/>
            </a:ln>
          </c:spPr>
          <c:marker>
            <c:symbol val="none"/>
          </c:marker>
          <c:cat>
            <c:multiLvlStrRef>
              <c:f>Sheet1!$B$1:$AQ$2</c:f>
              <c:multiLvlStrCache>
                <c:ptCount val="4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lvl>
                <c:lvl>
                  <c:pt idx="0">
                    <c:v>2008</c:v>
                  </c:pt>
                  <c:pt idx="12">
                    <c:v>2009</c:v>
                  </c:pt>
                  <c:pt idx="24">
                    <c:v>2010</c:v>
                  </c:pt>
                  <c:pt idx="36">
                    <c:v>2011</c:v>
                  </c:pt>
                </c:lvl>
              </c:multiLvlStrCache>
            </c:multiLvlStrRef>
          </c:cat>
          <c:val>
            <c:numRef>
              <c:f>Sheet1!$B$3:$AQ$3</c:f>
              <c:numCache>
                <c:formatCode>0.0</c:formatCode>
                <c:ptCount val="42"/>
                <c:pt idx="0">
                  <c:v>101.83662760188909</c:v>
                </c:pt>
                <c:pt idx="1">
                  <c:v>103.77820535245702</c:v>
                </c:pt>
                <c:pt idx="2">
                  <c:v>105.96466678327864</c:v>
                </c:pt>
                <c:pt idx="3">
                  <c:v>107.62637747070077</c:v>
                </c:pt>
                <c:pt idx="4">
                  <c:v>109.55046352982332</c:v>
                </c:pt>
                <c:pt idx="5">
                  <c:v>111.38709113171241</c:v>
                </c:pt>
                <c:pt idx="6">
                  <c:v>113.45111072240681</c:v>
                </c:pt>
                <c:pt idx="7">
                  <c:v>115.06034633549014</c:v>
                </c:pt>
                <c:pt idx="8">
                  <c:v>116.66958194857438</c:v>
                </c:pt>
                <c:pt idx="9">
                  <c:v>117.85901696694066</c:v>
                </c:pt>
                <c:pt idx="10">
                  <c:v>118.59366800769628</c:v>
                </c:pt>
                <c:pt idx="11">
                  <c:v>118.926010145181</c:v>
                </c:pt>
                <c:pt idx="12">
                  <c:v>119.25835228266537</c:v>
                </c:pt>
                <c:pt idx="13">
                  <c:v>119.41577750568418</c:v>
                </c:pt>
                <c:pt idx="14">
                  <c:v>118.89102676228786</c:v>
                </c:pt>
                <c:pt idx="15">
                  <c:v>118.62865139058879</c:v>
                </c:pt>
                <c:pt idx="16">
                  <c:v>118.22634248731846</c:v>
                </c:pt>
                <c:pt idx="17">
                  <c:v>117.26429945775783</c:v>
                </c:pt>
                <c:pt idx="18">
                  <c:v>116.26727304530401</c:v>
                </c:pt>
                <c:pt idx="19">
                  <c:v>115.23526324995662</c:v>
                </c:pt>
                <c:pt idx="20">
                  <c:v>113.24121042504882</c:v>
                </c:pt>
                <c:pt idx="21">
                  <c:v>111.00227391988801</c:v>
                </c:pt>
                <c:pt idx="22">
                  <c:v>108.25607836277733</c:v>
                </c:pt>
                <c:pt idx="23">
                  <c:v>105.70229141157947</c:v>
                </c:pt>
                <c:pt idx="24">
                  <c:v>104.33793947874787</c:v>
                </c:pt>
                <c:pt idx="25">
                  <c:v>103.11352107748795</c:v>
                </c:pt>
                <c:pt idx="26">
                  <c:v>101.87161098478219</c:v>
                </c:pt>
                <c:pt idx="27">
                  <c:v>100.90956795522123</c:v>
                </c:pt>
                <c:pt idx="28">
                  <c:v>99.877558159873701</c:v>
                </c:pt>
                <c:pt idx="29">
                  <c:v>98.635648067168049</c:v>
                </c:pt>
                <c:pt idx="30">
                  <c:v>97.568654888927725</c:v>
                </c:pt>
                <c:pt idx="31">
                  <c:v>97.253804442889589</c:v>
                </c:pt>
                <c:pt idx="32">
                  <c:v>97.516179814587858</c:v>
                </c:pt>
                <c:pt idx="33">
                  <c:v>97.970963792198674</c:v>
                </c:pt>
                <c:pt idx="34">
                  <c:v>98.408256078362797</c:v>
                </c:pt>
                <c:pt idx="35">
                  <c:v>98.740598215847527</c:v>
                </c:pt>
                <c:pt idx="36">
                  <c:v>99.230365576351218</c:v>
                </c:pt>
                <c:pt idx="37">
                  <c:v>99.650166171068719</c:v>
                </c:pt>
                <c:pt idx="38">
                  <c:v>100.20990029735876</c:v>
                </c:pt>
                <c:pt idx="39">
                  <c:v>100.68217596641563</c:v>
                </c:pt>
                <c:pt idx="40">
                  <c:v>101.04950148679377</c:v>
                </c:pt>
                <c:pt idx="41">
                  <c:v>101.97656113346103</c:v>
                </c:pt>
              </c:numCache>
            </c:numRef>
          </c:val>
          <c:smooth val="1"/>
        </c:ser>
        <c:ser>
          <c:idx val="2"/>
          <c:order val="1"/>
          <c:tx>
            <c:strRef>
              <c:f>Sheet1!$A$4</c:f>
              <c:strCache>
                <c:ptCount val="1"/>
                <c:pt idx="0">
                  <c:v>   Privātajā sektorā</c:v>
                </c:pt>
              </c:strCache>
            </c:strRef>
          </c:tx>
          <c:spPr>
            <a:ln w="22225">
              <a:solidFill>
                <a:srgbClr val="FF0000"/>
              </a:solidFill>
              <a:prstDash val="solid"/>
            </a:ln>
          </c:spPr>
          <c:marker>
            <c:symbol val="none"/>
          </c:marker>
          <c:cat>
            <c:multiLvlStrRef>
              <c:f>Sheet1!$B$1:$AQ$2</c:f>
              <c:multiLvlStrCache>
                <c:ptCount val="4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lvl>
                <c:lvl>
                  <c:pt idx="0">
                    <c:v>2008</c:v>
                  </c:pt>
                  <c:pt idx="12">
                    <c:v>2009</c:v>
                  </c:pt>
                  <c:pt idx="24">
                    <c:v>2010</c:v>
                  </c:pt>
                  <c:pt idx="36">
                    <c:v>2011</c:v>
                  </c:pt>
                </c:lvl>
              </c:multiLvlStrCache>
            </c:multiLvlStrRef>
          </c:cat>
          <c:val>
            <c:numRef>
              <c:f>Sheet1!$B$4:$AQ$4</c:f>
              <c:numCache>
                <c:formatCode>0.0</c:formatCode>
                <c:ptCount val="42"/>
                <c:pt idx="0">
                  <c:v>102.1678966789668</c:v>
                </c:pt>
                <c:pt idx="1">
                  <c:v>104.47416974169798</c:v>
                </c:pt>
                <c:pt idx="2">
                  <c:v>106.41143911439117</c:v>
                </c:pt>
                <c:pt idx="3">
                  <c:v>108.57933579335766</c:v>
                </c:pt>
                <c:pt idx="4">
                  <c:v>110.47047970479709</c:v>
                </c:pt>
                <c:pt idx="5">
                  <c:v>112.24630996309969</c:v>
                </c:pt>
                <c:pt idx="6">
                  <c:v>114.04520295202926</c:v>
                </c:pt>
                <c:pt idx="7">
                  <c:v>115.5673431734314</c:v>
                </c:pt>
                <c:pt idx="8">
                  <c:v>117.32011070110732</c:v>
                </c:pt>
                <c:pt idx="9">
                  <c:v>118.77306273062725</c:v>
                </c:pt>
                <c:pt idx="10">
                  <c:v>119.9261992619932</c:v>
                </c:pt>
                <c:pt idx="11">
                  <c:v>121.12546125461255</c:v>
                </c:pt>
                <c:pt idx="12">
                  <c:v>121.60977859778532</c:v>
                </c:pt>
                <c:pt idx="13">
                  <c:v>121.88653136531372</c:v>
                </c:pt>
                <c:pt idx="14">
                  <c:v>122.39391143911446</c:v>
                </c:pt>
                <c:pt idx="15">
                  <c:v>122.41697416974176</c:v>
                </c:pt>
                <c:pt idx="16">
                  <c:v>122.34778597785952</c:v>
                </c:pt>
                <c:pt idx="17">
                  <c:v>122.39391143911443</c:v>
                </c:pt>
                <c:pt idx="18">
                  <c:v>122.07103321033216</c:v>
                </c:pt>
                <c:pt idx="19">
                  <c:v>121.74815498155017</c:v>
                </c:pt>
                <c:pt idx="20">
                  <c:v>121.26383763837643</c:v>
                </c:pt>
                <c:pt idx="21">
                  <c:v>120.59501845018423</c:v>
                </c:pt>
                <c:pt idx="22">
                  <c:v>120.24907749077495</c:v>
                </c:pt>
                <c:pt idx="23">
                  <c:v>119.74169741697422</c:v>
                </c:pt>
                <c:pt idx="24">
                  <c:v>119.14206642066425</c:v>
                </c:pt>
                <c:pt idx="25">
                  <c:v>118.65774907749029</c:v>
                </c:pt>
                <c:pt idx="26">
                  <c:v>118.38099630996314</c:v>
                </c:pt>
                <c:pt idx="27">
                  <c:v>118.10424354243547</c:v>
                </c:pt>
                <c:pt idx="28">
                  <c:v>117.91974169741702</c:v>
                </c:pt>
                <c:pt idx="29">
                  <c:v>117.59686346863479</c:v>
                </c:pt>
                <c:pt idx="30">
                  <c:v>117.43542435424359</c:v>
                </c:pt>
                <c:pt idx="31">
                  <c:v>117.50461254612551</c:v>
                </c:pt>
                <c:pt idx="32">
                  <c:v>117.59686346863479</c:v>
                </c:pt>
                <c:pt idx="33">
                  <c:v>117.73523985239858</c:v>
                </c:pt>
                <c:pt idx="34">
                  <c:v>117.96586715867133</c:v>
                </c:pt>
                <c:pt idx="35">
                  <c:v>118.21955719557202</c:v>
                </c:pt>
                <c:pt idx="36">
                  <c:v>118.63468634686348</c:v>
                </c:pt>
                <c:pt idx="37">
                  <c:v>118.84225092250928</c:v>
                </c:pt>
                <c:pt idx="38">
                  <c:v>119.25738007380075</c:v>
                </c:pt>
                <c:pt idx="39">
                  <c:v>119.62638376383771</c:v>
                </c:pt>
                <c:pt idx="40">
                  <c:v>120.1107011070108</c:v>
                </c:pt>
                <c:pt idx="41">
                  <c:v>120.71033210332065</c:v>
                </c:pt>
              </c:numCache>
            </c:numRef>
          </c:val>
          <c:smooth val="1"/>
        </c:ser>
        <c:marker val="1"/>
        <c:axId val="162626944"/>
        <c:axId val="162649216"/>
      </c:lineChart>
      <c:catAx>
        <c:axId val="162626944"/>
        <c:scaling>
          <c:orientation val="minMax"/>
        </c:scaling>
        <c:axPos val="b"/>
        <c:numFmt formatCode="General" sourceLinked="1"/>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2649216"/>
        <c:crosses val="autoZero"/>
        <c:auto val="1"/>
        <c:lblAlgn val="ctr"/>
        <c:lblOffset val="100"/>
        <c:tickLblSkip val="2"/>
        <c:tickMarkSkip val="1"/>
        <c:noMultiLvlLbl val="1"/>
      </c:catAx>
      <c:valAx>
        <c:axId val="162649216"/>
        <c:scaling>
          <c:orientation val="minMax"/>
          <c:max val="130"/>
          <c:min val="95"/>
        </c:scaling>
        <c:axPos val="l"/>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2626944"/>
        <c:crosses val="autoZero"/>
        <c:crossBetween val="between"/>
      </c:valAx>
      <c:spPr>
        <a:solidFill>
          <a:sysClr val="window" lastClr="FFFFFF"/>
        </a:solidFill>
        <a:ln w="6350">
          <a:solidFill>
            <a:schemeClr val="bg1">
              <a:lumMod val="75000"/>
            </a:schemeClr>
          </a:solidFill>
        </a:ln>
      </c:spPr>
    </c:plotArea>
    <c:legend>
      <c:legendPos val="t"/>
      <c:layout>
        <c:manualLayout>
          <c:xMode val="edge"/>
          <c:yMode val="edge"/>
          <c:x val="0.14807826841725741"/>
          <c:y val="7.3072208019391433E-2"/>
          <c:w val="0.78772342092145553"/>
          <c:h val="0.10018370934005169"/>
        </c:manualLayout>
      </c:layout>
      <c:spPr>
        <a:solidFill>
          <a:schemeClr val="bg1"/>
        </a:solidFill>
      </c:spPr>
      <c:txPr>
        <a:bodyPr/>
        <a:lstStyle/>
        <a:p>
          <a:pPr>
            <a:defRPr lang="lv-LV" sz="7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95330174601261386"/>
          <c:h val="0.84257499999999996"/>
        </c:manualLayout>
      </c:layout>
      <c:barChart>
        <c:barDir val="col"/>
        <c:grouping val="clustered"/>
        <c:ser>
          <c:idx val="1"/>
          <c:order val="0"/>
          <c:tx>
            <c:strRef>
              <c:f>Sheet1!$A$3</c:f>
              <c:strCache>
                <c:ptCount val="1"/>
                <c:pt idx="0">
                  <c:v>PCI</c:v>
                </c:pt>
              </c:strCache>
            </c:strRef>
          </c:tx>
          <c:spPr>
            <a:solidFill>
              <a:srgbClr val="FF0000"/>
            </a:solidFill>
            <a:ln w="9525">
              <a:solidFill>
                <a:srgbClr val="000000"/>
              </a:solidFill>
              <a:prstDash val="solid"/>
            </a:ln>
          </c:spPr>
          <c:cat>
            <c:multiLvlStrRef>
              <c:f>Sheet1!$B$1:$BQ$2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Sheet1!$B$3:$BQ$3</c:f>
              <c:numCache>
                <c:formatCode>0.0</c:formatCode>
                <c:ptCount val="44"/>
                <c:pt idx="0">
                  <c:v>15.754537108961259</c:v>
                </c:pt>
                <c:pt idx="1">
                  <c:v>16.671350288042731</c:v>
                </c:pt>
                <c:pt idx="2">
                  <c:v>16.760202314141171</c:v>
                </c:pt>
                <c:pt idx="3">
                  <c:v>17.503261690585727</c:v>
                </c:pt>
                <c:pt idx="4">
                  <c:v>17.905659089357609</c:v>
                </c:pt>
                <c:pt idx="5">
                  <c:v>17.69881556683589</c:v>
                </c:pt>
                <c:pt idx="6">
                  <c:v>16.667781419303054</c:v>
                </c:pt>
                <c:pt idx="7">
                  <c:v>15.741419526824401</c:v>
                </c:pt>
                <c:pt idx="8">
                  <c:v>14.879277628737825</c:v>
                </c:pt>
                <c:pt idx="9">
                  <c:v>13.782502882028965</c:v>
                </c:pt>
                <c:pt idx="10">
                  <c:v>11.797398004294543</c:v>
                </c:pt>
                <c:pt idx="11">
                  <c:v>10.534571464424641</c:v>
                </c:pt>
                <c:pt idx="12">
                  <c:v>9.8340653977549977</c:v>
                </c:pt>
                <c:pt idx="13">
                  <c:v>9.5802974649244437</c:v>
                </c:pt>
                <c:pt idx="14">
                  <c:v>8.2423451222406889</c:v>
                </c:pt>
                <c:pt idx="15">
                  <c:v>6.1886395511921535</c:v>
                </c:pt>
                <c:pt idx="16">
                  <c:v>4.6665122742010245</c:v>
                </c:pt>
                <c:pt idx="17">
                  <c:v>3.3870040253019056</c:v>
                </c:pt>
                <c:pt idx="18">
                  <c:v>2.4537063578512885</c:v>
                </c:pt>
                <c:pt idx="19">
                  <c:v>1.8425749985604796</c:v>
                </c:pt>
                <c:pt idx="20">
                  <c:v>0.51261605057810378</c:v>
                </c:pt>
                <c:pt idx="21">
                  <c:v>-0.86119554204661664</c:v>
                </c:pt>
                <c:pt idx="22">
                  <c:v>-1.1693593944187073</c:v>
                </c:pt>
                <c:pt idx="23">
                  <c:v>-1.1693250837259512</c:v>
                </c:pt>
                <c:pt idx="24">
                  <c:v>-3.1215285492112792</c:v>
                </c:pt>
                <c:pt idx="25">
                  <c:v>-4.176283108033866</c:v>
                </c:pt>
                <c:pt idx="26" formatCode="General">
                  <c:v>-3.9416698645907613</c:v>
                </c:pt>
                <c:pt idx="27" formatCode="General">
                  <c:v>-2.7296241263551781</c:v>
                </c:pt>
                <c:pt idx="28" formatCode="General">
                  <c:v>-2.3066710919349589</c:v>
                </c:pt>
                <c:pt idx="29" formatCode="General">
                  <c:v>-1.3738250180766438</c:v>
                </c:pt>
                <c:pt idx="30" formatCode="General">
                  <c:v>-0.58194840803535897</c:v>
                </c:pt>
                <c:pt idx="31">
                  <c:v>-0.25442415333294893</c:v>
                </c:pt>
                <c:pt idx="32">
                  <c:v>0.41933473111576852</c:v>
                </c:pt>
                <c:pt idx="33" formatCode="General">
                  <c:v>0.99358428433542656</c:v>
                </c:pt>
                <c:pt idx="34" formatCode="General">
                  <c:v>1.9091168905401616</c:v>
                </c:pt>
                <c:pt idx="35" formatCode="General">
                  <c:v>2.5</c:v>
                </c:pt>
                <c:pt idx="36" formatCode="General">
                  <c:v>3.6807705538355759</c:v>
                </c:pt>
                <c:pt idx="37" formatCode="General">
                  <c:v>3.9912834040600953</c:v>
                </c:pt>
                <c:pt idx="38" formatCode="General">
                  <c:v>4.2289692957425089</c:v>
                </c:pt>
                <c:pt idx="39" formatCode="General">
                  <c:v>4.5091937765205063</c:v>
                </c:pt>
                <c:pt idx="40" formatCode="General">
                  <c:v>4.9657437291206703</c:v>
                </c:pt>
                <c:pt idx="41" formatCode="General">
                  <c:v>4.8105120685765748</c:v>
                </c:pt>
                <c:pt idx="42" formatCode="General">
                  <c:v>4.3</c:v>
                </c:pt>
                <c:pt idx="43" formatCode="General">
                  <c:v>4.7</c:v>
                </c:pt>
              </c:numCache>
            </c:numRef>
          </c:val>
        </c:ser>
        <c:gapWidth val="30"/>
        <c:axId val="162935552"/>
        <c:axId val="162937088"/>
      </c:barChart>
      <c:catAx>
        <c:axId val="162935552"/>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162937088"/>
        <c:crosses val="autoZero"/>
        <c:auto val="1"/>
        <c:lblAlgn val="ctr"/>
        <c:lblOffset val="0"/>
        <c:tickLblSkip val="2"/>
        <c:tickMarkSkip val="1"/>
        <c:noMultiLvlLbl val="1"/>
      </c:catAx>
      <c:valAx>
        <c:axId val="162937088"/>
        <c:scaling>
          <c:orientation val="minMax"/>
          <c:max val="20"/>
          <c:min val="-5"/>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935552"/>
        <c:crosses val="autoZero"/>
        <c:crossBetween val="between"/>
        <c:majorUnit val="5"/>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98253987386119E-2"/>
          <c:y val="4.0204678362573076E-2"/>
          <c:w val="0.8699164407727723"/>
          <c:h val="0.85536239876628295"/>
        </c:manualLayout>
      </c:layout>
      <c:lineChart>
        <c:grouping val="standard"/>
        <c:ser>
          <c:idx val="1"/>
          <c:order val="0"/>
          <c:tx>
            <c:strRef>
              <c:f>Sheet1!$A$3</c:f>
              <c:strCache>
                <c:ptCount val="1"/>
                <c:pt idx="0">
                  <c:v>PCI</c:v>
                </c:pt>
              </c:strCache>
            </c:strRef>
          </c:tx>
          <c:spPr>
            <a:ln w="31750">
              <a:solidFill>
                <a:srgbClr val="FF0000"/>
              </a:solidFill>
              <a:prstDash val="solid"/>
            </a:ln>
          </c:spPr>
          <c:marker>
            <c:symbol val="none"/>
          </c:marker>
          <c:cat>
            <c:multiLvlStrRef>
              <c:f>Sheet1!$B$1:$BE$2</c:f>
              <c:multiLvlStrCache>
                <c:ptCount val="5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lvl>
                <c:lvl>
                  <c:pt idx="0">
                    <c:v>2007</c:v>
                  </c:pt>
                  <c:pt idx="12">
                    <c:v>2008</c:v>
                  </c:pt>
                  <c:pt idx="24">
                    <c:v>2009</c:v>
                  </c:pt>
                  <c:pt idx="36">
                    <c:v>2010</c:v>
                  </c:pt>
                  <c:pt idx="48">
                    <c:v>2011</c:v>
                  </c:pt>
                </c:lvl>
              </c:multiLvlStrCache>
            </c:multiLvlStrRef>
          </c:cat>
          <c:val>
            <c:numRef>
              <c:f>Sheet1!$B$3:$BE$3</c:f>
              <c:numCache>
                <c:formatCode>General</c:formatCode>
                <c:ptCount val="56"/>
                <c:pt idx="0">
                  <c:v>101.345451943033</c:v>
                </c:pt>
                <c:pt idx="1">
                  <c:v>101.867888069849</c:v>
                </c:pt>
                <c:pt idx="2">
                  <c:v>103.29206326486842</c:v>
                </c:pt>
                <c:pt idx="3">
                  <c:v>104.22242897015644</c:v>
                </c:pt>
                <c:pt idx="4">
                  <c:v>104.83790166750163</c:v>
                </c:pt>
                <c:pt idx="5">
                  <c:v>105.7396407357046</c:v>
                </c:pt>
                <c:pt idx="6">
                  <c:v>106.99921276748017</c:v>
                </c:pt>
                <c:pt idx="7">
                  <c:v>107.38567236813827</c:v>
                </c:pt>
                <c:pt idx="8">
                  <c:v>109.37522364560265</c:v>
                </c:pt>
                <c:pt idx="9">
                  <c:v>111.74407786445288</c:v>
                </c:pt>
                <c:pt idx="10">
                  <c:v>113.31854290417236</c:v>
                </c:pt>
                <c:pt idx="11">
                  <c:v>114.06283546840338</c:v>
                </c:pt>
                <c:pt idx="12">
                  <c:v>117.31195877764262</c:v>
                </c:pt>
                <c:pt idx="13">
                  <c:v>118.85064052100481</c:v>
                </c:pt>
                <c:pt idx="14">
                  <c:v>120.60402204251058</c:v>
                </c:pt>
                <c:pt idx="15">
                  <c:v>122.46475345308816</c:v>
                </c:pt>
                <c:pt idx="16">
                  <c:v>123.60981893651984</c:v>
                </c:pt>
                <c:pt idx="17">
                  <c:v>124.4543047305515</c:v>
                </c:pt>
                <c:pt idx="18">
                  <c:v>124.83360767193879</c:v>
                </c:pt>
                <c:pt idx="19">
                  <c:v>124.28970156730843</c:v>
                </c:pt>
                <c:pt idx="20">
                  <c:v>125.64946682888402</c:v>
                </c:pt>
                <c:pt idx="21">
                  <c:v>127.14520861661781</c:v>
                </c:pt>
                <c:pt idx="22">
                  <c:v>126.68718242324488</c:v>
                </c:pt>
                <c:pt idx="23">
                  <c:v>126.07886638517145</c:v>
                </c:pt>
                <c:pt idx="24">
                  <c:v>128.84849352322405</c:v>
                </c:pt>
                <c:pt idx="25">
                  <c:v>130.2368854218843</c:v>
                </c:pt>
                <c:pt idx="26">
                  <c:v>130.54462177055643</c:v>
                </c:pt>
                <c:pt idx="27">
                  <c:v>130.04365562155397</c:v>
                </c:pt>
                <c:pt idx="28">
                  <c:v>129.37808630931087</c:v>
                </c:pt>
                <c:pt idx="29">
                  <c:v>128.66957704143712</c:v>
                </c:pt>
                <c:pt idx="30">
                  <c:v>127.8966578401203</c:v>
                </c:pt>
                <c:pt idx="31">
                  <c:v>126.57983253417267</c:v>
                </c:pt>
                <c:pt idx="32">
                  <c:v>126.2935661633155</c:v>
                </c:pt>
                <c:pt idx="33">
                  <c:v>126.05023974808564</c:v>
                </c:pt>
                <c:pt idx="34">
                  <c:v>125.20575395405425</c:v>
                </c:pt>
                <c:pt idx="35">
                  <c:v>124.60459457525236</c:v>
                </c:pt>
                <c:pt idx="36">
                  <c:v>124.82645101266675</c:v>
                </c:pt>
                <c:pt idx="37">
                  <c:v>124.79782437558153</c:v>
                </c:pt>
                <c:pt idx="38">
                  <c:v>125.39898375438351</c:v>
                </c:pt>
                <c:pt idx="39">
                  <c:v>126.49395262291598</c:v>
                </c:pt>
                <c:pt idx="40">
                  <c:v>126.39375939311536</c:v>
                </c:pt>
                <c:pt idx="41">
                  <c:v>126.90188220138846</c:v>
                </c:pt>
                <c:pt idx="42">
                  <c:v>127.15236527588895</c:v>
                </c:pt>
                <c:pt idx="43">
                  <c:v>126.25778286695747</c:v>
                </c:pt>
                <c:pt idx="44">
                  <c:v>126.82315894940248</c:v>
                </c:pt>
                <c:pt idx="45">
                  <c:v>127.30265512058922</c:v>
                </c:pt>
                <c:pt idx="46">
                  <c:v>127.59607815071887</c:v>
                </c:pt>
                <c:pt idx="47">
                  <c:v>127.77499463250561</c:v>
                </c:pt>
                <c:pt idx="48">
                  <c:v>129.42102626494</c:v>
                </c:pt>
                <c:pt idx="49">
                  <c:v>129.77885922851132</c:v>
                </c:pt>
                <c:pt idx="50">
                  <c:v>130.70206827452952</c:v>
                </c:pt>
                <c:pt idx="51">
                  <c:v>132.19781006226304</c:v>
                </c:pt>
                <c:pt idx="52">
                  <c:v>132.67014957417823</c:v>
                </c:pt>
                <c:pt idx="53">
                  <c:v>133.00651255993711</c:v>
                </c:pt>
                <c:pt idx="54">
                  <c:v>132.63493881056397</c:v>
                </c:pt>
                <c:pt idx="55">
                  <c:v>132.17662635081967</c:v>
                </c:pt>
              </c:numCache>
            </c:numRef>
          </c:val>
        </c:ser>
        <c:marker val="1"/>
        <c:axId val="162985088"/>
        <c:axId val="162986624"/>
      </c:lineChart>
      <c:catAx>
        <c:axId val="16298508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Times New Roman"/>
                <a:ea typeface="Times New Roman"/>
                <a:cs typeface="Times New Roman"/>
              </a:defRPr>
            </a:pPr>
            <a:endParaRPr lang="lv-LV"/>
          </a:p>
        </c:txPr>
        <c:crossAx val="162986624"/>
        <c:crosses val="autoZero"/>
        <c:auto val="1"/>
        <c:lblAlgn val="ctr"/>
        <c:lblOffset val="0"/>
        <c:tickLblSkip val="2"/>
        <c:tickMarkSkip val="1"/>
        <c:noMultiLvlLbl val="1"/>
      </c:catAx>
      <c:valAx>
        <c:axId val="162986624"/>
        <c:scaling>
          <c:orientation val="minMax"/>
          <c:min val="100"/>
        </c:scaling>
        <c:axPos val="l"/>
        <c:majorGridlines>
          <c:spPr>
            <a:ln w="6350">
              <a:solidFill>
                <a:srgbClr val="C0C0C0"/>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985088"/>
        <c:crosses val="autoZero"/>
        <c:crossBetween val="between"/>
      </c:valAx>
      <c:spPr>
        <a:noFill/>
        <a:ln w="25398">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6.8062699059180054E-2"/>
          <c:y val="2.8737907761530092E-2"/>
          <c:w val="0.90785410444384163"/>
          <c:h val="0.84521447319085163"/>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c:v>
                </c:pt>
                <c:pt idx="1">
                  <c:v>104.13639999999998</c:v>
                </c:pt>
                <c:pt idx="2">
                  <c:v>105.59430959999999</c:v>
                </c:pt>
                <c:pt idx="3">
                  <c:v>107.28381855359937</c:v>
                </c:pt>
                <c:pt idx="4">
                  <c:v>108.35665673913599</c:v>
                </c:pt>
                <c:pt idx="5">
                  <c:v>109.11515333630985</c:v>
                </c:pt>
                <c:pt idx="6">
                  <c:v>109.44249879631884</c:v>
                </c:pt>
                <c:pt idx="7">
                  <c:v>109.00472880113357</c:v>
                </c:pt>
                <c:pt idx="8">
                  <c:v>110.20378081794571</c:v>
                </c:pt>
                <c:pt idx="9">
                  <c:v>111.52622618776138</c:v>
                </c:pt>
                <c:pt idx="10">
                  <c:v>111.08012128301064</c:v>
                </c:pt>
                <c:pt idx="11">
                  <c:v>110.52472067659528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102.60256787465941</c:v>
                </c:pt>
                <c:pt idx="5">
                  <c:v>101.98695246741212</c:v>
                </c:pt>
                <c:pt idx="6">
                  <c:v>101.37503075260697</c:v>
                </c:pt>
                <c:pt idx="7">
                  <c:v>100.2599054143289</c:v>
                </c:pt>
                <c:pt idx="8">
                  <c:v>100.05938560350025</c:v>
                </c:pt>
                <c:pt idx="9">
                  <c:v>99.859266832293159</c:v>
                </c:pt>
                <c:pt idx="10">
                  <c:v>99.160251964467193</c:v>
                </c:pt>
                <c:pt idx="11">
                  <c:v>98.66445070464485</c:v>
                </c:pt>
              </c:numCache>
            </c:numRef>
          </c:val>
        </c:ser>
        <c:ser>
          <c:idx val="4"/>
          <c:order val="2"/>
          <c:tx>
            <c:strRef>
              <c:f>Sheet1!$A$4</c:f>
              <c:strCache>
                <c:ptCount val="1"/>
                <c:pt idx="0">
                  <c:v>2010</c:v>
                </c:pt>
              </c:strCache>
            </c:strRef>
          </c:tx>
          <c:spPr>
            <a:ln w="22225">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100.13992805755338</c:v>
                </c:pt>
                <c:pt idx="2">
                  <c:v>100.62050359712231</c:v>
                </c:pt>
                <c:pt idx="3">
                  <c:v>101.52158273381295</c:v>
                </c:pt>
                <c:pt idx="4">
                  <c:v>101.46151079136753</c:v>
                </c:pt>
                <c:pt idx="5">
                  <c:v>101.8820143884889</c:v>
                </c:pt>
                <c:pt idx="6">
                  <c:v>102.06223021582736</c:v>
                </c:pt>
                <c:pt idx="7">
                  <c:v>101.34136690647478</c:v>
                </c:pt>
                <c:pt idx="8">
                  <c:v>101.82194244604318</c:v>
                </c:pt>
                <c:pt idx="9">
                  <c:v>102.18237410071883</c:v>
                </c:pt>
                <c:pt idx="10">
                  <c:v>102.42266187050355</c:v>
                </c:pt>
                <c:pt idx="11">
                  <c:v>102.54280575539569</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101.3</c:v>
                </c:pt>
                <c:pt idx="1">
                  <c:v>101.59294389820712</c:v>
                </c:pt>
                <c:pt idx="2">
                  <c:v>102.29600925390397</c:v>
                </c:pt>
                <c:pt idx="3">
                  <c:v>103.4677848467322</c:v>
                </c:pt>
                <c:pt idx="4">
                  <c:v>103.87790630422208</c:v>
                </c:pt>
                <c:pt idx="5">
                  <c:v>104.11226142278771</c:v>
                </c:pt>
                <c:pt idx="6">
                  <c:v>103.81931752458034</c:v>
                </c:pt>
                <c:pt idx="7">
                  <c:v>103.46778484673219</c:v>
                </c:pt>
              </c:numCache>
            </c:numRef>
          </c:val>
        </c:ser>
        <c:marker val="1"/>
        <c:axId val="163008512"/>
        <c:axId val="163010048"/>
      </c:lineChart>
      <c:catAx>
        <c:axId val="16300851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010048"/>
        <c:crosses val="autoZero"/>
        <c:auto val="1"/>
        <c:lblAlgn val="ctr"/>
        <c:lblOffset val="100"/>
        <c:tickLblSkip val="1"/>
        <c:tickMarkSkip val="1"/>
      </c:catAx>
      <c:valAx>
        <c:axId val="163010048"/>
        <c:scaling>
          <c:orientation val="minMax"/>
          <c:max val="115"/>
          <c:min val="97"/>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008512"/>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102.89999999999999</c:v>
                </c:pt>
                <c:pt idx="1">
                  <c:v>104.2377</c:v>
                </c:pt>
                <c:pt idx="2">
                  <c:v>105.07160159999998</c:v>
                </c:pt>
                <c:pt idx="3">
                  <c:v>106.54260402239998</c:v>
                </c:pt>
                <c:pt idx="4">
                  <c:v>107.92765787469118</c:v>
                </c:pt>
                <c:pt idx="5">
                  <c:v>109.43864508493689</c:v>
                </c:pt>
                <c:pt idx="6">
                  <c:v>110.97078611612523</c:v>
                </c:pt>
                <c:pt idx="7">
                  <c:v>108.64039960768731</c:v>
                </c:pt>
                <c:pt idx="8">
                  <c:v>108.74904000729498</c:v>
                </c:pt>
                <c:pt idx="9">
                  <c:v>109.72778136736061</c:v>
                </c:pt>
                <c:pt idx="10">
                  <c:v>109.94723693009567</c:v>
                </c:pt>
                <c:pt idx="11">
                  <c:v>110.27707864088561</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103.5</c:v>
                </c:pt>
                <c:pt idx="1">
                  <c:v>102.77549999999998</c:v>
                </c:pt>
                <c:pt idx="2">
                  <c:v>101.43941849999997</c:v>
                </c:pt>
                <c:pt idx="3">
                  <c:v>99.714948385499952</c:v>
                </c:pt>
                <c:pt idx="4">
                  <c:v>99.415803540343859</c:v>
                </c:pt>
                <c:pt idx="5">
                  <c:v>98.819308719101258</c:v>
                </c:pt>
                <c:pt idx="6">
                  <c:v>98.028754249348594</c:v>
                </c:pt>
                <c:pt idx="7">
                  <c:v>95.381977884616148</c:v>
                </c:pt>
                <c:pt idx="8">
                  <c:v>94.14201217211577</c:v>
                </c:pt>
                <c:pt idx="9">
                  <c:v>94.330296196459855</c:v>
                </c:pt>
                <c:pt idx="10">
                  <c:v>93.481323530692265</c:v>
                </c:pt>
                <c:pt idx="11">
                  <c:v>93.761767501284311</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101.8</c:v>
                </c:pt>
                <c:pt idx="1">
                  <c:v>102.30899999999998</c:v>
                </c:pt>
                <c:pt idx="2">
                  <c:v>103.12747199999967</c:v>
                </c:pt>
                <c:pt idx="3">
                  <c:v>103.64310935999997</c:v>
                </c:pt>
                <c:pt idx="4">
                  <c:v>103.43582314128012</c:v>
                </c:pt>
                <c:pt idx="5">
                  <c:v>103.953002256986</c:v>
                </c:pt>
                <c:pt idx="6">
                  <c:v>104.78462627504287</c:v>
                </c:pt>
                <c:pt idx="7">
                  <c:v>102.89850300209145</c:v>
                </c:pt>
                <c:pt idx="8">
                  <c:v>103.92748803211238</c:v>
                </c:pt>
                <c:pt idx="9">
                  <c:v>105.38247286456122</c:v>
                </c:pt>
                <c:pt idx="10">
                  <c:v>106.64706253893671</c:v>
                </c:pt>
                <c:pt idx="11">
                  <c:v>108.03347435194287</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102.1</c:v>
                </c:pt>
                <c:pt idx="1">
                  <c:v>103.93780000000002</c:v>
                </c:pt>
                <c:pt idx="2">
                  <c:v>104.3535512</c:v>
                </c:pt>
                <c:pt idx="3" formatCode="0.00">
                  <c:v>105.39708671199998</c:v>
                </c:pt>
                <c:pt idx="4" formatCode="0.00">
                  <c:v>106.55645466583199</c:v>
                </c:pt>
                <c:pt idx="5" formatCode="0.00">
                  <c:v>106.34334175649985</c:v>
                </c:pt>
                <c:pt idx="6" formatCode="0.00">
                  <c:v>105.38625168069181</c:v>
                </c:pt>
                <c:pt idx="7" formatCode="0.00">
                  <c:v>103.27852664707802</c:v>
                </c:pt>
              </c:numCache>
            </c:numRef>
          </c:val>
        </c:ser>
        <c:marker val="1"/>
        <c:axId val="163261056"/>
        <c:axId val="163275136"/>
      </c:lineChart>
      <c:catAx>
        <c:axId val="16326105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275136"/>
        <c:crosses val="autoZero"/>
        <c:auto val="1"/>
        <c:lblAlgn val="ctr"/>
        <c:lblOffset val="100"/>
        <c:tickLblSkip val="1"/>
        <c:tickMarkSkip val="1"/>
      </c:catAx>
      <c:valAx>
        <c:axId val="163275136"/>
        <c:scaling>
          <c:orientation val="minMax"/>
          <c:max val="114"/>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261056"/>
        <c:crosses val="autoZero"/>
        <c:crossBetween val="between"/>
        <c:majorUnit val="6"/>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c:v>
                </c:pt>
                <c:pt idx="1">
                  <c:v>106.69200000000001</c:v>
                </c:pt>
                <c:pt idx="2">
                  <c:v>108.71914800000002</c:v>
                </c:pt>
                <c:pt idx="3">
                  <c:v>116.00333091599968</c:v>
                </c:pt>
                <c:pt idx="4">
                  <c:v>117.16336422516002</c:v>
                </c:pt>
                <c:pt idx="5">
                  <c:v>117.63201768206065</c:v>
                </c:pt>
                <c:pt idx="6">
                  <c:v>119.0436018942457</c:v>
                </c:pt>
                <c:pt idx="7">
                  <c:v>120.11499431129359</c:v>
                </c:pt>
                <c:pt idx="8">
                  <c:v>121.19602926009553</c:v>
                </c:pt>
                <c:pt idx="9">
                  <c:v>130.77051557164148</c:v>
                </c:pt>
                <c:pt idx="10">
                  <c:v>133.51669639864718</c:v>
                </c:pt>
                <c:pt idx="11">
                  <c:v>134.58482996983639</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105.3</c:v>
                </c:pt>
                <c:pt idx="1">
                  <c:v>105.72120000000002</c:v>
                </c:pt>
                <c:pt idx="2">
                  <c:v>108.99855719999998</c:v>
                </c:pt>
                <c:pt idx="3">
                  <c:v>110.30653988639995</c:v>
                </c:pt>
                <c:pt idx="4">
                  <c:v>107.76948946901334</c:v>
                </c:pt>
                <c:pt idx="5">
                  <c:v>105.37700680280025</c:v>
                </c:pt>
                <c:pt idx="6">
                  <c:v>103.58559768715308</c:v>
                </c:pt>
                <c:pt idx="7">
                  <c:v>103.48201208946593</c:v>
                </c:pt>
                <c:pt idx="8">
                  <c:v>103.58549410155507</c:v>
                </c:pt>
                <c:pt idx="9">
                  <c:v>103.2747376192504</c:v>
                </c:pt>
                <c:pt idx="10">
                  <c:v>102.24199024305832</c:v>
                </c:pt>
                <c:pt idx="11">
                  <c:v>102.24199024305832</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99.8</c:v>
                </c:pt>
                <c:pt idx="1">
                  <c:v>99.999600000000328</c:v>
                </c:pt>
                <c:pt idx="2">
                  <c:v>99.999600000000328</c:v>
                </c:pt>
                <c:pt idx="3">
                  <c:v>103.69958519999985</c:v>
                </c:pt>
                <c:pt idx="4">
                  <c:v>104.73658105199998</c:v>
                </c:pt>
                <c:pt idx="5">
                  <c:v>107.25025899724812</c:v>
                </c:pt>
                <c:pt idx="6">
                  <c:v>108.75176262320947</c:v>
                </c:pt>
                <c:pt idx="7">
                  <c:v>109.07801791107885</c:v>
                </c:pt>
                <c:pt idx="8">
                  <c:v>107.44184764241292</c:v>
                </c:pt>
                <c:pt idx="9">
                  <c:v>106.4748710136306</c:v>
                </c:pt>
                <c:pt idx="10">
                  <c:v>106.4748710136306</c:v>
                </c:pt>
                <c:pt idx="11">
                  <c:v>105.3036474324806</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101.69999999999999</c:v>
                </c:pt>
                <c:pt idx="1">
                  <c:v>101.39489999999999</c:v>
                </c:pt>
                <c:pt idx="2">
                  <c:v>101.0907153</c:v>
                </c:pt>
                <c:pt idx="3" formatCode="0.00">
                  <c:v>103.82016461309998</c:v>
                </c:pt>
                <c:pt idx="4" formatCode="0.00">
                  <c:v>104.23544527155238</c:v>
                </c:pt>
                <c:pt idx="5" formatCode="0.00">
                  <c:v>105.38203516953897</c:v>
                </c:pt>
                <c:pt idx="6" formatCode="0.00">
                  <c:v>106.43585552123486</c:v>
                </c:pt>
                <c:pt idx="7" formatCode="0.00">
                  <c:v>107.18090650988317</c:v>
                </c:pt>
              </c:numCache>
            </c:numRef>
          </c:val>
        </c:ser>
        <c:marker val="1"/>
        <c:axId val="162969088"/>
        <c:axId val="162970624"/>
      </c:lineChart>
      <c:catAx>
        <c:axId val="162969088"/>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2970624"/>
        <c:crosses val="autoZero"/>
        <c:auto val="1"/>
        <c:lblAlgn val="ctr"/>
        <c:lblOffset val="100"/>
        <c:tickLblSkip val="1"/>
        <c:tickMarkSkip val="1"/>
      </c:catAx>
      <c:valAx>
        <c:axId val="162970624"/>
        <c:scaling>
          <c:orientation val="minMax"/>
          <c:max val="140"/>
          <c:min val="9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2969088"/>
        <c:crosses val="autoZero"/>
        <c:crossBetween val="between"/>
        <c:majorUnit val="10"/>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0.0</c:formatCode>
                <c:ptCount val="44"/>
                <c:pt idx="0">
                  <c:v>3.1</c:v>
                </c:pt>
                <c:pt idx="1">
                  <c:v>0.4</c:v>
                </c:pt>
                <c:pt idx="2">
                  <c:v>1.7</c:v>
                </c:pt>
                <c:pt idx="3">
                  <c:v>-1.3</c:v>
                </c:pt>
                <c:pt idx="4">
                  <c:v>-2.7</c:v>
                </c:pt>
                <c:pt idx="5">
                  <c:v>-4</c:v>
                </c:pt>
                <c:pt idx="6">
                  <c:v>-6.4</c:v>
                </c:pt>
                <c:pt idx="7">
                  <c:v>-8.6</c:v>
                </c:pt>
                <c:pt idx="8">
                  <c:v>-12.3</c:v>
                </c:pt>
                <c:pt idx="9">
                  <c:v>-18.899999999999999</c:v>
                </c:pt>
                <c:pt idx="10">
                  <c:v>-25.4</c:v>
                </c:pt>
                <c:pt idx="11">
                  <c:v>-32.300000000000004</c:v>
                </c:pt>
                <c:pt idx="12">
                  <c:v>-32.9</c:v>
                </c:pt>
                <c:pt idx="13">
                  <c:v>-37.200000000000003</c:v>
                </c:pt>
                <c:pt idx="14">
                  <c:v>-39.1</c:v>
                </c:pt>
                <c:pt idx="15">
                  <c:v>-36.1</c:v>
                </c:pt>
                <c:pt idx="16">
                  <c:v>-33.700000000000003</c:v>
                </c:pt>
                <c:pt idx="17">
                  <c:v>-32</c:v>
                </c:pt>
                <c:pt idx="18">
                  <c:v>-30.3</c:v>
                </c:pt>
                <c:pt idx="19">
                  <c:v>-25.3</c:v>
                </c:pt>
                <c:pt idx="20">
                  <c:v>-24.2</c:v>
                </c:pt>
                <c:pt idx="21">
                  <c:v>-20</c:v>
                </c:pt>
                <c:pt idx="22">
                  <c:v>-17.8</c:v>
                </c:pt>
                <c:pt idx="23">
                  <c:v>-15.8</c:v>
                </c:pt>
                <c:pt idx="24">
                  <c:v>-13.6</c:v>
                </c:pt>
                <c:pt idx="25">
                  <c:v>-11.3</c:v>
                </c:pt>
                <c:pt idx="26">
                  <c:v>-8.6</c:v>
                </c:pt>
                <c:pt idx="27">
                  <c:v>-7.1</c:v>
                </c:pt>
                <c:pt idx="28">
                  <c:v>-4.9000000000000004</c:v>
                </c:pt>
                <c:pt idx="29">
                  <c:v>-5.3</c:v>
                </c:pt>
                <c:pt idx="30">
                  <c:v>-3.5</c:v>
                </c:pt>
                <c:pt idx="31">
                  <c:v>-2.1</c:v>
                </c:pt>
                <c:pt idx="32" formatCode="0.00">
                  <c:v>-1.1000000000000001</c:v>
                </c:pt>
                <c:pt idx="33" formatCode="0.00">
                  <c:v>0.30000000000000032</c:v>
                </c:pt>
                <c:pt idx="34" formatCode="0.00">
                  <c:v>1</c:v>
                </c:pt>
                <c:pt idx="35" formatCode="General">
                  <c:v>4.5999999999999996</c:v>
                </c:pt>
                <c:pt idx="36" formatCode="General">
                  <c:v>4.9000000000000004</c:v>
                </c:pt>
                <c:pt idx="37" formatCode="General">
                  <c:v>6</c:v>
                </c:pt>
                <c:pt idx="38" formatCode="General">
                  <c:v>6.6</c:v>
                </c:pt>
                <c:pt idx="39" formatCode="General">
                  <c:v>5.2</c:v>
                </c:pt>
                <c:pt idx="40" formatCode="General">
                  <c:v>3.5</c:v>
                </c:pt>
                <c:pt idx="41" formatCode="General">
                  <c:v>2.9</c:v>
                </c:pt>
                <c:pt idx="42" formatCode="General">
                  <c:v>0.1</c:v>
                </c:pt>
                <c:pt idx="43" formatCode="General">
                  <c:v>-2.5</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0.0</c:formatCode>
                <c:ptCount val="44"/>
                <c:pt idx="0">
                  <c:v>4</c:v>
                </c:pt>
                <c:pt idx="1">
                  <c:v>2.4</c:v>
                </c:pt>
                <c:pt idx="2">
                  <c:v>-0.4</c:v>
                </c:pt>
                <c:pt idx="3">
                  <c:v>-3.9</c:v>
                </c:pt>
                <c:pt idx="4">
                  <c:v>-5.5</c:v>
                </c:pt>
                <c:pt idx="5">
                  <c:v>-10.7</c:v>
                </c:pt>
                <c:pt idx="6">
                  <c:v>-8.7000000000000011</c:v>
                </c:pt>
                <c:pt idx="7">
                  <c:v>-11.4</c:v>
                </c:pt>
                <c:pt idx="8">
                  <c:v>-17.899999999999999</c:v>
                </c:pt>
                <c:pt idx="9">
                  <c:v>-23</c:v>
                </c:pt>
                <c:pt idx="10">
                  <c:v>-26.3</c:v>
                </c:pt>
                <c:pt idx="11">
                  <c:v>-31.1</c:v>
                </c:pt>
                <c:pt idx="12">
                  <c:v>-28.3</c:v>
                </c:pt>
                <c:pt idx="13">
                  <c:v>-36</c:v>
                </c:pt>
                <c:pt idx="14">
                  <c:v>-39.1</c:v>
                </c:pt>
                <c:pt idx="15">
                  <c:v>-35.5</c:v>
                </c:pt>
                <c:pt idx="16">
                  <c:v>-32.200000000000003</c:v>
                </c:pt>
                <c:pt idx="17">
                  <c:v>-33.300000000000004</c:v>
                </c:pt>
                <c:pt idx="18">
                  <c:v>-27.5</c:v>
                </c:pt>
                <c:pt idx="19">
                  <c:v>-24.1</c:v>
                </c:pt>
                <c:pt idx="20">
                  <c:v>-23.9</c:v>
                </c:pt>
                <c:pt idx="21">
                  <c:v>-22.5</c:v>
                </c:pt>
                <c:pt idx="22">
                  <c:v>-19.8</c:v>
                </c:pt>
                <c:pt idx="23">
                  <c:v>-14.2</c:v>
                </c:pt>
                <c:pt idx="24">
                  <c:v>-12.3</c:v>
                </c:pt>
                <c:pt idx="25">
                  <c:v>-10.8</c:v>
                </c:pt>
                <c:pt idx="26">
                  <c:v>-8</c:v>
                </c:pt>
                <c:pt idx="27">
                  <c:v>-2.4</c:v>
                </c:pt>
                <c:pt idx="28">
                  <c:v>0.9</c:v>
                </c:pt>
                <c:pt idx="29">
                  <c:v>-2.2999999999999998</c:v>
                </c:pt>
                <c:pt idx="30">
                  <c:v>1.4</c:v>
                </c:pt>
                <c:pt idx="31">
                  <c:v>4.3</c:v>
                </c:pt>
                <c:pt idx="32" formatCode="0.00">
                  <c:v>2.7</c:v>
                </c:pt>
                <c:pt idx="33" formatCode="0.00">
                  <c:v>11.7</c:v>
                </c:pt>
                <c:pt idx="34" formatCode="0.00">
                  <c:v>8.3000000000000007</c:v>
                </c:pt>
                <c:pt idx="35" formatCode="General">
                  <c:v>12.6</c:v>
                </c:pt>
                <c:pt idx="36" formatCode="General">
                  <c:v>10.9</c:v>
                </c:pt>
                <c:pt idx="37" formatCode="General">
                  <c:v>11.3</c:v>
                </c:pt>
                <c:pt idx="38" formatCode="General">
                  <c:v>11.7</c:v>
                </c:pt>
                <c:pt idx="39" formatCode="General">
                  <c:v>10</c:v>
                </c:pt>
                <c:pt idx="40" formatCode="General">
                  <c:v>9</c:v>
                </c:pt>
                <c:pt idx="41" formatCode="General">
                  <c:v>10.6</c:v>
                </c:pt>
                <c:pt idx="42" formatCode="General">
                  <c:v>6.1</c:v>
                </c:pt>
                <c:pt idx="43" formatCode="General">
                  <c:v>4.7</c:v>
                </c:pt>
              </c:numCache>
            </c:numRef>
          </c:val>
          <c:smooth val="1"/>
        </c:ser>
        <c:ser>
          <c:idx val="2"/>
          <c:order val="2"/>
          <c:tx>
            <c:strRef>
              <c:f>Sheet1!$A$5</c:f>
              <c:strCache>
                <c:ptCount val="1"/>
                <c:pt idx="0">
                  <c:v>LV</c:v>
                </c:pt>
              </c:strCache>
            </c:strRef>
          </c:tx>
          <c:spPr>
            <a:ln w="31750">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0.0</c:formatCode>
                <c:ptCount val="44"/>
                <c:pt idx="0">
                  <c:v>-0.9</c:v>
                </c:pt>
                <c:pt idx="1">
                  <c:v>-2</c:v>
                </c:pt>
                <c:pt idx="2">
                  <c:v>-5.6</c:v>
                </c:pt>
                <c:pt idx="3">
                  <c:v>-7.8</c:v>
                </c:pt>
                <c:pt idx="4">
                  <c:v>-13.1</c:v>
                </c:pt>
                <c:pt idx="5">
                  <c:v>-12.3</c:v>
                </c:pt>
                <c:pt idx="6">
                  <c:v>-14.1</c:v>
                </c:pt>
                <c:pt idx="7">
                  <c:v>-13.6</c:v>
                </c:pt>
                <c:pt idx="8">
                  <c:v>-17.600000000000001</c:v>
                </c:pt>
                <c:pt idx="9">
                  <c:v>-22.8</c:v>
                </c:pt>
                <c:pt idx="10">
                  <c:v>-25.7</c:v>
                </c:pt>
                <c:pt idx="11">
                  <c:v>-28</c:v>
                </c:pt>
                <c:pt idx="12">
                  <c:v>-31.5</c:v>
                </c:pt>
                <c:pt idx="13">
                  <c:v>-36.300000000000004</c:v>
                </c:pt>
                <c:pt idx="14">
                  <c:v>-35.6</c:v>
                </c:pt>
                <c:pt idx="15">
                  <c:v>-28.2</c:v>
                </c:pt>
                <c:pt idx="16">
                  <c:v>-27.2</c:v>
                </c:pt>
                <c:pt idx="17">
                  <c:v>-26.5</c:v>
                </c:pt>
                <c:pt idx="18">
                  <c:v>-26.3</c:v>
                </c:pt>
                <c:pt idx="19">
                  <c:v>-28.3</c:v>
                </c:pt>
                <c:pt idx="20">
                  <c:v>-26.4</c:v>
                </c:pt>
                <c:pt idx="21">
                  <c:v>-23.4</c:v>
                </c:pt>
                <c:pt idx="22">
                  <c:v>-22.5</c:v>
                </c:pt>
                <c:pt idx="23">
                  <c:v>-19.7</c:v>
                </c:pt>
                <c:pt idx="24">
                  <c:v>-18.100000000000001</c:v>
                </c:pt>
                <c:pt idx="25">
                  <c:v>-14.2</c:v>
                </c:pt>
                <c:pt idx="26">
                  <c:v>-10.7</c:v>
                </c:pt>
                <c:pt idx="27">
                  <c:v>-8.1</c:v>
                </c:pt>
                <c:pt idx="28">
                  <c:v>-5.4</c:v>
                </c:pt>
                <c:pt idx="29">
                  <c:v>-5.3</c:v>
                </c:pt>
                <c:pt idx="30">
                  <c:v>-5.0999999999999996</c:v>
                </c:pt>
                <c:pt idx="31">
                  <c:v>-5.0999999999999996</c:v>
                </c:pt>
                <c:pt idx="32" formatCode="0.00">
                  <c:v>-5.7</c:v>
                </c:pt>
                <c:pt idx="33" formatCode="0.00">
                  <c:v>-4.4000000000000004</c:v>
                </c:pt>
                <c:pt idx="34" formatCode="0.00">
                  <c:v>-4.7</c:v>
                </c:pt>
                <c:pt idx="35" formatCode="General">
                  <c:v>-4.5999999999999996</c:v>
                </c:pt>
                <c:pt idx="36" formatCode="General">
                  <c:v>-5.9</c:v>
                </c:pt>
                <c:pt idx="37" formatCode="General">
                  <c:v>-3</c:v>
                </c:pt>
                <c:pt idx="38" formatCode="General">
                  <c:v>-2.8</c:v>
                </c:pt>
                <c:pt idx="39" formatCode="General">
                  <c:v>-3</c:v>
                </c:pt>
                <c:pt idx="40" formatCode="General">
                  <c:v>-3.8</c:v>
                </c:pt>
                <c:pt idx="41" formatCode="General">
                  <c:v>-5.2</c:v>
                </c:pt>
                <c:pt idx="42" formatCode="General">
                  <c:v>-3.4</c:v>
                </c:pt>
                <c:pt idx="43" formatCode="General">
                  <c:v>-6.8</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0.0</c:formatCode>
                <c:ptCount val="44"/>
                <c:pt idx="0">
                  <c:v>5.3</c:v>
                </c:pt>
                <c:pt idx="1">
                  <c:v>-1.5</c:v>
                </c:pt>
                <c:pt idx="2">
                  <c:v>-5.2</c:v>
                </c:pt>
                <c:pt idx="3">
                  <c:v>-9.5</c:v>
                </c:pt>
                <c:pt idx="4">
                  <c:v>-3.8</c:v>
                </c:pt>
                <c:pt idx="5">
                  <c:v>-3.6</c:v>
                </c:pt>
                <c:pt idx="6">
                  <c:v>-8.3000000000000007</c:v>
                </c:pt>
                <c:pt idx="7">
                  <c:v>-7</c:v>
                </c:pt>
                <c:pt idx="8">
                  <c:v>-11.6</c:v>
                </c:pt>
                <c:pt idx="9">
                  <c:v>-15.1</c:v>
                </c:pt>
                <c:pt idx="10">
                  <c:v>-25.9</c:v>
                </c:pt>
                <c:pt idx="11">
                  <c:v>-27.6</c:v>
                </c:pt>
                <c:pt idx="12">
                  <c:v>-28.8</c:v>
                </c:pt>
                <c:pt idx="13">
                  <c:v>-32.1</c:v>
                </c:pt>
                <c:pt idx="14">
                  <c:v>-36.800000000000004</c:v>
                </c:pt>
                <c:pt idx="15">
                  <c:v>-41.4</c:v>
                </c:pt>
                <c:pt idx="16">
                  <c:v>-37.1</c:v>
                </c:pt>
                <c:pt idx="17">
                  <c:v>-35.1</c:v>
                </c:pt>
                <c:pt idx="18">
                  <c:v>-35.300000000000004</c:v>
                </c:pt>
                <c:pt idx="19">
                  <c:v>-31.8</c:v>
                </c:pt>
                <c:pt idx="20">
                  <c:v>-37.200000000000003</c:v>
                </c:pt>
                <c:pt idx="21">
                  <c:v>-31.6</c:v>
                </c:pt>
                <c:pt idx="22">
                  <c:v>-30.2</c:v>
                </c:pt>
                <c:pt idx="23">
                  <c:v>-25.2</c:v>
                </c:pt>
                <c:pt idx="24">
                  <c:v>-15.7</c:v>
                </c:pt>
                <c:pt idx="25">
                  <c:v>-17.100000000000001</c:v>
                </c:pt>
                <c:pt idx="26">
                  <c:v>-14.7</c:v>
                </c:pt>
                <c:pt idx="27">
                  <c:v>-12.5</c:v>
                </c:pt>
                <c:pt idx="28">
                  <c:v>-13.9</c:v>
                </c:pt>
                <c:pt idx="29">
                  <c:v>-18.100000000000001</c:v>
                </c:pt>
                <c:pt idx="30">
                  <c:v>-17.399999999999999</c:v>
                </c:pt>
                <c:pt idx="31">
                  <c:v>-14.5</c:v>
                </c:pt>
                <c:pt idx="32" formatCode="0.00">
                  <c:v>-13.6</c:v>
                </c:pt>
                <c:pt idx="33" formatCode="0.00">
                  <c:v>-10.200000000000001</c:v>
                </c:pt>
                <c:pt idx="34" formatCode="0.00">
                  <c:v>-6.6</c:v>
                </c:pt>
                <c:pt idx="35" formatCode="General">
                  <c:v>-3.2</c:v>
                </c:pt>
                <c:pt idx="36" formatCode="General">
                  <c:v>-5.2</c:v>
                </c:pt>
                <c:pt idx="37" formatCode="General">
                  <c:v>-6</c:v>
                </c:pt>
                <c:pt idx="38" formatCode="General">
                  <c:v>-3.1</c:v>
                </c:pt>
                <c:pt idx="39" formatCode="General">
                  <c:v>2.1</c:v>
                </c:pt>
                <c:pt idx="40" formatCode="General">
                  <c:v>0.1</c:v>
                </c:pt>
                <c:pt idx="41" formatCode="General">
                  <c:v>3.6</c:v>
                </c:pt>
                <c:pt idx="42" formatCode="General">
                  <c:v>5.3</c:v>
                </c:pt>
                <c:pt idx="43" formatCode="General">
                  <c:v>-4.8</c:v>
                </c:pt>
              </c:numCache>
            </c:numRef>
          </c:val>
          <c:smooth val="1"/>
        </c:ser>
        <c:marker val="1"/>
        <c:axId val="137052928"/>
        <c:axId val="137054464"/>
      </c:lineChart>
      <c:catAx>
        <c:axId val="137052928"/>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7054464"/>
        <c:crosses val="autoZero"/>
        <c:lblAlgn val="ctr"/>
        <c:lblOffset val="0"/>
        <c:tickLblSkip val="2"/>
        <c:tickMarkSkip val="1"/>
        <c:noMultiLvlLbl val="1"/>
      </c:catAx>
      <c:valAx>
        <c:axId val="137054464"/>
        <c:scaling>
          <c:orientation val="minMax"/>
          <c:max val="1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37052928"/>
        <c:crosses val="autoZero"/>
        <c:crossBetween val="between"/>
        <c:majorUnit val="15"/>
      </c:valAx>
      <c:spPr>
        <a:noFill/>
        <a:ln w="6350">
          <a:solidFill>
            <a:sysClr val="window" lastClr="FFFFFF">
              <a:lumMod val="75000"/>
            </a:sysClr>
          </a:solidFill>
        </a:ln>
      </c:spPr>
    </c:plotArea>
    <c:legend>
      <c:legendPos val="b"/>
      <c:layout>
        <c:manualLayout>
          <c:xMode val="edge"/>
          <c:yMode val="edge"/>
          <c:x val="0.14660260119242469"/>
          <c:y val="3.7555243353916891E-2"/>
          <c:w val="0.4928375806059388"/>
          <c:h val="0.17677699001317784"/>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93.5</c:v>
                </c:pt>
                <c:pt idx="1">
                  <c:v>93.032499999999999</c:v>
                </c:pt>
                <c:pt idx="2">
                  <c:v>97.498060000000024</c:v>
                </c:pt>
                <c:pt idx="3">
                  <c:v>98.863032839999505</c:v>
                </c:pt>
                <c:pt idx="4">
                  <c:v>98.368717675800013</c:v>
                </c:pt>
                <c:pt idx="5">
                  <c:v>96.598080757635458</c:v>
                </c:pt>
                <c:pt idx="6">
                  <c:v>90.319205508389302</c:v>
                </c:pt>
                <c:pt idx="7">
                  <c:v>91.583674385506754</c:v>
                </c:pt>
                <c:pt idx="8">
                  <c:v>100.55887447528625</c:v>
                </c:pt>
                <c:pt idx="9">
                  <c:v>102.26837534136628</c:v>
                </c:pt>
                <c:pt idx="10">
                  <c:v>101.24569158795263</c:v>
                </c:pt>
                <c:pt idx="11">
                  <c:v>97.600846690786</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94.2</c:v>
                </c:pt>
                <c:pt idx="1">
                  <c:v>93.257999999999996</c:v>
                </c:pt>
                <c:pt idx="2">
                  <c:v>96.522029999999972</c:v>
                </c:pt>
                <c:pt idx="3">
                  <c:v>97.197684209999963</c:v>
                </c:pt>
                <c:pt idx="4">
                  <c:v>96.420102736319919</c:v>
                </c:pt>
                <c:pt idx="5">
                  <c:v>93.816759962439278</c:v>
                </c:pt>
                <c:pt idx="6">
                  <c:v>90.064089563941764</c:v>
                </c:pt>
                <c:pt idx="7">
                  <c:v>88.623064130918678</c:v>
                </c:pt>
                <c:pt idx="8">
                  <c:v>94.649432491821159</c:v>
                </c:pt>
                <c:pt idx="9">
                  <c:v>96.069173979198467</c:v>
                </c:pt>
                <c:pt idx="10">
                  <c:v>95.396689761344476</c:v>
                </c:pt>
                <c:pt idx="11">
                  <c:v>91.962408929935691</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94.8</c:v>
                </c:pt>
                <c:pt idx="1">
                  <c:v>92.714400000000026</c:v>
                </c:pt>
                <c:pt idx="2">
                  <c:v>96.422975999999949</c:v>
                </c:pt>
                <c:pt idx="3">
                  <c:v>97.772897664000013</c:v>
                </c:pt>
                <c:pt idx="4">
                  <c:v>97.577351868672011</c:v>
                </c:pt>
                <c:pt idx="5">
                  <c:v>96.40642364624857</c:v>
                </c:pt>
                <c:pt idx="6">
                  <c:v>92.068134582166778</c:v>
                </c:pt>
                <c:pt idx="7">
                  <c:v>91.147453236345427</c:v>
                </c:pt>
                <c:pt idx="8">
                  <c:v>97.072037696707142</c:v>
                </c:pt>
                <c:pt idx="9">
                  <c:v>100.56663105378868</c:v>
                </c:pt>
                <c:pt idx="10">
                  <c:v>99.762098005358681</c:v>
                </c:pt>
                <c:pt idx="11">
                  <c:v>97.467569751236098</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95.399999999999991</c:v>
                </c:pt>
                <c:pt idx="1">
                  <c:v>92.060999999999993</c:v>
                </c:pt>
                <c:pt idx="2">
                  <c:v>97.676720999999958</c:v>
                </c:pt>
                <c:pt idx="3" formatCode="0.00">
                  <c:v>103.83035442299995</c:v>
                </c:pt>
                <c:pt idx="4" formatCode="0.00">
                  <c:v>105.28397938492198</c:v>
                </c:pt>
                <c:pt idx="5" formatCode="0.00">
                  <c:v>104.33642357045768</c:v>
                </c:pt>
                <c:pt idx="6" formatCode="0.00">
                  <c:v>97.867565309089301</c:v>
                </c:pt>
                <c:pt idx="7" formatCode="0.00">
                  <c:v>98.161168005016563</c:v>
                </c:pt>
              </c:numCache>
            </c:numRef>
          </c:val>
        </c:ser>
        <c:marker val="1"/>
        <c:axId val="163459456"/>
        <c:axId val="163460992"/>
      </c:lineChart>
      <c:catAx>
        <c:axId val="163459456"/>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460992"/>
        <c:crosses val="autoZero"/>
        <c:auto val="1"/>
        <c:lblAlgn val="ctr"/>
        <c:lblOffset val="100"/>
        <c:tickLblSkip val="1"/>
        <c:tickMarkSkip val="1"/>
      </c:catAx>
      <c:valAx>
        <c:axId val="163460992"/>
        <c:scaling>
          <c:orientation val="minMax"/>
          <c:max val="106"/>
          <c:min val="88"/>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459456"/>
        <c:crosses val="autoZero"/>
        <c:crossBetween val="between"/>
        <c:majorUnit val="3"/>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116.5</c:v>
                </c:pt>
                <c:pt idx="1">
                  <c:v>122.67449999999998</c:v>
                </c:pt>
                <c:pt idx="2">
                  <c:v>124.14659399999999</c:v>
                </c:pt>
                <c:pt idx="3">
                  <c:v>125.38805993999998</c:v>
                </c:pt>
                <c:pt idx="4">
                  <c:v>126.76732859933999</c:v>
                </c:pt>
                <c:pt idx="5">
                  <c:v>127.90823455673385</c:v>
                </c:pt>
                <c:pt idx="6">
                  <c:v>127.65241808762001</c:v>
                </c:pt>
                <c:pt idx="7">
                  <c:v>128.29068017805776</c:v>
                </c:pt>
                <c:pt idx="8">
                  <c:v>128.16238949788061</c:v>
                </c:pt>
                <c:pt idx="9">
                  <c:v>128.29055188737792</c:v>
                </c:pt>
                <c:pt idx="10">
                  <c:v>128.03397078360371</c:v>
                </c:pt>
                <c:pt idx="11">
                  <c:v>127.64986887125288</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104.89999999999999</c:v>
                </c:pt>
                <c:pt idx="1">
                  <c:v>115.91450000000034</c:v>
                </c:pt>
                <c:pt idx="2">
                  <c:v>115.91450000000034</c:v>
                </c:pt>
                <c:pt idx="3">
                  <c:v>117.07364499999998</c:v>
                </c:pt>
                <c:pt idx="4">
                  <c:v>117.42486593499997</c:v>
                </c:pt>
                <c:pt idx="5">
                  <c:v>118.24683999654495</c:v>
                </c:pt>
                <c:pt idx="6">
                  <c:v>122.26723255642735</c:v>
                </c:pt>
                <c:pt idx="7">
                  <c:v>121.77816362620179</c:v>
                </c:pt>
                <c:pt idx="8">
                  <c:v>121.77816362620179</c:v>
                </c:pt>
                <c:pt idx="9">
                  <c:v>121.53460729894942</c:v>
                </c:pt>
                <c:pt idx="10">
                  <c:v>120.19772661866094</c:v>
                </c:pt>
                <c:pt idx="11">
                  <c:v>119.83713343880495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100.89999999999999</c:v>
                </c:pt>
                <c:pt idx="1">
                  <c:v>101.50539999999998</c:v>
                </c:pt>
                <c:pt idx="2">
                  <c:v>101.40389460000031</c:v>
                </c:pt>
                <c:pt idx="3">
                  <c:v>101.40389460000031</c:v>
                </c:pt>
                <c:pt idx="4">
                  <c:v>101.6067023892</c:v>
                </c:pt>
                <c:pt idx="5">
                  <c:v>101.70830909158887</c:v>
                </c:pt>
                <c:pt idx="6">
                  <c:v>101.81001740068075</c:v>
                </c:pt>
                <c:pt idx="7">
                  <c:v>101.19915729627668</c:v>
                </c:pt>
                <c:pt idx="8">
                  <c:v>101.70515308275806</c:v>
                </c:pt>
                <c:pt idx="9">
                  <c:v>101.50174277659212</c:v>
                </c:pt>
                <c:pt idx="10">
                  <c:v>101.40024103381596</c:v>
                </c:pt>
                <c:pt idx="11">
                  <c:v>101.50164127484976</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101.4</c:v>
                </c:pt>
                <c:pt idx="1">
                  <c:v>101.19720000000002</c:v>
                </c:pt>
                <c:pt idx="2">
                  <c:v>100.69121400000031</c:v>
                </c:pt>
                <c:pt idx="3" formatCode="0.00">
                  <c:v>101.09397885599954</c:v>
                </c:pt>
                <c:pt idx="4" formatCode="0.00">
                  <c:v>101.09397885599954</c:v>
                </c:pt>
                <c:pt idx="5" formatCode="0.00">
                  <c:v>103.31804639083201</c:v>
                </c:pt>
                <c:pt idx="6" formatCode="0.00">
                  <c:v>103.52468248361367</c:v>
                </c:pt>
                <c:pt idx="7" formatCode="0.00">
                  <c:v>103.83525653106445</c:v>
                </c:pt>
              </c:numCache>
            </c:numRef>
          </c:val>
        </c:ser>
        <c:marker val="1"/>
        <c:axId val="163175424"/>
        <c:axId val="163406592"/>
      </c:lineChart>
      <c:catAx>
        <c:axId val="163175424"/>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406592"/>
        <c:crosses val="autoZero"/>
        <c:auto val="1"/>
        <c:lblAlgn val="ctr"/>
        <c:lblOffset val="100"/>
        <c:tickLblSkip val="1"/>
        <c:tickMarkSkip val="1"/>
      </c:catAx>
      <c:valAx>
        <c:axId val="163406592"/>
        <c:scaling>
          <c:orientation val="minMax"/>
          <c:max val="130"/>
          <c:min val="10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175424"/>
        <c:crosses val="autoZero"/>
        <c:crossBetween val="between"/>
        <c:majorUnit val="5"/>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104.89999999999999</c:v>
                </c:pt>
                <c:pt idx="1">
                  <c:v>103.6412000000003</c:v>
                </c:pt>
                <c:pt idx="2">
                  <c:v>106.85407719999949</c:v>
                </c:pt>
                <c:pt idx="3">
                  <c:v>107.28149350879998</c:v>
                </c:pt>
                <c:pt idx="4">
                  <c:v>112.00187922318719</c:v>
                </c:pt>
                <c:pt idx="5">
                  <c:v>117.26596754667698</c:v>
                </c:pt>
                <c:pt idx="6">
                  <c:v>119.14222302742381</c:v>
                </c:pt>
                <c:pt idx="7">
                  <c:v>114.25739188329941</c:v>
                </c:pt>
                <c:pt idx="8">
                  <c:v>112.20075882939985</c:v>
                </c:pt>
                <c:pt idx="9">
                  <c:v>107.03952392324827</c:v>
                </c:pt>
                <c:pt idx="10">
                  <c:v>93.338464861071941</c:v>
                </c:pt>
                <c:pt idx="11">
                  <c:v>85.124679953297615</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95.2</c:v>
                </c:pt>
                <c:pt idx="1">
                  <c:v>106.90960000000022</c:v>
                </c:pt>
                <c:pt idx="2">
                  <c:v>109.04779199999999</c:v>
                </c:pt>
                <c:pt idx="3">
                  <c:v>110.02922212799966</c:v>
                </c:pt>
                <c:pt idx="4">
                  <c:v>114.65044945737597</c:v>
                </c:pt>
                <c:pt idx="5">
                  <c:v>121.07087462698868</c:v>
                </c:pt>
                <c:pt idx="6">
                  <c:v>119.37588238221063</c:v>
                </c:pt>
                <c:pt idx="7">
                  <c:v>121.04714473556244</c:v>
                </c:pt>
                <c:pt idx="8">
                  <c:v>120.44190901188432</c:v>
                </c:pt>
                <c:pt idx="9">
                  <c:v>117.91262892263475</c:v>
                </c:pt>
                <c:pt idx="10">
                  <c:v>122.3933088216943</c:v>
                </c:pt>
                <c:pt idx="11">
                  <c:v>120.31262257172605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103.5</c:v>
                </c:pt>
                <c:pt idx="1">
                  <c:v>105.15599999999998</c:v>
                </c:pt>
                <c:pt idx="2">
                  <c:v>107.67974399999969</c:v>
                </c:pt>
                <c:pt idx="3">
                  <c:v>111.01781606399999</c:v>
                </c:pt>
                <c:pt idx="4">
                  <c:v>111.01781606399999</c:v>
                </c:pt>
                <c:pt idx="5">
                  <c:v>109.90763790335998</c:v>
                </c:pt>
                <c:pt idx="6">
                  <c:v>110.23736081707005</c:v>
                </c:pt>
                <c:pt idx="7">
                  <c:v>109.02474984808228</c:v>
                </c:pt>
                <c:pt idx="8">
                  <c:v>109.13377459793004</c:v>
                </c:pt>
                <c:pt idx="9">
                  <c:v>109.67944347091998</c:v>
                </c:pt>
                <c:pt idx="10">
                  <c:v>110.77623790562915</c:v>
                </c:pt>
                <c:pt idx="11">
                  <c:v>115.20728742185436</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105.3</c:v>
                </c:pt>
                <c:pt idx="1">
                  <c:v>105.72120000000002</c:v>
                </c:pt>
                <c:pt idx="2">
                  <c:v>110.69009639999985</c:v>
                </c:pt>
                <c:pt idx="3" formatCode="0.00">
                  <c:v>113.12527852079931</c:v>
                </c:pt>
                <c:pt idx="4" formatCode="0.00">
                  <c:v>112.33340157115408</c:v>
                </c:pt>
                <c:pt idx="5" formatCode="0.00">
                  <c:v>112.89506857901016</c:v>
                </c:pt>
                <c:pt idx="6" formatCode="0.00">
                  <c:v>112.89506857901016</c:v>
                </c:pt>
                <c:pt idx="7" formatCode="0.00">
                  <c:v>112.2176981675361</c:v>
                </c:pt>
              </c:numCache>
            </c:numRef>
          </c:val>
        </c:ser>
        <c:marker val="1"/>
        <c:axId val="163501952"/>
        <c:axId val="163503488"/>
      </c:lineChart>
      <c:catAx>
        <c:axId val="16350195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503488"/>
        <c:crosses val="autoZero"/>
        <c:auto val="1"/>
        <c:lblAlgn val="ctr"/>
        <c:lblOffset val="100"/>
        <c:tickLblSkip val="1"/>
        <c:tickMarkSkip val="1"/>
      </c:catAx>
      <c:valAx>
        <c:axId val="163503488"/>
        <c:scaling>
          <c:orientation val="minMax"/>
          <c:max val="130"/>
          <c:min val="80"/>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501952"/>
        <c:crosses val="autoZero"/>
        <c:crossBetween val="between"/>
        <c:majorUnit val="10"/>
      </c:valAx>
      <c:spPr>
        <a:noFill/>
        <a:ln w="6350">
          <a:solidFill>
            <a:schemeClr val="bg1">
              <a:lumMod val="8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0.11251287246169862"/>
          <c:y val="4.6948536066612361E-2"/>
          <c:w val="0.87895586786090063"/>
          <c:h val="0.82629107981220651"/>
        </c:manualLayout>
      </c:layout>
      <c:lineChart>
        <c:grouping val="standard"/>
        <c:ser>
          <c:idx val="0"/>
          <c:order val="0"/>
          <c:tx>
            <c:strRef>
              <c:f>Sheet1!$A$2</c:f>
              <c:strCache>
                <c:ptCount val="1"/>
                <c:pt idx="0">
                  <c:v>2008</c:v>
                </c:pt>
              </c:strCache>
            </c:strRef>
          </c:tx>
          <c:spPr>
            <a:ln w="9525">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102.1</c:v>
                </c:pt>
                <c:pt idx="1">
                  <c:v>102.50839999999998</c:v>
                </c:pt>
                <c:pt idx="2">
                  <c:v>103.1234504</c:v>
                </c:pt>
                <c:pt idx="3">
                  <c:v>103.9484380032</c:v>
                </c:pt>
                <c:pt idx="4">
                  <c:v>104.5721286312192</c:v>
                </c:pt>
                <c:pt idx="5">
                  <c:v>104.99041714574409</c:v>
                </c:pt>
                <c:pt idx="6">
                  <c:v>105.62035964861856</c:v>
                </c:pt>
                <c:pt idx="7">
                  <c:v>105.72598000826716</c:v>
                </c:pt>
                <c:pt idx="8">
                  <c:v>106.57178784833305</c:v>
                </c:pt>
                <c:pt idx="9">
                  <c:v>106.99807499972664</c:v>
                </c:pt>
                <c:pt idx="10">
                  <c:v>107.10507307472584</c:v>
                </c:pt>
                <c:pt idx="11">
                  <c:v>106.99796800165163</c:v>
                </c:pt>
              </c:numCache>
            </c:numRef>
          </c:val>
        </c:ser>
        <c:ser>
          <c:idx val="2"/>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102.2</c:v>
                </c:pt>
                <c:pt idx="1">
                  <c:v>103.22200000000001</c:v>
                </c:pt>
                <c:pt idx="2">
                  <c:v>103.42844400000001</c:v>
                </c:pt>
                <c:pt idx="3">
                  <c:v>103.11815866800002</c:v>
                </c:pt>
                <c:pt idx="4">
                  <c:v>102.60256787465941</c:v>
                </c:pt>
                <c:pt idx="5">
                  <c:v>101.98695246741212</c:v>
                </c:pt>
                <c:pt idx="6">
                  <c:v>101.37503075260697</c:v>
                </c:pt>
                <c:pt idx="7">
                  <c:v>100.2599054143289</c:v>
                </c:pt>
                <c:pt idx="8">
                  <c:v>100.05938560350025</c:v>
                </c:pt>
                <c:pt idx="9">
                  <c:v>99.859266832293159</c:v>
                </c:pt>
                <c:pt idx="10">
                  <c:v>99.160251964467193</c:v>
                </c:pt>
                <c:pt idx="11">
                  <c:v>98.66445070464485</c:v>
                </c:pt>
              </c:numCache>
            </c:numRef>
          </c:val>
        </c:ser>
        <c:ser>
          <c:idx val="4"/>
          <c:order val="2"/>
          <c:tx>
            <c:strRef>
              <c:f>Sheet1!$A$4</c:f>
              <c:strCache>
                <c:ptCount val="1"/>
                <c:pt idx="0">
                  <c:v>2010</c:v>
                </c:pt>
              </c:strCache>
            </c:strRef>
          </c:tx>
          <c:spPr>
            <a:ln w="19050">
              <a:solidFill>
                <a:schemeClr val="tx1"/>
              </a:solidFill>
              <a:prstDash val="solid"/>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100.2</c:v>
                </c:pt>
                <c:pt idx="1">
                  <c:v>100.13992805755338</c:v>
                </c:pt>
                <c:pt idx="2">
                  <c:v>100.62050359712231</c:v>
                </c:pt>
                <c:pt idx="3">
                  <c:v>101.52158273381295</c:v>
                </c:pt>
                <c:pt idx="4">
                  <c:v>101.46151079136753</c:v>
                </c:pt>
                <c:pt idx="5">
                  <c:v>101.8820143884889</c:v>
                </c:pt>
                <c:pt idx="6">
                  <c:v>102.06223021582736</c:v>
                </c:pt>
                <c:pt idx="7">
                  <c:v>101.34136690647478</c:v>
                </c:pt>
                <c:pt idx="8">
                  <c:v>101.82194244604318</c:v>
                </c:pt>
                <c:pt idx="9">
                  <c:v>102.18237410071883</c:v>
                </c:pt>
                <c:pt idx="10">
                  <c:v>102.42266187050355</c:v>
                </c:pt>
                <c:pt idx="11">
                  <c:v>102.54280575539569</c:v>
                </c:pt>
              </c:numCache>
            </c:numRef>
          </c:val>
        </c:ser>
        <c:ser>
          <c:idx val="1"/>
          <c:order val="3"/>
          <c:tx>
            <c:strRef>
              <c:f>Sheet1!$A$5</c:f>
              <c:strCache>
                <c:ptCount val="1"/>
                <c:pt idx="0">
                  <c:v>2011</c:v>
                </c:pt>
              </c:strCache>
            </c:strRef>
          </c:tx>
          <c:spPr>
            <a:ln w="3175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101.2</c:v>
                </c:pt>
                <c:pt idx="1">
                  <c:v>101.6048</c:v>
                </c:pt>
                <c:pt idx="2">
                  <c:v>101.6048</c:v>
                </c:pt>
                <c:pt idx="3" formatCode="0.00">
                  <c:v>101.70640479999999</c:v>
                </c:pt>
                <c:pt idx="4" formatCode="0.00">
                  <c:v>101.40128558559999</c:v>
                </c:pt>
                <c:pt idx="5" formatCode="0.00">
                  <c:v>101.19848301442823</c:v>
                </c:pt>
                <c:pt idx="6" formatCode="0.00">
                  <c:v>101.70447542950092</c:v>
                </c:pt>
                <c:pt idx="7" formatCode="0.00">
                  <c:v>101.8061799049304</c:v>
                </c:pt>
              </c:numCache>
            </c:numRef>
          </c:val>
        </c:ser>
        <c:marker val="1"/>
        <c:axId val="163631872"/>
        <c:axId val="163633408"/>
      </c:lineChart>
      <c:catAx>
        <c:axId val="163631872"/>
        <c:scaling>
          <c:orientation val="minMax"/>
        </c:scaling>
        <c:axPos val="b"/>
        <c:majorGridlines>
          <c:spPr>
            <a:ln w="6350">
              <a:solidFill>
                <a:schemeClr val="bg1">
                  <a:lumMod val="85000"/>
                </a:schemeClr>
              </a:solidFill>
            </a:ln>
          </c:spPr>
        </c:majorGridlines>
        <c:numFmt formatCode="General" sourceLinked="1"/>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3633408"/>
        <c:crosses val="autoZero"/>
        <c:auto val="1"/>
        <c:lblAlgn val="ctr"/>
        <c:lblOffset val="100"/>
        <c:tickLblSkip val="1"/>
        <c:tickMarkSkip val="1"/>
      </c:catAx>
      <c:valAx>
        <c:axId val="163633408"/>
        <c:scaling>
          <c:orientation val="minMax"/>
          <c:max val="108"/>
          <c:min val="98"/>
        </c:scaling>
        <c:axPos val="l"/>
        <c:majorGridlines>
          <c:spPr>
            <a:ln w="6350">
              <a:solidFill>
                <a:schemeClr val="bg1">
                  <a:lumMod val="85000"/>
                </a:schemeClr>
              </a:solidFill>
              <a:prstDash val="solid"/>
            </a:ln>
          </c:spPr>
        </c:majorGridlines>
        <c:numFmt formatCode="0" sourceLinked="0"/>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631872"/>
        <c:crosses val="autoZero"/>
        <c:crossBetween val="between"/>
        <c:majorUnit val="2"/>
      </c:valAx>
      <c:spPr>
        <a:noFill/>
        <a:ln w="6350">
          <a:solidFill>
            <a:schemeClr val="bg1">
              <a:lumMod val="75000"/>
            </a:schemeClr>
          </a:solidFill>
        </a:ln>
      </c:spPr>
    </c:plotArea>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userShapes r:id="rId2"/>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3.6865679790026251E-2"/>
          <c:y val="1.7914267434420986E-2"/>
          <c:w val="0.94350278215221794"/>
          <c:h val="0.90795492214145013"/>
        </c:manualLayout>
      </c:layout>
      <c:barChart>
        <c:barDir val="col"/>
        <c:grouping val="stacked"/>
        <c:ser>
          <c:idx val="3"/>
          <c:order val="0"/>
          <c:tx>
            <c:strRef>
              <c:f>Sheet1!$A$3</c:f>
              <c:strCache>
                <c:ptCount val="1"/>
                <c:pt idx="0">
                  <c:v>Pārējās grupas</c:v>
                </c:pt>
              </c:strCache>
            </c:strRef>
          </c:tx>
          <c:spPr>
            <a:solidFill>
              <a:schemeClr val="bg1"/>
            </a:solidFill>
            <a:ln w="6350">
              <a:solidFill>
                <a:schemeClr val="tx1"/>
              </a:solidFill>
            </a:ln>
          </c:spPr>
          <c:dLbls>
            <c:dLbl>
              <c:idx val="17"/>
              <c:delete val="1"/>
            </c:dLbl>
            <c:dLbl>
              <c:idx val="18"/>
              <c:delete val="1"/>
            </c:dLbl>
            <c:dLbl>
              <c:idx val="36"/>
              <c:delete val="1"/>
            </c:dLbl>
            <c:dLbl>
              <c:idx val="37"/>
              <c:delete val="1"/>
            </c:dLbl>
            <c:dLbl>
              <c:idx val="38"/>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0.0</c:formatCode>
                <c:ptCount val="44"/>
                <c:pt idx="0">
                  <c:v>4.7</c:v>
                </c:pt>
                <c:pt idx="1">
                  <c:v>5</c:v>
                </c:pt>
                <c:pt idx="2">
                  <c:v>4.9000000000000004</c:v>
                </c:pt>
                <c:pt idx="3">
                  <c:v>4.9000000000000004</c:v>
                </c:pt>
                <c:pt idx="4">
                  <c:v>5</c:v>
                </c:pt>
                <c:pt idx="5">
                  <c:v>5</c:v>
                </c:pt>
                <c:pt idx="6">
                  <c:v>4.5999999999999996</c:v>
                </c:pt>
                <c:pt idx="7">
                  <c:v>4.4000000000000004</c:v>
                </c:pt>
                <c:pt idx="8">
                  <c:v>4.0999999999999996</c:v>
                </c:pt>
                <c:pt idx="9">
                  <c:v>3.7</c:v>
                </c:pt>
                <c:pt idx="10">
                  <c:v>3.3</c:v>
                </c:pt>
                <c:pt idx="11">
                  <c:v>2.9</c:v>
                </c:pt>
                <c:pt idx="12" formatCode="General">
                  <c:v>2.9</c:v>
                </c:pt>
                <c:pt idx="13" formatCode="General">
                  <c:v>2.4</c:v>
                </c:pt>
                <c:pt idx="14" formatCode="General">
                  <c:v>1.7</c:v>
                </c:pt>
                <c:pt idx="15" formatCode="General">
                  <c:v>1.2</c:v>
                </c:pt>
                <c:pt idx="16" formatCode="General">
                  <c:v>0.70000000000000062</c:v>
                </c:pt>
                <c:pt idx="17" formatCode="General">
                  <c:v>0.2</c:v>
                </c:pt>
                <c:pt idx="18" formatCode="General">
                  <c:v>0.1</c:v>
                </c:pt>
                <c:pt idx="19" formatCode="General">
                  <c:v>-0.5</c:v>
                </c:pt>
                <c:pt idx="20" formatCode="General">
                  <c:v>-1.5</c:v>
                </c:pt>
                <c:pt idx="21" formatCode="General">
                  <c:v>-1.7</c:v>
                </c:pt>
                <c:pt idx="22" formatCode="General">
                  <c:v>-2.1</c:v>
                </c:pt>
                <c:pt idx="23" formatCode="General">
                  <c:v>-2.2999999999999998</c:v>
                </c:pt>
                <c:pt idx="24">
                  <c:v>-3.2950414513930193</c:v>
                </c:pt>
                <c:pt idx="25">
                  <c:v>-3.3877418437454807</c:v>
                </c:pt>
                <c:pt idx="26">
                  <c:v>-3.2428740101288343</c:v>
                </c:pt>
                <c:pt idx="27">
                  <c:v>-3.0128697691992556</c:v>
                </c:pt>
                <c:pt idx="28">
                  <c:v>-2.8988910834384387</c:v>
                </c:pt>
                <c:pt idx="29">
                  <c:v>-2.4365646693275478</c:v>
                </c:pt>
                <c:pt idx="30">
                  <c:v>-2.3411880585462455</c:v>
                </c:pt>
                <c:pt idx="31">
                  <c:v>-2.0631557431198013</c:v>
                </c:pt>
                <c:pt idx="32">
                  <c:v>-1.6998435587442637</c:v>
                </c:pt>
                <c:pt idx="33">
                  <c:v>-1.4458837892829148</c:v>
                </c:pt>
                <c:pt idx="34">
                  <c:v>-1.1457274044812817</c:v>
                </c:pt>
                <c:pt idx="35">
                  <c:v>-0.93473637262190779</c:v>
                </c:pt>
                <c:pt idx="36">
                  <c:v>-0.20371603422084494</c:v>
                </c:pt>
                <c:pt idx="37">
                  <c:v>9.6733964950110208E-3</c:v>
                </c:pt>
                <c:pt idx="38">
                  <c:v>0.25420619660312987</c:v>
                </c:pt>
                <c:pt idx="39">
                  <c:v>0.65813570868458582</c:v>
                </c:pt>
                <c:pt idx="40">
                  <c:v>0.86404648422626129</c:v>
                </c:pt>
                <c:pt idx="41">
                  <c:v>0.75480490738552231</c:v>
                </c:pt>
                <c:pt idx="42">
                  <c:v>0.75942452322621479</c:v>
                </c:pt>
                <c:pt idx="43">
                  <c:v>1.0384868347398382</c:v>
                </c:pt>
              </c:numCache>
            </c:numRef>
          </c:val>
        </c:ser>
        <c:ser>
          <c:idx val="5"/>
          <c:order val="1"/>
          <c:tx>
            <c:strRef>
              <c:f>Sheet1!$A$4</c:f>
              <c:strCache>
                <c:ptCount val="1"/>
                <c:pt idx="0">
                  <c:v>Administratīvi regulējamie pakalpojumi</c:v>
                </c:pt>
              </c:strCache>
            </c:strRef>
          </c:tx>
          <c:spPr>
            <a:solidFill>
              <a:srgbClr val="800000"/>
            </a:solidFill>
            <a:ln w="6350">
              <a:solidFill>
                <a:schemeClr val="tx1"/>
              </a:solidFill>
            </a:ln>
          </c:spPr>
          <c:dLbls>
            <c:dLbl>
              <c:idx val="28"/>
              <c:delete val="1"/>
            </c:dLbl>
            <c:numFmt formatCode="#,##0.0" sourceLinked="0"/>
            <c:txPr>
              <a:bodyPr/>
              <a:lstStyle/>
              <a:p>
                <a:pPr>
                  <a:defRPr sz="600">
                    <a:solidFill>
                      <a:schemeClr val="bg1"/>
                    </a:solidFill>
                    <a:latin typeface="Arial" pitchFamily="34" charset="0"/>
                    <a:cs typeface="Arial" pitchFamily="34" charset="0"/>
                  </a:defRPr>
                </a:pPr>
                <a:endParaRPr lang="lv-LV"/>
              </a:p>
            </c:txPr>
            <c:showVal val="1"/>
          </c:dLbls>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0.0</c:formatCode>
                <c:ptCount val="44"/>
                <c:pt idx="0">
                  <c:v>2.1</c:v>
                </c:pt>
                <c:pt idx="1">
                  <c:v>2.2000000000000002</c:v>
                </c:pt>
                <c:pt idx="2">
                  <c:v>2.5</c:v>
                </c:pt>
                <c:pt idx="3">
                  <c:v>3.4</c:v>
                </c:pt>
                <c:pt idx="4">
                  <c:v>3.4</c:v>
                </c:pt>
                <c:pt idx="5">
                  <c:v>3.3</c:v>
                </c:pt>
                <c:pt idx="6">
                  <c:v>3.3</c:v>
                </c:pt>
                <c:pt idx="7">
                  <c:v>3.3</c:v>
                </c:pt>
                <c:pt idx="8">
                  <c:v>3.3</c:v>
                </c:pt>
                <c:pt idx="9">
                  <c:v>3.7</c:v>
                </c:pt>
                <c:pt idx="10">
                  <c:v>4</c:v>
                </c:pt>
                <c:pt idx="11">
                  <c:v>4</c:v>
                </c:pt>
                <c:pt idx="12" formatCode="General">
                  <c:v>4.4000000000000004</c:v>
                </c:pt>
                <c:pt idx="13" formatCode="General">
                  <c:v>4.3</c:v>
                </c:pt>
                <c:pt idx="14" formatCode="General">
                  <c:v>4.5</c:v>
                </c:pt>
                <c:pt idx="15" formatCode="General">
                  <c:v>3.6</c:v>
                </c:pt>
                <c:pt idx="16" formatCode="General">
                  <c:v>3.1</c:v>
                </c:pt>
                <c:pt idx="17" formatCode="General">
                  <c:v>2.7</c:v>
                </c:pt>
                <c:pt idx="18" formatCode="General">
                  <c:v>2.2000000000000002</c:v>
                </c:pt>
                <c:pt idx="19" formatCode="General">
                  <c:v>2.1</c:v>
                </c:pt>
                <c:pt idx="20" formatCode="General">
                  <c:v>2</c:v>
                </c:pt>
                <c:pt idx="21" formatCode="General">
                  <c:v>0.8</c:v>
                </c:pt>
                <c:pt idx="22" formatCode="General">
                  <c:v>0.4</c:v>
                </c:pt>
                <c:pt idx="23" formatCode="General">
                  <c:v>0.30000000000000032</c:v>
                </c:pt>
                <c:pt idx="24">
                  <c:v>-0.39785920849589013</c:v>
                </c:pt>
                <c:pt idx="25">
                  <c:v>-0.40552489026047189</c:v>
                </c:pt>
                <c:pt idx="26">
                  <c:v>-0.79238614212598057</c:v>
                </c:pt>
                <c:pt idx="27">
                  <c:v>-0.44984482467888331</c:v>
                </c:pt>
                <c:pt idx="28">
                  <c:v>-2.1981841354145881E-3</c:v>
                </c:pt>
                <c:pt idx="29">
                  <c:v>0.60227717761388788</c:v>
                </c:pt>
                <c:pt idx="30">
                  <c:v>1.0470544501393277</c:v>
                </c:pt>
                <c:pt idx="31">
                  <c:v>1.0769622517600508</c:v>
                </c:pt>
                <c:pt idx="32">
                  <c:v>0.82599862450728412</c:v>
                </c:pt>
                <c:pt idx="33">
                  <c:v>0.73845856553227629</c:v>
                </c:pt>
                <c:pt idx="34">
                  <c:v>0.87909298955130133</c:v>
                </c:pt>
                <c:pt idx="35">
                  <c:v>0.73286860235253848</c:v>
                </c:pt>
                <c:pt idx="36">
                  <c:v>0.98239543310629562</c:v>
                </c:pt>
                <c:pt idx="37">
                  <c:v>0.89829272933592996</c:v>
                </c:pt>
                <c:pt idx="38">
                  <c:v>0.87209902703801589</c:v>
                </c:pt>
                <c:pt idx="39">
                  <c:v>0.70843401850070664</c:v>
                </c:pt>
                <c:pt idx="40">
                  <c:v>0.6371556122439328</c:v>
                </c:pt>
                <c:pt idx="41">
                  <c:v>0.48537195305211062</c:v>
                </c:pt>
                <c:pt idx="42">
                  <c:v>0.43193441291833401</c:v>
                </c:pt>
                <c:pt idx="43">
                  <c:v>0.48703919028228332</c:v>
                </c:pt>
              </c:numCache>
            </c:numRef>
          </c:val>
        </c:ser>
        <c:ser>
          <c:idx val="0"/>
          <c:order val="2"/>
          <c:tx>
            <c:strRef>
              <c:f>Sheet1!$A$5</c:f>
              <c:strCache>
                <c:ptCount val="1"/>
                <c:pt idx="0">
                  <c:v>Alkoholiskie dzērieni un tabaka</c:v>
                </c:pt>
              </c:strCache>
            </c:strRef>
          </c:tx>
          <c:spPr>
            <a:solidFill>
              <a:schemeClr val="bg1">
                <a:lumMod val="75000"/>
              </a:schemeClr>
            </a:solidFill>
            <a:ln w="6350">
              <a:solidFill>
                <a:schemeClr val="tx1"/>
              </a:solidFill>
            </a:ln>
          </c:spPr>
          <c:dLbls>
            <c:dLbl>
              <c:idx val="16"/>
              <c:delete val="1"/>
            </c:dLbl>
            <c:dLbl>
              <c:idx val="17"/>
              <c:delete val="1"/>
            </c:dLbl>
            <c:dLbl>
              <c:idx val="29"/>
              <c:delete val="1"/>
            </c:dLbl>
            <c:dLbl>
              <c:idx val="30"/>
              <c:delete val="1"/>
            </c:dLbl>
            <c:dLbl>
              <c:idx val="31"/>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numFmt formatCode="#,##0.0" sourceLinked="0"/>
            <c:txPr>
              <a:bodyPr/>
              <a:lstStyle/>
              <a:p>
                <a:pPr>
                  <a:defRPr sz="600">
                    <a:latin typeface="Arial" pitchFamily="34" charset="0"/>
                    <a:cs typeface="Arial" pitchFamily="34" charset="0"/>
                  </a:defRPr>
                </a:pPr>
                <a:endParaRPr lang="lv-LV"/>
              </a:p>
            </c:txPr>
            <c:showVal val="1"/>
          </c:dLbls>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0.0</c:formatCode>
                <c:ptCount val="44"/>
                <c:pt idx="0">
                  <c:v>2.7</c:v>
                </c:pt>
                <c:pt idx="1">
                  <c:v>3.2</c:v>
                </c:pt>
                <c:pt idx="2">
                  <c:v>3.2</c:v>
                </c:pt>
                <c:pt idx="3">
                  <c:v>3.3</c:v>
                </c:pt>
                <c:pt idx="4">
                  <c:v>3.3</c:v>
                </c:pt>
                <c:pt idx="5">
                  <c:v>3.2</c:v>
                </c:pt>
                <c:pt idx="6">
                  <c:v>2.5</c:v>
                </c:pt>
                <c:pt idx="7">
                  <c:v>2.2000000000000002</c:v>
                </c:pt>
                <c:pt idx="8">
                  <c:v>2.1</c:v>
                </c:pt>
                <c:pt idx="9">
                  <c:v>2.1</c:v>
                </c:pt>
                <c:pt idx="10">
                  <c:v>2</c:v>
                </c:pt>
                <c:pt idx="11">
                  <c:v>2</c:v>
                </c:pt>
                <c:pt idx="12" formatCode="General">
                  <c:v>1</c:v>
                </c:pt>
                <c:pt idx="13" formatCode="General">
                  <c:v>1.4</c:v>
                </c:pt>
                <c:pt idx="14" formatCode="General">
                  <c:v>1.3</c:v>
                </c:pt>
                <c:pt idx="15" formatCode="General">
                  <c:v>1.3</c:v>
                </c:pt>
                <c:pt idx="16" formatCode="General">
                  <c:v>1.3</c:v>
                </c:pt>
                <c:pt idx="17" formatCode="General">
                  <c:v>1.3</c:v>
                </c:pt>
                <c:pt idx="18" formatCode="General">
                  <c:v>1.6</c:v>
                </c:pt>
                <c:pt idx="19" formatCode="General">
                  <c:v>1.5</c:v>
                </c:pt>
                <c:pt idx="20" formatCode="General">
                  <c:v>1.5</c:v>
                </c:pt>
                <c:pt idx="21" formatCode="General">
                  <c:v>1.5</c:v>
                </c:pt>
                <c:pt idx="22" formatCode="General">
                  <c:v>1.4</c:v>
                </c:pt>
                <c:pt idx="23" formatCode="General">
                  <c:v>1.4</c:v>
                </c:pt>
                <c:pt idx="24">
                  <c:v>1.1053077044567943</c:v>
                </c:pt>
                <c:pt idx="25">
                  <c:v>0.37145369622156232</c:v>
                </c:pt>
                <c:pt idx="26">
                  <c:v>0.36226664974946715</c:v>
                </c:pt>
                <c:pt idx="27">
                  <c:v>0.30750282290242903</c:v>
                </c:pt>
                <c:pt idx="28">
                  <c:v>0.31048008138068661</c:v>
                </c:pt>
                <c:pt idx="29">
                  <c:v>0.25768027869848181</c:v>
                </c:pt>
                <c:pt idx="30">
                  <c:v>2.7145154621454212E-2</c:v>
                </c:pt>
                <c:pt idx="31">
                  <c:v>-1.9114990399723007E-3</c:v>
                </c:pt>
                <c:pt idx="32">
                  <c:v>2.1058340640335352E-2</c:v>
                </c:pt>
                <c:pt idx="33">
                  <c:v>1.9268308472150733E-2</c:v>
                </c:pt>
                <c:pt idx="34">
                  <c:v>9.2216176118891643E-2</c:v>
                </c:pt>
                <c:pt idx="35">
                  <c:v>0.12600469219229293</c:v>
                </c:pt>
                <c:pt idx="36">
                  <c:v>0.15397659987616236</c:v>
                </c:pt>
                <c:pt idx="37">
                  <c:v>8.8255125092327816E-2</c:v>
                </c:pt>
                <c:pt idx="38">
                  <c:v>6.7859469293460178E-2</c:v>
                </c:pt>
                <c:pt idx="39">
                  <c:v>8.1522191909476766E-2</c:v>
                </c:pt>
                <c:pt idx="40">
                  <c:v>7.3195788496687619E-2</c:v>
                </c:pt>
                <c:pt idx="41">
                  <c:v>0.23873742893751421</c:v>
                </c:pt>
                <c:pt idx="42">
                  <c:v>0.24639877068272831</c:v>
                </c:pt>
                <c:pt idx="43">
                  <c:v>0.31413955833579071</c:v>
                </c:pt>
              </c:numCache>
            </c:numRef>
          </c:val>
        </c:ser>
        <c:ser>
          <c:idx val="2"/>
          <c:order val="3"/>
          <c:tx>
            <c:strRef>
              <c:f>Sheet1!$A$6</c:f>
              <c:strCache>
                <c:ptCount val="1"/>
                <c:pt idx="0">
                  <c:v>Degviela</c:v>
                </c:pt>
              </c:strCache>
            </c:strRef>
          </c:tx>
          <c:spPr>
            <a:solidFill>
              <a:schemeClr val="tx1"/>
            </a:solidFill>
            <a:ln w="6350">
              <a:solidFill>
                <a:schemeClr val="tx1"/>
              </a:solidFill>
            </a:ln>
          </c:spPr>
          <c:dLbls>
            <c:txPr>
              <a:bodyPr/>
              <a:lstStyle/>
              <a:p>
                <a:pPr>
                  <a:defRPr sz="600" b="1">
                    <a:solidFill>
                      <a:schemeClr val="bg1"/>
                    </a:solidFill>
                  </a:defRPr>
                </a:pPr>
                <a:endParaRPr lang="lv-LV"/>
              </a:p>
            </c:txPr>
            <c:showVal val="1"/>
          </c:dLbls>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0.0</c:formatCode>
                <c:ptCount val="44"/>
                <c:pt idx="0">
                  <c:v>0.9</c:v>
                </c:pt>
                <c:pt idx="1">
                  <c:v>1.2</c:v>
                </c:pt>
                <c:pt idx="2">
                  <c:v>1.1000000000000001</c:v>
                </c:pt>
                <c:pt idx="3">
                  <c:v>0.9</c:v>
                </c:pt>
                <c:pt idx="4">
                  <c:v>1</c:v>
                </c:pt>
                <c:pt idx="5">
                  <c:v>1.2</c:v>
                </c:pt>
                <c:pt idx="6">
                  <c:v>1.3</c:v>
                </c:pt>
                <c:pt idx="7">
                  <c:v>1</c:v>
                </c:pt>
                <c:pt idx="8">
                  <c:v>1</c:v>
                </c:pt>
                <c:pt idx="9">
                  <c:v>0.60000000000000064</c:v>
                </c:pt>
                <c:pt idx="10">
                  <c:v>-0.30000000000000032</c:v>
                </c:pt>
                <c:pt idx="11">
                  <c:v>-0.70000000000000062</c:v>
                </c:pt>
                <c:pt idx="12" formatCode="General">
                  <c:v>-1.1000000000000001</c:v>
                </c:pt>
                <c:pt idx="13" formatCode="General">
                  <c:v>-0.5</c:v>
                </c:pt>
                <c:pt idx="14" formatCode="General">
                  <c:v>-0.60000000000000064</c:v>
                </c:pt>
                <c:pt idx="15" formatCode="General">
                  <c:v>-0.60000000000000064</c:v>
                </c:pt>
                <c:pt idx="16" formatCode="General">
                  <c:v>-0.60000000000000064</c:v>
                </c:pt>
                <c:pt idx="17" formatCode="General">
                  <c:v>-0.5</c:v>
                </c:pt>
                <c:pt idx="18" formatCode="General">
                  <c:v>-0.60000000000000064</c:v>
                </c:pt>
                <c:pt idx="19" formatCode="General">
                  <c:v>-0.4</c:v>
                </c:pt>
                <c:pt idx="20" formatCode="General">
                  <c:v>-0.4</c:v>
                </c:pt>
                <c:pt idx="21" formatCode="General">
                  <c:v>-0.30000000000000032</c:v>
                </c:pt>
                <c:pt idx="22" formatCode="General">
                  <c:v>0.5</c:v>
                </c:pt>
                <c:pt idx="23" formatCode="General">
                  <c:v>0.9</c:v>
                </c:pt>
                <c:pt idx="24">
                  <c:v>1.2972511609331265</c:v>
                </c:pt>
                <c:pt idx="25">
                  <c:v>0.77945298946257802</c:v>
                </c:pt>
                <c:pt idx="26">
                  <c:v>0.79800804568718864</c:v>
                </c:pt>
                <c:pt idx="27">
                  <c:v>0.91846664669308264</c:v>
                </c:pt>
                <c:pt idx="28">
                  <c:v>0.71902921413873666</c:v>
                </c:pt>
                <c:pt idx="29">
                  <c:v>0.40836182924078246</c:v>
                </c:pt>
                <c:pt idx="30">
                  <c:v>0.49113550686251495</c:v>
                </c:pt>
                <c:pt idx="31">
                  <c:v>0.3675516255600163</c:v>
                </c:pt>
                <c:pt idx="32">
                  <c:v>0.38749819870686403</c:v>
                </c:pt>
                <c:pt idx="33">
                  <c:v>0.50804817994208751</c:v>
                </c:pt>
                <c:pt idx="34">
                  <c:v>0.38128776940268905</c:v>
                </c:pt>
                <c:pt idx="35">
                  <c:v>0.64914273711217396</c:v>
                </c:pt>
                <c:pt idx="36">
                  <c:v>0.72848718326109396</c:v>
                </c:pt>
                <c:pt idx="37">
                  <c:v>0.66606632297052415</c:v>
                </c:pt>
                <c:pt idx="38">
                  <c:v>0.78045469042118565</c:v>
                </c:pt>
                <c:pt idx="39">
                  <c:v>0.72807627861386426</c:v>
                </c:pt>
                <c:pt idx="40">
                  <c:v>0.69719087662307411</c:v>
                </c:pt>
                <c:pt idx="41">
                  <c:v>0.7789551668802166</c:v>
                </c:pt>
                <c:pt idx="42">
                  <c:v>0.76422594956492462</c:v>
                </c:pt>
                <c:pt idx="43">
                  <c:v>0.78954474236254468</c:v>
                </c:pt>
              </c:numCache>
            </c:numRef>
          </c:val>
        </c:ser>
        <c:ser>
          <c:idx val="4"/>
          <c:order val="4"/>
          <c:tx>
            <c:strRef>
              <c:f>Sheet1!$A$7</c:f>
              <c:strCache>
                <c:ptCount val="1"/>
                <c:pt idx="0">
                  <c:v>Pārtika</c:v>
                </c:pt>
              </c:strCache>
            </c:strRef>
          </c:tx>
          <c:spPr>
            <a:solidFill>
              <a:srgbClr val="FF0000"/>
            </a:solidFill>
            <a:ln w="6350">
              <a:solidFill>
                <a:schemeClr val="tx1"/>
              </a:solidFill>
            </a:ln>
          </c:spPr>
          <c:dLbls>
            <c:dLbl>
              <c:idx val="16"/>
              <c:delete val="1"/>
            </c:dLbl>
            <c:dLbl>
              <c:idx val="17"/>
              <c:delete val="1"/>
            </c:dLbl>
            <c:dLbl>
              <c:idx val="29"/>
              <c:delete val="1"/>
            </c:dLbl>
            <c:dLbl>
              <c:idx val="30"/>
              <c:delete val="1"/>
            </c:dLbl>
            <c:txPr>
              <a:bodyPr/>
              <a:lstStyle/>
              <a:p>
                <a:pPr>
                  <a:defRPr sz="600">
                    <a:solidFill>
                      <a:schemeClr val="bg1"/>
                    </a:solidFill>
                  </a:defRPr>
                </a:pPr>
                <a:endParaRPr lang="lv-LV"/>
              </a:p>
            </c:txPr>
            <c:showVal val="1"/>
          </c:dLbls>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Sheet1!$B$7:$AS$7</c:f>
              <c:numCache>
                <c:formatCode>0.0</c:formatCode>
                <c:ptCount val="44"/>
                <c:pt idx="0">
                  <c:v>5.3</c:v>
                </c:pt>
                <c:pt idx="1">
                  <c:v>5.0999999999999996</c:v>
                </c:pt>
                <c:pt idx="2">
                  <c:v>5</c:v>
                </c:pt>
                <c:pt idx="3">
                  <c:v>5</c:v>
                </c:pt>
                <c:pt idx="4">
                  <c:v>5.2</c:v>
                </c:pt>
                <c:pt idx="5">
                  <c:v>5.0999999999999996</c:v>
                </c:pt>
                <c:pt idx="6">
                  <c:v>5</c:v>
                </c:pt>
                <c:pt idx="7">
                  <c:v>4.8</c:v>
                </c:pt>
                <c:pt idx="8">
                  <c:v>4.4000000000000004</c:v>
                </c:pt>
                <c:pt idx="9">
                  <c:v>3.7</c:v>
                </c:pt>
                <c:pt idx="10">
                  <c:v>2.8</c:v>
                </c:pt>
                <c:pt idx="11">
                  <c:v>2.4</c:v>
                </c:pt>
                <c:pt idx="12" formatCode="General">
                  <c:v>2.6</c:v>
                </c:pt>
                <c:pt idx="13" formatCode="General">
                  <c:v>2</c:v>
                </c:pt>
                <c:pt idx="14" formatCode="General">
                  <c:v>1.3</c:v>
                </c:pt>
                <c:pt idx="15" formatCode="General">
                  <c:v>0.60000000000000064</c:v>
                </c:pt>
                <c:pt idx="16" formatCode="General">
                  <c:v>0.2</c:v>
                </c:pt>
                <c:pt idx="17" formatCode="General">
                  <c:v>-0.2</c:v>
                </c:pt>
                <c:pt idx="18" formatCode="General">
                  <c:v>-0.70000000000000062</c:v>
                </c:pt>
                <c:pt idx="19" formatCode="General">
                  <c:v>-0.8</c:v>
                </c:pt>
                <c:pt idx="20" formatCode="General">
                  <c:v>-1.1000000000000001</c:v>
                </c:pt>
                <c:pt idx="21" formatCode="General">
                  <c:v>-1.2</c:v>
                </c:pt>
                <c:pt idx="22" formatCode="General">
                  <c:v>-1.4</c:v>
                </c:pt>
                <c:pt idx="23" formatCode="General">
                  <c:v>-1.5</c:v>
                </c:pt>
                <c:pt idx="24">
                  <c:v>-1.831186754712284</c:v>
                </c:pt>
                <c:pt idx="25">
                  <c:v>-1.5339230597120526</c:v>
                </c:pt>
                <c:pt idx="26">
                  <c:v>-1.0666844077726019</c:v>
                </c:pt>
                <c:pt idx="27">
                  <c:v>-0.49287900207253232</c:v>
                </c:pt>
                <c:pt idx="28">
                  <c:v>-0.43509111988052035</c:v>
                </c:pt>
                <c:pt idx="29">
                  <c:v>-0.20557963430224141</c:v>
                </c:pt>
                <c:pt idx="30">
                  <c:v>0.19390453888758474</c:v>
                </c:pt>
                <c:pt idx="31">
                  <c:v>0.36612921150675831</c:v>
                </c:pt>
                <c:pt idx="32">
                  <c:v>0.88462312600555282</c:v>
                </c:pt>
                <c:pt idx="33">
                  <c:v>1.173693019671832</c:v>
                </c:pt>
                <c:pt idx="34">
                  <c:v>1.7022473599485601</c:v>
                </c:pt>
                <c:pt idx="35">
                  <c:v>1.9710888436356366</c:v>
                </c:pt>
                <c:pt idx="36">
                  <c:v>2.0196273718128661</c:v>
                </c:pt>
                <c:pt idx="37">
                  <c:v>2.3289958301663036</c:v>
                </c:pt>
                <c:pt idx="38">
                  <c:v>2.2543499123867154</c:v>
                </c:pt>
                <c:pt idx="39">
                  <c:v>2.3330255788118803</c:v>
                </c:pt>
                <c:pt idx="40">
                  <c:v>2.6941549675307201</c:v>
                </c:pt>
                <c:pt idx="41">
                  <c:v>2.5526426123212129</c:v>
                </c:pt>
                <c:pt idx="42">
                  <c:v>2.1098303808679169</c:v>
                </c:pt>
                <c:pt idx="43">
                  <c:v>2.0586935400544202</c:v>
                </c:pt>
              </c:numCache>
            </c:numRef>
          </c:val>
        </c:ser>
        <c:gapWidth val="20"/>
        <c:overlap val="100"/>
        <c:axId val="164053376"/>
        <c:axId val="164054912"/>
      </c:barChart>
      <c:catAx>
        <c:axId val="164053376"/>
        <c:scaling>
          <c:orientation val="minMax"/>
        </c:scaling>
        <c:axPos val="b"/>
        <c:majorGridlines>
          <c:spPr>
            <a:ln w="6350">
              <a:solidFill>
                <a:schemeClr val="bg1">
                  <a:lumMod val="85000"/>
                </a:schemeClr>
              </a:solidFill>
            </a:ln>
          </c:spPr>
        </c:majorGridlines>
        <c:numFmt formatCode="@" sourceLinked="1"/>
        <c:majorTickMark val="none"/>
        <c:tickLblPos val="low"/>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4054912"/>
        <c:crosses val="autoZero"/>
        <c:auto val="1"/>
        <c:lblAlgn val="ctr"/>
        <c:lblOffset val="100"/>
        <c:tickLblSkip val="1"/>
        <c:tickMarkSkip val="1"/>
        <c:noMultiLvlLbl val="1"/>
      </c:catAx>
      <c:valAx>
        <c:axId val="164054912"/>
        <c:scaling>
          <c:orientation val="minMax"/>
          <c:max val="18"/>
          <c:min val="-6"/>
        </c:scaling>
        <c:axPos val="l"/>
        <c:majorGridlines>
          <c:spPr>
            <a:ln w="6350">
              <a:solidFill>
                <a:schemeClr val="bg1">
                  <a:lumMod val="85000"/>
                </a:schemeClr>
              </a:solidFill>
              <a:prstDash val="solid"/>
            </a:ln>
          </c:spPr>
        </c:majorGridlines>
        <c:numFmt formatCode="0" sourceLinked="0"/>
        <c:majorTickMark val="cross"/>
        <c:tickLblPos val="nextTo"/>
        <c:spPr>
          <a:ln w="6350">
            <a:solidFill>
              <a:srgbClr val="000000"/>
            </a:solidFill>
            <a:prstDash val="solid"/>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4053376"/>
        <c:crosses val="autoZero"/>
        <c:crossBetween val="between"/>
        <c:majorUnit val="3"/>
      </c:valAx>
      <c:spPr>
        <a:noFill/>
        <a:ln w="6350">
          <a:solidFill>
            <a:schemeClr val="bg1">
              <a:lumMod val="75000"/>
            </a:schemeClr>
          </a:solidFill>
        </a:ln>
      </c:spPr>
    </c:plotArea>
    <c:legend>
      <c:legendPos val="r"/>
      <c:layout>
        <c:manualLayout>
          <c:xMode val="edge"/>
          <c:yMode val="edge"/>
          <c:x val="0.44519479416349222"/>
          <c:y val="3.9159526460887648E-2"/>
          <c:w val="0.51792018729185518"/>
          <c:h val="0.20173347095037189"/>
        </c:manualLayout>
      </c:layout>
      <c:spPr>
        <a:solidFill>
          <a:schemeClr val="bg1"/>
        </a:solidFill>
      </c:spPr>
      <c:txPr>
        <a:bodyPr/>
        <a:lstStyle/>
        <a:p>
          <a:pPr>
            <a:defRPr lang="lv-LV" sz="105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65279653464227E-2"/>
          <c:y val="2.8006088280060883E-2"/>
          <c:w val="0.93009473826600064"/>
          <c:h val="0.77448501066726505"/>
        </c:manualLayout>
      </c:layout>
      <c:lineChart>
        <c:grouping val="standard"/>
        <c:ser>
          <c:idx val="0"/>
          <c:order val="0"/>
          <c:tx>
            <c:strRef>
              <c:f>Sheet1!$A$3</c:f>
              <c:strCache>
                <c:ptCount val="1"/>
                <c:pt idx="0">
                  <c:v>EU27</c:v>
                </c:pt>
              </c:strCache>
            </c:strRef>
          </c:tx>
          <c:spPr>
            <a:ln w="12700">
              <a:solidFill>
                <a:sysClr val="windowText" lastClr="00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Sheet1!$B$3:$U$3</c:f>
              <c:numCache>
                <c:formatCode>0.0</c:formatCode>
                <c:ptCount val="20"/>
                <c:pt idx="0">
                  <c:v>99.51166576234418</c:v>
                </c:pt>
                <c:pt idx="1">
                  <c:v>99.828178694157955</c:v>
                </c:pt>
                <c:pt idx="2">
                  <c:v>100.74154458310745</c:v>
                </c:pt>
                <c:pt idx="3">
                  <c:v>101.17561946102369</c:v>
                </c:pt>
                <c:pt idx="4">
                  <c:v>101.32935431361892</c:v>
                </c:pt>
                <c:pt idx="5">
                  <c:v>101.36552722011223</c:v>
                </c:pt>
                <c:pt idx="6">
                  <c:v>101.0851871947909</c:v>
                </c:pt>
                <c:pt idx="7">
                  <c:v>101.27509495387945</c:v>
                </c:pt>
                <c:pt idx="8">
                  <c:v>101.55543497920056</c:v>
                </c:pt>
                <c:pt idx="9">
                  <c:v>101.85386145776808</c:v>
                </c:pt>
                <c:pt idx="10">
                  <c:v>102.01663953698667</c:v>
                </c:pt>
                <c:pt idx="11">
                  <c:v>102.66775185386126</c:v>
                </c:pt>
                <c:pt idx="12">
                  <c:v>102.25176342919161</c:v>
                </c:pt>
                <c:pt idx="13">
                  <c:v>102.72201121360084</c:v>
                </c:pt>
                <c:pt idx="14">
                  <c:v>103.85241454150838</c:v>
                </c:pt>
                <c:pt idx="15">
                  <c:v>104.48544040513653</c:v>
                </c:pt>
                <c:pt idx="16">
                  <c:v>104.57587267136903</c:v>
                </c:pt>
                <c:pt idx="17">
                  <c:v>104.5125700850063</c:v>
                </c:pt>
                <c:pt idx="18">
                  <c:v>104.04232230059667</c:v>
                </c:pt>
                <c:pt idx="19">
                  <c:v>104.25935973955505</c:v>
                </c:pt>
              </c:numCache>
            </c:numRef>
          </c:val>
          <c:smooth val="1"/>
        </c:ser>
        <c:ser>
          <c:idx val="1"/>
          <c:order val="1"/>
          <c:tx>
            <c:strRef>
              <c:f>Sheet1!$A$4</c:f>
              <c:strCache>
                <c:ptCount val="1"/>
                <c:pt idx="0">
                  <c:v>EE</c:v>
                </c:pt>
              </c:strCache>
            </c:strRef>
          </c:tx>
          <c:spPr>
            <a:ln w="15875">
              <a:solidFill>
                <a:sysClr val="windowText" lastClr="000000"/>
              </a:solidFill>
              <a:prstDash val="sysDot"/>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Sheet1!$B$4:$U$4</c:f>
              <c:numCache>
                <c:formatCode>0.0</c:formatCode>
                <c:ptCount val="20"/>
                <c:pt idx="0">
                  <c:v>100.28395262047709</c:v>
                </c:pt>
                <c:pt idx="1">
                  <c:v>100.5435664449134</c:v>
                </c:pt>
                <c:pt idx="2">
                  <c:v>101.78484504299854</c:v>
                </c:pt>
                <c:pt idx="3">
                  <c:v>102.29595975985733</c:v>
                </c:pt>
                <c:pt idx="4">
                  <c:v>102.5880253123479</c:v>
                </c:pt>
                <c:pt idx="5">
                  <c:v>102.99367191302935</c:v>
                </c:pt>
                <c:pt idx="6">
                  <c:v>103.2451728054517</c:v>
                </c:pt>
                <c:pt idx="7">
                  <c:v>103.21272107739739</c:v>
                </c:pt>
                <c:pt idx="8">
                  <c:v>104.01590134674665</c:v>
                </c:pt>
                <c:pt idx="9">
                  <c:v>104.59191951971442</c:v>
                </c:pt>
                <c:pt idx="10">
                  <c:v>104.91643680025958</c:v>
                </c:pt>
                <c:pt idx="11">
                  <c:v>105.41943858510464</c:v>
                </c:pt>
                <c:pt idx="12">
                  <c:v>105.39509978906376</c:v>
                </c:pt>
                <c:pt idx="13">
                  <c:v>106.10092487424954</c:v>
                </c:pt>
                <c:pt idx="14">
                  <c:v>106.9608956676943</c:v>
                </c:pt>
                <c:pt idx="15">
                  <c:v>107.82086646113906</c:v>
                </c:pt>
                <c:pt idx="16">
                  <c:v>108.2427389258478</c:v>
                </c:pt>
                <c:pt idx="17">
                  <c:v>108.08048028557522</c:v>
                </c:pt>
                <c:pt idx="18">
                  <c:v>108.68083725458358</c:v>
                </c:pt>
                <c:pt idx="19">
                  <c:v>108.98101573908816</c:v>
                </c:pt>
              </c:numCache>
            </c:numRef>
          </c:val>
          <c:smooth val="1"/>
        </c:ser>
        <c:ser>
          <c:idx val="2"/>
          <c:order val="2"/>
          <c:tx>
            <c:strRef>
              <c:f>Sheet1!$A$5</c:f>
              <c:strCache>
                <c:ptCount val="1"/>
                <c:pt idx="0">
                  <c:v>LV</c:v>
                </c:pt>
              </c:strCache>
            </c:strRef>
          </c:tx>
          <c:spPr>
            <a:ln w="34925">
              <a:solidFill>
                <a:srgbClr val="FF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Sheet1!$B$5:$U$5</c:f>
              <c:numCache>
                <c:formatCode>0.0</c:formatCode>
                <c:ptCount val="20"/>
                <c:pt idx="0">
                  <c:v>100.1618361041635</c:v>
                </c:pt>
                <c:pt idx="1">
                  <c:v>100.13241135795182</c:v>
                </c:pt>
                <c:pt idx="2">
                  <c:v>100.59585111078397</c:v>
                </c:pt>
                <c:pt idx="3">
                  <c:v>101.45652493747242</c:v>
                </c:pt>
                <c:pt idx="4">
                  <c:v>101.42710019126086</c:v>
                </c:pt>
                <c:pt idx="5">
                  <c:v>101.81697807856391</c:v>
                </c:pt>
                <c:pt idx="6">
                  <c:v>102.03030748859791</c:v>
                </c:pt>
                <c:pt idx="7">
                  <c:v>101.30940120641444</c:v>
                </c:pt>
                <c:pt idx="8">
                  <c:v>101.74341621303519</c:v>
                </c:pt>
                <c:pt idx="9">
                  <c:v>102.06708842136247</c:v>
                </c:pt>
                <c:pt idx="10">
                  <c:v>102.24363689863175</c:v>
                </c:pt>
                <c:pt idx="11">
                  <c:v>102.39811681624245</c:v>
                </c:pt>
                <c:pt idx="12">
                  <c:v>103.69280564955125</c:v>
                </c:pt>
                <c:pt idx="13">
                  <c:v>103.9796969251141</c:v>
                </c:pt>
                <c:pt idx="14">
                  <c:v>104.68589083419134</c:v>
                </c:pt>
                <c:pt idx="15">
                  <c:v>105.83345593644255</c:v>
                </c:pt>
                <c:pt idx="16">
                  <c:v>106.28953950272165</c:v>
                </c:pt>
                <c:pt idx="17">
                  <c:v>106.55436221862574</c:v>
                </c:pt>
                <c:pt idx="18">
                  <c:v>106.36310136825068</c:v>
                </c:pt>
                <c:pt idx="19">
                  <c:v>105.95115492128892</c:v>
                </c:pt>
              </c:numCache>
            </c:numRef>
          </c:val>
          <c:smooth val="1"/>
        </c:ser>
        <c:ser>
          <c:idx val="3"/>
          <c:order val="3"/>
          <c:tx>
            <c:strRef>
              <c:f>Sheet1!$A$6</c:f>
              <c:strCache>
                <c:ptCount val="1"/>
                <c:pt idx="0">
                  <c:v>LT</c:v>
                </c:pt>
              </c:strCache>
            </c:strRef>
          </c:tx>
          <c:spPr>
            <a:ln w="15875">
              <a:solidFill>
                <a:sysClr val="windowText" lastClr="000000"/>
              </a:solidFill>
              <a:prstDash val="dash"/>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Sheet1!$B$6:$U$6</c:f>
              <c:numCache>
                <c:formatCode>0.0</c:formatCode>
                <c:ptCount val="20"/>
                <c:pt idx="0">
                  <c:v>101.17516277592505</c:v>
                </c:pt>
                <c:pt idx="1">
                  <c:v>101.08781959663331</c:v>
                </c:pt>
                <c:pt idx="2">
                  <c:v>101.37367000158794</c:v>
                </c:pt>
                <c:pt idx="3">
                  <c:v>101.8183261870732</c:v>
                </c:pt>
                <c:pt idx="4">
                  <c:v>102.02477370176275</c:v>
                </c:pt>
                <c:pt idx="5">
                  <c:v>102.05653485786873</c:v>
                </c:pt>
                <c:pt idx="6">
                  <c:v>102.09623630300145</c:v>
                </c:pt>
                <c:pt idx="7">
                  <c:v>101.86596792123242</c:v>
                </c:pt>
                <c:pt idx="8">
                  <c:v>102.47737017627423</c:v>
                </c:pt>
                <c:pt idx="9">
                  <c:v>102.88232491662676</c:v>
                </c:pt>
                <c:pt idx="10">
                  <c:v>102.84262347149436</c:v>
                </c:pt>
                <c:pt idx="11">
                  <c:v>103.62871208511977</c:v>
                </c:pt>
                <c:pt idx="12">
                  <c:v>104.0574876925518</c:v>
                </c:pt>
                <c:pt idx="13">
                  <c:v>104.13689058281719</c:v>
                </c:pt>
                <c:pt idx="14">
                  <c:v>105.16118786723833</c:v>
                </c:pt>
                <c:pt idx="15">
                  <c:v>106.24900746387166</c:v>
                </c:pt>
                <c:pt idx="16">
                  <c:v>107.08273781165602</c:v>
                </c:pt>
                <c:pt idx="17">
                  <c:v>106.97951405431152</c:v>
                </c:pt>
                <c:pt idx="18">
                  <c:v>106.74924567254253</c:v>
                </c:pt>
                <c:pt idx="19">
                  <c:v>106.37605208829595</c:v>
                </c:pt>
              </c:numCache>
            </c:numRef>
          </c:val>
        </c:ser>
        <c:marker val="1"/>
        <c:axId val="163954048"/>
        <c:axId val="163959936"/>
      </c:lineChart>
      <c:catAx>
        <c:axId val="16395404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959936"/>
        <c:crosses val="autoZero"/>
        <c:auto val="1"/>
        <c:lblAlgn val="ctr"/>
        <c:lblOffset val="0"/>
        <c:tickMarkSkip val="1"/>
        <c:noMultiLvlLbl val="1"/>
      </c:catAx>
      <c:valAx>
        <c:axId val="163959936"/>
        <c:scaling>
          <c:orientation val="minMax"/>
          <c:max val="110"/>
          <c:min val="9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3954048"/>
        <c:crosses val="autoZero"/>
        <c:crossBetween val="between"/>
        <c:majorUnit val="2"/>
      </c:valAx>
      <c:spPr>
        <a:noFill/>
        <a:ln w="6350">
          <a:solidFill>
            <a:sysClr val="window" lastClr="FFFFFF">
              <a:lumMod val="75000"/>
            </a:sysClr>
          </a:solidFill>
        </a:ln>
      </c:spPr>
    </c:plotArea>
    <c:legend>
      <c:legendPos val="b"/>
      <c:layout>
        <c:manualLayout>
          <c:xMode val="edge"/>
          <c:yMode val="edge"/>
          <c:x val="0.10429154652988357"/>
          <c:y val="0.10609651649708662"/>
          <c:w val="0.52573537463576969"/>
          <c:h val="0.11415545799954258"/>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07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Sheet1!$B$3:$U$3</c:f>
              <c:numCache>
                <c:formatCode>General</c:formatCode>
                <c:ptCount val="20"/>
                <c:pt idx="0">
                  <c:v>100.85247042449534</c:v>
                </c:pt>
                <c:pt idx="1">
                  <c:v>101.05254001391788</c:v>
                </c:pt>
                <c:pt idx="2">
                  <c:v>101.45267919276259</c:v>
                </c:pt>
                <c:pt idx="3">
                  <c:v>101.8876130828115</c:v>
                </c:pt>
                <c:pt idx="4">
                  <c:v>101.84411969380668</c:v>
                </c:pt>
                <c:pt idx="5" formatCode="0.0">
                  <c:v>101.91370911621431</c:v>
                </c:pt>
                <c:pt idx="6" formatCode="0.0">
                  <c:v>102.08768267223381</c:v>
                </c:pt>
                <c:pt idx="7" formatCode="0.0">
                  <c:v>101.89631176061239</c:v>
                </c:pt>
                <c:pt idx="8" formatCode="0.0">
                  <c:v>102.04418928322904</c:v>
                </c:pt>
                <c:pt idx="9" formatCode="0.0">
                  <c:v>102.34864300626302</c:v>
                </c:pt>
                <c:pt idx="10" formatCode="0.0">
                  <c:v>102.89665970772441</c:v>
                </c:pt>
                <c:pt idx="11" formatCode="0.0">
                  <c:v>103.40988169798185</c:v>
                </c:pt>
                <c:pt idx="12" formatCode="0.0">
                  <c:v>104.07098121085573</c:v>
                </c:pt>
                <c:pt idx="13" formatCode="0.0">
                  <c:v>104.61029923451632</c:v>
                </c:pt>
                <c:pt idx="14" formatCode="0.0">
                  <c:v>105.03653444676405</c:v>
                </c:pt>
                <c:pt idx="15" formatCode="0.0">
                  <c:v>105.51496172581783</c:v>
                </c:pt>
                <c:pt idx="16" formatCode="0.0">
                  <c:v>106.14126652748779</c:v>
                </c:pt>
                <c:pt idx="17" formatCode="0.0">
                  <c:v>105.97599164926929</c:v>
                </c:pt>
                <c:pt idx="18">
                  <c:v>105.80201809324969</c:v>
                </c:pt>
                <c:pt idx="19">
                  <c:v>105.54105775922056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Sheet1!$B$4:$U$4</c:f>
              <c:numCache>
                <c:formatCode>General</c:formatCode>
                <c:ptCount val="20"/>
                <c:pt idx="0">
                  <c:v>101.32127408572553</c:v>
                </c:pt>
                <c:pt idx="1">
                  <c:v>101.40778607943371</c:v>
                </c:pt>
                <c:pt idx="2">
                  <c:v>103.08297286669269</c:v>
                </c:pt>
                <c:pt idx="3">
                  <c:v>104.23908769170272</c:v>
                </c:pt>
                <c:pt idx="4">
                  <c:v>104.0503342508846</c:v>
                </c:pt>
                <c:pt idx="5" formatCode="0.0">
                  <c:v>104.0503342508846</c:v>
                </c:pt>
                <c:pt idx="6" formatCode="0.0">
                  <c:v>105.23790798269759</c:v>
                </c:pt>
                <c:pt idx="7" formatCode="0.0">
                  <c:v>104.73456547384987</c:v>
                </c:pt>
                <c:pt idx="8" formatCode="0.0">
                  <c:v>106.36256390090443</c:v>
                </c:pt>
                <c:pt idx="9" formatCode="0.0">
                  <c:v>108.11639795517101</c:v>
                </c:pt>
                <c:pt idx="10" formatCode="0.0">
                  <c:v>109.78372001572933</c:v>
                </c:pt>
                <c:pt idx="11" formatCode="0.0">
                  <c:v>110.3421156114825</c:v>
                </c:pt>
                <c:pt idx="12" formatCode="0.0">
                  <c:v>110.7432166732207</c:v>
                </c:pt>
                <c:pt idx="13" formatCode="0.0">
                  <c:v>112.38694455367666</c:v>
                </c:pt>
                <c:pt idx="14" formatCode="0.0">
                  <c:v>113.84191899331499</c:v>
                </c:pt>
                <c:pt idx="15" formatCode="0.0">
                  <c:v>115.70585922139217</c:v>
                </c:pt>
                <c:pt idx="16" formatCode="0.0">
                  <c:v>115.71372394809295</c:v>
                </c:pt>
                <c:pt idx="17" formatCode="0.0">
                  <c:v>114.98230436492328</c:v>
                </c:pt>
                <c:pt idx="18">
                  <c:v>115.90247738891073</c:v>
                </c:pt>
                <c:pt idx="19">
                  <c:v>114.67558002359395</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Sheet1!$B$5:$U$5</c:f>
              <c:numCache>
                <c:formatCode>General</c:formatCode>
                <c:ptCount val="20"/>
                <c:pt idx="0">
                  <c:v>101.58502380797079</c:v>
                </c:pt>
                <c:pt idx="1">
                  <c:v>102.09379688213414</c:v>
                </c:pt>
                <c:pt idx="2">
                  <c:v>102.73954732241855</c:v>
                </c:pt>
                <c:pt idx="3">
                  <c:v>103.13091122562128</c:v>
                </c:pt>
                <c:pt idx="4">
                  <c:v>103.01350205466048</c:v>
                </c:pt>
                <c:pt idx="5" formatCode="0.0">
                  <c:v>103.43747961646338</c:v>
                </c:pt>
                <c:pt idx="6" formatCode="0.0">
                  <c:v>104.07670732502761</c:v>
                </c:pt>
                <c:pt idx="7" formatCode="0.0">
                  <c:v>102.5177744439372</c:v>
                </c:pt>
                <c:pt idx="8" formatCode="0.0">
                  <c:v>103.41138868958316</c:v>
                </c:pt>
                <c:pt idx="9" formatCode="0.0">
                  <c:v>104.48763942339062</c:v>
                </c:pt>
                <c:pt idx="10" formatCode="0.0">
                  <c:v>105.42691279107687</c:v>
                </c:pt>
                <c:pt idx="11" formatCode="0.0">
                  <c:v>106.54882264692448</c:v>
                </c:pt>
                <c:pt idx="12" formatCode="0.0">
                  <c:v>108.65566499249873</c:v>
                </c:pt>
                <c:pt idx="13" formatCode="0.0">
                  <c:v>110.18850694670914</c:v>
                </c:pt>
                <c:pt idx="14" formatCode="0.0">
                  <c:v>110.39071163003061</c:v>
                </c:pt>
                <c:pt idx="15" formatCode="0.0">
                  <c:v>111.40173504663747</c:v>
                </c:pt>
                <c:pt idx="16" formatCode="0.0">
                  <c:v>112.34753114604391</c:v>
                </c:pt>
                <c:pt idx="17" formatCode="0.0">
                  <c:v>112.67366773204603</c:v>
                </c:pt>
                <c:pt idx="18">
                  <c:v>111.91703085252087</c:v>
                </c:pt>
                <c:pt idx="19">
                  <c:v>110.14937055638877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Sheet1!$B$6:$U$6</c:f>
              <c:numCache>
                <c:formatCode>General</c:formatCode>
                <c:ptCount val="20"/>
                <c:pt idx="0">
                  <c:v>101.11334578365167</c:v>
                </c:pt>
                <c:pt idx="1">
                  <c:v>101.12771153569874</c:v>
                </c:pt>
                <c:pt idx="2">
                  <c:v>101.50122108892408</c:v>
                </c:pt>
                <c:pt idx="3">
                  <c:v>102.15486280706783</c:v>
                </c:pt>
                <c:pt idx="4">
                  <c:v>102.54273811233998</c:v>
                </c:pt>
                <c:pt idx="5" formatCode="0.0">
                  <c:v>102.5355552363166</c:v>
                </c:pt>
                <c:pt idx="6" formatCode="0.0">
                  <c:v>102.49964085619878</c:v>
                </c:pt>
                <c:pt idx="7" formatCode="0.0">
                  <c:v>102.24105731935063</c:v>
                </c:pt>
                <c:pt idx="8" formatCode="0.0">
                  <c:v>103.1748312024132</c:v>
                </c:pt>
                <c:pt idx="9" formatCode="0.0">
                  <c:v>103.94339893693422</c:v>
                </c:pt>
                <c:pt idx="10" formatCode="0.0">
                  <c:v>104.07987358138195</c:v>
                </c:pt>
                <c:pt idx="11" formatCode="0.0">
                  <c:v>105.12857348082159</c:v>
                </c:pt>
                <c:pt idx="12" formatCode="0.0">
                  <c:v>106.25628501652044</c:v>
                </c:pt>
                <c:pt idx="13" formatCode="0.0">
                  <c:v>107.18287602355949</c:v>
                </c:pt>
                <c:pt idx="14" formatCode="0.0">
                  <c:v>108.19566154288158</c:v>
                </c:pt>
                <c:pt idx="15" formatCode="0.0">
                  <c:v>110.00574630081871</c:v>
                </c:pt>
                <c:pt idx="16" formatCode="0.0">
                  <c:v>111.3130297371067</c:v>
                </c:pt>
                <c:pt idx="17" formatCode="0.0">
                  <c:v>110.64502226691563</c:v>
                </c:pt>
                <c:pt idx="18">
                  <c:v>109.96983192070101</c:v>
                </c:pt>
                <c:pt idx="19">
                  <c:v>108.85648613704907</c:v>
                </c:pt>
              </c:numCache>
            </c:numRef>
          </c:val>
          <c:smooth val="1"/>
        </c:ser>
        <c:marker val="1"/>
        <c:axId val="165350016"/>
        <c:axId val="165368192"/>
      </c:lineChart>
      <c:catAx>
        <c:axId val="16535001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65368192"/>
        <c:crosses val="autoZero"/>
        <c:auto val="1"/>
        <c:lblAlgn val="ctr"/>
        <c:lblOffset val="0"/>
        <c:tickLblSkip val="2"/>
        <c:tickMarkSkip val="1"/>
        <c:noMultiLvlLbl val="1"/>
      </c:catAx>
      <c:valAx>
        <c:axId val="165368192"/>
        <c:scaling>
          <c:orientation val="minMax"/>
          <c:max val="118"/>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350016"/>
        <c:crosses val="autoZero"/>
        <c:crossBetween val="between"/>
        <c:majorUnit val="3"/>
      </c:valAx>
      <c:spPr>
        <a:noFill/>
        <a:ln w="6350">
          <a:solidFill>
            <a:sysClr val="window" lastClr="FFFFFF">
              <a:lumMod val="85000"/>
            </a:sysClr>
          </a:solidFill>
        </a:ln>
      </c:spPr>
    </c:plotArea>
    <c:legend>
      <c:legendPos val="b"/>
      <c:layout>
        <c:manualLayout>
          <c:xMode val="edge"/>
          <c:yMode val="edge"/>
          <c:x val="0.15715086395450567"/>
          <c:y val="8.6685579196217763E-2"/>
          <c:w val="0.43446864063867291"/>
          <c:h val="0.1980520094562649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Sheet1!$B$3:$U$3</c:f>
              <c:numCache>
                <c:formatCode>0.0</c:formatCode>
                <c:ptCount val="20"/>
                <c:pt idx="0">
                  <c:v>102.11680053547521</c:v>
                </c:pt>
                <c:pt idx="1">
                  <c:v>102.09170013386868</c:v>
                </c:pt>
                <c:pt idx="2">
                  <c:v>104.18340026773758</c:v>
                </c:pt>
                <c:pt idx="3">
                  <c:v>105.94042838018747</c:v>
                </c:pt>
                <c:pt idx="4">
                  <c:v>106.50100401606412</c:v>
                </c:pt>
                <c:pt idx="5">
                  <c:v>106.12449799196783</c:v>
                </c:pt>
                <c:pt idx="6">
                  <c:v>106.25836680053534</c:v>
                </c:pt>
                <c:pt idx="7">
                  <c:v>106.02409638554219</c:v>
                </c:pt>
                <c:pt idx="8">
                  <c:v>106.2416331994645</c:v>
                </c:pt>
                <c:pt idx="9">
                  <c:v>106.86914323962516</c:v>
                </c:pt>
                <c:pt idx="10">
                  <c:v>107.68908969210165</c:v>
                </c:pt>
                <c:pt idx="11">
                  <c:v>110.2744310575634</c:v>
                </c:pt>
                <c:pt idx="12">
                  <c:v>113.33668005354751</c:v>
                </c:pt>
                <c:pt idx="13">
                  <c:v>114.16499330655942</c:v>
                </c:pt>
                <c:pt idx="14">
                  <c:v>116.64993306559569</c:v>
                </c:pt>
                <c:pt idx="15">
                  <c:v>118.13922356091044</c:v>
                </c:pt>
                <c:pt idx="16">
                  <c:v>117.71251673360101</c:v>
                </c:pt>
                <c:pt idx="17">
                  <c:v>117.20214190093706</c:v>
                </c:pt>
                <c:pt idx="18">
                  <c:v>117.92168674698789</c:v>
                </c:pt>
                <c:pt idx="19">
                  <c:v>117.96352074966543</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Sheet1!$B$4:$U$4</c:f>
              <c:numCache>
                <c:formatCode>0.0</c:formatCode>
                <c:ptCount val="20"/>
                <c:pt idx="0">
                  <c:v>103.29243779025428</c:v>
                </c:pt>
                <c:pt idx="1">
                  <c:v>103.76377625285903</c:v>
                </c:pt>
                <c:pt idx="2">
                  <c:v>106.04422263810923</c:v>
                </c:pt>
                <c:pt idx="3">
                  <c:v>107.73549594510304</c:v>
                </c:pt>
                <c:pt idx="4">
                  <c:v>108.7613502460664</c:v>
                </c:pt>
                <c:pt idx="5">
                  <c:v>108.62965273445603</c:v>
                </c:pt>
                <c:pt idx="6">
                  <c:v>108.15831427185127</c:v>
                </c:pt>
                <c:pt idx="7">
                  <c:v>108.31080612739991</c:v>
                </c:pt>
                <c:pt idx="8">
                  <c:v>108.60885839051767</c:v>
                </c:pt>
                <c:pt idx="9">
                  <c:v>109.08019685312253</c:v>
                </c:pt>
                <c:pt idx="10">
                  <c:v>110.09911970610662</c:v>
                </c:pt>
                <c:pt idx="11">
                  <c:v>112.13003396409509</c:v>
                </c:pt>
                <c:pt idx="12">
                  <c:v>112.02606224440284</c:v>
                </c:pt>
                <c:pt idx="13">
                  <c:v>112.68454980245353</c:v>
                </c:pt>
                <c:pt idx="14">
                  <c:v>113.99459347057615</c:v>
                </c:pt>
                <c:pt idx="15">
                  <c:v>114.25105704581686</c:v>
                </c:pt>
                <c:pt idx="16">
                  <c:v>114.27878283773447</c:v>
                </c:pt>
                <c:pt idx="17">
                  <c:v>114.88875025992917</c:v>
                </c:pt>
                <c:pt idx="18">
                  <c:v>116.02550772856429</c:v>
                </c:pt>
                <c:pt idx="19">
                  <c:v>119.51895751022377</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Sheet1!$B$5:$U$5</c:f>
              <c:numCache>
                <c:formatCode>0.0</c:formatCode>
                <c:ptCount val="20"/>
                <c:pt idx="0">
                  <c:v>100.97860861928361</c:v>
                </c:pt>
                <c:pt idx="1">
                  <c:v>101.90703218116803</c:v>
                </c:pt>
                <c:pt idx="2">
                  <c:v>102.92327959350101</c:v>
                </c:pt>
                <c:pt idx="3">
                  <c:v>108.11743303431399</c:v>
                </c:pt>
                <c:pt idx="4">
                  <c:v>109.13368044664695</c:v>
                </c:pt>
                <c:pt idx="5">
                  <c:v>111.47983188005765</c:v>
                </c:pt>
                <c:pt idx="6">
                  <c:v>113.05438805595617</c:v>
                </c:pt>
                <c:pt idx="7">
                  <c:v>112.66545386111279</c:v>
                </c:pt>
                <c:pt idx="8">
                  <c:v>111.19126780001258</c:v>
                </c:pt>
                <c:pt idx="9">
                  <c:v>110.69569035819578</c:v>
                </c:pt>
                <c:pt idx="10">
                  <c:v>111.16617527131292</c:v>
                </c:pt>
                <c:pt idx="11">
                  <c:v>112.98538360203243</c:v>
                </c:pt>
                <c:pt idx="12">
                  <c:v>116.97509566526568</c:v>
                </c:pt>
                <c:pt idx="13">
                  <c:v>116.8245404930681</c:v>
                </c:pt>
                <c:pt idx="14">
                  <c:v>118.58101750203868</c:v>
                </c:pt>
                <c:pt idx="15">
                  <c:v>122.71501160529442</c:v>
                </c:pt>
                <c:pt idx="16">
                  <c:v>123.37369048365838</c:v>
                </c:pt>
                <c:pt idx="17">
                  <c:v>125.01097798130607</c:v>
                </c:pt>
                <c:pt idx="18">
                  <c:v>126.31578947368394</c:v>
                </c:pt>
                <c:pt idx="19">
                  <c:v>126.64826547895352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Sheet1!$B$6:$U$6</c:f>
              <c:numCache>
                <c:formatCode>0.0</c:formatCode>
                <c:ptCount val="20"/>
                <c:pt idx="0">
                  <c:v>108.31512930730757</c:v>
                </c:pt>
                <c:pt idx="1">
                  <c:v>109.99224860827296</c:v>
                </c:pt>
                <c:pt idx="2">
                  <c:v>110.9506024945388</c:v>
                </c:pt>
                <c:pt idx="3">
                  <c:v>112.85321682756668</c:v>
                </c:pt>
                <c:pt idx="4">
                  <c:v>113.72701007680924</c:v>
                </c:pt>
                <c:pt idx="5">
                  <c:v>113.67063631879341</c:v>
                </c:pt>
                <c:pt idx="6">
                  <c:v>115.65781128884512</c:v>
                </c:pt>
                <c:pt idx="7">
                  <c:v>115.49573673454992</c:v>
                </c:pt>
                <c:pt idx="8">
                  <c:v>115.50278345430202</c:v>
                </c:pt>
                <c:pt idx="9">
                  <c:v>116.55274469734339</c:v>
                </c:pt>
                <c:pt idx="10">
                  <c:v>116.08766119371433</c:v>
                </c:pt>
                <c:pt idx="11">
                  <c:v>119.73786202522733</c:v>
                </c:pt>
                <c:pt idx="12">
                  <c:v>122.19012049890787</c:v>
                </c:pt>
                <c:pt idx="13">
                  <c:v>122.45789584948206</c:v>
                </c:pt>
                <c:pt idx="14">
                  <c:v>124.17024874920726</c:v>
                </c:pt>
                <c:pt idx="15">
                  <c:v>125.60777957860606</c:v>
                </c:pt>
                <c:pt idx="16">
                  <c:v>126.58727362412806</c:v>
                </c:pt>
                <c:pt idx="17">
                  <c:v>126.43224578958493</c:v>
                </c:pt>
                <c:pt idx="18">
                  <c:v>129.32844760763928</c:v>
                </c:pt>
                <c:pt idx="19">
                  <c:v>130.06835318159401</c:v>
                </c:pt>
              </c:numCache>
            </c:numRef>
          </c:val>
          <c:smooth val="1"/>
        </c:ser>
        <c:marker val="1"/>
        <c:axId val="165291904"/>
        <c:axId val="165293440"/>
      </c:lineChart>
      <c:catAx>
        <c:axId val="16529190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65293440"/>
        <c:crosses val="autoZero"/>
        <c:auto val="1"/>
        <c:lblAlgn val="ctr"/>
        <c:lblOffset val="0"/>
        <c:tickLblSkip val="2"/>
        <c:tickMarkSkip val="1"/>
        <c:noMultiLvlLbl val="1"/>
      </c:catAx>
      <c:valAx>
        <c:axId val="165293440"/>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291904"/>
        <c:crosses val="autoZero"/>
        <c:crossBetween val="between"/>
      </c:valAx>
      <c:spPr>
        <a:noFill/>
        <a:ln w="6350">
          <a:solidFill>
            <a:sysClr val="window" lastClr="FFFFFF">
              <a:lumMod val="75000"/>
            </a:sysClr>
          </a:solidFill>
        </a:ln>
      </c:spPr>
    </c:plotArea>
    <c:legend>
      <c:legendPos val="b"/>
      <c:layout>
        <c:manualLayout>
          <c:xMode val="edge"/>
          <c:yMode val="edge"/>
          <c:x val="0.16149114173228377"/>
          <c:y val="8.6685579196217666E-2"/>
          <c:w val="0.42578808508311672"/>
          <c:h val="0.19805200945626494"/>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1"/>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Sheet1!$B$3:$U$3</c:f>
              <c:numCache>
                <c:formatCode>General</c:formatCode>
                <c:ptCount val="20"/>
                <c:pt idx="0">
                  <c:v>99.670143532138539</c:v>
                </c:pt>
                <c:pt idx="1">
                  <c:v>100.03566015868768</c:v>
                </c:pt>
                <c:pt idx="2">
                  <c:v>100.21396095212623</c:v>
                </c:pt>
                <c:pt idx="3">
                  <c:v>100.33877150753298</c:v>
                </c:pt>
                <c:pt idx="4">
                  <c:v>100.49924222162792</c:v>
                </c:pt>
                <c:pt idx="5" formatCode="0.0">
                  <c:v>100.73994829276978</c:v>
                </c:pt>
                <c:pt idx="6" formatCode="0.0">
                  <c:v>101.51555674422752</c:v>
                </c:pt>
                <c:pt idx="7" formatCode="0.0">
                  <c:v>101.83649817241667</c:v>
                </c:pt>
                <c:pt idx="8" formatCode="0.0">
                  <c:v>101.15004011767832</c:v>
                </c:pt>
                <c:pt idx="9" formatCode="0.0">
                  <c:v>101.23919051439779</c:v>
                </c:pt>
                <c:pt idx="10" formatCode="0.0">
                  <c:v>101.01631452259953</c:v>
                </c:pt>
                <c:pt idx="11" formatCode="0.0">
                  <c:v>101.76517785504136</c:v>
                </c:pt>
                <c:pt idx="12" formatCode="0.0">
                  <c:v>101.61362218061872</c:v>
                </c:pt>
                <c:pt idx="13" formatCode="0.0">
                  <c:v>102.10394936257455</c:v>
                </c:pt>
                <c:pt idx="14" formatCode="0.0">
                  <c:v>102.30008023535706</c:v>
                </c:pt>
                <c:pt idx="15" formatCode="0.0">
                  <c:v>102.79932245698484</c:v>
                </c:pt>
                <c:pt idx="16" formatCode="0.0">
                  <c:v>102.73691717928145</c:v>
                </c:pt>
                <c:pt idx="17" formatCode="0.0">
                  <c:v>103.08460372648661</c:v>
                </c:pt>
                <c:pt idx="18">
                  <c:v>103.89587233663161</c:v>
                </c:pt>
                <c:pt idx="19">
                  <c:v>104.18115360613356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Sheet1!$B$4:$U$4</c:f>
              <c:numCache>
                <c:formatCode>General</c:formatCode>
                <c:ptCount val="20"/>
                <c:pt idx="0">
                  <c:v>99.095414143003239</c:v>
                </c:pt>
                <c:pt idx="1">
                  <c:v>99.370722882088984</c:v>
                </c:pt>
                <c:pt idx="2">
                  <c:v>100.479823802407</c:v>
                </c:pt>
                <c:pt idx="3">
                  <c:v>100.18878313537316</c:v>
                </c:pt>
                <c:pt idx="4">
                  <c:v>100.75513254149287</c:v>
                </c:pt>
                <c:pt idx="5" formatCode="0.0">
                  <c:v>102.26539762447888</c:v>
                </c:pt>
                <c:pt idx="6" formatCode="0.0">
                  <c:v>103.00479823802395</c:v>
                </c:pt>
                <c:pt idx="7" formatCode="0.0">
                  <c:v>103.07559191378884</c:v>
                </c:pt>
                <c:pt idx="8" formatCode="0.0">
                  <c:v>102.58790214740807</c:v>
                </c:pt>
                <c:pt idx="9" formatCode="0.0">
                  <c:v>102.43058286793048</c:v>
                </c:pt>
                <c:pt idx="10" formatCode="0.0">
                  <c:v>101.32148194761271</c:v>
                </c:pt>
                <c:pt idx="11" formatCode="0.0">
                  <c:v>101.40800755132544</c:v>
                </c:pt>
                <c:pt idx="12" formatCode="0.0">
                  <c:v>101.76984189412404</c:v>
                </c:pt>
                <c:pt idx="13" formatCode="0.0">
                  <c:v>102.10021238102732</c:v>
                </c:pt>
                <c:pt idx="14" formatCode="0.0">
                  <c:v>102.66656178714715</c:v>
                </c:pt>
                <c:pt idx="15" formatCode="0.0">
                  <c:v>103.28797294108394</c:v>
                </c:pt>
                <c:pt idx="16" formatCode="0.0">
                  <c:v>104.98702115944309</c:v>
                </c:pt>
                <c:pt idx="17" formatCode="0.0">
                  <c:v>104.87689766380871</c:v>
                </c:pt>
                <c:pt idx="18">
                  <c:v>106.05679225989134</c:v>
                </c:pt>
                <c:pt idx="19">
                  <c:v>105.91520490836163</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Sheet1!$B$5:$U$5</c:f>
              <c:numCache>
                <c:formatCode>General</c:formatCode>
                <c:ptCount val="20"/>
                <c:pt idx="0">
                  <c:v>99.460112239823815</c:v>
                </c:pt>
                <c:pt idx="1">
                  <c:v>99.083611564964116</c:v>
                </c:pt>
                <c:pt idx="2">
                  <c:v>98.948639624920204</c:v>
                </c:pt>
                <c:pt idx="3">
                  <c:v>98.543723804787945</c:v>
                </c:pt>
                <c:pt idx="4">
                  <c:v>98.614761667969006</c:v>
                </c:pt>
                <c:pt idx="5" formatCode="0.0">
                  <c:v>98.657384385877663</c:v>
                </c:pt>
                <c:pt idx="6" formatCode="0.0">
                  <c:v>98.771044966967395</c:v>
                </c:pt>
                <c:pt idx="7" formatCode="0.0">
                  <c:v>98.742629821694962</c:v>
                </c:pt>
                <c:pt idx="8" formatCode="0.0">
                  <c:v>98.685799531149939</c:v>
                </c:pt>
                <c:pt idx="9" formatCode="0.0">
                  <c:v>98.202742061518748</c:v>
                </c:pt>
                <c:pt idx="10" formatCode="0.0">
                  <c:v>97.804930027704685</c:v>
                </c:pt>
                <c:pt idx="11" formatCode="0.0">
                  <c:v>97.861760318249608</c:v>
                </c:pt>
                <c:pt idx="12" formatCode="0.0">
                  <c:v>98.330610215244732</c:v>
                </c:pt>
                <c:pt idx="13" formatCode="0.0">
                  <c:v>98.543723804787973</c:v>
                </c:pt>
                <c:pt idx="14" formatCode="0.0">
                  <c:v>98.61476166796902</c:v>
                </c:pt>
                <c:pt idx="15" formatCode="0.0">
                  <c:v>98.61476166796902</c:v>
                </c:pt>
                <c:pt idx="16" formatCode="0.0">
                  <c:v>98.991262342828733</c:v>
                </c:pt>
                <c:pt idx="17" formatCode="0.0">
                  <c:v>99.168857000781244</c:v>
                </c:pt>
                <c:pt idx="18">
                  <c:v>99.80819776941108</c:v>
                </c:pt>
                <c:pt idx="19">
                  <c:v>99.900546991546491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Sheet1!$B$6:$U$6</c:f>
              <c:numCache>
                <c:formatCode>General</c:formatCode>
                <c:ptCount val="20"/>
                <c:pt idx="0">
                  <c:v>99.703669933895597</c:v>
                </c:pt>
                <c:pt idx="1">
                  <c:v>99.278170351796788</c:v>
                </c:pt>
                <c:pt idx="2">
                  <c:v>99.209786490388254</c:v>
                </c:pt>
                <c:pt idx="3">
                  <c:v>99.065420560747697</c:v>
                </c:pt>
                <c:pt idx="4">
                  <c:v>99.164197249449117</c:v>
                </c:pt>
                <c:pt idx="5" formatCode="0.0">
                  <c:v>99.40733986779118</c:v>
                </c:pt>
                <c:pt idx="6" formatCode="0.0">
                  <c:v>99.772053795304302</c:v>
                </c:pt>
                <c:pt idx="7" formatCode="0.0">
                  <c:v>99.984803586353593</c:v>
                </c:pt>
                <c:pt idx="8" formatCode="0.0">
                  <c:v>99.756857381657881</c:v>
                </c:pt>
                <c:pt idx="9" formatCode="0.0">
                  <c:v>99.133804422156288</c:v>
                </c:pt>
                <c:pt idx="10" formatCode="0.0">
                  <c:v>99.065420560747697</c:v>
                </c:pt>
                <c:pt idx="11" formatCode="0.0">
                  <c:v>99.369348833675076</c:v>
                </c:pt>
                <c:pt idx="12" formatCode="0.0">
                  <c:v>99.506116556492572</c:v>
                </c:pt>
                <c:pt idx="13" formatCode="0.0">
                  <c:v>99.437732695083952</c:v>
                </c:pt>
                <c:pt idx="14" formatCode="0.0">
                  <c:v>99.574500417901348</c:v>
                </c:pt>
                <c:pt idx="15" formatCode="0.0">
                  <c:v>99.825241243066543</c:v>
                </c:pt>
                <c:pt idx="16" formatCode="0.0">
                  <c:v>100.24314261834223</c:v>
                </c:pt>
                <c:pt idx="17" formatCode="0.0">
                  <c:v>100.82060633690433</c:v>
                </c:pt>
                <c:pt idx="18">
                  <c:v>101.1853202644176</c:v>
                </c:pt>
                <c:pt idx="19">
                  <c:v>101.54243598510764</c:v>
                </c:pt>
              </c:numCache>
            </c:numRef>
          </c:val>
          <c:smooth val="1"/>
        </c:ser>
        <c:marker val="1"/>
        <c:axId val="165512320"/>
        <c:axId val="165513856"/>
      </c:lineChart>
      <c:catAx>
        <c:axId val="165512320"/>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65513856"/>
        <c:crosses val="autoZero"/>
        <c:auto val="1"/>
        <c:lblAlgn val="ctr"/>
        <c:lblOffset val="0"/>
        <c:tickLblSkip val="2"/>
        <c:tickMarkSkip val="1"/>
        <c:noMultiLvlLbl val="1"/>
      </c:catAx>
      <c:valAx>
        <c:axId val="165513856"/>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512320"/>
        <c:crosses val="autoZero"/>
        <c:crossBetween val="between"/>
        <c:majorUnit val="2"/>
      </c:valAx>
      <c:spPr>
        <a:noFill/>
        <a:ln w="6350">
          <a:solidFill>
            <a:sysClr val="window" lastClr="FFFFFF">
              <a:lumMod val="85000"/>
            </a:sysClr>
          </a:solidFill>
        </a:ln>
      </c:spPr>
    </c:plotArea>
    <c:legend>
      <c:legendPos val="b"/>
      <c:layout>
        <c:manualLayout>
          <c:xMode val="edge"/>
          <c:yMode val="edge"/>
          <c:x val="0.14413003062117241"/>
          <c:y val="0.64962884160756629"/>
          <c:w val="0.51259364063867063"/>
          <c:h val="0.1380047281323877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8006088280060883E-2"/>
          <c:w val="0.86414048406820065"/>
          <c:h val="0.77561111111115122"/>
        </c:manualLayout>
      </c:layout>
      <c:lineChart>
        <c:grouping val="standard"/>
        <c:ser>
          <c:idx val="1"/>
          <c:order val="0"/>
          <c:tx>
            <c:strRef>
              <c:f>Sheet1!$A$3</c:f>
              <c:strCache>
                <c:ptCount val="1"/>
              </c:strCache>
            </c:strRef>
          </c:tx>
          <c:spPr>
            <a:ln w="9525">
              <a:solidFill>
                <a:srgbClr val="000000"/>
              </a:solidFill>
              <a:prstDash val="solid"/>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Sheet1!$B$3:$U$3</c:f>
              <c:numCache>
                <c:formatCode>General</c:formatCode>
                <c:ptCount val="20"/>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Sheet1!$B$4:$U$4</c:f>
              <c:numCache>
                <c:formatCode>General</c:formatCode>
                <c:ptCount val="20"/>
                <c:pt idx="0">
                  <c:v>101.31494134330283</c:v>
                </c:pt>
                <c:pt idx="1">
                  <c:v>101.5340982338532</c:v>
                </c:pt>
                <c:pt idx="2">
                  <c:v>103.3969318035322</c:v>
                </c:pt>
                <c:pt idx="3">
                  <c:v>103.66120923037275</c:v>
                </c:pt>
                <c:pt idx="4">
                  <c:v>104.93103003738561</c:v>
                </c:pt>
                <c:pt idx="5" formatCode="0.0">
                  <c:v>105.85922392677593</c:v>
                </c:pt>
                <c:pt idx="6" formatCode="0.0">
                  <c:v>105.9881397447467</c:v>
                </c:pt>
                <c:pt idx="7" formatCode="0.0">
                  <c:v>106.16217609900735</c:v>
                </c:pt>
                <c:pt idx="8" formatCode="0.0">
                  <c:v>106.90988784323838</c:v>
                </c:pt>
                <c:pt idx="9" formatCode="0.0">
                  <c:v>106.56826092561573</c:v>
                </c:pt>
                <c:pt idx="10" formatCode="0.0">
                  <c:v>107.1806110609773</c:v>
                </c:pt>
                <c:pt idx="11" formatCode="0.0">
                  <c:v>107.12904473378867</c:v>
                </c:pt>
                <c:pt idx="12" formatCode="0.0">
                  <c:v>105.69807915431225</c:v>
                </c:pt>
                <c:pt idx="13" formatCode="0.0">
                  <c:v>105.53693438184872</c:v>
                </c:pt>
                <c:pt idx="14" formatCode="0.0">
                  <c:v>105.5820549181385</c:v>
                </c:pt>
                <c:pt idx="15" formatCode="0.0">
                  <c:v>105.9172360448629</c:v>
                </c:pt>
                <c:pt idx="16" formatCode="0.0">
                  <c:v>106.70362253448501</c:v>
                </c:pt>
                <c:pt idx="17" formatCode="0.0">
                  <c:v>107.90898543251261</c:v>
                </c:pt>
                <c:pt idx="18">
                  <c:v>109.42374629367028</c:v>
                </c:pt>
                <c:pt idx="19">
                  <c:v>112.56284646126083</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Sheet1!$B$5:$U$5</c:f>
              <c:numCache>
                <c:formatCode>General</c:formatCode>
                <c:ptCount val="20"/>
                <c:pt idx="0">
                  <c:v>100.3301010934597</c:v>
                </c:pt>
                <c:pt idx="1">
                  <c:v>100.55704559521359</c:v>
                </c:pt>
                <c:pt idx="2">
                  <c:v>100.68599133484614</c:v>
                </c:pt>
                <c:pt idx="3">
                  <c:v>105.09077780070128</c:v>
                </c:pt>
                <c:pt idx="4">
                  <c:v>106.19455333195789</c:v>
                </c:pt>
                <c:pt idx="5" formatCode="0.0">
                  <c:v>109.23767278729109</c:v>
                </c:pt>
                <c:pt idx="6" formatCode="0.0">
                  <c:v>111.03259748297916</c:v>
                </c:pt>
                <c:pt idx="7" formatCode="0.0">
                  <c:v>111.16154322261191</c:v>
                </c:pt>
                <c:pt idx="8" formatCode="0.0">
                  <c:v>109.12420053641409</c:v>
                </c:pt>
                <c:pt idx="9" formatCode="0.0">
                  <c:v>108.03589849391375</c:v>
                </c:pt>
                <c:pt idx="10" formatCode="0.0">
                  <c:v>108.03589849391375</c:v>
                </c:pt>
                <c:pt idx="11" formatCode="0.0">
                  <c:v>108.11326593769341</c:v>
                </c:pt>
                <c:pt idx="12" formatCode="0.0">
                  <c:v>110.03713637301421</c:v>
                </c:pt>
                <c:pt idx="13" formatCode="0.0">
                  <c:v>109.77408706416341</c:v>
                </c:pt>
                <c:pt idx="14" formatCode="0.0">
                  <c:v>109.46461728904494</c:v>
                </c:pt>
                <c:pt idx="15" formatCode="0.0">
                  <c:v>112.68826077986384</c:v>
                </c:pt>
                <c:pt idx="16" formatCode="0.0">
                  <c:v>113.58056529812259</c:v>
                </c:pt>
                <c:pt idx="17" formatCode="0.0">
                  <c:v>115.00928409325358</c:v>
                </c:pt>
                <c:pt idx="18">
                  <c:v>116.5308438209202</c:v>
                </c:pt>
                <c:pt idx="19">
                  <c:v>116.9744171652569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Sheet1!$B$1:$U$2</c:f>
              <c:multiLvlStrCache>
                <c:ptCount val="2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lvl>
                <c:lvl>
                  <c:pt idx="0">
                    <c:v>2010</c:v>
                  </c:pt>
                  <c:pt idx="12">
                    <c:v>2011</c:v>
                  </c:pt>
                </c:lvl>
              </c:multiLvlStrCache>
            </c:multiLvlStrRef>
          </c:cat>
          <c:val>
            <c:numRef>
              <c:f>Sheet1!$B$6:$U$6</c:f>
              <c:numCache>
                <c:formatCode>General</c:formatCode>
                <c:ptCount val="20"/>
                <c:pt idx="0">
                  <c:v>106.84681156582468</c:v>
                </c:pt>
                <c:pt idx="1">
                  <c:v>107.9825076692124</c:v>
                </c:pt>
                <c:pt idx="2">
                  <c:v>108.29580314600874</c:v>
                </c:pt>
                <c:pt idx="3">
                  <c:v>108.81143528490318</c:v>
                </c:pt>
                <c:pt idx="4">
                  <c:v>109.35317538019711</c:v>
                </c:pt>
                <c:pt idx="5" formatCode="0.0">
                  <c:v>109.34664839109719</c:v>
                </c:pt>
                <c:pt idx="6" formatCode="0.0">
                  <c:v>110.7107891129821</c:v>
                </c:pt>
                <c:pt idx="7" formatCode="0.0">
                  <c:v>110.78911298218135</c:v>
                </c:pt>
                <c:pt idx="8" formatCode="0.0">
                  <c:v>110.91312577508012</c:v>
                </c:pt>
                <c:pt idx="9" formatCode="0.0">
                  <c:v>111.89870112916904</c:v>
                </c:pt>
                <c:pt idx="10" formatCode="0.0">
                  <c:v>111.66372952157174</c:v>
                </c:pt>
                <c:pt idx="11" formatCode="0.0">
                  <c:v>112.15325370406636</c:v>
                </c:pt>
                <c:pt idx="12" formatCode="0.0">
                  <c:v>112.19241563866591</c:v>
                </c:pt>
                <c:pt idx="13" formatCode="0.0">
                  <c:v>112.12714574766665</c:v>
                </c:pt>
                <c:pt idx="14" formatCode="0.0">
                  <c:v>112.27073950786496</c:v>
                </c:pt>
                <c:pt idx="15" formatCode="0.0">
                  <c:v>112.40127928986384</c:v>
                </c:pt>
                <c:pt idx="16" formatCode="0.0">
                  <c:v>113.75889302264871</c:v>
                </c:pt>
                <c:pt idx="17" formatCode="0.0">
                  <c:v>114.03302656484583</c:v>
                </c:pt>
                <c:pt idx="18">
                  <c:v>116.13471705502261</c:v>
                </c:pt>
                <c:pt idx="19">
                  <c:v>117.18556230011093</c:v>
                </c:pt>
              </c:numCache>
            </c:numRef>
          </c:val>
          <c:smooth val="1"/>
        </c:ser>
        <c:marker val="1"/>
        <c:axId val="165618048"/>
        <c:axId val="165619584"/>
      </c:lineChart>
      <c:catAx>
        <c:axId val="165618048"/>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650" b="0" i="0" u="none" strike="noStrike" baseline="0">
                <a:solidFill>
                  <a:srgbClr val="000000"/>
                </a:solidFill>
                <a:latin typeface="Arial" pitchFamily="34" charset="0"/>
                <a:ea typeface="Times New Roman"/>
                <a:cs typeface="Arial" pitchFamily="34" charset="0"/>
              </a:defRPr>
            </a:pPr>
            <a:endParaRPr lang="lv-LV"/>
          </a:p>
        </c:txPr>
        <c:crossAx val="165619584"/>
        <c:crosses val="autoZero"/>
        <c:auto val="1"/>
        <c:lblAlgn val="ctr"/>
        <c:lblOffset val="0"/>
        <c:tickLblSkip val="2"/>
        <c:tickMarkSkip val="1"/>
        <c:noMultiLvlLbl val="1"/>
      </c:catAx>
      <c:valAx>
        <c:axId val="165619584"/>
        <c:scaling>
          <c:orientation val="minMax"/>
          <c:min val="10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618048"/>
        <c:crosses val="autoZero"/>
        <c:crossBetween val="between"/>
      </c:valAx>
      <c:spPr>
        <a:noFill/>
        <a:ln w="6350">
          <a:solidFill>
            <a:sysClr val="window" lastClr="FFFFFF">
              <a:lumMod val="85000"/>
            </a:sysClr>
          </a:solidFill>
        </a:ln>
      </c:spPr>
    </c:plotArea>
    <c:legend>
      <c:legendPos val="b"/>
      <c:legendEntry>
        <c:idx val="0"/>
        <c:delete val="1"/>
      </c:legendEntry>
      <c:layout>
        <c:manualLayout>
          <c:xMode val="edge"/>
          <c:yMode val="edge"/>
          <c:x val="0.13544947506561691"/>
          <c:y val="7.9179669030732883E-2"/>
          <c:w val="0.51259364063867063"/>
          <c:h val="0.13800472813238773"/>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43276595944424E-2"/>
          <c:y val="2.3584324861358277E-2"/>
          <c:w val="0.91692665367644965"/>
          <c:h val="0.8729695134262086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Sheet1!$B$1:$X$2</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2006</c:v>
                  </c:pt>
                  <c:pt idx="4">
                    <c:v>2007</c:v>
                  </c:pt>
                  <c:pt idx="8">
                    <c:v>2008</c:v>
                  </c:pt>
                  <c:pt idx="12">
                    <c:v>2009</c:v>
                  </c:pt>
                  <c:pt idx="16">
                    <c:v>2010</c:v>
                  </c:pt>
                  <c:pt idx="20">
                    <c:v>2011</c:v>
                  </c:pt>
                </c:lvl>
              </c:multiLvlStrCache>
            </c:multiLvlStrRef>
          </c:cat>
          <c:val>
            <c:numRef>
              <c:f>Sheet1!$B$3:$X$3</c:f>
              <c:numCache>
                <c:formatCode>General</c:formatCode>
                <c:ptCount val="23"/>
                <c:pt idx="0">
                  <c:v>81.7</c:v>
                </c:pt>
                <c:pt idx="1">
                  <c:v>81.900000000000006</c:v>
                </c:pt>
                <c:pt idx="2">
                  <c:v>83.1</c:v>
                </c:pt>
                <c:pt idx="3">
                  <c:v>83.5</c:v>
                </c:pt>
                <c:pt idx="4">
                  <c:v>84.1</c:v>
                </c:pt>
                <c:pt idx="5">
                  <c:v>84.5</c:v>
                </c:pt>
                <c:pt idx="6">
                  <c:v>83.8</c:v>
                </c:pt>
                <c:pt idx="7">
                  <c:v>83.8</c:v>
                </c:pt>
                <c:pt idx="8">
                  <c:v>83.7</c:v>
                </c:pt>
                <c:pt idx="9">
                  <c:v>83.8</c:v>
                </c:pt>
                <c:pt idx="10">
                  <c:v>83.4</c:v>
                </c:pt>
                <c:pt idx="11">
                  <c:v>80.900000000000006</c:v>
                </c:pt>
                <c:pt idx="12">
                  <c:v>73.5</c:v>
                </c:pt>
                <c:pt idx="13">
                  <c:v>69.8</c:v>
                </c:pt>
                <c:pt idx="14">
                  <c:v>71</c:v>
                </c:pt>
                <c:pt idx="15">
                  <c:v>72.900000000000006</c:v>
                </c:pt>
                <c:pt idx="16">
                  <c:v>73</c:v>
                </c:pt>
                <c:pt idx="17">
                  <c:v>76.099999999999994</c:v>
                </c:pt>
                <c:pt idx="18">
                  <c:v>77.900000000000006</c:v>
                </c:pt>
                <c:pt idx="19">
                  <c:v>78.8</c:v>
                </c:pt>
                <c:pt idx="20">
                  <c:v>78.900000000000006</c:v>
                </c:pt>
                <c:pt idx="21">
                  <c:v>80.7</c:v>
                </c:pt>
                <c:pt idx="22">
                  <c:v>80.599999999999994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Sheet1!$B$1:$X$2</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2006</c:v>
                  </c:pt>
                  <c:pt idx="4">
                    <c:v>2007</c:v>
                  </c:pt>
                  <c:pt idx="8">
                    <c:v>2008</c:v>
                  </c:pt>
                  <c:pt idx="12">
                    <c:v>2009</c:v>
                  </c:pt>
                  <c:pt idx="16">
                    <c:v>2010</c:v>
                  </c:pt>
                  <c:pt idx="20">
                    <c:v>2011</c:v>
                  </c:pt>
                </c:lvl>
              </c:multiLvlStrCache>
            </c:multiLvlStrRef>
          </c:cat>
          <c:val>
            <c:numRef>
              <c:f>Sheet1!$B$4:$X$4</c:f>
              <c:numCache>
                <c:formatCode>General</c:formatCode>
                <c:ptCount val="23"/>
                <c:pt idx="0">
                  <c:v>79.400000000000006</c:v>
                </c:pt>
                <c:pt idx="1">
                  <c:v>79.099999999999994</c:v>
                </c:pt>
                <c:pt idx="2">
                  <c:v>78.5</c:v>
                </c:pt>
                <c:pt idx="3">
                  <c:v>78</c:v>
                </c:pt>
                <c:pt idx="4">
                  <c:v>78.400000000000006</c:v>
                </c:pt>
                <c:pt idx="5">
                  <c:v>77.599999999999994</c:v>
                </c:pt>
                <c:pt idx="6">
                  <c:v>77.2</c:v>
                </c:pt>
                <c:pt idx="7">
                  <c:v>74.900000000000006</c:v>
                </c:pt>
                <c:pt idx="8">
                  <c:v>74.3</c:v>
                </c:pt>
                <c:pt idx="9">
                  <c:v>72.099999999999994</c:v>
                </c:pt>
                <c:pt idx="10">
                  <c:v>70.8</c:v>
                </c:pt>
                <c:pt idx="11">
                  <c:v>67.8</c:v>
                </c:pt>
                <c:pt idx="12">
                  <c:v>58.2</c:v>
                </c:pt>
                <c:pt idx="13">
                  <c:v>56.8</c:v>
                </c:pt>
                <c:pt idx="14">
                  <c:v>58.7</c:v>
                </c:pt>
                <c:pt idx="15">
                  <c:v>60.3</c:v>
                </c:pt>
                <c:pt idx="16">
                  <c:v>59.9</c:v>
                </c:pt>
                <c:pt idx="17">
                  <c:v>66.7</c:v>
                </c:pt>
                <c:pt idx="18">
                  <c:v>70.2</c:v>
                </c:pt>
                <c:pt idx="19">
                  <c:v>72.2</c:v>
                </c:pt>
                <c:pt idx="20">
                  <c:v>69.7</c:v>
                </c:pt>
                <c:pt idx="21">
                  <c:v>72.3</c:v>
                </c:pt>
                <c:pt idx="22">
                  <c:v>73.599999999999994</c:v>
                </c:pt>
              </c:numCache>
            </c:numRef>
          </c:val>
          <c:smooth val="1"/>
        </c:ser>
        <c:ser>
          <c:idx val="2"/>
          <c:order val="2"/>
          <c:tx>
            <c:strRef>
              <c:f>Sheet1!$A$5</c:f>
              <c:strCache>
                <c:ptCount val="1"/>
                <c:pt idx="0">
                  <c:v>LV</c:v>
                </c:pt>
              </c:strCache>
            </c:strRef>
          </c:tx>
          <c:spPr>
            <a:ln w="31750">
              <a:solidFill>
                <a:srgbClr val="FF0000"/>
              </a:solidFill>
              <a:prstDash val="solid"/>
            </a:ln>
          </c:spPr>
          <c:marker>
            <c:symbol val="none"/>
          </c:marker>
          <c:cat>
            <c:multiLvlStrRef>
              <c:f>Sheet1!$B$1:$X$2</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2006</c:v>
                  </c:pt>
                  <c:pt idx="4">
                    <c:v>2007</c:v>
                  </c:pt>
                  <c:pt idx="8">
                    <c:v>2008</c:v>
                  </c:pt>
                  <c:pt idx="12">
                    <c:v>2009</c:v>
                  </c:pt>
                  <c:pt idx="16">
                    <c:v>2010</c:v>
                  </c:pt>
                  <c:pt idx="20">
                    <c:v>2011</c:v>
                  </c:pt>
                </c:lvl>
              </c:multiLvlStrCache>
            </c:multiLvlStrRef>
          </c:cat>
          <c:val>
            <c:numRef>
              <c:f>Sheet1!$B$5:$X$5</c:f>
              <c:numCache>
                <c:formatCode>General</c:formatCode>
                <c:ptCount val="23"/>
                <c:pt idx="0">
                  <c:v>74.599999999999994</c:v>
                </c:pt>
                <c:pt idx="1">
                  <c:v>74.400000000000006</c:v>
                </c:pt>
                <c:pt idx="2">
                  <c:v>71.400000000000006</c:v>
                </c:pt>
                <c:pt idx="3">
                  <c:v>73.7</c:v>
                </c:pt>
                <c:pt idx="4">
                  <c:v>71.5</c:v>
                </c:pt>
                <c:pt idx="5">
                  <c:v>73.599999999999994</c:v>
                </c:pt>
                <c:pt idx="6">
                  <c:v>71.8</c:v>
                </c:pt>
                <c:pt idx="7">
                  <c:v>73.7</c:v>
                </c:pt>
                <c:pt idx="8">
                  <c:v>71.7</c:v>
                </c:pt>
                <c:pt idx="9">
                  <c:v>68</c:v>
                </c:pt>
                <c:pt idx="10">
                  <c:v>67.099999999999994</c:v>
                </c:pt>
                <c:pt idx="11">
                  <c:v>64.8</c:v>
                </c:pt>
                <c:pt idx="12">
                  <c:v>55.8</c:v>
                </c:pt>
                <c:pt idx="13">
                  <c:v>52.4</c:v>
                </c:pt>
                <c:pt idx="14">
                  <c:v>53.7</c:v>
                </c:pt>
                <c:pt idx="15">
                  <c:v>54.1</c:v>
                </c:pt>
                <c:pt idx="16">
                  <c:v>57.9</c:v>
                </c:pt>
                <c:pt idx="17">
                  <c:v>60.8</c:v>
                </c:pt>
                <c:pt idx="18">
                  <c:v>65.7</c:v>
                </c:pt>
                <c:pt idx="19">
                  <c:v>66.7</c:v>
                </c:pt>
                <c:pt idx="20">
                  <c:v>65.099999999999994</c:v>
                </c:pt>
                <c:pt idx="21">
                  <c:v>65.099999999999994</c:v>
                </c:pt>
                <c:pt idx="22">
                  <c:v>69.400000000000006</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Sheet1!$B$1:$X$2</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2006</c:v>
                  </c:pt>
                  <c:pt idx="4">
                    <c:v>2007</c:v>
                  </c:pt>
                  <c:pt idx="8">
                    <c:v>2008</c:v>
                  </c:pt>
                  <c:pt idx="12">
                    <c:v>2009</c:v>
                  </c:pt>
                  <c:pt idx="16">
                    <c:v>2010</c:v>
                  </c:pt>
                  <c:pt idx="20">
                    <c:v>2011</c:v>
                  </c:pt>
                </c:lvl>
              </c:multiLvlStrCache>
            </c:multiLvlStrRef>
          </c:cat>
          <c:val>
            <c:numRef>
              <c:f>Sheet1!$B$6:$X$6</c:f>
              <c:numCache>
                <c:formatCode>General</c:formatCode>
                <c:ptCount val="23"/>
                <c:pt idx="0">
                  <c:v>72.2</c:v>
                </c:pt>
                <c:pt idx="1">
                  <c:v>73.099999999999994</c:v>
                </c:pt>
                <c:pt idx="2">
                  <c:v>73.400000000000006</c:v>
                </c:pt>
                <c:pt idx="3">
                  <c:v>73.400000000000006</c:v>
                </c:pt>
                <c:pt idx="4">
                  <c:v>75</c:v>
                </c:pt>
                <c:pt idx="5">
                  <c:v>73.8</c:v>
                </c:pt>
                <c:pt idx="6">
                  <c:v>73.400000000000006</c:v>
                </c:pt>
                <c:pt idx="7">
                  <c:v>72.400000000000006</c:v>
                </c:pt>
                <c:pt idx="8">
                  <c:v>72.8</c:v>
                </c:pt>
                <c:pt idx="9">
                  <c:v>70.900000000000006</c:v>
                </c:pt>
                <c:pt idx="10">
                  <c:v>71.099999999999994</c:v>
                </c:pt>
                <c:pt idx="11">
                  <c:v>70.2</c:v>
                </c:pt>
                <c:pt idx="12">
                  <c:v>63.9</c:v>
                </c:pt>
                <c:pt idx="13">
                  <c:v>59.6</c:v>
                </c:pt>
                <c:pt idx="14">
                  <c:v>61</c:v>
                </c:pt>
                <c:pt idx="15">
                  <c:v>61.5</c:v>
                </c:pt>
                <c:pt idx="16">
                  <c:v>61.7</c:v>
                </c:pt>
                <c:pt idx="17">
                  <c:v>62.5</c:v>
                </c:pt>
                <c:pt idx="18">
                  <c:v>66.5</c:v>
                </c:pt>
                <c:pt idx="19">
                  <c:v>67.7</c:v>
                </c:pt>
                <c:pt idx="20">
                  <c:v>69.099999999999994</c:v>
                </c:pt>
                <c:pt idx="21">
                  <c:v>69.7</c:v>
                </c:pt>
                <c:pt idx="22">
                  <c:v>70.599999999999994</c:v>
                </c:pt>
              </c:numCache>
            </c:numRef>
          </c:val>
          <c:smooth val="1"/>
        </c:ser>
        <c:marker val="1"/>
        <c:axId val="137000448"/>
        <c:axId val="137001984"/>
      </c:lineChart>
      <c:catAx>
        <c:axId val="137000448"/>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7001984"/>
        <c:crosses val="autoZero"/>
        <c:lblAlgn val="ctr"/>
        <c:lblOffset val="0"/>
        <c:tickLblSkip val="1"/>
        <c:tickMarkSkip val="1"/>
        <c:noMultiLvlLbl val="1"/>
      </c:catAx>
      <c:valAx>
        <c:axId val="137001984"/>
        <c:scaling>
          <c:orientation val="minMax"/>
          <c:max val="85"/>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37000448"/>
        <c:crosses val="autoZero"/>
        <c:crossBetween val="between"/>
        <c:majorUnit val="5"/>
      </c:valAx>
      <c:spPr>
        <a:noFill/>
        <a:ln w="6350">
          <a:solidFill>
            <a:sysClr val="window" lastClr="FFFFFF">
              <a:lumMod val="75000"/>
            </a:sysClr>
          </a:solidFill>
        </a:ln>
      </c:spPr>
    </c:plotArea>
    <c:legend>
      <c:legendPos val="b"/>
      <c:layout>
        <c:manualLayout>
          <c:xMode val="edge"/>
          <c:yMode val="edge"/>
          <c:x val="9.1224539424584694E-2"/>
          <c:y val="0.51335054072597286"/>
          <c:w val="0.30540414077633266"/>
          <c:h val="0.28189455571165856"/>
        </c:manualLayout>
      </c:layout>
      <c:spPr>
        <a:solidFill>
          <a:sysClr val="window" lastClr="FFFFFF"/>
        </a:solidFill>
      </c:spPr>
      <c:txPr>
        <a:bodyPr/>
        <a:lstStyle/>
        <a:p>
          <a:pPr>
            <a:defRPr lang="lv-LV" sz="10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15641090527134E-2"/>
          <c:y val="2.8006088280060883E-2"/>
          <c:w val="0.92105420797316362"/>
          <c:h val="0.87667195874585035"/>
        </c:manualLayout>
      </c:layout>
      <c:barChart>
        <c:barDir val="col"/>
        <c:grouping val="clustered"/>
        <c:ser>
          <c:idx val="1"/>
          <c:order val="0"/>
          <c:tx>
            <c:strRef>
              <c:f>Sheet1!$A$3</c:f>
              <c:strCache>
                <c:ptCount val="1"/>
                <c:pt idx="0">
                  <c:v>RCI</c:v>
                </c:pt>
              </c:strCache>
            </c:strRef>
          </c:tx>
          <c:spPr>
            <a:solidFill>
              <a:srgbClr val="FF0000"/>
            </a:solidFill>
            <a:ln w="9525">
              <a:solidFill>
                <a:srgbClr val="000000"/>
              </a:solidFill>
              <a:prstDash val="solid"/>
            </a:ln>
          </c:spP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0.0</c:formatCode>
                <c:ptCount val="44"/>
                <c:pt idx="0">
                  <c:v>10.726072607260701</c:v>
                </c:pt>
                <c:pt idx="1">
                  <c:v>11.328443357783222</c:v>
                </c:pt>
                <c:pt idx="2">
                  <c:v>10.530546623794214</c:v>
                </c:pt>
                <c:pt idx="3">
                  <c:v>12.341772151898731</c:v>
                </c:pt>
                <c:pt idx="4">
                  <c:v>12.40249609984404</c:v>
                </c:pt>
                <c:pt idx="5">
                  <c:v>13.50931677018632</c:v>
                </c:pt>
                <c:pt idx="6" formatCode="General">
                  <c:v>13.020030816640977</c:v>
                </c:pt>
                <c:pt idx="7">
                  <c:v>13.814274750575583</c:v>
                </c:pt>
                <c:pt idx="8">
                  <c:v>12.509593246354546</c:v>
                </c:pt>
                <c:pt idx="9">
                  <c:v>11.445783132530105</c:v>
                </c:pt>
                <c:pt idx="10">
                  <c:v>9.9622641509434029</c:v>
                </c:pt>
                <c:pt idx="11">
                  <c:v>9.3655589123867262</c:v>
                </c:pt>
                <c:pt idx="12">
                  <c:v>7.2280178837555935</c:v>
                </c:pt>
                <c:pt idx="13">
                  <c:v>3.8799414348462617</c:v>
                </c:pt>
                <c:pt idx="14">
                  <c:v>1.4545454545454639</c:v>
                </c:pt>
                <c:pt idx="15">
                  <c:v>-2.605633802816901</c:v>
                </c:pt>
                <c:pt idx="16">
                  <c:v>-4.8577376821651637</c:v>
                </c:pt>
                <c:pt idx="17">
                  <c:v>-7.7975376196990247</c:v>
                </c:pt>
                <c:pt idx="18">
                  <c:v>-8.3844580777096187</c:v>
                </c:pt>
                <c:pt idx="19">
                  <c:v>-9.3728927848954804</c:v>
                </c:pt>
                <c:pt idx="20">
                  <c:v>-8.0491132332878514</c:v>
                </c:pt>
                <c:pt idx="21">
                  <c:v>-8.7837837837837789</c:v>
                </c:pt>
                <c:pt idx="22">
                  <c:v>-8.9224433768016613</c:v>
                </c:pt>
                <c:pt idx="23">
                  <c:v>-8.0110497237569209</c:v>
                </c:pt>
                <c:pt idx="24">
                  <c:v>-6.5323141070187667</c:v>
                </c:pt>
                <c:pt idx="25">
                  <c:v>-4.8625792811839315</c:v>
                </c:pt>
                <c:pt idx="26">
                  <c:v>-2.508960573476704</c:v>
                </c:pt>
                <c:pt idx="27">
                  <c:v>0.57845263919016343</c:v>
                </c:pt>
                <c:pt idx="28">
                  <c:v>3.2822757111597332</c:v>
                </c:pt>
                <c:pt idx="29">
                  <c:v>5.9347181008902128</c:v>
                </c:pt>
                <c:pt idx="30">
                  <c:v>6.3244047619047645</c:v>
                </c:pt>
                <c:pt idx="31">
                  <c:v>6.9196428571428434</c:v>
                </c:pt>
                <c:pt idx="32">
                  <c:v>7.1216617210682509</c:v>
                </c:pt>
                <c:pt idx="33">
                  <c:v>6.4444444444444304</c:v>
                </c:pt>
                <c:pt idx="34">
                  <c:v>8.1386586284853006</c:v>
                </c:pt>
                <c:pt idx="35">
                  <c:v>8.0330330330330426</c:v>
                </c:pt>
                <c:pt idx="36">
                  <c:v>8.2527881040892268</c:v>
                </c:pt>
                <c:pt idx="37">
                  <c:v>8.518518518518519</c:v>
                </c:pt>
                <c:pt idx="38">
                  <c:v>8.6029411764705639</c:v>
                </c:pt>
                <c:pt idx="39">
                  <c:v>8.6268871315600357</c:v>
                </c:pt>
                <c:pt idx="40">
                  <c:v>7.6977401129943583</c:v>
                </c:pt>
                <c:pt idx="41">
                  <c:v>7.3529411764705772</c:v>
                </c:pt>
                <c:pt idx="42">
                  <c:v>7.977606717984604</c:v>
                </c:pt>
                <c:pt idx="43">
                  <c:v>7.8</c:v>
                </c:pt>
              </c:numCache>
            </c:numRef>
          </c:val>
        </c:ser>
        <c:gapWidth val="25"/>
        <c:axId val="165832576"/>
        <c:axId val="165834112"/>
      </c:barChart>
      <c:catAx>
        <c:axId val="165832576"/>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834112"/>
        <c:crosses val="autoZero"/>
        <c:auto val="1"/>
        <c:lblAlgn val="ctr"/>
        <c:lblOffset val="0"/>
        <c:tickLblSkip val="1"/>
        <c:tickMarkSkip val="1"/>
        <c:noMultiLvlLbl val="1"/>
      </c:catAx>
      <c:valAx>
        <c:axId val="165834112"/>
        <c:scaling>
          <c:orientation val="minMax"/>
          <c:max val="15"/>
          <c:min val="-1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65832576"/>
        <c:crosses val="autoZero"/>
        <c:crossBetween val="between"/>
        <c:majorUnit val="5"/>
      </c:valAx>
      <c:spPr>
        <a:noFill/>
        <a:ln w="6350">
          <a:solidFill>
            <a:sysClr val="window" lastClr="FFFFFF">
              <a:lumMod val="7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64431050163036E-2"/>
          <c:y val="2.8006088280060883E-2"/>
          <c:w val="0.93990099327122612"/>
          <c:h val="0.7814337485421125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Sheet1!$B$3:$AG$3</c:f>
              <c:numCache>
                <c:formatCode>0.0</c:formatCode>
                <c:ptCount val="32"/>
                <c:pt idx="0">
                  <c:v>99.5</c:v>
                </c:pt>
                <c:pt idx="1">
                  <c:v>99.400499999999994</c:v>
                </c:pt>
                <c:pt idx="2">
                  <c:v>99.102298499999989</c:v>
                </c:pt>
                <c:pt idx="3">
                  <c:v>99.003196201499989</c:v>
                </c:pt>
                <c:pt idx="4">
                  <c:v>99.102199397701369</c:v>
                </c:pt>
                <c:pt idx="5">
                  <c:v>99.597710394689869</c:v>
                </c:pt>
                <c:pt idx="6">
                  <c:v>99.298917263505913</c:v>
                </c:pt>
                <c:pt idx="7">
                  <c:v>99.795411849823438</c:v>
                </c:pt>
                <c:pt idx="8">
                  <c:v>99.595821026123758</c:v>
                </c:pt>
                <c:pt idx="9">
                  <c:v>99.695416847149858</c:v>
                </c:pt>
                <c:pt idx="10">
                  <c:v>99.894807680844195</c:v>
                </c:pt>
                <c:pt idx="11">
                  <c:v>99.994702488525022</c:v>
                </c:pt>
                <c:pt idx="12">
                  <c:v>100.59467070345615</c:v>
                </c:pt>
                <c:pt idx="13">
                  <c:v>100.79586004486309</c:v>
                </c:pt>
                <c:pt idx="14">
                  <c:v>101.50143106517721</c:v>
                </c:pt>
                <c:pt idx="15">
                  <c:v>102.51644537582888</c:v>
                </c:pt>
                <c:pt idx="16">
                  <c:v>103.23406049345968</c:v>
                </c:pt>
                <c:pt idx="17">
                  <c:v>103.44052861444662</c:v>
                </c:pt>
                <c:pt idx="18">
                  <c:v>103.33708808583216</c:v>
                </c:pt>
                <c:pt idx="19">
                  <c:v>103.44042517391809</c:v>
                </c:pt>
                <c:pt idx="20">
                  <c:v>103.75074644943965</c:v>
                </c:pt>
                <c:pt idx="21">
                  <c:v>103.85449719588905</c:v>
                </c:pt>
                <c:pt idx="22">
                  <c:v>104.26991518467283</c:v>
                </c:pt>
                <c:pt idx="23">
                  <c:v>105.10407450615001</c:v>
                </c:pt>
                <c:pt idx="24">
                  <c:v>106.15511525121161</c:v>
                </c:pt>
                <c:pt idx="25">
                  <c:v>106.89820105797008</c:v>
                </c:pt>
                <c:pt idx="26">
                  <c:v>107.8602848674917</c:v>
                </c:pt>
                <c:pt idx="27">
                  <c:v>108.50744657669662</c:v>
                </c:pt>
                <c:pt idx="28">
                  <c:v>108.39893913011996</c:v>
                </c:pt>
                <c:pt idx="29">
                  <c:v>108.39893913011996</c:v>
                </c:pt>
                <c:pt idx="30">
                  <c:v>108.7241359475104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Sheet1!$B$4:$AG$4</c:f>
              <c:numCache>
                <c:formatCode>0.0</c:formatCode>
                <c:ptCount val="32"/>
                <c:pt idx="0">
                  <c:v>98.5</c:v>
                </c:pt>
                <c:pt idx="1">
                  <c:v>98.204499999999996</c:v>
                </c:pt>
                <c:pt idx="2">
                  <c:v>97.615273000000002</c:v>
                </c:pt>
                <c:pt idx="3">
                  <c:v>97.322427180999824</c:v>
                </c:pt>
                <c:pt idx="4">
                  <c:v>96.933137472276002</c:v>
                </c:pt>
                <c:pt idx="5">
                  <c:v>96.739271197331419</c:v>
                </c:pt>
                <c:pt idx="6">
                  <c:v>97.319706824515379</c:v>
                </c:pt>
                <c:pt idx="7">
                  <c:v>97.51434623816445</c:v>
                </c:pt>
                <c:pt idx="8">
                  <c:v>97.611860584402606</c:v>
                </c:pt>
                <c:pt idx="9">
                  <c:v>97.709472444987</c:v>
                </c:pt>
                <c:pt idx="10">
                  <c:v>97.709472444987</c:v>
                </c:pt>
                <c:pt idx="11">
                  <c:v>97.709472444987</c:v>
                </c:pt>
                <c:pt idx="12">
                  <c:v>98.295729279656911</c:v>
                </c:pt>
                <c:pt idx="13">
                  <c:v>98.885503655334873</c:v>
                </c:pt>
                <c:pt idx="14">
                  <c:v>99.083274662645536</c:v>
                </c:pt>
                <c:pt idx="15">
                  <c:v>99.975024134609242</c:v>
                </c:pt>
                <c:pt idx="16">
                  <c:v>100.97477437595541</c:v>
                </c:pt>
                <c:pt idx="17">
                  <c:v>100.77282482720351</c:v>
                </c:pt>
                <c:pt idx="18">
                  <c:v>101.27668895133951</c:v>
                </c:pt>
                <c:pt idx="19">
                  <c:v>102.18817915190142</c:v>
                </c:pt>
                <c:pt idx="20">
                  <c:v>102.59693186850915</c:v>
                </c:pt>
                <c:pt idx="21">
                  <c:v>102.90472266411479</c:v>
                </c:pt>
                <c:pt idx="22">
                  <c:v>103.41924627743526</c:v>
                </c:pt>
                <c:pt idx="23">
                  <c:v>103.41924627743526</c:v>
                </c:pt>
                <c:pt idx="24">
                  <c:v>104.03976175509985</c:v>
                </c:pt>
                <c:pt idx="25">
                  <c:v>104.14380151685472</c:v>
                </c:pt>
                <c:pt idx="26">
                  <c:v>104.66452052443921</c:v>
                </c:pt>
                <c:pt idx="27">
                  <c:v>105.7111657296837</c:v>
                </c:pt>
                <c:pt idx="28">
                  <c:v>106.23972155833202</c:v>
                </c:pt>
                <c:pt idx="29">
                  <c:v>106.77092016612356</c:v>
                </c:pt>
                <c:pt idx="30">
                  <c:v>106.9844620064558</c:v>
                </c:pt>
                <c:pt idx="31">
                  <c:v>106.77049308244298</c:v>
                </c:pt>
              </c:numCache>
            </c:numRef>
          </c:val>
          <c:smooth val="1"/>
        </c:ser>
        <c:ser>
          <c:idx val="2"/>
          <c:order val="2"/>
          <c:tx>
            <c:strRef>
              <c:f>Sheet1!$A$5</c:f>
              <c:strCache>
                <c:ptCount val="1"/>
                <c:pt idx="0">
                  <c:v>LV</c:v>
                </c:pt>
              </c:strCache>
            </c:strRef>
          </c:tx>
          <c:spPr>
            <a:ln w="47625">
              <a:solidFill>
                <a:srgbClr val="FF0000"/>
              </a:solidFill>
            </a:ln>
          </c:spPr>
          <c:marker>
            <c:symbol val="none"/>
          </c:marke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Sheet1!$B$5:$AG$5</c:f>
              <c:numCache>
                <c:formatCode>0.0</c:formatCode>
                <c:ptCount val="32"/>
                <c:pt idx="0">
                  <c:v>99.5</c:v>
                </c:pt>
                <c:pt idx="1">
                  <c:v>97.51</c:v>
                </c:pt>
                <c:pt idx="2">
                  <c:v>95.65731000000001</c:v>
                </c:pt>
                <c:pt idx="3">
                  <c:v>94.70073690000001</c:v>
                </c:pt>
                <c:pt idx="4">
                  <c:v>94.70073690000001</c:v>
                </c:pt>
                <c:pt idx="5">
                  <c:v>93.65902879410001</c:v>
                </c:pt>
                <c:pt idx="6">
                  <c:v>93.65902879410001</c:v>
                </c:pt>
                <c:pt idx="7">
                  <c:v>93.65902879410001</c:v>
                </c:pt>
                <c:pt idx="8">
                  <c:v>93.940005880482303</c:v>
                </c:pt>
                <c:pt idx="9">
                  <c:v>94.879405939287111</c:v>
                </c:pt>
                <c:pt idx="10">
                  <c:v>93.361335444258529</c:v>
                </c:pt>
                <c:pt idx="11">
                  <c:v>93.828142121479644</c:v>
                </c:pt>
                <c:pt idx="12">
                  <c:v>94.860251684816191</c:v>
                </c:pt>
                <c:pt idx="13">
                  <c:v>95.049972188185649</c:v>
                </c:pt>
                <c:pt idx="14">
                  <c:v>96.000471910067489</c:v>
                </c:pt>
                <c:pt idx="15">
                  <c:v>96.67247521343775</c:v>
                </c:pt>
                <c:pt idx="16">
                  <c:v>98.412579767279922</c:v>
                </c:pt>
                <c:pt idx="17">
                  <c:v>98.609404926814449</c:v>
                </c:pt>
                <c:pt idx="18">
                  <c:v>98.510795521887644</c:v>
                </c:pt>
                <c:pt idx="19">
                  <c:v>99.200371090540727</c:v>
                </c:pt>
                <c:pt idx="20">
                  <c:v>100.19237480144609</c:v>
                </c:pt>
                <c:pt idx="21">
                  <c:v>100.49295192585059</c:v>
                </c:pt>
                <c:pt idx="22">
                  <c:v>100.39245897392456</c:v>
                </c:pt>
                <c:pt idx="23">
                  <c:v>100.49285143289865</c:v>
                </c:pt>
                <c:pt idx="24">
                  <c:v>101.59827279866045</c:v>
                </c:pt>
                <c:pt idx="25">
                  <c:v>102.81745207224445</c:v>
                </c:pt>
                <c:pt idx="26">
                  <c:v>104.05126149711148</c:v>
                </c:pt>
                <c:pt idx="27">
                  <c:v>104.88367158908828</c:v>
                </c:pt>
                <c:pt idx="28">
                  <c:v>105.09343893226632</c:v>
                </c:pt>
                <c:pt idx="29">
                  <c:v>104.98834549333418</c:v>
                </c:pt>
                <c:pt idx="30">
                  <c:v>106.03822894826762</c:v>
                </c:pt>
                <c:pt idx="31">
                  <c:v>106.03822894826762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Sheet1!$B$6:$AG$6</c:f>
              <c:numCache>
                <c:formatCode>0.0</c:formatCode>
                <c:ptCount val="32"/>
                <c:pt idx="0">
                  <c:v>98.8</c:v>
                </c:pt>
                <c:pt idx="1">
                  <c:v>99.787999999999997</c:v>
                </c:pt>
                <c:pt idx="2">
                  <c:v>98.889907999999949</c:v>
                </c:pt>
                <c:pt idx="3">
                  <c:v>99.285467631999978</c:v>
                </c:pt>
                <c:pt idx="4">
                  <c:v>100.57617871121595</c:v>
                </c:pt>
                <c:pt idx="5">
                  <c:v>103.49288789384114</c:v>
                </c:pt>
                <c:pt idx="6">
                  <c:v>101.52652302385826</c:v>
                </c:pt>
                <c:pt idx="7">
                  <c:v>103.65858000735911</c:v>
                </c:pt>
                <c:pt idx="8">
                  <c:v>101.58540840721209</c:v>
                </c:pt>
                <c:pt idx="9">
                  <c:v>102.39809167446968</c:v>
                </c:pt>
                <c:pt idx="10">
                  <c:v>103.93406304958692</c:v>
                </c:pt>
                <c:pt idx="11">
                  <c:v>103.51832679738848</c:v>
                </c:pt>
                <c:pt idx="12">
                  <c:v>105.69221166013369</c:v>
                </c:pt>
                <c:pt idx="13">
                  <c:v>106.85482598839525</c:v>
                </c:pt>
                <c:pt idx="14">
                  <c:v>111.23587385391919</c:v>
                </c:pt>
                <c:pt idx="15">
                  <c:v>113.23811958328983</c:v>
                </c:pt>
                <c:pt idx="16">
                  <c:v>113.23811958328983</c:v>
                </c:pt>
                <c:pt idx="17">
                  <c:v>114.14402453995616</c:v>
                </c:pt>
                <c:pt idx="18">
                  <c:v>112.66015222093671</c:v>
                </c:pt>
                <c:pt idx="19">
                  <c:v>112.54749206871588</c:v>
                </c:pt>
                <c:pt idx="20">
                  <c:v>112.99768203699065</c:v>
                </c:pt>
                <c:pt idx="21">
                  <c:v>114.2406565393977</c:v>
                </c:pt>
                <c:pt idx="22">
                  <c:v>116.75395098326429</c:v>
                </c:pt>
                <c:pt idx="23">
                  <c:v>120.72358531669512</c:v>
                </c:pt>
                <c:pt idx="24">
                  <c:v>122.17226834049544</c:v>
                </c:pt>
                <c:pt idx="25">
                  <c:v>125.83743639071048</c:v>
                </c:pt>
                <c:pt idx="26">
                  <c:v>129.99007179160392</c:v>
                </c:pt>
                <c:pt idx="27">
                  <c:v>132.19990301206118</c:v>
                </c:pt>
                <c:pt idx="28">
                  <c:v>130.87790398194056</c:v>
                </c:pt>
                <c:pt idx="29">
                  <c:v>129.17649123017532</c:v>
                </c:pt>
                <c:pt idx="30">
                  <c:v>131.2433150898577</c:v>
                </c:pt>
                <c:pt idx="31">
                  <c:v>129.40590867860021</c:v>
                </c:pt>
              </c:numCache>
            </c:numRef>
          </c:val>
          <c:smooth val="1"/>
        </c:ser>
        <c:marker val="1"/>
        <c:axId val="165810944"/>
        <c:axId val="165812480"/>
      </c:lineChart>
      <c:catAx>
        <c:axId val="16581094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Times New Roman"/>
                <a:ea typeface="Times New Roman"/>
                <a:cs typeface="Times New Roman"/>
              </a:defRPr>
            </a:pPr>
            <a:endParaRPr lang="lv-LV"/>
          </a:p>
        </c:txPr>
        <c:crossAx val="165812480"/>
        <c:crosses val="autoZero"/>
        <c:auto val="1"/>
        <c:lblAlgn val="ctr"/>
        <c:lblOffset val="0"/>
        <c:tickMarkSkip val="1"/>
        <c:noMultiLvlLbl val="1"/>
      </c:catAx>
      <c:valAx>
        <c:axId val="165812480"/>
        <c:scaling>
          <c:orientation val="minMax"/>
          <c:max val="135"/>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65810944"/>
        <c:crosses val="autoZero"/>
        <c:crossBetween val="between"/>
        <c:majorUnit val="5"/>
      </c:valAx>
      <c:spPr>
        <a:noFill/>
        <a:ln w="6350">
          <a:solidFill>
            <a:sysClr val="window" lastClr="FFFFFF">
              <a:lumMod val="75000"/>
            </a:sysClr>
          </a:solidFill>
        </a:ln>
      </c:spPr>
    </c:plotArea>
    <c:legend>
      <c:legendPos val="b"/>
      <c:layout>
        <c:manualLayout>
          <c:xMode val="edge"/>
          <c:yMode val="edge"/>
          <c:x val="6.5945342810873886E-2"/>
          <c:y val="8.7398794173681044E-2"/>
          <c:w val="0.34891065621591"/>
          <c:h val="0.18318232286418509"/>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32143774717895E-2"/>
          <c:y val="3.6529680365296795E-2"/>
          <c:w val="0.93118091381047563"/>
          <c:h val="0.79168732537647313"/>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Sheet1!$B$4:$AG$4</c:f>
              <c:numCache>
                <c:formatCode>0.000</c:formatCode>
                <c:ptCount val="32"/>
                <c:pt idx="0">
                  <c:v>0</c:v>
                </c:pt>
                <c:pt idx="1">
                  <c:v>-9.0000000000000028E-3</c:v>
                </c:pt>
                <c:pt idx="2">
                  <c:v>-1.6000000000000021E-2</c:v>
                </c:pt>
                <c:pt idx="3">
                  <c:v>-2.2000000000000016E-2</c:v>
                </c:pt>
                <c:pt idx="4">
                  <c:v>-2.8000000000000001E-2</c:v>
                </c:pt>
                <c:pt idx="5">
                  <c:v>-3.3000000000000002E-2</c:v>
                </c:pt>
                <c:pt idx="6">
                  <c:v>-3.1000000000000034E-2</c:v>
                </c:pt>
                <c:pt idx="7">
                  <c:v>-3.2000000000000042E-2</c:v>
                </c:pt>
                <c:pt idx="8">
                  <c:v>-3.1000000000000034E-2</c:v>
                </c:pt>
                <c:pt idx="9">
                  <c:v>-2.8999999999999998E-2</c:v>
                </c:pt>
                <c:pt idx="10">
                  <c:v>-2.7000000000000041E-2</c:v>
                </c:pt>
                <c:pt idx="11">
                  <c:v>-2.3E-2</c:v>
                </c:pt>
                <c:pt idx="12">
                  <c:v>-2.0000000000000031E-3</c:v>
                </c:pt>
                <c:pt idx="13">
                  <c:v>7.0000000000000062E-3</c:v>
                </c:pt>
                <c:pt idx="14">
                  <c:v>1.4999999999999998E-2</c:v>
                </c:pt>
                <c:pt idx="15">
                  <c:v>2.7000000000000041E-2</c:v>
                </c:pt>
                <c:pt idx="16">
                  <c:v>4.1000000000000002E-2</c:v>
                </c:pt>
                <c:pt idx="17">
                  <c:v>4.1000000000000002E-2</c:v>
                </c:pt>
                <c:pt idx="18">
                  <c:v>4.0000000000000022E-2</c:v>
                </c:pt>
                <c:pt idx="19">
                  <c:v>4.8000000000000001E-2</c:v>
                </c:pt>
                <c:pt idx="20" formatCode="General">
                  <c:v>5.1000000000000004E-2</c:v>
                </c:pt>
                <c:pt idx="21" formatCode="General">
                  <c:v>5.4000000000000034E-2</c:v>
                </c:pt>
                <c:pt idx="22" formatCode="General">
                  <c:v>5.900000000000008E-2</c:v>
                </c:pt>
                <c:pt idx="23" formatCode="General">
                  <c:v>5.900000000000008E-2</c:v>
                </c:pt>
                <c:pt idx="24" formatCode="General">
                  <c:v>5.900000000000008E-2</c:v>
                </c:pt>
                <c:pt idx="25" formatCode="0.00">
                  <c:v>5.4000000000000034E-2</c:v>
                </c:pt>
                <c:pt idx="26" formatCode="General">
                  <c:v>5.7000000000000023E-2</c:v>
                </c:pt>
                <c:pt idx="27" formatCode="General">
                  <c:v>5.8000000000000003E-2</c:v>
                </c:pt>
                <c:pt idx="28" formatCode="General">
                  <c:v>5.3000000000000012E-2</c:v>
                </c:pt>
                <c:pt idx="29" formatCode="General">
                  <c:v>6.0000000000000032E-2</c:v>
                </c:pt>
                <c:pt idx="30" formatCode="General">
                  <c:v>5.7000000000000023E-2</c:v>
                </c:pt>
                <c:pt idx="31" formatCode="General">
                  <c:v>4.5000000000000012E-2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Sheet1!$B$5:$AG$5</c:f>
              <c:numCache>
                <c:formatCode>0.000</c:formatCode>
                <c:ptCount val="32"/>
                <c:pt idx="0">
                  <c:v>-2.0000000000000031E-3</c:v>
                </c:pt>
                <c:pt idx="1">
                  <c:v>-3.500000000000001E-2</c:v>
                </c:pt>
                <c:pt idx="2">
                  <c:v>-5.5999999999999994E-2</c:v>
                </c:pt>
                <c:pt idx="3">
                  <c:v>-7.0999999999999994E-2</c:v>
                </c:pt>
                <c:pt idx="4">
                  <c:v>-7.9000000000000098E-2</c:v>
                </c:pt>
                <c:pt idx="5">
                  <c:v>-0.10199999999999998</c:v>
                </c:pt>
                <c:pt idx="6">
                  <c:v>-0.10600000000000002</c:v>
                </c:pt>
                <c:pt idx="7">
                  <c:v>-0.12000000000000002</c:v>
                </c:pt>
                <c:pt idx="8">
                  <c:v>-0.10800000000000011</c:v>
                </c:pt>
                <c:pt idx="9">
                  <c:v>-7.5999999999999998E-2</c:v>
                </c:pt>
                <c:pt idx="10">
                  <c:v>-7.5999999999999998E-2</c:v>
                </c:pt>
                <c:pt idx="11">
                  <c:v>-6.1000000000000013E-2</c:v>
                </c:pt>
                <c:pt idx="12">
                  <c:v>-4.5999999999999999E-2</c:v>
                </c:pt>
                <c:pt idx="13">
                  <c:v>-2.5000000000000001E-2</c:v>
                </c:pt>
                <c:pt idx="14">
                  <c:v>4.0000000000000062E-3</c:v>
                </c:pt>
                <c:pt idx="15">
                  <c:v>2.1000000000000012E-2</c:v>
                </c:pt>
                <c:pt idx="16">
                  <c:v>4.0000000000000022E-2</c:v>
                </c:pt>
                <c:pt idx="17">
                  <c:v>5.4000000000000034E-2</c:v>
                </c:pt>
                <c:pt idx="18">
                  <c:v>5.3000000000000012E-2</c:v>
                </c:pt>
                <c:pt idx="19">
                  <c:v>6.1000000000000013E-2</c:v>
                </c:pt>
                <c:pt idx="20" formatCode="General">
                  <c:v>6.8000000000000019E-2</c:v>
                </c:pt>
                <c:pt idx="21" formatCode="General">
                  <c:v>6.1000000000000013E-2</c:v>
                </c:pt>
                <c:pt idx="22" formatCode="General">
                  <c:v>7.6999999999999999E-2</c:v>
                </c:pt>
                <c:pt idx="23" formatCode="General">
                  <c:v>7.2000000000000022E-2</c:v>
                </c:pt>
                <c:pt idx="24" formatCode="General">
                  <c:v>7.3000000000000009E-2</c:v>
                </c:pt>
                <c:pt idx="25" formatCode="0.00">
                  <c:v>8.4000000000000047E-2</c:v>
                </c:pt>
                <c:pt idx="26" formatCode="General">
                  <c:v>8.6000000000000021E-2</c:v>
                </c:pt>
                <c:pt idx="27" formatCode="General">
                  <c:v>8.6000000000000021E-2</c:v>
                </c:pt>
                <c:pt idx="28" formatCode="General">
                  <c:v>6.9000000000000034E-2</c:v>
                </c:pt>
                <c:pt idx="29" formatCode="General">
                  <c:v>6.6000000000000003E-2</c:v>
                </c:pt>
                <c:pt idx="30" formatCode="General">
                  <c:v>7.6999999999999999E-2</c:v>
                </c:pt>
                <c:pt idx="31" formatCode="General">
                  <c:v>7.0000000000000021E-2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Sheet1!$B$6:$AG$6</c:f>
              <c:numCache>
                <c:formatCode>0.000</c:formatCode>
                <c:ptCount val="32"/>
                <c:pt idx="0">
                  <c:v>-0.14800000000000021</c:v>
                </c:pt>
                <c:pt idx="1">
                  <c:v>-0.13800000000000001</c:v>
                </c:pt>
                <c:pt idx="2">
                  <c:v>-0.16300000000000001</c:v>
                </c:pt>
                <c:pt idx="3">
                  <c:v>-0.17800000000000021</c:v>
                </c:pt>
                <c:pt idx="4">
                  <c:v>-0.192</c:v>
                </c:pt>
                <c:pt idx="5">
                  <c:v>-0.20600000000000004</c:v>
                </c:pt>
                <c:pt idx="6">
                  <c:v>-0.22900000000000001</c:v>
                </c:pt>
                <c:pt idx="7">
                  <c:v>-0.20700000000000018</c:v>
                </c:pt>
                <c:pt idx="8">
                  <c:v>-0.21800000000000022</c:v>
                </c:pt>
                <c:pt idx="9">
                  <c:v>-0.17</c:v>
                </c:pt>
                <c:pt idx="10">
                  <c:v>-8.6000000000000021E-2</c:v>
                </c:pt>
                <c:pt idx="11">
                  <c:v>3.6000000000000011E-2</c:v>
                </c:pt>
                <c:pt idx="12">
                  <c:v>7.0999999999999994E-2</c:v>
                </c:pt>
                <c:pt idx="13">
                  <c:v>7.2000000000000022E-2</c:v>
                </c:pt>
                <c:pt idx="14">
                  <c:v>0.126</c:v>
                </c:pt>
                <c:pt idx="15">
                  <c:v>0.14300000000000004</c:v>
                </c:pt>
                <c:pt idx="16">
                  <c:v>0.128</c:v>
                </c:pt>
                <c:pt idx="17">
                  <c:v>0.10400000000000002</c:v>
                </c:pt>
                <c:pt idx="18">
                  <c:v>0.11</c:v>
                </c:pt>
                <c:pt idx="19">
                  <c:v>8.6000000000000021E-2</c:v>
                </c:pt>
                <c:pt idx="20" formatCode="General">
                  <c:v>0.113</c:v>
                </c:pt>
                <c:pt idx="21" formatCode="General">
                  <c:v>0.11599999999999998</c:v>
                </c:pt>
                <c:pt idx="22" formatCode="General">
                  <c:v>0.1240000000000001</c:v>
                </c:pt>
                <c:pt idx="23" formatCode="General">
                  <c:v>0.16600000000000001</c:v>
                </c:pt>
                <c:pt idx="24" formatCode="General">
                  <c:v>0.15600000000000022</c:v>
                </c:pt>
                <c:pt idx="25" formatCode="0.00">
                  <c:v>0.17700000000000018</c:v>
                </c:pt>
                <c:pt idx="26" formatCode="General">
                  <c:v>0.16800000000000001</c:v>
                </c:pt>
                <c:pt idx="27" formatCode="General">
                  <c:v>0.16600000000000001</c:v>
                </c:pt>
                <c:pt idx="28" formatCode="General">
                  <c:v>0.15500000000000022</c:v>
                </c:pt>
                <c:pt idx="29" formatCode="General">
                  <c:v>0.13100000000000001</c:v>
                </c:pt>
                <c:pt idx="30" formatCode="General">
                  <c:v>0.16500000000000001</c:v>
                </c:pt>
                <c:pt idx="31" formatCode="General">
                  <c:v>0.14900000000000019</c:v>
                </c:pt>
              </c:numCache>
            </c:numRef>
          </c:val>
        </c:ser>
        <c:gapWidth val="75"/>
        <c:overlap val="-25"/>
        <c:axId val="166092800"/>
        <c:axId val="166094720"/>
      </c:barChart>
      <c:lineChart>
        <c:grouping val="standard"/>
        <c:ser>
          <c:idx val="1"/>
          <c:order val="0"/>
          <c:tx>
            <c:strRef>
              <c:f>Sheet1!$A$3</c:f>
              <c:strCache>
                <c:ptCount val="1"/>
                <c:pt idx="0">
                  <c:v>EU27</c:v>
                </c:pt>
              </c:strCache>
            </c:strRef>
          </c:tx>
          <c:spPr>
            <a:ln w="41275">
              <a:solidFill>
                <a:sysClr val="windowText" lastClr="000000"/>
              </a:solidFill>
              <a:prstDash val="solid"/>
            </a:ln>
          </c:spPr>
          <c:marker>
            <c:symbol val="diamond"/>
            <c:size val="5"/>
            <c:spPr>
              <a:solidFill>
                <a:sysClr val="window" lastClr="FFFFFF">
                  <a:lumMod val="95000"/>
                </a:sysClr>
              </a:solidFill>
              <a:ln>
                <a:solidFill>
                  <a:sysClr val="windowText" lastClr="000000"/>
                </a:solidFill>
              </a:ln>
            </c:spPr>
          </c:marker>
          <c:cat>
            <c:multiLvlStrRef>
              <c:f>Sheet1!$B$1:$AG$2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Sheet1!$B$3:$AG$3</c:f>
              <c:numCache>
                <c:formatCode>0.000</c:formatCode>
                <c:ptCount val="32"/>
                <c:pt idx="0">
                  <c:v>-1.3999999999999999E-2</c:v>
                </c:pt>
                <c:pt idx="1">
                  <c:v>-2.0000000000000011E-2</c:v>
                </c:pt>
                <c:pt idx="2">
                  <c:v>-2.8999999999999998E-2</c:v>
                </c:pt>
                <c:pt idx="3">
                  <c:v>-3.500000000000001E-2</c:v>
                </c:pt>
                <c:pt idx="4">
                  <c:v>-4.5999999999999999E-2</c:v>
                </c:pt>
                <c:pt idx="5">
                  <c:v>-4.9000000000000064E-2</c:v>
                </c:pt>
                <c:pt idx="6">
                  <c:v>-5.7000000000000023E-2</c:v>
                </c:pt>
                <c:pt idx="7">
                  <c:v>-4.9000000000000064E-2</c:v>
                </c:pt>
                <c:pt idx="8">
                  <c:v>-0.05</c:v>
                </c:pt>
                <c:pt idx="9">
                  <c:v>-3.7000000000000012E-2</c:v>
                </c:pt>
                <c:pt idx="10">
                  <c:v>-1.8000000000000023E-2</c:v>
                </c:pt>
                <c:pt idx="11">
                  <c:v>-1.0000000000000015E-3</c:v>
                </c:pt>
                <c:pt idx="12">
                  <c:v>1.0000000000000005E-2</c:v>
                </c:pt>
                <c:pt idx="13">
                  <c:v>1.3999999999999999E-2</c:v>
                </c:pt>
                <c:pt idx="14">
                  <c:v>2.4E-2</c:v>
                </c:pt>
                <c:pt idx="15">
                  <c:v>3.500000000000001E-2</c:v>
                </c:pt>
                <c:pt idx="16">
                  <c:v>4.2000000000000023E-2</c:v>
                </c:pt>
                <c:pt idx="17">
                  <c:v>3.9000000000000014E-2</c:v>
                </c:pt>
                <c:pt idx="18">
                  <c:v>4.1000000000000002E-2</c:v>
                </c:pt>
                <c:pt idx="19">
                  <c:v>3.7000000000000012E-2</c:v>
                </c:pt>
                <c:pt idx="20" formatCode="General">
                  <c:v>4.2000000000000023E-2</c:v>
                </c:pt>
                <c:pt idx="21" formatCode="General">
                  <c:v>4.2000000000000023E-2</c:v>
                </c:pt>
                <c:pt idx="22" formatCode="General">
                  <c:v>4.4000000000000032E-2</c:v>
                </c:pt>
                <c:pt idx="23" formatCode="General">
                  <c:v>5.2000000000000032E-2</c:v>
                </c:pt>
                <c:pt idx="24" formatCode="General">
                  <c:v>5.5999999999999994E-2</c:v>
                </c:pt>
                <c:pt idx="25" formatCode="General">
                  <c:v>6.1000000000000013E-2</c:v>
                </c:pt>
                <c:pt idx="26" formatCode="General">
                  <c:v>6.3E-2</c:v>
                </c:pt>
                <c:pt idx="27" formatCode="General">
                  <c:v>6.0000000000000032E-2</c:v>
                </c:pt>
                <c:pt idx="28" formatCode="General">
                  <c:v>5.2000000000000032E-2</c:v>
                </c:pt>
                <c:pt idx="29" formatCode="General">
                  <c:v>4.9000000000000064E-2</c:v>
                </c:pt>
                <c:pt idx="30" formatCode="General">
                  <c:v>5.4000000000000034E-2</c:v>
                </c:pt>
              </c:numCache>
            </c:numRef>
          </c:val>
        </c:ser>
        <c:marker val="1"/>
        <c:axId val="166092800"/>
        <c:axId val="166094720"/>
      </c:lineChart>
      <c:catAx>
        <c:axId val="16609280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66094720"/>
        <c:crosses val="autoZero"/>
        <c:auto val="1"/>
        <c:lblAlgn val="ctr"/>
        <c:lblOffset val="0"/>
        <c:tickLblSkip val="1"/>
        <c:tickMarkSkip val="1"/>
        <c:noMultiLvlLbl val="1"/>
      </c:catAx>
      <c:valAx>
        <c:axId val="166094720"/>
        <c:scaling>
          <c:orientation val="minMax"/>
          <c:max val="0.2"/>
          <c:min val="-0.2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66092800"/>
        <c:crosses val="autoZero"/>
        <c:crossBetween val="between"/>
      </c:valAx>
      <c:spPr>
        <a:noFill/>
        <a:ln w="6350">
          <a:solidFill>
            <a:sysClr val="window" lastClr="FFFFFF">
              <a:lumMod val="75000"/>
            </a:sysClr>
          </a:solidFill>
        </a:ln>
      </c:spPr>
    </c:plotArea>
    <c:legend>
      <c:legendPos val="b"/>
      <c:layout>
        <c:manualLayout>
          <c:xMode val="edge"/>
          <c:yMode val="edge"/>
          <c:x val="8.1361525721925759E-2"/>
          <c:y val="7.7727601081040612E-2"/>
          <c:w val="0.38723462327551988"/>
          <c:h val="0.11751353845654262"/>
        </c:manualLayout>
      </c:layout>
      <c:spPr>
        <a:solidFill>
          <a:sysClr val="window" lastClr="FFFFFF"/>
        </a:solidFill>
      </c:spPr>
      <c:txPr>
        <a:bodyPr/>
        <a:lstStyle/>
        <a:p>
          <a:pPr>
            <a:defRPr lang="lv-LV" sz="10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25953646253576E-2"/>
          <c:y val="2.8006088280060883E-2"/>
          <c:w val="0.92774472978863509"/>
          <c:h val="0.79784184177805295"/>
        </c:manualLayout>
      </c:layout>
      <c:lineChart>
        <c:grouping val="standard"/>
        <c:ser>
          <c:idx val="1"/>
          <c:order val="0"/>
          <c:tx>
            <c:strRef>
              <c:f>Sheet1!$A$3</c:f>
              <c:strCache>
                <c:ptCount val="1"/>
                <c:pt idx="0">
                  <c:v>PCI</c:v>
                </c:pt>
              </c:strCache>
            </c:strRef>
          </c:tx>
          <c:spPr>
            <a:ln w="44450">
              <a:solidFill>
                <a:srgbClr val="FF0000"/>
              </a:solidFill>
              <a:prstDash val="solid"/>
            </a:ln>
          </c:spPr>
          <c:marker>
            <c:symbol val="none"/>
          </c:marker>
          <c:cat>
            <c:multiLvlStrRef>
              <c:f>Sheet1!$B$1:$W$2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Sheet1!$B$3:$W$3</c:f>
              <c:numCache>
                <c:formatCode>0.0</c:formatCode>
                <c:ptCount val="14"/>
                <c:pt idx="0">
                  <c:v>16.398150742504896</c:v>
                </c:pt>
                <c:pt idx="1">
                  <c:v>17.702957692045374</c:v>
                </c:pt>
                <c:pt idx="2">
                  <c:v>15.756316452618321</c:v>
                </c:pt>
                <c:pt idx="3">
                  <c:v>12.026758958342128</c:v>
                </c:pt>
                <c:pt idx="4">
                  <c:v>9.2114501213616649</c:v>
                </c:pt>
                <c:pt idx="5">
                  <c:v>4.7398308031058036</c:v>
                </c:pt>
                <c:pt idx="6">
                  <c:v>1.6002444287432969</c:v>
                </c:pt>
                <c:pt idx="7">
                  <c:v>-1.0662145615522312</c:v>
                </c:pt>
                <c:pt idx="8">
                  <c:v>-3.7488749701522752</c:v>
                </c:pt>
                <c:pt idx="9">
                  <c:v>-2.1391163236704358</c:v>
                </c:pt>
                <c:pt idx="10">
                  <c:v>-0.14096419509445496</c:v>
                </c:pt>
                <c:pt idx="11">
                  <c:v>1.8126773167805941</c:v>
                </c:pt>
                <c:pt idx="12">
                  <c:v>3.967405824205184</c:v>
                </c:pt>
                <c:pt idx="13">
                  <c:v>4.7618150297731319</c:v>
                </c:pt>
              </c:numCache>
            </c:numRef>
          </c:val>
          <c:smooth val="1"/>
        </c:ser>
        <c:ser>
          <c:idx val="0"/>
          <c:order val="1"/>
          <c:tx>
            <c:strRef>
              <c:f>Sheet1!$A$4</c:f>
              <c:strCache>
                <c:ptCount val="1"/>
                <c:pt idx="0">
                  <c:v>RCI</c:v>
                </c:pt>
              </c:strCache>
            </c:strRef>
          </c:tx>
          <c:spPr>
            <a:ln w="19050">
              <a:solidFill>
                <a:srgbClr val="000000"/>
              </a:solidFill>
              <a:prstDash val="sysDot"/>
            </a:ln>
          </c:spPr>
          <c:marker>
            <c:symbol val="none"/>
          </c:marker>
          <c:cat>
            <c:multiLvlStrRef>
              <c:f>Sheet1!$B$1:$W$2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Sheet1!$B$4:$W$4</c:f>
              <c:numCache>
                <c:formatCode>0.0</c:formatCode>
                <c:ptCount val="14"/>
                <c:pt idx="0">
                  <c:v>10.86071137659515</c:v>
                </c:pt>
                <c:pt idx="1">
                  <c:v>12.75430359937404</c:v>
                </c:pt>
                <c:pt idx="2">
                  <c:v>13.114754098360654</c:v>
                </c:pt>
                <c:pt idx="3">
                  <c:v>10.258989187830011</c:v>
                </c:pt>
                <c:pt idx="4">
                  <c:v>4.1636051922606105</c:v>
                </c:pt>
                <c:pt idx="5">
                  <c:v>-5.1121906083738216</c:v>
                </c:pt>
                <c:pt idx="6">
                  <c:v>-8.60507246376811</c:v>
                </c:pt>
                <c:pt idx="7">
                  <c:v>-8.5746864310148396</c:v>
                </c:pt>
                <c:pt idx="8">
                  <c:v>-4.6555372678109386</c:v>
                </c:pt>
                <c:pt idx="9">
                  <c:v>3.2423208191126212</c:v>
                </c:pt>
                <c:pt idx="10">
                  <c:v>6.7888999008919804</c:v>
                </c:pt>
                <c:pt idx="11">
                  <c:v>7.5330506360688654</c:v>
                </c:pt>
                <c:pt idx="12" formatCode="General">
                  <c:v>8.4586929716399624</c:v>
                </c:pt>
                <c:pt idx="13">
                  <c:v>7.8866587957497378</c:v>
                </c:pt>
              </c:numCache>
            </c:numRef>
          </c:val>
          <c:smooth val="1"/>
        </c:ser>
        <c:ser>
          <c:idx val="2"/>
          <c:order val="2"/>
          <c:tx>
            <c:strRef>
              <c:f>Sheet1!$A$5</c:f>
              <c:strCache>
                <c:ptCount val="1"/>
                <c:pt idx="0">
                  <c:v>Tirgus pakalpojumu deflators</c:v>
                </c:pt>
              </c:strCache>
            </c:strRef>
          </c:tx>
          <c:spPr>
            <a:ln w="25400">
              <a:solidFill>
                <a:sysClr val="windowText" lastClr="000000"/>
              </a:solidFill>
              <a:prstDash val="dash"/>
            </a:ln>
          </c:spPr>
          <c:marker>
            <c:symbol val="none"/>
          </c:marker>
          <c:cat>
            <c:multiLvlStrRef>
              <c:f>Sheet1!$B$1:$W$2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Sheet1!$B$5:$W$5</c:f>
              <c:numCache>
                <c:formatCode>0.0</c:formatCode>
                <c:ptCount val="14"/>
                <c:pt idx="0">
                  <c:v>11.275041971634977</c:v>
                </c:pt>
                <c:pt idx="1">
                  <c:v>11.51325352403299</c:v>
                </c:pt>
                <c:pt idx="2">
                  <c:v>10.498691448312526</c:v>
                </c:pt>
                <c:pt idx="3">
                  <c:v>8.3448371562141688</c:v>
                </c:pt>
                <c:pt idx="4">
                  <c:v>7.2029108168811069</c:v>
                </c:pt>
                <c:pt idx="5">
                  <c:v>-5.2378639629282731</c:v>
                </c:pt>
                <c:pt idx="6">
                  <c:v>-8.6608245517633122</c:v>
                </c:pt>
                <c:pt idx="7">
                  <c:v>-3.3783594414890388</c:v>
                </c:pt>
                <c:pt idx="8">
                  <c:v>-11.261902946492768</c:v>
                </c:pt>
                <c:pt idx="9">
                  <c:v>0.50410664297433527</c:v>
                </c:pt>
                <c:pt idx="10">
                  <c:v>0.20072848814514574</c:v>
                </c:pt>
                <c:pt idx="11">
                  <c:v>1.9679462014968301</c:v>
                </c:pt>
                <c:pt idx="12" formatCode="General">
                  <c:v>4.1242312863136705</c:v>
                </c:pt>
                <c:pt idx="13">
                  <c:v>4.6040654051100214</c:v>
                </c:pt>
              </c:numCache>
            </c:numRef>
          </c:val>
          <c:smooth val="1"/>
        </c:ser>
        <c:marker val="1"/>
        <c:axId val="166047744"/>
        <c:axId val="166049280"/>
      </c:lineChart>
      <c:catAx>
        <c:axId val="166047744"/>
        <c:scaling>
          <c:orientation val="minMax"/>
        </c:scaling>
        <c:axPos val="b"/>
        <c:majorGridlines>
          <c:spPr>
            <a:ln w="6350">
              <a:solidFill>
                <a:sysClr val="window" lastClr="FFFFFF">
                  <a:lumMod val="85000"/>
                </a:sysClr>
              </a:solidFill>
            </a:ln>
          </c:spPr>
        </c:majorGridlines>
        <c:numFmt formatCode="#,##0" sourceLinked="0"/>
        <c:majorTickMark val="none"/>
        <c:tickLblPos val="low"/>
        <c:spPr>
          <a:ln w="6350">
            <a:solidFill>
              <a:srgbClr val="000000"/>
            </a:solidFill>
            <a:prstDash val="solid"/>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66049280"/>
        <c:crosses val="autoZero"/>
        <c:auto val="1"/>
        <c:lblAlgn val="ctr"/>
        <c:lblOffset val="0"/>
        <c:tickMarkSkip val="1"/>
        <c:noMultiLvlLbl val="1"/>
      </c:catAx>
      <c:valAx>
        <c:axId val="166049280"/>
        <c:scaling>
          <c:orientation val="minMax"/>
          <c:max val="20"/>
          <c:min val="-1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900" b="0" i="0" u="none" strike="noStrike" baseline="0">
                <a:solidFill>
                  <a:srgbClr val="000000"/>
                </a:solidFill>
                <a:latin typeface="Arial" pitchFamily="34" charset="0"/>
                <a:ea typeface="Times New Roman"/>
                <a:cs typeface="Arial" pitchFamily="34" charset="0"/>
              </a:defRPr>
            </a:pPr>
            <a:endParaRPr lang="lv-LV"/>
          </a:p>
        </c:txPr>
        <c:crossAx val="166047744"/>
        <c:crosses val="autoZero"/>
        <c:crossBetween val="between"/>
        <c:majorUnit val="5"/>
      </c:valAx>
      <c:spPr>
        <a:noFill/>
        <a:ln w="6350">
          <a:solidFill>
            <a:sysClr val="window" lastClr="FFFFFF">
              <a:lumMod val="75000"/>
            </a:sysClr>
          </a:solidFill>
        </a:ln>
      </c:spPr>
    </c:plotArea>
    <c:legend>
      <c:legendPos val="b"/>
      <c:layout>
        <c:manualLayout>
          <c:xMode val="edge"/>
          <c:yMode val="edge"/>
          <c:x val="0.39544774632594465"/>
          <c:y val="5.6422546259523733E-2"/>
          <c:w val="0.36645062011693241"/>
          <c:h val="0.19266538761198371"/>
        </c:manualLayout>
      </c:layout>
      <c:spPr>
        <a:solidFill>
          <a:sysClr val="window" lastClr="FFFFFF"/>
        </a:solidFill>
      </c:spPr>
      <c:txPr>
        <a:bodyPr/>
        <a:lstStyle/>
        <a:p>
          <a:pPr>
            <a:defRPr lang="lv-LV" sz="11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490897118425562E-2"/>
          <c:y val="3.7483231262758841E-2"/>
          <c:w val="0.89764680515788364"/>
          <c:h val="0.86604768153983758"/>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sysDash"/>
              </a:ln>
            </c:spPr>
          </c:dPt>
          <c:dPt>
            <c:idx val="15"/>
            <c:spPr>
              <a:ln w="19050">
                <a:solidFill>
                  <a:srgbClr val="FF0000"/>
                </a:solidFill>
                <a:prstDash val="sysDash"/>
              </a:ln>
            </c:spPr>
          </c:dPt>
          <c:dPt>
            <c:idx val="16"/>
            <c:spPr>
              <a:ln w="19050">
                <a:solidFill>
                  <a:srgbClr val="FF0000"/>
                </a:solidFill>
                <a:prstDash val="sysDash"/>
              </a:ln>
            </c:spPr>
          </c:dPt>
          <c:dPt>
            <c:idx val="17"/>
            <c:spPr>
              <a:ln w="19050">
                <a:solidFill>
                  <a:srgbClr val="FF0000"/>
                </a:solidFill>
                <a:prstDash val="sysDash"/>
              </a:ln>
            </c:spPr>
          </c:dPt>
          <c:dPt>
            <c:idx val="18"/>
            <c:spPr>
              <a:ln w="19050">
                <a:solidFill>
                  <a:srgbClr val="FF0000"/>
                </a:solidFill>
                <a:prstDash val="sysDash"/>
              </a:ln>
            </c:spPr>
          </c:dPt>
          <c:dPt>
            <c:idx val="19"/>
            <c:spPr>
              <a:ln w="19050">
                <a:solidFill>
                  <a:srgbClr val="FF0000"/>
                </a:solidFill>
                <a:prstDash val="sys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99.251612149456832</c:v>
                </c:pt>
                <c:pt idx="1">
                  <c:v>99.254764817889267</c:v>
                </c:pt>
                <c:pt idx="2">
                  <c:v>93.047995204234965</c:v>
                </c:pt>
                <c:pt idx="3">
                  <c:v>91.498736846302279</c:v>
                </c:pt>
                <c:pt idx="4">
                  <c:v>82.662780848280988</c:v>
                </c:pt>
                <c:pt idx="5">
                  <c:v>81.798625158386812</c:v>
                </c:pt>
                <c:pt idx="6">
                  <c:v>76.119649330544732</c:v>
                </c:pt>
                <c:pt idx="7">
                  <c:v>77.060303592697508</c:v>
                </c:pt>
                <c:pt idx="8">
                  <c:v>77.917412141389775</c:v>
                </c:pt>
                <c:pt idx="9">
                  <c:v>77.879394669115896</c:v>
                </c:pt>
                <c:pt idx="10">
                  <c:v>78.714341813238718</c:v>
                </c:pt>
                <c:pt idx="11">
                  <c:v>79.347332726599134</c:v>
                </c:pt>
                <c:pt idx="12">
                  <c:v>80.199990449269194</c:v>
                </c:pt>
                <c:pt idx="13">
                  <c:v>81.798068805134051</c:v>
                </c:pt>
                <c:pt idx="14">
                  <c:v>82.387872498746418</c:v>
                </c:pt>
                <c:pt idx="15">
                  <c:v>82.710877482245564</c:v>
                </c:pt>
                <c:pt idx="16">
                  <c:v>83.827730025927238</c:v>
                </c:pt>
                <c:pt idx="17">
                  <c:v>84.139407815453183</c:v>
                </c:pt>
                <c:pt idx="18">
                  <c:v>84.472610587360094</c:v>
                </c:pt>
                <c:pt idx="19">
                  <c:v>84.564481014750328</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6791808"/>
        <c:axId val="166793600"/>
      </c:lineChart>
      <c:catAx>
        <c:axId val="1667918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793600"/>
        <c:crosses val="autoZero"/>
        <c:auto val="1"/>
        <c:lblAlgn val="ctr"/>
        <c:lblOffset val="100"/>
        <c:tickLblSkip val="1"/>
        <c:tickMarkSkip val="1"/>
        <c:noMultiLvlLbl val="1"/>
      </c:catAx>
      <c:valAx>
        <c:axId val="166793600"/>
        <c:scaling>
          <c:orientation val="minMax"/>
          <c:max val="102"/>
          <c:min val="74"/>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791808"/>
        <c:crosses val="autoZero"/>
        <c:crossBetween val="between"/>
        <c:majorUnit val="4"/>
      </c:valAx>
      <c:spPr>
        <a:noFill/>
        <a:ln w="6350">
          <a:noFill/>
        </a:ln>
      </c:spPr>
    </c:plotArea>
    <c:legend>
      <c:legendPos val="l"/>
      <c:layout>
        <c:manualLayout>
          <c:xMode val="edge"/>
          <c:yMode val="edge"/>
          <c:x val="0.29355178587333491"/>
          <c:y val="0.11716243802858067"/>
          <c:w val="0.63680257177359822"/>
          <c:h val="0.14281476514296298"/>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490897118425562E-2"/>
          <c:y val="3.7483231262758841E-2"/>
          <c:w val="0.89764680515788364"/>
          <c:h val="0.86604768153983791"/>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100.52555708475131</c:v>
                </c:pt>
                <c:pt idx="1">
                  <c:v>97.124727991897174</c:v>
                </c:pt>
                <c:pt idx="2">
                  <c:v>93.411725412738903</c:v>
                </c:pt>
                <c:pt idx="3">
                  <c:v>86.933181821380956</c:v>
                </c:pt>
                <c:pt idx="4">
                  <c:v>77.204361343209754</c:v>
                </c:pt>
                <c:pt idx="5">
                  <c:v>72.975079227058657</c:v>
                </c:pt>
                <c:pt idx="6">
                  <c:v>70.901579294560861</c:v>
                </c:pt>
                <c:pt idx="7">
                  <c:v>71.145354859803419</c:v>
                </c:pt>
                <c:pt idx="8">
                  <c:v>72.4607831657936</c:v>
                </c:pt>
                <c:pt idx="9">
                  <c:v>71.897412076040041</c:v>
                </c:pt>
                <c:pt idx="10">
                  <c:v>73.462246459016001</c:v>
                </c:pt>
                <c:pt idx="11">
                  <c:v>74.906984585834266</c:v>
                </c:pt>
                <c:pt idx="12">
                  <c:v>74.960026565778179</c:v>
                </c:pt>
                <c:pt idx="13">
                  <c:v>75.271432255026284</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pt idx="13" formatCode="0.0">
                  <c:v>75.271432255026284</c:v>
                </c:pt>
                <c:pt idx="14" formatCode="0.0">
                  <c:v>76.617546282340214</c:v>
                </c:pt>
                <c:pt idx="15" formatCode="0.0">
                  <c:v>78.178488017551672</c:v>
                </c:pt>
                <c:pt idx="16" formatCode="0.0">
                  <c:v>78.219093095172809</c:v>
                </c:pt>
                <c:pt idx="17" formatCode="0.0">
                  <c:v>78.281936421106764</c:v>
                </c:pt>
                <c:pt idx="18" formatCode="0.0">
                  <c:v>78.364686438785952</c:v>
                </c:pt>
                <c:pt idx="19" formatCode="0.0">
                  <c:v>78.465274053407114</c:v>
                </c:pt>
              </c:numCache>
            </c:numRef>
          </c:val>
          <c:smooth val="1"/>
        </c:ser>
        <c:marker val="1"/>
        <c:axId val="165863808"/>
        <c:axId val="165865344"/>
      </c:lineChart>
      <c:catAx>
        <c:axId val="16586380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865344"/>
        <c:crosses val="autoZero"/>
        <c:auto val="1"/>
        <c:lblAlgn val="ctr"/>
        <c:lblOffset val="100"/>
        <c:tickLblSkip val="1"/>
        <c:tickMarkSkip val="1"/>
        <c:noMultiLvlLbl val="1"/>
      </c:catAx>
      <c:valAx>
        <c:axId val="165865344"/>
        <c:scaling>
          <c:orientation val="minMax"/>
          <c:max val="102"/>
          <c:min val="7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5863808"/>
        <c:crosses val="autoZero"/>
        <c:crossBetween val="between"/>
        <c:majorUnit val="4"/>
      </c:valAx>
      <c:spPr>
        <a:noFill/>
        <a:ln w="6350">
          <a:noFill/>
        </a:ln>
      </c:spPr>
    </c:plotArea>
    <c:legend>
      <c:legendPos val="l"/>
      <c:layout>
        <c:manualLayout>
          <c:xMode val="edge"/>
          <c:yMode val="edge"/>
          <c:x val="0.29355178587333491"/>
          <c:y val="0.1171624380285807"/>
          <c:w val="0.63680257177359845"/>
          <c:h val="0.13526490784715536"/>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490897118425562E-2"/>
          <c:y val="3.7483231262758841E-2"/>
          <c:w val="0.89764680515788364"/>
          <c:h val="0.86604768153983813"/>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100.16025693013901</c:v>
                </c:pt>
                <c:pt idx="1">
                  <c:v>100.55927722178068</c:v>
                </c:pt>
                <c:pt idx="2">
                  <c:v>100.28904640638429</c:v>
                </c:pt>
                <c:pt idx="3">
                  <c:v>100.26147183338463</c:v>
                </c:pt>
                <c:pt idx="4">
                  <c:v>97.620800960243969</c:v>
                </c:pt>
                <c:pt idx="5">
                  <c:v>94.687515206565962</c:v>
                </c:pt>
                <c:pt idx="6">
                  <c:v>87.500608262639659</c:v>
                </c:pt>
                <c:pt idx="7">
                  <c:v>84.813871632252471</c:v>
                </c:pt>
                <c:pt idx="8">
                  <c:v>84.420041848469538</c:v>
                </c:pt>
                <c:pt idx="9">
                  <c:v>83.751439554913972</c:v>
                </c:pt>
                <c:pt idx="10">
                  <c:v>83.429952474412445</c:v>
                </c:pt>
                <c:pt idx="11">
                  <c:v>77.439781998669901</c:v>
                </c:pt>
                <c:pt idx="12">
                  <c:v>85.237546836223217</c:v>
                </c:pt>
                <c:pt idx="13">
                  <c:v>84.843068238958011</c:v>
                </c:pt>
                <c:pt idx="14">
                  <c:v>84.843068238958011</c:v>
                </c:pt>
                <c:pt idx="15">
                  <c:v>81.449345509399691</c:v>
                </c:pt>
                <c:pt idx="16">
                  <c:v>84.300072602228596</c:v>
                </c:pt>
                <c:pt idx="17">
                  <c:v>84.300072602228596</c:v>
                </c:pt>
                <c:pt idx="18">
                  <c:v>84.300072602228596</c:v>
                </c:pt>
                <c:pt idx="19">
                  <c:v>83.457071876206342</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6891904"/>
        <c:axId val="166893440"/>
      </c:lineChart>
      <c:catAx>
        <c:axId val="166891904"/>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893440"/>
        <c:crosses val="autoZero"/>
        <c:auto val="1"/>
        <c:lblAlgn val="ctr"/>
        <c:lblOffset val="100"/>
        <c:tickLblSkip val="1"/>
        <c:tickMarkSkip val="1"/>
        <c:noMultiLvlLbl val="1"/>
      </c:catAx>
      <c:valAx>
        <c:axId val="166893440"/>
        <c:scaling>
          <c:orientation val="minMax"/>
          <c:max val="102"/>
          <c:min val="74"/>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891904"/>
        <c:crosses val="autoZero"/>
        <c:crossBetween val="between"/>
        <c:majorUnit val="4"/>
      </c:valAx>
      <c:spPr>
        <a:noFill/>
        <a:ln w="6350">
          <a:noFill/>
        </a:ln>
      </c:spPr>
    </c:plotArea>
    <c:legend>
      <c:legendPos val="l"/>
      <c:layout>
        <c:manualLayout>
          <c:xMode val="edge"/>
          <c:yMode val="edge"/>
          <c:x val="0.29743459891139945"/>
          <c:y val="3.6126388888888888E-2"/>
          <c:w val="0.65476804729835636"/>
          <c:h val="0.15732440082305321"/>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9.0490897118425562E-2"/>
          <c:y val="3.7483231262758841E-2"/>
          <c:w val="0.89764680515788364"/>
          <c:h val="0.86604768153983835"/>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sysDash"/>
              </a:ln>
            </c:spPr>
          </c:dPt>
          <c:dPt>
            <c:idx val="15"/>
            <c:spPr>
              <a:ln w="19050">
                <a:solidFill>
                  <a:srgbClr val="FF0000"/>
                </a:solidFill>
                <a:prstDash val="sysDash"/>
              </a:ln>
            </c:spPr>
          </c:dPt>
          <c:dPt>
            <c:idx val="16"/>
            <c:spPr>
              <a:ln w="19050">
                <a:solidFill>
                  <a:srgbClr val="FF0000"/>
                </a:solidFill>
                <a:prstDash val="sysDash"/>
              </a:ln>
            </c:spPr>
          </c:dPt>
          <c:dPt>
            <c:idx val="17"/>
            <c:spPr>
              <a:ln w="19050">
                <a:solidFill>
                  <a:srgbClr val="FF0000"/>
                </a:solidFill>
                <a:prstDash val="sysDash"/>
              </a:ln>
            </c:spPr>
          </c:dPt>
          <c:dPt>
            <c:idx val="18"/>
            <c:spPr>
              <a:ln w="19050">
                <a:solidFill>
                  <a:srgbClr val="FF0000"/>
                </a:solidFill>
                <a:prstDash val="sysDash"/>
              </a:ln>
            </c:spPr>
          </c:dPt>
          <c:dPt>
            <c:idx val="19"/>
            <c:spPr>
              <a:ln w="19050">
                <a:solidFill>
                  <a:srgbClr val="FF0000"/>
                </a:solidFill>
                <a:prstDash val="sys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98.6029229433003</c:v>
                </c:pt>
                <c:pt idx="1">
                  <c:v>91.561841529579311</c:v>
                </c:pt>
                <c:pt idx="2">
                  <c:v>85.31439751457637</c:v>
                </c:pt>
                <c:pt idx="3">
                  <c:v>78.24137845974883</c:v>
                </c:pt>
                <c:pt idx="4">
                  <c:v>69.670146484717321</c:v>
                </c:pt>
                <c:pt idx="5">
                  <c:v>57.369480857538619</c:v>
                </c:pt>
                <c:pt idx="6">
                  <c:v>51.48880040402414</c:v>
                </c:pt>
                <c:pt idx="7">
                  <c:v>46.348527947383374</c:v>
                </c:pt>
                <c:pt idx="8">
                  <c:v>40.552105742154218</c:v>
                </c:pt>
                <c:pt idx="9">
                  <c:v>36.046561445554758</c:v>
                </c:pt>
                <c:pt idx="10">
                  <c:v>51.863483461884456</c:v>
                </c:pt>
                <c:pt idx="11">
                  <c:v>45.783257665358413</c:v>
                </c:pt>
                <c:pt idx="12">
                  <c:v>53.076075201460306</c:v>
                </c:pt>
                <c:pt idx="13">
                  <c:v>43.563851264068454</c:v>
                </c:pt>
                <c:pt idx="14">
                  <c:v>61.752769821071787</c:v>
                </c:pt>
                <c:pt idx="15">
                  <c:v>55.831164423230213</c:v>
                </c:pt>
                <c:pt idx="16">
                  <c:v>58.174817695795824</c:v>
                </c:pt>
                <c:pt idx="17">
                  <c:v>53.055472140297496</c:v>
                </c:pt>
                <c:pt idx="18">
                  <c:v>63.178610006866442</c:v>
                </c:pt>
                <c:pt idx="19">
                  <c:v>57.094445779013434</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6850944"/>
        <c:axId val="166852480"/>
      </c:lineChart>
      <c:catAx>
        <c:axId val="166850944"/>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852480"/>
        <c:crosses val="autoZero"/>
        <c:auto val="1"/>
        <c:lblAlgn val="ctr"/>
        <c:lblOffset val="100"/>
        <c:tickLblSkip val="1"/>
        <c:tickMarkSkip val="1"/>
        <c:noMultiLvlLbl val="1"/>
      </c:catAx>
      <c:valAx>
        <c:axId val="166852480"/>
        <c:scaling>
          <c:orientation val="minMax"/>
          <c:max val="100"/>
          <c:min val="3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6850944"/>
        <c:crosses val="autoZero"/>
        <c:crossBetween val="between"/>
        <c:majorUnit val="10"/>
      </c:valAx>
      <c:spPr>
        <a:noFill/>
        <a:ln w="6350">
          <a:noFill/>
        </a:ln>
      </c:spPr>
    </c:plotArea>
    <c:legend>
      <c:legendPos val="l"/>
      <c:layout>
        <c:manualLayout>
          <c:xMode val="edge"/>
          <c:yMode val="edge"/>
          <c:x val="0.33739511260830518"/>
          <c:y val="5.3765528273285408E-2"/>
          <c:w val="0.636802571773599"/>
          <c:h val="0.14198875547011616"/>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399E-2"/>
          <c:w val="0.89764680515788364"/>
          <c:h val="0.86604768153983835"/>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99.140447018106286</c:v>
                </c:pt>
                <c:pt idx="1">
                  <c:v>98.390958105086369</c:v>
                </c:pt>
                <c:pt idx="2">
                  <c:v>96.986456326682742</c:v>
                </c:pt>
                <c:pt idx="3">
                  <c:v>94.318692881224493</c:v>
                </c:pt>
                <c:pt idx="4">
                  <c:v>81.189155371495147</c:v>
                </c:pt>
                <c:pt idx="5">
                  <c:v>82.105162268141342</c:v>
                </c:pt>
                <c:pt idx="6">
                  <c:v>83.301858871532559</c:v>
                </c:pt>
                <c:pt idx="7">
                  <c:v>86.144566258042857</c:v>
                </c:pt>
                <c:pt idx="8">
                  <c:v>87.810588690047965</c:v>
                </c:pt>
                <c:pt idx="9">
                  <c:v>90.962950011954248</c:v>
                </c:pt>
                <c:pt idx="10">
                  <c:v>94.885443842573508</c:v>
                </c:pt>
                <c:pt idx="11">
                  <c:v>98.152924807809114</c:v>
                </c:pt>
                <c:pt idx="12">
                  <c:v>101.7716628732304</c:v>
                </c:pt>
                <c:pt idx="13">
                  <c:v>105.5259535287383</c:v>
                </c:pt>
                <c:pt idx="14">
                  <c:v>108.1641023669567</c:v>
                </c:pt>
                <c:pt idx="15">
                  <c:v>110.32738441429588</c:v>
                </c:pt>
                <c:pt idx="16">
                  <c:v>111.43065825843884</c:v>
                </c:pt>
                <c:pt idx="17">
                  <c:v>111.98781154973102</c:v>
                </c:pt>
                <c:pt idx="18">
                  <c:v>112.54775060747966</c:v>
                </c:pt>
                <c:pt idx="19">
                  <c:v>113.11048936051706</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7129472"/>
        <c:axId val="167131008"/>
      </c:lineChart>
      <c:catAx>
        <c:axId val="16712947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131008"/>
        <c:crosses val="autoZero"/>
        <c:auto val="1"/>
        <c:lblAlgn val="ctr"/>
        <c:lblOffset val="100"/>
        <c:tickLblSkip val="1"/>
        <c:tickMarkSkip val="1"/>
        <c:noMultiLvlLbl val="1"/>
      </c:catAx>
      <c:valAx>
        <c:axId val="167131008"/>
        <c:scaling>
          <c:orientation val="minMax"/>
          <c:max val="115"/>
          <c:min val="8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129472"/>
        <c:crosses val="autoZero"/>
        <c:crossBetween val="between"/>
        <c:majorUnit val="5"/>
      </c:valAx>
      <c:spPr>
        <a:noFill/>
        <a:ln w="6350">
          <a:noFill/>
        </a:ln>
      </c:spPr>
    </c:plotArea>
    <c:legend>
      <c:legendPos val="l"/>
      <c:layout>
        <c:manualLayout>
          <c:xMode val="edge"/>
          <c:yMode val="edge"/>
          <c:x val="9.1872482892472046E-2"/>
          <c:y val="5.2500059186040985E-3"/>
          <c:w val="0.64118690444709414"/>
          <c:h val="0.2292965187995275"/>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4011E-2"/>
          <c:w val="0.89764680515788364"/>
          <c:h val="0.86604768153983869"/>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97.657791394915478</c:v>
                </c:pt>
                <c:pt idx="1">
                  <c:v>95.059734297123001</c:v>
                </c:pt>
                <c:pt idx="2">
                  <c:v>89.817159702175545</c:v>
                </c:pt>
                <c:pt idx="3">
                  <c:v>82.526321116567729</c:v>
                </c:pt>
                <c:pt idx="4">
                  <c:v>64.067484960115138</c:v>
                </c:pt>
                <c:pt idx="5">
                  <c:v>58.742743637701672</c:v>
                </c:pt>
                <c:pt idx="6">
                  <c:v>59.503541463270587</c:v>
                </c:pt>
                <c:pt idx="7">
                  <c:v>60.759588871152864</c:v>
                </c:pt>
                <c:pt idx="8">
                  <c:v>62.621378671935453</c:v>
                </c:pt>
                <c:pt idx="9">
                  <c:v>65.226675438614947</c:v>
                </c:pt>
                <c:pt idx="10">
                  <c:v>69.208423038453859</c:v>
                </c:pt>
                <c:pt idx="11">
                  <c:v>72.915695813011311</c:v>
                </c:pt>
                <c:pt idx="12">
                  <c:v>76.526814538660858</c:v>
                </c:pt>
                <c:pt idx="13">
                  <c:v>79.855726753809734</c:v>
                </c:pt>
                <c:pt idx="14">
                  <c:v>83.548925579070627</c:v>
                </c:pt>
                <c:pt idx="15">
                  <c:v>86.45082305448264</c:v>
                </c:pt>
                <c:pt idx="16">
                  <c:v>87.537099118452119</c:v>
                </c:pt>
                <c:pt idx="17">
                  <c:v>87.725371691592485</c:v>
                </c:pt>
                <c:pt idx="18">
                  <c:v>88.892722057425686</c:v>
                </c:pt>
                <c:pt idx="19">
                  <c:v>89.088116528466259</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7084416"/>
        <c:axId val="167085952"/>
      </c:lineChart>
      <c:catAx>
        <c:axId val="167084416"/>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085952"/>
        <c:crosses val="autoZero"/>
        <c:auto val="1"/>
        <c:lblAlgn val="ctr"/>
        <c:lblOffset val="100"/>
        <c:tickLblSkip val="1"/>
        <c:tickMarkSkip val="1"/>
        <c:noMultiLvlLbl val="1"/>
      </c:catAx>
      <c:valAx>
        <c:axId val="167085952"/>
        <c:scaling>
          <c:orientation val="minMax"/>
          <c:max val="100"/>
          <c:min val="58"/>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084416"/>
        <c:crosses val="autoZero"/>
        <c:crossBetween val="between"/>
        <c:majorUnit val="6"/>
      </c:valAx>
      <c:spPr>
        <a:noFill/>
        <a:ln w="6350">
          <a:noFill/>
        </a:ln>
      </c:spPr>
    </c:plotArea>
    <c:legend>
      <c:legendPos val="l"/>
      <c:layout>
        <c:manualLayout>
          <c:xMode val="edge"/>
          <c:yMode val="edge"/>
          <c:x val="0.24093979379137129"/>
          <c:y val="3.2633154752759623E-2"/>
          <c:w val="0.63680257177359922"/>
          <c:h val="0.14635472103325645"/>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-0.12881019361244433</c:v>
                </c:pt>
                <c:pt idx="1">
                  <c:v>-0.22721940980367941</c:v>
                </c:pt>
                <c:pt idx="2">
                  <c:v>-0.28551473301354785</c:v>
                </c:pt>
                <c:pt idx="3">
                  <c:v>-3.5531135531135641E-2</c:v>
                </c:pt>
                <c:pt idx="4">
                  <c:v>0.21931390798921091</c:v>
                </c:pt>
                <c:pt idx="5">
                  <c:v>0.65971639704413865</c:v>
                </c:pt>
                <c:pt idx="6">
                  <c:v>0.50872403998672033</c:v>
                </c:pt>
                <c:pt idx="7">
                  <c:v>0.41695151284972787</c:v>
                </c:pt>
                <c:pt idx="8">
                  <c:v>0.52850822532402786</c:v>
                </c:pt>
                <c:pt idx="9">
                  <c:v>-4.3079588938894298E-2</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-0.2102716636922467</c:v>
                </c:pt>
                <c:pt idx="1">
                  <c:v>-0.2612390043046976</c:v>
                </c:pt>
                <c:pt idx="2">
                  <c:v>-0.31059989142236732</c:v>
                </c:pt>
                <c:pt idx="3">
                  <c:v>-9.0218238503507492E-2</c:v>
                </c:pt>
                <c:pt idx="4">
                  <c:v>0.19228644604027545</c:v>
                </c:pt>
                <c:pt idx="5">
                  <c:v>0.52300364815565437</c:v>
                </c:pt>
                <c:pt idx="6">
                  <c:v>0.49256816615808691</c:v>
                </c:pt>
                <c:pt idx="7">
                  <c:v>0.41447847504819091</c:v>
                </c:pt>
                <c:pt idx="8">
                  <c:v>0.49978940274618822</c:v>
                </c:pt>
                <c:pt idx="9">
                  <c:v>2.0660057222702932E-2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0.000</c:formatCode>
                <c:ptCount val="10"/>
                <c:pt idx="0">
                  <c:v>-0.4187228276212529</c:v>
                </c:pt>
                <c:pt idx="1">
                  <c:v>-0.35219088460058268</c:v>
                </c:pt>
                <c:pt idx="2">
                  <c:v>-0.3958122054524858</c:v>
                </c:pt>
                <c:pt idx="3">
                  <c:v>-0.26931022992335951</c:v>
                </c:pt>
                <c:pt idx="4">
                  <c:v>8.8489558037882526E-2</c:v>
                </c:pt>
                <c:pt idx="5">
                  <c:v>8.7329203089196353E-2</c:v>
                </c:pt>
                <c:pt idx="6">
                  <c:v>0.42742890995260802</c:v>
                </c:pt>
                <c:pt idx="7">
                  <c:v>0.40377599416271437</c:v>
                </c:pt>
                <c:pt idx="8">
                  <c:v>0.37622702123862262</c:v>
                </c:pt>
                <c:pt idx="9">
                  <c:v>0.33086169216359707</c:v>
                </c:pt>
              </c:numCache>
            </c:numRef>
          </c:val>
        </c:ser>
        <c:axId val="137440256"/>
        <c:axId val="137446528"/>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0.000</c:formatCode>
                <c:ptCount val="10"/>
                <c:pt idx="0">
                  <c:v>-0.30052610279239217</c:v>
                </c:pt>
                <c:pt idx="1">
                  <c:v>-0.27939348744717885</c:v>
                </c:pt>
                <c:pt idx="2">
                  <c:v>-0.21947278911564624</c:v>
                </c:pt>
                <c:pt idx="3">
                  <c:v>-3.9311538853243684E-2</c:v>
                </c:pt>
                <c:pt idx="4">
                  <c:v>0.13422818791946345</c:v>
                </c:pt>
                <c:pt idx="5">
                  <c:v>0.20432332988386803</c:v>
                </c:pt>
                <c:pt idx="6">
                  <c:v>0.17115154156226184</c:v>
                </c:pt>
                <c:pt idx="7">
                  <c:v>0.17459980918053641</c:v>
                </c:pt>
                <c:pt idx="8">
                  <c:v>0.16057947357682145</c:v>
                </c:pt>
                <c:pt idx="9">
                  <c:v>0.10311246897078499</c:v>
                </c:pt>
              </c:numCache>
            </c:numRef>
          </c:val>
        </c:ser>
        <c:marker val="1"/>
        <c:axId val="137440256"/>
        <c:axId val="137446528"/>
      </c:lineChart>
      <c:catAx>
        <c:axId val="13744025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800">
                <a:latin typeface="Arial" pitchFamily="34" charset="0"/>
                <a:cs typeface="Arial" pitchFamily="34" charset="0"/>
              </a:defRPr>
            </a:pPr>
            <a:endParaRPr lang="lv-LV"/>
          </a:p>
        </c:txPr>
        <c:crossAx val="137446528"/>
        <c:crosses val="autoZero"/>
        <c:auto val="1"/>
        <c:lblAlgn val="ctr"/>
        <c:lblOffset val="0"/>
        <c:tickLblSkip val="1"/>
        <c:tickMarkSkip val="1"/>
        <c:noMultiLvlLbl val="1"/>
      </c:catAx>
      <c:valAx>
        <c:axId val="137446528"/>
        <c:scaling>
          <c:orientation val="minMax"/>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800">
                <a:latin typeface="Arial" pitchFamily="34" charset="0"/>
                <a:cs typeface="Arial" pitchFamily="34" charset="0"/>
              </a:defRPr>
            </a:pPr>
            <a:endParaRPr lang="lv-LV"/>
          </a:p>
        </c:txPr>
        <c:crossAx val="137440256"/>
        <c:crosses val="autoZero"/>
        <c:crossBetween val="between"/>
        <c:majorUnit val="0.25"/>
      </c:valAx>
    </c:plotArea>
    <c:legend>
      <c:legendPos val="b"/>
      <c:layout>
        <c:manualLayout>
          <c:xMode val="edge"/>
          <c:yMode val="edge"/>
          <c:x val="0.10091868738861766"/>
          <c:y val="7.2971806057686231E-2"/>
          <c:w val="0.22196174893526191"/>
          <c:h val="0.33627313685422588"/>
        </c:manualLayout>
      </c:layout>
      <c:spPr>
        <a:solidFill>
          <a:schemeClr val="bg1"/>
        </a:solidFill>
      </c:spPr>
      <c:txPr>
        <a:bodyPr/>
        <a:lstStyle/>
        <a:p>
          <a:pPr>
            <a:defRPr lang="lv-LV" sz="900">
              <a:latin typeface="Times New Roman" pitchFamily="18" charset="0"/>
              <a:cs typeface="Times New Roman" pitchFamily="18" charset="0"/>
            </a:defRPr>
          </a:pPr>
          <a:endParaRPr lang="lv-LV"/>
        </a:p>
      </c:txPr>
    </c:legend>
    <c:plotVisOnly val="1"/>
    <c:dispBlanksAs val="gap"/>
  </c:chart>
  <c:spPr>
    <a:ln>
      <a:noFill/>
    </a:ln>
  </c:spPr>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4011E-2"/>
          <c:w val="0.89764680515788364"/>
          <c:h val="0.86604768153983869"/>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102.13209137920924</c:v>
                </c:pt>
                <c:pt idx="1">
                  <c:v>96.730402477896803</c:v>
                </c:pt>
                <c:pt idx="2">
                  <c:v>91.789036117961516</c:v>
                </c:pt>
                <c:pt idx="3">
                  <c:v>86.186266067330621</c:v>
                </c:pt>
                <c:pt idx="4">
                  <c:v>77.814347094918432</c:v>
                </c:pt>
                <c:pt idx="5">
                  <c:v>76.504614496778686</c:v>
                </c:pt>
                <c:pt idx="6">
                  <c:v>76.735001194764578</c:v>
                </c:pt>
                <c:pt idx="7">
                  <c:v>78.014526535047239</c:v>
                </c:pt>
                <c:pt idx="8">
                  <c:v>81.455899657801353</c:v>
                </c:pt>
                <c:pt idx="9">
                  <c:v>88.108259205323677</c:v>
                </c:pt>
                <c:pt idx="10">
                  <c:v>94.255210751980371</c:v>
                </c:pt>
                <c:pt idx="11">
                  <c:v>94.898580258880656</c:v>
                </c:pt>
                <c:pt idx="12">
                  <c:v>93.874238619302886</c:v>
                </c:pt>
                <c:pt idx="13">
                  <c:v>100.92650619248779</c:v>
                </c:pt>
                <c:pt idx="14">
                  <c:v>100.9363485605365</c:v>
                </c:pt>
                <c:pt idx="15">
                  <c:v>103.81068566752464</c:v>
                </c:pt>
                <c:pt idx="16">
                  <c:v>103.40297152363735</c:v>
                </c:pt>
                <c:pt idx="17">
                  <c:v>104.29003968394503</c:v>
                </c:pt>
                <c:pt idx="18">
                  <c:v>103.94549502326424</c:v>
                </c:pt>
                <c:pt idx="19">
                  <c:v>104.33231820087778</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7321984"/>
        <c:axId val="167323520"/>
      </c:lineChart>
      <c:catAx>
        <c:axId val="167321984"/>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323520"/>
        <c:crosses val="autoZero"/>
        <c:auto val="1"/>
        <c:lblAlgn val="ctr"/>
        <c:lblOffset val="100"/>
        <c:tickLblSkip val="1"/>
        <c:tickMarkSkip val="1"/>
        <c:noMultiLvlLbl val="1"/>
      </c:catAx>
      <c:valAx>
        <c:axId val="167323520"/>
        <c:scaling>
          <c:orientation val="minMax"/>
          <c:max val="110"/>
          <c:min val="75"/>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321984"/>
        <c:crosses val="autoZero"/>
        <c:crossBetween val="between"/>
        <c:majorUnit val="5"/>
      </c:valAx>
      <c:spPr>
        <a:noFill/>
        <a:ln w="6350">
          <a:noFill/>
        </a:ln>
      </c:spPr>
    </c:plotArea>
    <c:legend>
      <c:legendPos val="l"/>
      <c:layout>
        <c:manualLayout>
          <c:xMode val="edge"/>
          <c:yMode val="edge"/>
          <c:x val="0.10940981358646007"/>
          <c:y val="1.8544905739075673E-2"/>
          <c:w val="0.63680257177359922"/>
          <c:h val="0.14635472103325645"/>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4025E-2"/>
          <c:w val="0.89764680515788364"/>
          <c:h val="0.86604768153983891"/>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98.654956276553108</c:v>
                </c:pt>
                <c:pt idx="1">
                  <c:v>97.929089904551418</c:v>
                </c:pt>
                <c:pt idx="2">
                  <c:v>97.593781554230389</c:v>
                </c:pt>
                <c:pt idx="3">
                  <c:v>97.316104326620788</c:v>
                </c:pt>
                <c:pt idx="4">
                  <c:v>97.758577987768859</c:v>
                </c:pt>
                <c:pt idx="5">
                  <c:v>98.408714206786158</c:v>
                </c:pt>
                <c:pt idx="6">
                  <c:v>98.755453523595378</c:v>
                </c:pt>
                <c:pt idx="7">
                  <c:v>100.41818285736058</c:v>
                </c:pt>
                <c:pt idx="8">
                  <c:v>101.84181447541393</c:v>
                </c:pt>
                <c:pt idx="9">
                  <c:v>103.22734287183975</c:v>
                </c:pt>
                <c:pt idx="10">
                  <c:v>105.30063441864007</c:v>
                </c:pt>
                <c:pt idx="11">
                  <c:v>106.69664120101352</c:v>
                </c:pt>
                <c:pt idx="12">
                  <c:v>109.22574253653131</c:v>
                </c:pt>
                <c:pt idx="13">
                  <c:v>111.26855150602975</c:v>
                </c:pt>
                <c:pt idx="14">
                  <c:v>110.67158216484941</c:v>
                </c:pt>
                <c:pt idx="15">
                  <c:v>113.55318925558906</c:v>
                </c:pt>
                <c:pt idx="16">
                  <c:v>116.59575955046449</c:v>
                </c:pt>
                <c:pt idx="17">
                  <c:v>117.1379662942533</c:v>
                </c:pt>
                <c:pt idx="18">
                  <c:v>116.50078386617419</c:v>
                </c:pt>
                <c:pt idx="19">
                  <c:v>117</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7244160"/>
        <c:axId val="167245696"/>
      </c:lineChart>
      <c:catAx>
        <c:axId val="167244160"/>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245696"/>
        <c:crosses val="autoZero"/>
        <c:auto val="1"/>
        <c:lblAlgn val="ctr"/>
        <c:lblOffset val="100"/>
        <c:tickLblSkip val="1"/>
        <c:tickMarkSkip val="1"/>
        <c:noMultiLvlLbl val="1"/>
      </c:catAx>
      <c:valAx>
        <c:axId val="167245696"/>
        <c:scaling>
          <c:orientation val="minMax"/>
          <c:max val="120"/>
          <c:min val="95"/>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244160"/>
        <c:crosses val="autoZero"/>
        <c:crossBetween val="between"/>
        <c:majorUnit val="5"/>
      </c:valAx>
      <c:spPr>
        <a:noFill/>
        <a:ln w="6350">
          <a:noFill/>
        </a:ln>
      </c:spPr>
    </c:plotArea>
    <c:legend>
      <c:legendPos val="l"/>
      <c:layout>
        <c:manualLayout>
          <c:xMode val="edge"/>
          <c:yMode val="edge"/>
          <c:x val="0.10940981358646007"/>
          <c:y val="1.854490573907568E-2"/>
          <c:w val="0.63680257177359945"/>
          <c:h val="0.13931059652641481"/>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4039E-2"/>
          <c:w val="0.89764680515788364"/>
          <c:h val="0.86604768153983913"/>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105.29597325227381</c:v>
                </c:pt>
                <c:pt idx="1">
                  <c:v>97.982201665036442</c:v>
                </c:pt>
                <c:pt idx="2">
                  <c:v>92.246651153113064</c:v>
                </c:pt>
                <c:pt idx="3">
                  <c:v>83.824848312362874</c:v>
                </c:pt>
                <c:pt idx="4">
                  <c:v>74.466253237637261</c:v>
                </c:pt>
                <c:pt idx="5">
                  <c:v>70.810921988190316</c:v>
                </c:pt>
                <c:pt idx="6">
                  <c:v>68.582183967148907</c:v>
                </c:pt>
                <c:pt idx="7">
                  <c:v>68.286342253228042</c:v>
                </c:pt>
                <c:pt idx="8">
                  <c:v>68.733572653415578</c:v>
                </c:pt>
                <c:pt idx="9">
                  <c:v>71.176837770161782</c:v>
                </c:pt>
                <c:pt idx="10">
                  <c:v>75.185887608847978</c:v>
                </c:pt>
                <c:pt idx="11">
                  <c:v>74.876413738343928</c:v>
                </c:pt>
                <c:pt idx="12">
                  <c:v>75.448007672273405</c:v>
                </c:pt>
                <c:pt idx="13">
                  <c:v>76.511555046409129</c:v>
                </c:pt>
                <c:pt idx="14">
                  <c:v>80.438290107830611</c:v>
                </c:pt>
                <c:pt idx="15">
                  <c:v>79.589912777482354</c:v>
                </c:pt>
                <c:pt idx="16">
                  <c:v>80.455787149111302</c:v>
                </c:pt>
                <c:pt idx="17">
                  <c:v>79.251622698312332</c:v>
                </c:pt>
                <c:pt idx="18">
                  <c:v>82.02330482321905</c:v>
                </c:pt>
                <c:pt idx="19">
                  <c:v>80.682839637762939</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9570688"/>
        <c:axId val="169572224"/>
      </c:lineChart>
      <c:catAx>
        <c:axId val="169570688"/>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9572224"/>
        <c:crosses val="autoZero"/>
        <c:auto val="1"/>
        <c:lblAlgn val="ctr"/>
        <c:lblOffset val="100"/>
        <c:tickLblSkip val="1"/>
        <c:tickMarkSkip val="1"/>
        <c:noMultiLvlLbl val="1"/>
      </c:catAx>
      <c:valAx>
        <c:axId val="169572224"/>
        <c:scaling>
          <c:orientation val="minMax"/>
          <c:max val="106"/>
          <c:min val="64"/>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9570688"/>
        <c:crosses val="autoZero"/>
        <c:crossBetween val="between"/>
        <c:majorUnit val="6"/>
      </c:valAx>
      <c:spPr>
        <a:noFill/>
        <a:ln w="6350">
          <a:noFill/>
        </a:ln>
      </c:spPr>
    </c:plotArea>
    <c:legend>
      <c:legendPos val="l"/>
      <c:layout>
        <c:manualLayout>
          <c:xMode val="edge"/>
          <c:yMode val="edge"/>
          <c:x val="0.29793611854683194"/>
          <c:y val="6.7853777286969313E-2"/>
          <c:w val="0.63680257177359978"/>
          <c:h val="0.12522234751273087"/>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4208186066936003E-2"/>
          <c:y val="3.7483062208494039E-2"/>
          <c:w val="0.89764680515788364"/>
          <c:h val="0.86604768153983913"/>
        </c:manualLayout>
      </c:layout>
      <c:lineChart>
        <c:grouping val="standard"/>
        <c:ser>
          <c:idx val="2"/>
          <c:order val="0"/>
          <c:tx>
            <c:strRef>
              <c:f>Sheet1!$A$3</c:f>
              <c:strCache>
                <c:ptCount val="1"/>
                <c:pt idx="0">
                  <c:v>Fakts</c:v>
                </c:pt>
              </c:strCache>
            </c:strRef>
          </c:tx>
          <c:spPr>
            <a:ln w="19050">
              <a:solidFill>
                <a:srgbClr val="FF0000"/>
              </a:solidFill>
              <a:prstDash val="solid"/>
            </a:ln>
          </c:spPr>
          <c:marker>
            <c:symbol val="none"/>
          </c:marker>
          <c:dPt>
            <c:idx val="14"/>
            <c:spPr>
              <a:ln w="19050">
                <a:solidFill>
                  <a:srgbClr val="FF0000"/>
                </a:solidFill>
                <a:prstDash val="dash"/>
              </a:ln>
            </c:spPr>
          </c:dPt>
          <c:dPt>
            <c:idx val="15"/>
            <c:spPr>
              <a:ln w="19050">
                <a:solidFill>
                  <a:srgbClr val="FF0000"/>
                </a:solidFill>
                <a:prstDash val="dash"/>
              </a:ln>
            </c:spPr>
          </c:dPt>
          <c:dPt>
            <c:idx val="16"/>
            <c:spPr>
              <a:ln w="19050">
                <a:solidFill>
                  <a:srgbClr val="FF0000"/>
                </a:solidFill>
                <a:prstDash val="dash"/>
              </a:ln>
            </c:spPr>
          </c:dPt>
          <c:dPt>
            <c:idx val="17"/>
            <c:spPr>
              <a:ln w="19050">
                <a:solidFill>
                  <a:srgbClr val="FF0000"/>
                </a:solidFill>
                <a:prstDash val="dash"/>
              </a:ln>
            </c:spPr>
          </c:dPt>
          <c:dPt>
            <c:idx val="18"/>
            <c:spPr>
              <a:ln w="19050">
                <a:solidFill>
                  <a:srgbClr val="FF0000"/>
                </a:solidFill>
                <a:prstDash val="dash"/>
              </a:ln>
            </c:spPr>
          </c:dPt>
          <c:dPt>
            <c:idx val="19"/>
            <c:spPr>
              <a:ln w="19050">
                <a:solidFill>
                  <a:srgbClr val="FF0000"/>
                </a:solidFill>
                <a:prstDash val="dash"/>
              </a:ln>
            </c:spPr>
          </c:dPt>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Sheet1!$C$3:$V$3</c:f>
              <c:numCache>
                <c:formatCode>0.0</c:formatCode>
                <c:ptCount val="20"/>
                <c:pt idx="0">
                  <c:v>101.71510315475491</c:v>
                </c:pt>
                <c:pt idx="1">
                  <c:v>98.16365766926566</c:v>
                </c:pt>
                <c:pt idx="2">
                  <c:v>92.163079373614408</c:v>
                </c:pt>
                <c:pt idx="3">
                  <c:v>85.699357280184188</c:v>
                </c:pt>
                <c:pt idx="4">
                  <c:v>77.677280590064399</c:v>
                </c:pt>
                <c:pt idx="5">
                  <c:v>68.567602254338496</c:v>
                </c:pt>
                <c:pt idx="6">
                  <c:v>60.374573253318822</c:v>
                </c:pt>
                <c:pt idx="7">
                  <c:v>53.552206400819749</c:v>
                </c:pt>
                <c:pt idx="8">
                  <c:v>46.961665085653649</c:v>
                </c:pt>
                <c:pt idx="9">
                  <c:v>43.422394245451017</c:v>
                </c:pt>
                <c:pt idx="10">
                  <c:v>51.032562103372882</c:v>
                </c:pt>
                <c:pt idx="11">
                  <c:v>47.683520095773872</c:v>
                </c:pt>
                <c:pt idx="12">
                  <c:v>43.848506830483281</c:v>
                </c:pt>
                <c:pt idx="13">
                  <c:v>42.2556574054816</c:v>
                </c:pt>
                <c:pt idx="14">
                  <c:v>52.695879295926261</c:v>
                </c:pt>
                <c:pt idx="15">
                  <c:v>48.870537605427444</c:v>
                </c:pt>
                <c:pt idx="16">
                  <c:v>45.222244041917307</c:v>
                </c:pt>
                <c:pt idx="17">
                  <c:v>43.714385316700948</c:v>
                </c:pt>
                <c:pt idx="18">
                  <c:v>54.457605312784104</c:v>
                </c:pt>
                <c:pt idx="19">
                  <c:v>51.227854549766569</c:v>
                </c:pt>
              </c:numCache>
            </c:numRef>
          </c:val>
          <c:smooth val="1"/>
        </c:ser>
        <c:ser>
          <c:idx val="4"/>
          <c:order val="1"/>
          <c:tx>
            <c:strRef>
              <c:f>Sheet1!$A$4</c:f>
              <c:strCache>
                <c:ptCount val="1"/>
                <c:pt idx="0">
                  <c:v>Prognoze</c:v>
                </c:pt>
              </c:strCache>
            </c:strRef>
          </c:tx>
          <c:spPr>
            <a:ln w="19050">
              <a:solidFill>
                <a:srgbClr val="FF0000"/>
              </a:solidFill>
              <a:prstDash val="sysDash"/>
            </a:ln>
          </c:spPr>
          <c:marker>
            <c:symbol val="none"/>
          </c:marker>
          <c:cat>
            <c:multiLvlStrRef>
              <c:f>Sheet1!$C$1:$V$2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Sheet1!$C$4:$V$4</c:f>
              <c:numCache>
                <c:formatCode>General</c:formatCode>
                <c:ptCount val="20"/>
              </c:numCache>
            </c:numRef>
          </c:val>
          <c:smooth val="1"/>
        </c:ser>
        <c:marker val="1"/>
        <c:axId val="167375232"/>
        <c:axId val="167376768"/>
      </c:lineChart>
      <c:catAx>
        <c:axId val="167375232"/>
        <c:scaling>
          <c:orientation val="minMax"/>
        </c:scaling>
        <c:axPos val="b"/>
        <c:numFmt formatCode="General" sourceLinked="1"/>
        <c:majorTickMark val="cross"/>
        <c:tickLblPos val="low"/>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376768"/>
        <c:crosses val="autoZero"/>
        <c:auto val="1"/>
        <c:lblAlgn val="ctr"/>
        <c:lblOffset val="100"/>
        <c:tickLblSkip val="1"/>
        <c:tickMarkSkip val="1"/>
        <c:noMultiLvlLbl val="1"/>
      </c:catAx>
      <c:valAx>
        <c:axId val="167376768"/>
        <c:scaling>
          <c:orientation val="minMax"/>
          <c:max val="110"/>
          <c:min val="40"/>
        </c:scaling>
        <c:axPos val="l"/>
        <c:numFmt formatCode="0" sourceLinked="0"/>
        <c:majorTickMark val="cross"/>
        <c:tickLblPos val="nextTo"/>
        <c:spPr>
          <a:ln w="3175">
            <a:solidFill>
              <a:schemeClr val="tx1">
                <a:lumMod val="50000"/>
                <a:lumOff val="50000"/>
              </a:schemeClr>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67375232"/>
        <c:crosses val="autoZero"/>
        <c:crossBetween val="between"/>
        <c:majorUnit val="10"/>
      </c:valAx>
      <c:spPr>
        <a:noFill/>
        <a:ln w="6350">
          <a:noFill/>
        </a:ln>
      </c:spPr>
    </c:plotArea>
    <c:legend>
      <c:legendPos val="l"/>
      <c:layout>
        <c:manualLayout>
          <c:xMode val="edge"/>
          <c:yMode val="edge"/>
          <c:x val="0.29355178587333491"/>
          <c:y val="8.8986150807495154E-2"/>
          <c:w val="0.63680257177359978"/>
          <c:h val="0.14635472103325645"/>
        </c:manualLayout>
      </c:layout>
      <c:txPr>
        <a:bodyPr/>
        <a:lstStyle/>
        <a:p>
          <a:pPr marL="72000">
            <a:defRPr lang="lv-LV" sz="750" b="0">
              <a:latin typeface="Arial" pitchFamily="34" charset="0"/>
              <a:cs typeface="Arial" pitchFamily="34" charset="0"/>
            </a:defRPr>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9.1154316301274768E-2"/>
          <c:y val="3.3758326899873799E-2"/>
          <c:w val="0.83616912798874821"/>
          <c:h val="0.76128459621759315"/>
        </c:manualLayout>
      </c:layout>
      <c:barChart>
        <c:barDir val="col"/>
        <c:grouping val="stacked"/>
        <c:ser>
          <c:idx val="1"/>
          <c:order val="0"/>
          <c:tx>
            <c:strRef>
              <c:f>Sheet1!$A$3</c:f>
              <c:strCache>
                <c:ptCount val="1"/>
                <c:pt idx="0">
                  <c:v>Nodarbinātie</c:v>
                </c:pt>
              </c:strCache>
            </c:strRef>
          </c:tx>
          <c:spPr>
            <a:solidFill>
              <a:schemeClr val="bg1">
                <a:lumMod val="65000"/>
              </a:schemeClr>
            </a:solidFill>
            <a:ln w="3175">
              <a:solidFill>
                <a:schemeClr val="tx1"/>
              </a:solidFill>
            </a:ln>
          </c:spPr>
          <c:dPt>
            <c:idx val="14"/>
            <c:spPr>
              <a:solidFill>
                <a:srgbClr val="FF0000"/>
              </a:solidFill>
              <a:ln w="3175">
                <a:solidFill>
                  <a:schemeClr val="tx1"/>
                </a:solidFill>
              </a:ln>
            </c:spPr>
          </c:dPt>
          <c:dPt>
            <c:idx val="15"/>
            <c:spPr>
              <a:solidFill>
                <a:srgbClr val="FF0000"/>
              </a:solidFill>
              <a:ln w="3175">
                <a:solidFill>
                  <a:schemeClr val="tx1"/>
                </a:solidFill>
              </a:ln>
            </c:spPr>
          </c:dPt>
          <c:dPt>
            <c:idx val="16"/>
            <c:spPr>
              <a:solidFill>
                <a:srgbClr val="FF0000"/>
              </a:solidFill>
              <a:ln w="3175">
                <a:solidFill>
                  <a:schemeClr val="tx1"/>
                </a:solidFill>
              </a:ln>
            </c:spPr>
          </c:dPt>
          <c:dPt>
            <c:idx val="17"/>
            <c:spPr>
              <a:solidFill>
                <a:srgbClr val="FF0000"/>
              </a:solidFill>
              <a:ln w="3175">
                <a:solidFill>
                  <a:schemeClr val="tx1"/>
                </a:solidFill>
              </a:ln>
            </c:spPr>
          </c:dPt>
          <c:dPt>
            <c:idx val="18"/>
            <c:spPr>
              <a:solidFill>
                <a:srgbClr val="FF0000"/>
              </a:solidFill>
              <a:ln w="3175">
                <a:solidFill>
                  <a:schemeClr val="tx1"/>
                </a:solidFill>
              </a:ln>
            </c:spPr>
          </c:dPt>
          <c:dPt>
            <c:idx val="19"/>
            <c:spPr>
              <a:solidFill>
                <a:srgbClr val="FF0000"/>
              </a:solidFill>
              <a:ln w="3175">
                <a:solidFill>
                  <a:schemeClr val="tx1"/>
                </a:solidFill>
              </a:ln>
            </c:spPr>
          </c:dPt>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Sheet1!$B$3:$U$3</c:f>
              <c:numCache>
                <c:formatCode>0.0</c:formatCode>
                <c:ptCount val="20"/>
                <c:pt idx="0">
                  <c:v>1137.838941328085</c:v>
                </c:pt>
                <c:pt idx="1">
                  <c:v>1142.0582667153549</c:v>
                </c:pt>
                <c:pt idx="2">
                  <c:v>1132.5490734093967</c:v>
                </c:pt>
                <c:pt idx="3">
                  <c:v>1085.5736379699906</c:v>
                </c:pt>
                <c:pt idx="4">
                  <c:v>1046.6770049999998</c:v>
                </c:pt>
                <c:pt idx="5">
                  <c:v>999.29198599999995</c:v>
                </c:pt>
                <c:pt idx="6">
                  <c:v>953.5892156397216</c:v>
                </c:pt>
                <c:pt idx="7">
                  <c:v>932.58177249999835</c:v>
                </c:pt>
                <c:pt idx="8">
                  <c:v>916.69004176921362</c:v>
                </c:pt>
                <c:pt idx="9">
                  <c:v>935.75453073022663</c:v>
                </c:pt>
                <c:pt idx="10">
                  <c:v>960.35527785271927</c:v>
                </c:pt>
                <c:pt idx="11">
                  <c:v>951.0304649028526</c:v>
                </c:pt>
                <c:pt idx="12">
                  <c:v>944.29275116142082</c:v>
                </c:pt>
                <c:pt idx="13">
                  <c:v>957.39205357863852</c:v>
                </c:pt>
                <c:pt idx="14">
                  <c:v>973.2367278871493</c:v>
                </c:pt>
                <c:pt idx="15">
                  <c:v>969.75150876794839</c:v>
                </c:pt>
                <c:pt idx="16">
                  <c:v>953.55374486672804</c:v>
                </c:pt>
                <c:pt idx="17">
                  <c:v>966.83580186171741</c:v>
                </c:pt>
                <c:pt idx="18">
                  <c:v>982.99428082906104</c:v>
                </c:pt>
                <c:pt idx="19">
                  <c:v>979.39941324088352</c:v>
                </c:pt>
              </c:numCache>
            </c:numRef>
          </c:val>
        </c:ser>
        <c:gapWidth val="40"/>
        <c:overlap val="100"/>
        <c:axId val="169694720"/>
        <c:axId val="169696256"/>
      </c:barChart>
      <c:lineChart>
        <c:grouping val="standard"/>
        <c:ser>
          <c:idx val="2"/>
          <c:order val="1"/>
          <c:tx>
            <c:strRef>
              <c:f>Sheet1!$A$4</c:f>
              <c:strCache>
                <c:ptCount val="1"/>
                <c:pt idx="0">
                  <c:v>Darba meklētāji</c:v>
                </c:pt>
              </c:strCache>
            </c:strRef>
          </c:tx>
          <c:spPr>
            <a:ln w="25400">
              <a:solidFill>
                <a:schemeClr val="accent3">
                  <a:lumMod val="60000"/>
                  <a:lumOff val="40000"/>
                </a:schemeClr>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Sheet1!$B$4:$U$4</c:f>
            </c:numRef>
          </c:val>
        </c:ser>
        <c:ser>
          <c:idx val="0"/>
          <c:order val="2"/>
          <c:tx>
            <c:strRef>
              <c:f>Sheet1!$A$5</c:f>
              <c:strCache>
                <c:ptCount val="1"/>
                <c:pt idx="0">
                  <c:v>Ekonomiski aktīvie</c:v>
                </c:pt>
              </c:strCache>
            </c:strRef>
          </c:tx>
          <c:spPr>
            <a:ln w="25400">
              <a:solidFill>
                <a:schemeClr val="tx1"/>
              </a:solidFill>
            </a:ln>
          </c:spPr>
          <c:marker>
            <c:symbol val="none"/>
          </c:marker>
          <c:cat>
            <c:multiLvlStrRef>
              <c:f>Sheet1!$B$1:$U$2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Sheet1!$B$5:$U$5</c:f>
              <c:numCache>
                <c:formatCode>0.0</c:formatCode>
                <c:ptCount val="20"/>
                <c:pt idx="0">
                  <c:v>1217.5</c:v>
                </c:pt>
                <c:pt idx="1">
                  <c:v>1218.5</c:v>
                </c:pt>
                <c:pt idx="2">
                  <c:v>1219.9000000000001</c:v>
                </c:pt>
                <c:pt idx="3">
                  <c:v>1204.2</c:v>
                </c:pt>
                <c:pt idx="4">
                  <c:v>1215.4000000000001</c:v>
                </c:pt>
                <c:pt idx="5">
                  <c:v>1199</c:v>
                </c:pt>
                <c:pt idx="6">
                  <c:v>1168.8</c:v>
                </c:pt>
                <c:pt idx="7">
                  <c:v>1162</c:v>
                </c:pt>
                <c:pt idx="8">
                  <c:v>1151.9000000000001</c:v>
                </c:pt>
                <c:pt idx="9">
                  <c:v>1161.3</c:v>
                </c:pt>
                <c:pt idx="10">
                  <c:v>1170.4000000000001</c:v>
                </c:pt>
                <c:pt idx="11">
                  <c:v>1144.4000000000001</c:v>
                </c:pt>
                <c:pt idx="12">
                  <c:v>1132.5</c:v>
                </c:pt>
                <c:pt idx="13">
                  <c:v>1138.9335441562062</c:v>
                </c:pt>
                <c:pt idx="14">
                  <c:v>1147.2207888804867</c:v>
                </c:pt>
                <c:pt idx="15">
                  <c:v>1141.7400745197854</c:v>
                </c:pt>
                <c:pt idx="16">
                  <c:v>1124.1295361004602</c:v>
                </c:pt>
                <c:pt idx="17">
                  <c:v>1131.1518869924298</c:v>
                </c:pt>
                <c:pt idx="18">
                  <c:v>1140.0984336514598</c:v>
                </c:pt>
                <c:pt idx="19">
                  <c:v>1135.2058032831769</c:v>
                </c:pt>
              </c:numCache>
            </c:numRef>
          </c:val>
        </c:ser>
        <c:marker val="1"/>
        <c:axId val="169694720"/>
        <c:axId val="169696256"/>
      </c:lineChart>
      <c:catAx>
        <c:axId val="169694720"/>
        <c:scaling>
          <c:orientation val="minMax"/>
        </c:scaling>
        <c:axPos val="b"/>
        <c:tickLblPos val="nextTo"/>
        <c:txPr>
          <a:bodyPr rot="0"/>
          <a:lstStyle/>
          <a:p>
            <a:pPr>
              <a:defRPr/>
            </a:pPr>
            <a:endParaRPr lang="lv-LV"/>
          </a:p>
        </c:txPr>
        <c:crossAx val="169696256"/>
        <c:crosses val="autoZero"/>
        <c:auto val="1"/>
        <c:lblAlgn val="ctr"/>
        <c:lblOffset val="100"/>
        <c:tickLblSkip val="2"/>
        <c:noMultiLvlLbl val="1"/>
      </c:catAx>
      <c:valAx>
        <c:axId val="169696256"/>
        <c:scaling>
          <c:orientation val="minMax"/>
          <c:max val="1300"/>
          <c:min val="800"/>
        </c:scaling>
        <c:axPos val="l"/>
        <c:numFmt formatCode="0" sourceLinked="0"/>
        <c:tickLblPos val="nextTo"/>
        <c:crossAx val="169694720"/>
        <c:crosses val="autoZero"/>
        <c:crossBetween val="between"/>
        <c:majorUnit val="100"/>
      </c:valAx>
    </c:plotArea>
    <c:legend>
      <c:legendPos val="r"/>
      <c:layout>
        <c:manualLayout>
          <c:xMode val="edge"/>
          <c:yMode val="edge"/>
          <c:x val="0.41865014064697609"/>
          <c:y val="3.7967324569010412E-2"/>
          <c:w val="0.51012834036568211"/>
          <c:h val="0.12604992657856093"/>
        </c:manualLayout>
      </c:layout>
    </c:legend>
    <c:plotVisOnly val="1"/>
    <c:dispBlanksAs val="gap"/>
  </c:chart>
  <c:spPr>
    <a:noFill/>
    <a:ln>
      <a:noFill/>
    </a:ln>
  </c:spPr>
  <c:txPr>
    <a:bodyPr/>
    <a:lstStyle/>
    <a:p>
      <a:pPr>
        <a:defRPr sz="1000">
          <a:latin typeface="Times New Roman" pitchFamily="18" charset="0"/>
          <a:cs typeface="Times New Roman" pitchFamily="18" charset="0"/>
        </a:defRPr>
      </a:pPr>
      <a:endParaRPr lang="lv-LV"/>
    </a:p>
  </c:txPr>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lv-LV"/>
  <c:chart>
    <c:plotArea>
      <c:layout>
        <c:manualLayout>
          <c:layoutTarget val="inner"/>
          <c:xMode val="edge"/>
          <c:yMode val="edge"/>
          <c:x val="8.9411008784338233E-2"/>
          <c:y val="5.6448148148148095E-2"/>
          <c:w val="0.82593902302960065"/>
          <c:h val="0.76123009259260044"/>
        </c:manualLayout>
      </c:layout>
      <c:barChart>
        <c:barDir val="col"/>
        <c:grouping val="clustered"/>
        <c:ser>
          <c:idx val="0"/>
          <c:order val="2"/>
          <c:tx>
            <c:strRef>
              <c:f>Sheet1!$A$5</c:f>
              <c:strCache>
                <c:ptCount val="1"/>
                <c:pt idx="0">
                  <c:v>Bezdarba līmenis (labā ass)</c:v>
                </c:pt>
              </c:strCache>
            </c:strRef>
          </c:tx>
          <c:spPr>
            <a:solidFill>
              <a:schemeClr val="bg1">
                <a:lumMod val="65000"/>
              </a:schemeClr>
            </a:solidFill>
            <a:ln w="9525">
              <a:solidFill>
                <a:schemeClr val="tx1"/>
              </a:solidFill>
            </a:ln>
          </c:spPr>
          <c:dPt>
            <c:idx val="14"/>
            <c:spPr>
              <a:solidFill>
                <a:srgbClr val="FF0000"/>
              </a:solidFill>
              <a:ln w="9525">
                <a:solidFill>
                  <a:schemeClr val="tx1"/>
                </a:solidFill>
              </a:ln>
            </c:spPr>
          </c:dPt>
          <c:dPt>
            <c:idx val="15"/>
            <c:spPr>
              <a:solidFill>
                <a:srgbClr val="FF0000"/>
              </a:solidFill>
              <a:ln w="9525">
                <a:solidFill>
                  <a:schemeClr val="tx1"/>
                </a:solidFill>
              </a:ln>
            </c:spPr>
          </c:dPt>
          <c:dPt>
            <c:idx val="16"/>
            <c:spPr>
              <a:solidFill>
                <a:srgbClr val="FF0000"/>
              </a:solidFill>
              <a:ln w="9525">
                <a:solidFill>
                  <a:schemeClr val="tx1"/>
                </a:solidFill>
              </a:ln>
            </c:spPr>
          </c:dPt>
          <c:dPt>
            <c:idx val="17"/>
            <c:spPr>
              <a:solidFill>
                <a:srgbClr val="FF0000"/>
              </a:solidFill>
              <a:ln w="9525">
                <a:solidFill>
                  <a:schemeClr val="tx1"/>
                </a:solidFill>
              </a:ln>
            </c:spPr>
          </c:dPt>
          <c:dPt>
            <c:idx val="18"/>
            <c:spPr>
              <a:solidFill>
                <a:srgbClr val="FF0000"/>
              </a:solidFill>
              <a:ln w="9525">
                <a:solidFill>
                  <a:schemeClr val="tx1"/>
                </a:solidFill>
              </a:ln>
            </c:spPr>
          </c:dPt>
          <c:dPt>
            <c:idx val="19"/>
            <c:spPr>
              <a:solidFill>
                <a:srgbClr val="FF0000"/>
              </a:solidFill>
              <a:ln w="9525">
                <a:solidFill>
                  <a:schemeClr val="tx1"/>
                </a:solidFill>
              </a:ln>
            </c:spPr>
          </c:dPt>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Sheet1!$F$5:$Y$5</c:f>
              <c:numCache>
                <c:formatCode>0.0</c:formatCode>
                <c:ptCount val="20"/>
                <c:pt idx="0">
                  <c:v>6.5</c:v>
                </c:pt>
                <c:pt idx="1">
                  <c:v>6.3</c:v>
                </c:pt>
                <c:pt idx="2">
                  <c:v>7.2</c:v>
                </c:pt>
                <c:pt idx="3">
                  <c:v>9.9</c:v>
                </c:pt>
                <c:pt idx="4">
                  <c:v>13.9</c:v>
                </c:pt>
                <c:pt idx="5">
                  <c:v>16.7</c:v>
                </c:pt>
                <c:pt idx="6">
                  <c:v>18.399999999999999</c:v>
                </c:pt>
                <c:pt idx="7">
                  <c:v>19.7</c:v>
                </c:pt>
                <c:pt idx="8">
                  <c:v>20.419303605415962</c:v>
                </c:pt>
                <c:pt idx="9">
                  <c:v>19.421809116487843</c:v>
                </c:pt>
                <c:pt idx="10">
                  <c:v>17.946404831448589</c:v>
                </c:pt>
                <c:pt idx="11">
                  <c:v>16.897023339492101</c:v>
                </c:pt>
                <c:pt idx="12">
                  <c:v>16.618741619300593</c:v>
                </c:pt>
                <c:pt idx="13">
                  <c:v>15.939603457027676</c:v>
                </c:pt>
                <c:pt idx="14">
                  <c:v>15.165699809460458</c:v>
                </c:pt>
                <c:pt idx="15">
                  <c:v>15.063723310594549</c:v>
                </c:pt>
                <c:pt idx="16">
                  <c:v>15.174033397027516</c:v>
                </c:pt>
                <c:pt idx="17">
                  <c:v>14.526438670195427</c:v>
                </c:pt>
                <c:pt idx="18">
                  <c:v>13.779876209392954</c:v>
                </c:pt>
                <c:pt idx="19">
                  <c:v>13.724946577234906</c:v>
                </c:pt>
              </c:numCache>
            </c:numRef>
          </c:val>
        </c:ser>
        <c:gapWidth val="40"/>
        <c:axId val="169829120"/>
        <c:axId val="169810944"/>
      </c:barChart>
      <c:lineChart>
        <c:grouping val="standard"/>
        <c:ser>
          <c:idx val="1"/>
          <c:order val="0"/>
          <c:tx>
            <c:strRef>
              <c:f>Sheet1!$A$3</c:f>
              <c:strCache>
                <c:ptCount val="1"/>
                <c:pt idx="0">
                  <c:v>Nodarbinātības līmenis (kreisā ass)</c:v>
                </c:pt>
              </c:strCache>
            </c:strRef>
          </c:tx>
          <c:spPr>
            <a:ln w="22225">
              <a:solidFill>
                <a:schemeClr val="tx1"/>
              </a:solidFill>
            </a:ln>
          </c:spPr>
          <c:marker>
            <c:symbol val="none"/>
          </c:marker>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Sheet1!$F$3:$Y$3</c:f>
              <c:numCache>
                <c:formatCode>0.0</c:formatCode>
                <c:ptCount val="20"/>
                <c:pt idx="0">
                  <c:v>63.341646922656494</c:v>
                </c:pt>
                <c:pt idx="1">
                  <c:v>63.576529918154179</c:v>
                </c:pt>
                <c:pt idx="2">
                  <c:v>63.047168562141295</c:v>
                </c:pt>
                <c:pt idx="3">
                  <c:v>60.432122321793869</c:v>
                </c:pt>
                <c:pt idx="4">
                  <c:v>58.591150789741192</c:v>
                </c:pt>
                <c:pt idx="5">
                  <c:v>55.938620180832146</c:v>
                </c:pt>
                <c:pt idx="6">
                  <c:v>53.380258912841953</c:v>
                </c:pt>
                <c:pt idx="7">
                  <c:v>52.204298933950113</c:v>
                </c:pt>
                <c:pt idx="8">
                  <c:v>51.707578075185431</c:v>
                </c:pt>
                <c:pt idx="9">
                  <c:v>52.782945436559643</c:v>
                </c:pt>
                <c:pt idx="10">
                  <c:v>54.170595563192286</c:v>
                </c:pt>
                <c:pt idx="11">
                  <c:v>53.64461243730225</c:v>
                </c:pt>
                <c:pt idx="12">
                  <c:v>53.827324355094063</c:v>
                </c:pt>
                <c:pt idx="13">
                  <c:v>54.574021181020044</c:v>
                </c:pt>
                <c:pt idx="14">
                  <c:v>55.47721187294929</c:v>
                </c:pt>
                <c:pt idx="15">
                  <c:v>55.278544648461143</c:v>
                </c:pt>
                <c:pt idx="16">
                  <c:v>54.813161825246823</c:v>
                </c:pt>
                <c:pt idx="17">
                  <c:v>55.576654751951999</c:v>
                </c:pt>
                <c:pt idx="18">
                  <c:v>56.505493139148314</c:v>
                </c:pt>
                <c:pt idx="19">
                  <c:v>56.298849245280763</c:v>
                </c:pt>
              </c:numCache>
            </c:numRef>
          </c:val>
        </c:ser>
        <c:marker val="1"/>
        <c:axId val="169807872"/>
        <c:axId val="169809408"/>
      </c:lineChart>
      <c:lineChart>
        <c:grouping val="standard"/>
        <c:ser>
          <c:idx val="2"/>
          <c:order val="1"/>
          <c:tx>
            <c:strRef>
              <c:f>Sheet1!$A$4</c:f>
              <c:strCache>
                <c:ptCount val="1"/>
                <c:pt idx="0">
                  <c:v>Ekonomiskās aktivitātes līmenis vecuma grupā 15-74 gadi  (kreisā ass)</c:v>
                </c:pt>
              </c:strCache>
            </c:strRef>
          </c:tx>
          <c:spPr>
            <a:ln w="25400">
              <a:solidFill>
                <a:schemeClr val="accent3">
                  <a:lumMod val="60000"/>
                  <a:lumOff val="40000"/>
                </a:schemeClr>
              </a:solidFill>
            </a:ln>
          </c:spPr>
          <c:marker>
            <c:symbol val="none"/>
          </c:marker>
          <c:cat>
            <c:multiLvlStrRef>
              <c:f>Sheet1!$F$1:$Y$2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2008</c:v>
                  </c:pt>
                  <c:pt idx="4">
                    <c:v>2009</c:v>
                  </c:pt>
                  <c:pt idx="8">
                    <c:v>2010</c:v>
                  </c:pt>
                  <c:pt idx="12">
                    <c:v>2011</c:v>
                  </c:pt>
                  <c:pt idx="16">
                    <c:v>2012</c:v>
                  </c:pt>
                </c:lvl>
              </c:multiLvlStrCache>
            </c:multiLvlStrRef>
          </c:cat>
          <c:val>
            <c:numRef>
              <c:f>Sheet1!$F$4:$Y$4</c:f>
            </c:numRef>
          </c:val>
        </c:ser>
        <c:marker val="1"/>
        <c:axId val="169807872"/>
        <c:axId val="169809408"/>
      </c:lineChart>
      <c:catAx>
        <c:axId val="169807872"/>
        <c:scaling>
          <c:orientation val="minMax"/>
        </c:scaling>
        <c:axPos val="b"/>
        <c:tickLblPos val="nextTo"/>
        <c:txPr>
          <a:bodyPr rot="0"/>
          <a:lstStyle/>
          <a:p>
            <a:pPr>
              <a:defRPr/>
            </a:pPr>
            <a:endParaRPr lang="lv-LV"/>
          </a:p>
        </c:txPr>
        <c:crossAx val="169809408"/>
        <c:crosses val="autoZero"/>
        <c:auto val="1"/>
        <c:lblAlgn val="ctr"/>
        <c:lblOffset val="100"/>
        <c:tickLblSkip val="2"/>
        <c:noMultiLvlLbl val="1"/>
      </c:catAx>
      <c:valAx>
        <c:axId val="169809408"/>
        <c:scaling>
          <c:orientation val="minMax"/>
          <c:max val="70"/>
          <c:min val="30"/>
        </c:scaling>
        <c:axPos val="l"/>
        <c:numFmt formatCode="0" sourceLinked="0"/>
        <c:tickLblPos val="nextTo"/>
        <c:crossAx val="169807872"/>
        <c:crosses val="autoZero"/>
        <c:crossBetween val="between"/>
        <c:majorUnit val="10"/>
      </c:valAx>
      <c:valAx>
        <c:axId val="169810944"/>
        <c:scaling>
          <c:orientation val="minMax"/>
          <c:max val="42"/>
          <c:min val="0"/>
        </c:scaling>
        <c:axPos val="r"/>
        <c:numFmt formatCode="0" sourceLinked="0"/>
        <c:tickLblPos val="nextTo"/>
        <c:crossAx val="169829120"/>
        <c:crosses val="max"/>
        <c:crossBetween val="between"/>
        <c:majorUnit val="6"/>
      </c:valAx>
      <c:catAx>
        <c:axId val="169829120"/>
        <c:scaling>
          <c:orientation val="minMax"/>
        </c:scaling>
        <c:delete val="1"/>
        <c:axPos val="b"/>
        <c:tickLblPos val="none"/>
        <c:crossAx val="169810944"/>
        <c:crosses val="autoZero"/>
        <c:auto val="1"/>
        <c:lblAlgn val="ctr"/>
        <c:lblOffset val="100"/>
      </c:catAx>
    </c:plotArea>
    <c:legend>
      <c:legendPos val="r"/>
      <c:layout>
        <c:manualLayout>
          <c:xMode val="edge"/>
          <c:yMode val="edge"/>
          <c:x val="0.13887757713045187"/>
          <c:y val="2.0346019169166871E-2"/>
          <c:w val="0.74939646831454265"/>
          <c:h val="0.12514444444444578"/>
        </c:manualLayout>
      </c:layout>
    </c:legend>
    <c:plotVisOnly val="1"/>
    <c:dispBlanksAs val="gap"/>
  </c:chart>
  <c:spPr>
    <a:noFill/>
    <a:ln>
      <a:noFill/>
    </a:ln>
  </c:spPr>
  <c:txPr>
    <a:bodyPr/>
    <a:lstStyle/>
    <a:p>
      <a:pPr>
        <a:defRPr sz="1000">
          <a:latin typeface="Times New Roman" pitchFamily="18" charset="0"/>
          <a:cs typeface="Times New Roman" pitchFamily="18" charset="0"/>
        </a:defRPr>
      </a:pPr>
      <a:endParaRPr lang="lv-LV"/>
    </a:p>
  </c:txPr>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manualLayout>
          <c:layoutTarget val="inner"/>
          <c:xMode val="edge"/>
          <c:yMode val="edge"/>
          <c:x val="8.2094465337501768E-2"/>
          <c:y val="6.2566115410074535E-2"/>
          <c:w val="0.89816063611574271"/>
          <c:h val="0.83065453024359814"/>
        </c:manualLayout>
      </c:layout>
      <c:lineChart>
        <c:grouping val="standard"/>
        <c:ser>
          <c:idx val="0"/>
          <c:order val="0"/>
          <c:tx>
            <c:strRef>
              <c:f>Sheet1!$B$1</c:f>
              <c:strCache>
                <c:ptCount val="1"/>
                <c:pt idx="0">
                  <c:v>2008</c:v>
                </c:pt>
              </c:strCache>
            </c:strRef>
          </c:tx>
          <c:spPr>
            <a:ln w="12700">
              <a:solidFill>
                <a:srgbClr val="000000"/>
              </a:solidFill>
              <a:prstDash val="sys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Sheet1!$B$2:$B$14</c:f>
              <c:numCache>
                <c:formatCode>0.0</c:formatCode>
                <c:ptCount val="13"/>
                <c:pt idx="0" formatCode="General">
                  <c:v>100</c:v>
                </c:pt>
                <c:pt idx="1">
                  <c:v>102.84853808507968</c:v>
                </c:pt>
                <c:pt idx="2">
                  <c:v>104.19751537206675</c:v>
                </c:pt>
                <c:pt idx="3">
                  <c:v>105.73472204793576</c:v>
                </c:pt>
                <c:pt idx="4">
                  <c:v>107.36604341824572</c:v>
                </c:pt>
                <c:pt idx="5">
                  <c:v>108.3699334922826</c:v>
                </c:pt>
                <c:pt idx="6">
                  <c:v>109.11030242188477</c:v>
                </c:pt>
                <c:pt idx="7">
                  <c:v>109.44284100890953</c:v>
                </c:pt>
                <c:pt idx="8">
                  <c:v>108.96599322374205</c:v>
                </c:pt>
                <c:pt idx="9">
                  <c:v>110.15811268666077</c:v>
                </c:pt>
                <c:pt idx="10">
                  <c:v>111.46944409587152</c:v>
                </c:pt>
                <c:pt idx="11">
                  <c:v>111.06788806625671</c:v>
                </c:pt>
                <c:pt idx="12">
                  <c:v>110.53457146442462</c:v>
                </c:pt>
              </c:numCache>
            </c:numRef>
          </c:val>
          <c:smooth val="1"/>
        </c:ser>
        <c:ser>
          <c:idx val="2"/>
          <c:order val="1"/>
          <c:tx>
            <c:strRef>
              <c:f>Sheet1!$C$1</c:f>
              <c:strCache>
                <c:ptCount val="1"/>
                <c:pt idx="0">
                  <c:v>2009</c:v>
                </c:pt>
              </c:strCache>
            </c:strRef>
          </c:tx>
          <c:spPr>
            <a:ln w="12700">
              <a:solidFill>
                <a:srgbClr val="000000"/>
              </a:solidFill>
              <a:prstDash val="lg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Sheet1!$C$2:$C$14</c:f>
              <c:numCache>
                <c:formatCode>0.0</c:formatCode>
                <c:ptCount val="13"/>
                <c:pt idx="0" formatCode="General">
                  <c:v>100</c:v>
                </c:pt>
                <c:pt idx="1">
                  <c:v>102.19674178350449</c:v>
                </c:pt>
                <c:pt idx="2">
                  <c:v>103.2979508429358</c:v>
                </c:pt>
                <c:pt idx="3">
                  <c:v>103.54203326332522</c:v>
                </c:pt>
                <c:pt idx="4">
                  <c:v>103.14468978827279</c:v>
                </c:pt>
                <c:pt idx="5">
                  <c:v>102.61679059998865</c:v>
                </c:pt>
                <c:pt idx="6">
                  <c:v>102.05483339955725</c:v>
                </c:pt>
                <c:pt idx="7">
                  <c:v>101.44178918090482</c:v>
                </c:pt>
                <c:pt idx="8">
                  <c:v>100.39734347505252</c:v>
                </c:pt>
                <c:pt idx="9">
                  <c:v>100.17029006073678</c:v>
                </c:pt>
                <c:pt idx="10">
                  <c:v>99.977294658568482</c:v>
                </c:pt>
                <c:pt idx="11">
                  <c:v>99.307487086337076</c:v>
                </c:pt>
                <c:pt idx="12">
                  <c:v>98.830674916274049</c:v>
                </c:pt>
              </c:numCache>
            </c:numRef>
          </c:val>
          <c:smooth val="1"/>
        </c:ser>
        <c:ser>
          <c:idx val="4"/>
          <c:order val="2"/>
          <c:tx>
            <c:strRef>
              <c:f>Sheet1!$D$1</c:f>
              <c:strCache>
                <c:ptCount val="1"/>
                <c:pt idx="0">
                  <c:v>2010</c:v>
                </c:pt>
              </c:strCache>
            </c:strRef>
          </c:tx>
          <c:spPr>
            <a:ln w="15875">
              <a:solidFill>
                <a:schemeClr val="tx1"/>
              </a:solidFill>
              <a:prstDash val="solid"/>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Sheet1!$D$2:$D$14</c:f>
              <c:numCache>
                <c:formatCode>0.0</c:formatCode>
                <c:ptCount val="13"/>
                <c:pt idx="0" formatCode="General">
                  <c:v>100</c:v>
                </c:pt>
                <c:pt idx="1">
                  <c:v>100.178048360232</c:v>
                </c:pt>
                <c:pt idx="2">
                  <c:v>100.15507437826653</c:v>
                </c:pt>
                <c:pt idx="3">
                  <c:v>100.63752799954052</c:v>
                </c:pt>
                <c:pt idx="4">
                  <c:v>101.51628280971799</c:v>
                </c:pt>
                <c:pt idx="5">
                  <c:v>101.43587387283895</c:v>
                </c:pt>
                <c:pt idx="6">
                  <c:v>101.84366205272528</c:v>
                </c:pt>
                <c:pt idx="7">
                  <c:v>102.04468439492278</c:v>
                </c:pt>
                <c:pt idx="8">
                  <c:v>101.32674745850316</c:v>
                </c:pt>
                <c:pt idx="9">
                  <c:v>101.78048360232036</c:v>
                </c:pt>
                <c:pt idx="10">
                  <c:v>102.16529780024121</c:v>
                </c:pt>
                <c:pt idx="11">
                  <c:v>102.40078111538674</c:v>
                </c:pt>
                <c:pt idx="12">
                  <c:v>102.54436850267071</c:v>
                </c:pt>
              </c:numCache>
            </c:numRef>
          </c:val>
          <c:smooth val="1"/>
        </c:ser>
        <c:ser>
          <c:idx val="5"/>
          <c:order val="3"/>
          <c:tx>
            <c:strRef>
              <c:f>Sheet1!$E$1</c:f>
              <c:strCache>
                <c:ptCount val="1"/>
              </c:strCache>
            </c:strRef>
          </c:tx>
          <c:spPr>
            <a:ln w="28575">
              <a:solidFill>
                <a:srgbClr val="FF0000"/>
              </a:solidFill>
              <a:prstDash val="dash"/>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Sheet1!$E$2:$E$14</c:f>
              <c:numCache>
                <c:formatCode>0.0</c:formatCode>
                <c:ptCount val="13"/>
                <c:pt idx="0" formatCode="General">
                  <c:v>100</c:v>
                </c:pt>
                <c:pt idx="1">
                  <c:v>101.28822672790412</c:v>
                </c:pt>
                <c:pt idx="2">
                  <c:v>101.56827601657884</c:v>
                </c:pt>
                <c:pt idx="3">
                  <c:v>102.29080318135992</c:v>
                </c:pt>
                <c:pt idx="4">
                  <c:v>103.46140920802065</c:v>
                </c:pt>
                <c:pt idx="5">
                  <c:v>103.83107426907139</c:v>
                </c:pt>
                <c:pt idx="6">
                  <c:v>104.09432060042569</c:v>
                </c:pt>
                <c:pt idx="7">
                  <c:v>103.80351741906577</c:v>
                </c:pt>
                <c:pt idx="8">
                  <c:v>103.44483029013109</c:v>
                </c:pt>
                <c:pt idx="9">
                  <c:v>103.7551647810015</c:v>
                </c:pt>
                <c:pt idx="10">
                  <c:v>104.06643027534446</c:v>
                </c:pt>
                <c:pt idx="11">
                  <c:v>104.27456313589516</c:v>
                </c:pt>
                <c:pt idx="12">
                  <c:v>104.378837699031</c:v>
                </c:pt>
              </c:numCache>
            </c:numRef>
          </c:val>
        </c:ser>
        <c:ser>
          <c:idx val="1"/>
          <c:order val="4"/>
          <c:tx>
            <c:strRef>
              <c:f>Sheet1!$F$1</c:f>
              <c:strCache>
                <c:ptCount val="1"/>
                <c:pt idx="0">
                  <c:v>2011</c:v>
                </c:pt>
              </c:strCache>
            </c:strRef>
          </c:tx>
          <c:spPr>
            <a:ln>
              <a:solidFill>
                <a:srgbClr val="FF0000"/>
              </a:solidFill>
            </a:ln>
          </c:spPr>
          <c:marker>
            <c:symbol val="none"/>
          </c:marker>
          <c:cat>
            <c:strRef>
              <c:f>Sheet1!$A$2:$A$14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Sheet1!$F$2:$F$14</c:f>
              <c:numCache>
                <c:formatCode>0.0</c:formatCode>
                <c:ptCount val="13"/>
                <c:pt idx="0" formatCode="General">
                  <c:v>100</c:v>
                </c:pt>
                <c:pt idx="1">
                  <c:v>101.28822672790412</c:v>
                </c:pt>
                <c:pt idx="2">
                  <c:v>101.56827601657884</c:v>
                </c:pt>
                <c:pt idx="3">
                  <c:v>102.29080318135992</c:v>
                </c:pt>
                <c:pt idx="4">
                  <c:v>103.46140920802065</c:v>
                </c:pt>
                <c:pt idx="5">
                  <c:v>103.83107426907139</c:v>
                </c:pt>
                <c:pt idx="6">
                  <c:v>104.09432060042569</c:v>
                </c:pt>
                <c:pt idx="7">
                  <c:v>103.80351741906577</c:v>
                </c:pt>
                <c:pt idx="8">
                  <c:v>103.44483029013109</c:v>
                </c:pt>
              </c:numCache>
            </c:numRef>
          </c:val>
        </c:ser>
        <c:marker val="1"/>
        <c:axId val="170085376"/>
        <c:axId val="170095360"/>
      </c:lineChart>
      <c:catAx>
        <c:axId val="170085376"/>
        <c:scaling>
          <c:orientation val="minMax"/>
        </c:scaling>
        <c:axPos val="b"/>
        <c:majorGridlines>
          <c:spPr>
            <a:ln w="3175">
              <a:solidFill>
                <a:schemeClr val="bg1">
                  <a:lumMod val="85000"/>
                </a:scheme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0095360"/>
        <c:crosses val="autoZero"/>
        <c:auto val="1"/>
        <c:lblAlgn val="ctr"/>
        <c:lblOffset val="100"/>
        <c:tickLblSkip val="1"/>
        <c:tickMarkSkip val="1"/>
      </c:catAx>
      <c:valAx>
        <c:axId val="170095360"/>
        <c:scaling>
          <c:orientation val="minMax"/>
          <c:max val="112"/>
          <c:min val="98"/>
        </c:scaling>
        <c:axPos val="l"/>
        <c:majorGridlines>
          <c:spPr>
            <a:ln w="3175">
              <a:solidFill>
                <a:schemeClr val="bg1">
                  <a:lumMod val="85000"/>
                </a:schemeClr>
              </a:solidFill>
            </a:ln>
          </c:spPr>
        </c:majorGridlines>
        <c:numFmt formatCode="0" sourceLinked="0"/>
        <c:majorTickMark val="cross"/>
        <c:tickLblPos val="nextTo"/>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70085376"/>
        <c:crosses val="autoZero"/>
        <c:crossBetween val="between"/>
      </c:valAx>
      <c:spPr>
        <a:noFill/>
        <a:ln w="6350">
          <a:noFill/>
        </a:ln>
      </c:spPr>
    </c:plotArea>
    <c:legend>
      <c:legendPos val="r"/>
      <c:legendEntry>
        <c:idx val="3"/>
        <c:delete val="1"/>
      </c:legendEntry>
      <c:layout>
        <c:manualLayout>
          <c:xMode val="edge"/>
          <c:yMode val="edge"/>
          <c:x val="0.12708047288971236"/>
          <c:y val="5.5991522895973714E-2"/>
          <c:w val="0.23368859349987781"/>
          <c:h val="0.2683387549529283"/>
        </c:manualLayout>
      </c:layout>
      <c:txPr>
        <a:bodyPr/>
        <a:lstStyle/>
        <a:p>
          <a:pPr>
            <a:defRPr lang="lv-LV" sz="900" b="0"/>
          </a:pPr>
          <a:endParaRPr lang="lv-LV"/>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v-LV"/>
    </a:p>
  </c:txPr>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62179475938704E-2"/>
          <c:y val="3.0441400304414216E-2"/>
          <c:w val="0.90188705852560003"/>
          <c:h val="0.84075413711586133"/>
        </c:manualLayout>
      </c:layout>
      <c:barChart>
        <c:barDir val="col"/>
        <c:grouping val="stacked"/>
        <c:ser>
          <c:idx val="1"/>
          <c:order val="1"/>
          <c:tx>
            <c:strRef>
              <c:f>Sheet1!$D$1</c:f>
              <c:strCache>
                <c:ptCount val="1"/>
                <c:pt idx="0">
                  <c:v>Producer price index in manufacturing</c:v>
                </c:pt>
              </c:strCache>
            </c:strRef>
          </c:tx>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Sheet1!$D$2:$D$73</c:f>
            </c:numRef>
          </c:val>
        </c:ser>
        <c:ser>
          <c:idx val="2"/>
          <c:order val="2"/>
          <c:tx>
            <c:strRef>
              <c:f>Sheet1!$E$1</c:f>
              <c:strCache>
                <c:ptCount val="1"/>
              </c:strCache>
            </c:strRef>
          </c:tx>
          <c:spPr>
            <a:solidFill>
              <a:srgbClr val="FF0000"/>
            </a:solidFill>
            <a:ln w="9525">
              <a:solidFill>
                <a:sysClr val="windowText" lastClr="000000"/>
              </a:solidFill>
              <a:prstDash val="solid"/>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Sheet1!$E$2:$E$73</c:f>
              <c:numCache>
                <c:formatCode>General</c:formatCode>
                <c:ptCount val="36"/>
                <c:pt idx="32" formatCode="0.0">
                  <c:v>4.5338700976242734</c:v>
                </c:pt>
                <c:pt idx="33" formatCode="0.0">
                  <c:v>4.4525548760962073</c:v>
                </c:pt>
                <c:pt idx="34" formatCode="0.0">
                  <c:v>4.4207779588463705</c:v>
                </c:pt>
                <c:pt idx="35" formatCode="0.0">
                  <c:v>4.3788376990310267</c:v>
                </c:pt>
              </c:numCache>
            </c:numRef>
          </c:val>
        </c:ser>
        <c:ser>
          <c:idx val="0"/>
          <c:order val="0"/>
          <c:tx>
            <c:strRef>
              <c:f>Sheet1!$C$1</c:f>
              <c:strCache>
                <c:ptCount val="1"/>
                <c:pt idx="0">
                  <c:v>Consumer price index</c:v>
                </c:pt>
              </c:strCache>
            </c:strRef>
          </c:tx>
          <c:spPr>
            <a:solidFill>
              <a:sysClr val="window" lastClr="FFFFFF">
                <a:lumMod val="85000"/>
              </a:sysClr>
            </a:solidFill>
            <a:ln w="3175">
              <a:solidFill>
                <a:sysClr val="windowText" lastClr="000000"/>
              </a:solidFill>
            </a:ln>
          </c:spPr>
          <c:cat>
            <c:multiLvlStrRef>
              <c:f>Sheet1!$A$2:$B$73</c:f>
              <c:multiLvlStrCache>
                <c:ptCount val="3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lvl>
                <c:lvl>
                  <c:pt idx="0">
                    <c:v>2009</c:v>
                  </c:pt>
                  <c:pt idx="12">
                    <c:v>2010</c:v>
                  </c:pt>
                  <c:pt idx="24">
                    <c:v>2011</c:v>
                  </c:pt>
                </c:lvl>
              </c:multiLvlStrCache>
            </c:multiLvlStrRef>
          </c:cat>
          <c:val>
            <c:numRef>
              <c:f>Sheet1!$C$2:$C$73</c:f>
              <c:numCache>
                <c:formatCode>0.0</c:formatCode>
                <c:ptCount val="36"/>
                <c:pt idx="0">
                  <c:v>9.8340653977549977</c:v>
                </c:pt>
                <c:pt idx="1">
                  <c:v>9.5802974649244437</c:v>
                </c:pt>
                <c:pt idx="2">
                  <c:v>8.2423451222406889</c:v>
                </c:pt>
                <c:pt idx="3">
                  <c:v>6.1886395511921535</c:v>
                </c:pt>
                <c:pt idx="4">
                  <c:v>4.6665122742010245</c:v>
                </c:pt>
                <c:pt idx="5">
                  <c:v>3.3870040253019056</c:v>
                </c:pt>
                <c:pt idx="6">
                  <c:v>2.4537063578512885</c:v>
                </c:pt>
                <c:pt idx="7">
                  <c:v>1.8425749985604796</c:v>
                </c:pt>
                <c:pt idx="8">
                  <c:v>0.51261605057810333</c:v>
                </c:pt>
                <c:pt idx="9">
                  <c:v>-0.8611955420466163</c:v>
                </c:pt>
                <c:pt idx="10">
                  <c:v>-1.1693593944187064</c:v>
                </c:pt>
                <c:pt idx="11">
                  <c:v>-1.2</c:v>
                </c:pt>
                <c:pt idx="12">
                  <c:v>-3.1215285492112783</c:v>
                </c:pt>
                <c:pt idx="13">
                  <c:v>-4.1762831080338598</c:v>
                </c:pt>
                <c:pt idx="14">
                  <c:v>-3.9416698645907631</c:v>
                </c:pt>
                <c:pt idx="15">
                  <c:v>-2.7296241263551777</c:v>
                </c:pt>
                <c:pt idx="16">
                  <c:v>-2.3066710919349589</c:v>
                </c:pt>
                <c:pt idx="17">
                  <c:v>-1.3738250180766438</c:v>
                </c:pt>
                <c:pt idx="18">
                  <c:v>-0.58194840803535897</c:v>
                </c:pt>
                <c:pt idx="19">
                  <c:v>-0.25442415333294854</c:v>
                </c:pt>
                <c:pt idx="20">
                  <c:v>0.41933473111576824</c:v>
                </c:pt>
                <c:pt idx="21">
                  <c:v>0.99358428433542656</c:v>
                </c:pt>
                <c:pt idx="22">
                  <c:v>1.9091168905401616</c:v>
                </c:pt>
                <c:pt idx="23">
                  <c:v>2.5443685026707215</c:v>
                </c:pt>
                <c:pt idx="24">
                  <c:v>3.6807705538355742</c:v>
                </c:pt>
                <c:pt idx="25">
                  <c:v>3.9912834040600971</c:v>
                </c:pt>
                <c:pt idx="26">
                  <c:v>4.2289692957425045</c:v>
                </c:pt>
                <c:pt idx="27">
                  <c:v>4.5091937765205063</c:v>
                </c:pt>
                <c:pt idx="28">
                  <c:v>4.9657437291206641</c:v>
                </c:pt>
                <c:pt idx="29">
                  <c:v>4.8105120685765801</c:v>
                </c:pt>
                <c:pt idx="30">
                  <c:v>4.3118140372601035</c:v>
                </c:pt>
                <c:pt idx="31">
                  <c:v>4.6879038657748708</c:v>
                </c:pt>
              </c:numCache>
            </c:numRef>
          </c:val>
        </c:ser>
        <c:gapWidth val="30"/>
        <c:overlap val="100"/>
        <c:axId val="169835904"/>
        <c:axId val="169834368"/>
      </c:barChart>
      <c:valAx>
        <c:axId val="169834368"/>
        <c:scaling>
          <c:orientation val="minMax"/>
          <c:min val="-5"/>
        </c:scaling>
        <c:axPos val="l"/>
        <c:majorGridlines>
          <c:spPr>
            <a:ln w="3175">
              <a:solidFill>
                <a:sysClr val="window" lastClr="FFFFFF">
                  <a:lumMod val="85000"/>
                </a:sysClr>
              </a:solidFill>
            </a:ln>
          </c:spPr>
        </c:majorGridlines>
        <c:numFmt formatCode="0" sourceLinked="0"/>
        <c:majorTickMark val="cross"/>
        <c:tickLblPos val="nextTo"/>
        <c:spPr>
          <a:ln w="6350">
            <a:solidFill>
              <a:sysClr val="windowText" lastClr="000000"/>
            </a:solidFill>
          </a:ln>
        </c:spPr>
        <c:txPr>
          <a:bodyPr/>
          <a:lstStyle/>
          <a:p>
            <a:pPr>
              <a:defRPr lang="lv-LV" sz="600" b="0">
                <a:latin typeface="Arial" pitchFamily="34" charset="0"/>
                <a:cs typeface="Arial" pitchFamily="34" charset="0"/>
              </a:defRPr>
            </a:pPr>
            <a:endParaRPr lang="lv-LV"/>
          </a:p>
        </c:txPr>
        <c:crossAx val="169835904"/>
        <c:crosses val="autoZero"/>
        <c:crossBetween val="between"/>
      </c:valAx>
      <c:catAx>
        <c:axId val="169835904"/>
        <c:scaling>
          <c:orientation val="minMax"/>
        </c:scaling>
        <c:axPos val="b"/>
        <c:majorGridlines>
          <c:spPr>
            <a:ln w="3175">
              <a:solidFill>
                <a:sysClr val="window" lastClr="FFFFFF">
                  <a:lumMod val="85000"/>
                </a:sysClr>
              </a:solidFill>
            </a:ln>
          </c:spPr>
        </c:majorGridlines>
        <c:majorTickMark val="none"/>
        <c:tickLblPos val="low"/>
        <c:spPr>
          <a:ln w="6350">
            <a:solidFill>
              <a:sysClr val="windowText" lastClr="000000"/>
            </a:solidFill>
          </a:ln>
        </c:spPr>
        <c:txPr>
          <a:bodyPr rot="0"/>
          <a:lstStyle/>
          <a:p>
            <a:pPr>
              <a:defRPr lang="lv-LV" sz="600" b="0">
                <a:latin typeface="Arial" pitchFamily="34" charset="0"/>
                <a:cs typeface="Arial" pitchFamily="34" charset="0"/>
              </a:defRPr>
            </a:pPr>
            <a:endParaRPr lang="lv-LV"/>
          </a:p>
        </c:txPr>
        <c:crossAx val="169834368"/>
        <c:crosses val="autoZero"/>
        <c:auto val="1"/>
        <c:lblAlgn val="ctr"/>
        <c:lblOffset val="0"/>
        <c:tickLblSkip val="2"/>
        <c:noMultiLvlLbl val="1"/>
      </c:catAx>
    </c:plotArea>
    <c:plotVisOnly val="1"/>
    <c:dispBlanksAs val="gap"/>
  </c:chart>
  <c:spPr>
    <a:noFill/>
    <a:ln>
      <a:noFill/>
    </a:ln>
  </c:spPr>
  <c:txPr>
    <a:bodyPr/>
    <a:lstStyle/>
    <a:p>
      <a:pPr>
        <a:defRPr sz="1400" b="0" i="0" u="none" strike="noStrike" baseline="0">
          <a:solidFill>
            <a:srgbClr val="000000"/>
          </a:solidFill>
          <a:latin typeface="Calibri" pitchFamily="34" charset="0"/>
          <a:ea typeface="Arial"/>
          <a:cs typeface="Times New Roman" pitchFamily="18" charset="0"/>
        </a:defRPr>
      </a:pPr>
      <a:endParaRPr lang="lv-LV"/>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-0.41471243869817209</c:v>
                </c:pt>
                <c:pt idx="1">
                  <c:v>-0.33147816243750683</c:v>
                </c:pt>
                <c:pt idx="2">
                  <c:v>-0.31110047846889982</c:v>
                </c:pt>
                <c:pt idx="3">
                  <c:v>-0.25481620326981258</c:v>
                </c:pt>
                <c:pt idx="4">
                  <c:v>0.15524070688604552</c:v>
                </c:pt>
                <c:pt idx="5">
                  <c:v>0.16212783970650468</c:v>
                </c:pt>
                <c:pt idx="6">
                  <c:v>0.25961939158216435</c:v>
                </c:pt>
                <c:pt idx="7">
                  <c:v>0.26076020122973731</c:v>
                </c:pt>
                <c:pt idx="8">
                  <c:v>0.34907028880390401</c:v>
                </c:pt>
                <c:pt idx="9">
                  <c:v>0.32127246236037005</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-0.38535547041294266</c:v>
                </c:pt>
                <c:pt idx="1">
                  <c:v>-0.38116474291710445</c:v>
                </c:pt>
                <c:pt idx="2">
                  <c:v>-0.33604751412970651</c:v>
                </c:pt>
                <c:pt idx="3">
                  <c:v>-0.28708834291688512</c:v>
                </c:pt>
                <c:pt idx="4">
                  <c:v>1.4821997506579976E-2</c:v>
                </c:pt>
                <c:pt idx="5">
                  <c:v>9.2835947435354213E-2</c:v>
                </c:pt>
                <c:pt idx="6">
                  <c:v>0.20920502092050208</c:v>
                </c:pt>
                <c:pt idx="7">
                  <c:v>0.2585423082563425</c:v>
                </c:pt>
                <c:pt idx="8">
                  <c:v>0.24433524433524451</c:v>
                </c:pt>
                <c:pt idx="9">
                  <c:v>0.2298939746573572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-0.52739523174885261</c:v>
                </c:pt>
                <c:pt idx="1">
                  <c:v>-0.55103492424781253</c:v>
                </c:pt>
                <c:pt idx="2">
                  <c:v>-0.40894081788163622</c:v>
                </c:pt>
                <c:pt idx="3">
                  <c:v>-0.40754608294930922</c:v>
                </c:pt>
                <c:pt idx="4">
                  <c:v>-2.9453235155882742E-2</c:v>
                </c:pt>
                <c:pt idx="5">
                  <c:v>0.10345373891001276</c:v>
                </c:pt>
                <c:pt idx="6">
                  <c:v>7.7352814782982324E-2</c:v>
                </c:pt>
                <c:pt idx="7">
                  <c:v>0.20985253605574461</c:v>
                </c:pt>
                <c:pt idx="8">
                  <c:v>0.16626311541565775</c:v>
                </c:pt>
                <c:pt idx="9">
                  <c:v>2.0387652548456342E-2</c:v>
                </c:pt>
              </c:numCache>
            </c:numRef>
          </c:val>
        </c:ser>
        <c:axId val="137468544"/>
        <c:axId val="137474816"/>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-0.1783814589665654</c:v>
                </c:pt>
                <c:pt idx="1">
                  <c:v>-0.19678637111605846</c:v>
                </c:pt>
                <c:pt idx="2">
                  <c:v>-0.13873009391588398</c:v>
                </c:pt>
                <c:pt idx="3">
                  <c:v>-0.10415307675581659</c:v>
                </c:pt>
                <c:pt idx="4">
                  <c:v>-3.4682080924855481E-2</c:v>
                </c:pt>
                <c:pt idx="5">
                  <c:v>3.1453362255965255E-2</c:v>
                </c:pt>
                <c:pt idx="6">
                  <c:v>3.1527794239658569E-2</c:v>
                </c:pt>
                <c:pt idx="7">
                  <c:v>0.10048543689320398</c:v>
                </c:pt>
                <c:pt idx="8">
                  <c:v>8.1317365269461248E-2</c:v>
                </c:pt>
                <c:pt idx="9">
                  <c:v>7.2204696810374919E-2</c:v>
                </c:pt>
              </c:numCache>
            </c:numRef>
          </c:val>
        </c:ser>
        <c:marker val="1"/>
        <c:axId val="137468544"/>
        <c:axId val="137474816"/>
      </c:lineChart>
      <c:catAx>
        <c:axId val="13746854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474816"/>
        <c:crosses val="autoZero"/>
        <c:auto val="1"/>
        <c:lblAlgn val="ctr"/>
        <c:lblOffset val="0"/>
        <c:tickLblSkip val="1"/>
        <c:tickMarkSkip val="1"/>
        <c:noMultiLvlLbl val="1"/>
      </c:catAx>
      <c:valAx>
        <c:axId val="137474816"/>
        <c:scaling>
          <c:orientation val="minMax"/>
          <c:max val="0.60000000000000064"/>
          <c:min val="-0.6000000000000006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468544"/>
        <c:crosses val="autoZero"/>
        <c:crossBetween val="between"/>
        <c:majorUnit val="0.2"/>
      </c:valAx>
    </c:plotArea>
    <c:legend>
      <c:legendPos val="b"/>
      <c:layout>
        <c:manualLayout>
          <c:xMode val="edge"/>
          <c:yMode val="edge"/>
          <c:x val="0.10490843621399178"/>
          <c:y val="4.3183657895817754E-2"/>
          <c:w val="0.69578326474621577"/>
          <c:h val="0.18457998094887329"/>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3.386079429155113E-2"/>
          <c:w val="0.92690756726289381"/>
          <c:h val="0.78831389579641842"/>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0.66734732643176065</c:v>
                </c:pt>
                <c:pt idx="1">
                  <c:v>-4.1504608663221254E-2</c:v>
                </c:pt>
                <c:pt idx="2">
                  <c:v>-9.2146242383209342E-2</c:v>
                </c:pt>
                <c:pt idx="3">
                  <c:v>-0.16322849735091871</c:v>
                </c:pt>
                <c:pt idx="4">
                  <c:v>-0.47688758508729573</c:v>
                </c:pt>
                <c:pt idx="5">
                  <c:v>0.50533629794330159</c:v>
                </c:pt>
                <c:pt idx="6">
                  <c:v>-0.16962487881273769</c:v>
                </c:pt>
                <c:pt idx="7">
                  <c:v>-0.26337060487673447</c:v>
                </c:pt>
                <c:pt idx="8" formatCode="General">
                  <c:v>0.1360047912016118</c:v>
                </c:pt>
                <c:pt idx="9" formatCode="General">
                  <c:v>3.3307484952549628E-2</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0.37615879594285251</c:v>
                </c:pt>
                <c:pt idx="1">
                  <c:v>-4.4784241171029103E-2</c:v>
                </c:pt>
                <c:pt idx="2">
                  <c:v>-7.7117253565568533E-2</c:v>
                </c:pt>
                <c:pt idx="3">
                  <c:v>-7.5588258440229761E-2</c:v>
                </c:pt>
                <c:pt idx="4">
                  <c:v>-0.23113805674433371</c:v>
                </c:pt>
                <c:pt idx="5">
                  <c:v>0.3628802552124884</c:v>
                </c:pt>
                <c:pt idx="6">
                  <c:v>1.1989423778264088E-2</c:v>
                </c:pt>
                <c:pt idx="7">
                  <c:v>-6.4572425828970506E-2</c:v>
                </c:pt>
                <c:pt idx="8" formatCode="General">
                  <c:v>6.4783796320156892E-2</c:v>
                </c:pt>
                <c:pt idx="9" formatCode="General">
                  <c:v>9.7600735662932495E-2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3.2405201170944448E-2</c:v>
                </c:pt>
                <c:pt idx="1">
                  <c:v>-0.26759897311174241</c:v>
                </c:pt>
                <c:pt idx="2">
                  <c:v>-0.29726588443657276</c:v>
                </c:pt>
                <c:pt idx="3">
                  <c:v>9.1725465041693641E-2</c:v>
                </c:pt>
                <c:pt idx="4">
                  <c:v>8.6646884272997063E-2</c:v>
                </c:pt>
                <c:pt idx="5">
                  <c:v>1.1670510100544234</c:v>
                </c:pt>
                <c:pt idx="6">
                  <c:v>0.84161612979443956</c:v>
                </c:pt>
                <c:pt idx="7">
                  <c:v>0.24477085781433641</c:v>
                </c:pt>
                <c:pt idx="8" formatCode="General">
                  <c:v>3.113052976515563E-2</c:v>
                </c:pt>
                <c:pt idx="9" formatCode="General">
                  <c:v>0.20801941003703281</c:v>
                </c:pt>
              </c:numCache>
            </c:numRef>
          </c:val>
        </c:ser>
        <c:axId val="137533696"/>
        <c:axId val="13753587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-0.15432925808072381</c:v>
                </c:pt>
                <c:pt idx="1">
                  <c:v>-0.14513274336283191</c:v>
                </c:pt>
                <c:pt idx="2">
                  <c:v>-0.12520896021397532</c:v>
                </c:pt>
                <c:pt idx="3">
                  <c:v>9.7574574853638296E-3</c:v>
                </c:pt>
                <c:pt idx="4">
                  <c:v>0.1187246262006144</c:v>
                </c:pt>
                <c:pt idx="5">
                  <c:v>0.15340629005225312</c:v>
                </c:pt>
                <c:pt idx="6">
                  <c:v>0.13328874450601971</c:v>
                </c:pt>
                <c:pt idx="7">
                  <c:v>9.9576661144855833E-2</c:v>
                </c:pt>
                <c:pt idx="8" formatCode="General">
                  <c:v>0.10745264648610392</c:v>
                </c:pt>
                <c:pt idx="9" formatCode="General">
                  <c:v>7.9921360800068411E-2</c:v>
                </c:pt>
              </c:numCache>
            </c:numRef>
          </c:val>
        </c:ser>
        <c:marker val="1"/>
        <c:axId val="137533696"/>
        <c:axId val="137535872"/>
      </c:lineChart>
      <c:catAx>
        <c:axId val="13753369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535872"/>
        <c:crosses val="autoZero"/>
        <c:auto val="1"/>
        <c:lblAlgn val="ctr"/>
        <c:lblOffset val="0"/>
        <c:tickLblSkip val="1"/>
        <c:tickMarkSkip val="1"/>
        <c:noMultiLvlLbl val="1"/>
      </c:catAx>
      <c:valAx>
        <c:axId val="137535872"/>
        <c:scaling>
          <c:orientation val="minMax"/>
          <c:max val="1.5"/>
          <c:min val="-0.5"/>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533696"/>
        <c:crosses val="autoZero"/>
        <c:crossBetween val="between"/>
        <c:majorUnit val="0.5"/>
      </c:valAx>
    </c:plotArea>
    <c:legend>
      <c:legendPos val="b"/>
      <c:layout>
        <c:manualLayout>
          <c:xMode val="edge"/>
          <c:yMode val="edge"/>
          <c:x val="0.17894821673525418"/>
          <c:y val="6.8421763858767304E-2"/>
          <c:w val="0.34736076817559725"/>
          <c:h val="0.29394510678832175"/>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-9.7712971926427916E-2</c:v>
                </c:pt>
                <c:pt idx="1">
                  <c:v>-0.21280694174407724</c:v>
                </c:pt>
                <c:pt idx="2">
                  <c:v>-0.31021052792983517</c:v>
                </c:pt>
                <c:pt idx="3">
                  <c:v>5.7447935051182522E-2</c:v>
                </c:pt>
                <c:pt idx="4">
                  <c:v>0.34652093251972538</c:v>
                </c:pt>
                <c:pt idx="5">
                  <c:v>0.77220024241315621</c:v>
                </c:pt>
                <c:pt idx="6">
                  <c:v>0.63230782910238714</c:v>
                </c:pt>
                <c:pt idx="7">
                  <c:v>0.55802386714512264</c:v>
                </c:pt>
                <c:pt idx="8" formatCode="0.000">
                  <c:v>0.597191328309153</c:v>
                </c:pt>
                <c:pt idx="9" formatCode="0.000">
                  <c:v>-0.13145703482895241</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-0.14848096902850938</c:v>
                </c:pt>
                <c:pt idx="1">
                  <c:v>-0.18757955991998537</c:v>
                </c:pt>
                <c:pt idx="2">
                  <c:v>-0.31397653721682939</c:v>
                </c:pt>
                <c:pt idx="3">
                  <c:v>1.170354192384382E-2</c:v>
                </c:pt>
                <c:pt idx="4">
                  <c:v>0.3012981756151154</c:v>
                </c:pt>
                <c:pt idx="5">
                  <c:v>0.59208170117515357</c:v>
                </c:pt>
                <c:pt idx="6">
                  <c:v>0.60196951381313313</c:v>
                </c:pt>
                <c:pt idx="7">
                  <c:v>0.54140366520402639</c:v>
                </c:pt>
                <c:pt idx="8" formatCode="0.000">
                  <c:v>0.57080963384287431</c:v>
                </c:pt>
                <c:pt idx="9" formatCode="0.000">
                  <c:v>-7.9611957610586814E-2</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-0.39167932791134213</c:v>
                </c:pt>
                <c:pt idx="1">
                  <c:v>-9.3266043243778296E-2</c:v>
                </c:pt>
                <c:pt idx="2">
                  <c:v>-0.36256485165969965</c:v>
                </c:pt>
                <c:pt idx="3">
                  <c:v>-0.25422845227062085</c:v>
                </c:pt>
                <c:pt idx="4">
                  <c:v>-8.1539704694041371E-3</c:v>
                </c:pt>
                <c:pt idx="5">
                  <c:v>-0.18492851686128994</c:v>
                </c:pt>
                <c:pt idx="6">
                  <c:v>0.39707625444488437</c:v>
                </c:pt>
                <c:pt idx="7">
                  <c:v>0.58601941747572805</c:v>
                </c:pt>
                <c:pt idx="8" formatCode="0.000">
                  <c:v>0.50422159680047374</c:v>
                </c:pt>
                <c:pt idx="9" formatCode="0.000">
                  <c:v>0.43449153109727584</c:v>
                </c:pt>
              </c:numCache>
            </c:numRef>
          </c:val>
        </c:ser>
        <c:axId val="137561984"/>
        <c:axId val="137572352"/>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-0.37492510485320635</c:v>
                </c:pt>
                <c:pt idx="1">
                  <c:v>-0.37438313144908097</c:v>
                </c:pt>
                <c:pt idx="2">
                  <c:v>-0.30115049751243822</c:v>
                </c:pt>
                <c:pt idx="3">
                  <c:v>-9.734339770610731E-2</c:v>
                </c:pt>
                <c:pt idx="4">
                  <c:v>0.19039060627845658</c:v>
                </c:pt>
                <c:pt idx="5">
                  <c:v>0.30405163140910707</c:v>
                </c:pt>
                <c:pt idx="6">
                  <c:v>0.22324805339265841</c:v>
                </c:pt>
                <c:pt idx="7">
                  <c:v>0.25119461337967053</c:v>
                </c:pt>
                <c:pt idx="8" formatCode="0.000">
                  <c:v>0.24620030196275824</c:v>
                </c:pt>
                <c:pt idx="9" formatCode="0.000">
                  <c:v>0.10182384749335527</c:v>
                </c:pt>
              </c:numCache>
            </c:numRef>
          </c:val>
        </c:ser>
        <c:marker val="1"/>
        <c:axId val="137561984"/>
        <c:axId val="137572352"/>
      </c:lineChart>
      <c:catAx>
        <c:axId val="13756198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572352"/>
        <c:crosses val="autoZero"/>
        <c:auto val="1"/>
        <c:lblAlgn val="ctr"/>
        <c:lblOffset val="0"/>
        <c:tickLblSkip val="1"/>
        <c:tickMarkSkip val="1"/>
        <c:noMultiLvlLbl val="1"/>
      </c:catAx>
      <c:valAx>
        <c:axId val="137572352"/>
        <c:scaling>
          <c:orientation val="minMax"/>
          <c:max val="0.8"/>
          <c:min val="-0.60000000000000064"/>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37561984"/>
        <c:crosses val="autoZero"/>
        <c:crossBetween val="between"/>
        <c:majorUnit val="0.2"/>
      </c:valAx>
    </c:plotArea>
    <c:legend>
      <c:legendPos val="b"/>
      <c:layout>
        <c:manualLayout>
          <c:xMode val="edge"/>
          <c:yMode val="edge"/>
          <c:x val="0.10926371742112514"/>
          <c:y val="4.3183657895817754E-2"/>
          <c:w val="0.34736076817558492"/>
          <c:h val="0.31918321275127148"/>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533800000000000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-0.13200000000000001</c:v>
                </c:pt>
                <c:pt idx="1">
                  <c:v>-0.17</c:v>
                </c:pt>
                <c:pt idx="2">
                  <c:v>-0.17600000000000021</c:v>
                </c:pt>
                <c:pt idx="3">
                  <c:v>-8.7000000000000022E-2</c:v>
                </c:pt>
                <c:pt idx="4">
                  <c:v>-4.2000000000000023E-2</c:v>
                </c:pt>
                <c:pt idx="5">
                  <c:v>2.5000000000000001E-2</c:v>
                </c:pt>
                <c:pt idx="6">
                  <c:v>4.5000000000000012E-2</c:v>
                </c:pt>
                <c:pt idx="7">
                  <c:v>6.0000000000000032E-2</c:v>
                </c:pt>
                <c:pt idx="8">
                  <c:v>9.5000000000000043E-2</c:v>
                </c:pt>
                <c:pt idx="9">
                  <c:v>8.4000000000000047E-2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0.000</c:formatCode>
                <c:ptCount val="10"/>
                <c:pt idx="0">
                  <c:v>-0.18400000000000025</c:v>
                </c:pt>
                <c:pt idx="1">
                  <c:v>-0.1860000000000003</c:v>
                </c:pt>
                <c:pt idx="2">
                  <c:v>-0.18000000000000024</c:v>
                </c:pt>
                <c:pt idx="3">
                  <c:v>-0.16</c:v>
                </c:pt>
                <c:pt idx="4">
                  <c:v>-5.5000000000000014E-2</c:v>
                </c:pt>
                <c:pt idx="5">
                  <c:v>-3.500000000000001E-2</c:v>
                </c:pt>
                <c:pt idx="6">
                  <c:v>3.500000000000001E-2</c:v>
                </c:pt>
                <c:pt idx="7">
                  <c:v>3.6000000000000011E-2</c:v>
                </c:pt>
                <c:pt idx="8" formatCode="General">
                  <c:v>3.500000000000001E-2</c:v>
                </c:pt>
                <c:pt idx="9" formatCode="General">
                  <c:v>5.5999999999999994E-2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0.000</c:formatCode>
                <c:ptCount val="10"/>
                <c:pt idx="0">
                  <c:v>-0.14000000000000001</c:v>
                </c:pt>
                <c:pt idx="1">
                  <c:v>-0.15900000000000028</c:v>
                </c:pt>
                <c:pt idx="2">
                  <c:v>-0.14500000000000021</c:v>
                </c:pt>
                <c:pt idx="3">
                  <c:v>-0.14500000000000021</c:v>
                </c:pt>
                <c:pt idx="4">
                  <c:v>-2.0000000000000011E-2</c:v>
                </c:pt>
                <c:pt idx="5">
                  <c:v>1.0000000000000005E-2</c:v>
                </c:pt>
                <c:pt idx="6">
                  <c:v>1.2E-2</c:v>
                </c:pt>
                <c:pt idx="7">
                  <c:v>4.8000000000000001E-2</c:v>
                </c:pt>
                <c:pt idx="8" formatCode="General">
                  <c:v>6.9000000000000034E-2</c:v>
                </c:pt>
                <c:pt idx="9" formatCode="General">
                  <c:v>6.3E-2</c:v>
                </c:pt>
              </c:numCache>
            </c:numRef>
          </c:val>
        </c:ser>
        <c:gapWidth val="75"/>
        <c:overlap val="-25"/>
        <c:axId val="136977408"/>
        <c:axId val="13726553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-5.5000000000000014E-2</c:v>
                </c:pt>
                <c:pt idx="1">
                  <c:v>-5.7000000000000023E-2</c:v>
                </c:pt>
                <c:pt idx="2">
                  <c:v>-4.2000000000000023E-2</c:v>
                </c:pt>
                <c:pt idx="3">
                  <c:v>-2.0000000000000011E-2</c:v>
                </c:pt>
                <c:pt idx="4">
                  <c:v>9.0000000000000028E-3</c:v>
                </c:pt>
                <c:pt idx="5">
                  <c:v>2.3E-2</c:v>
                </c:pt>
                <c:pt idx="6">
                  <c:v>2.1000000000000012E-2</c:v>
                </c:pt>
                <c:pt idx="7">
                  <c:v>2.0000000000000011E-2</c:v>
                </c:pt>
                <c:pt idx="8">
                  <c:v>2.4E-2</c:v>
                </c:pt>
                <c:pt idx="9">
                  <c:v>1.7000000000000001E-2</c:v>
                </c:pt>
              </c:numCache>
            </c:numRef>
          </c:val>
        </c:ser>
        <c:marker val="1"/>
        <c:axId val="136977408"/>
        <c:axId val="137265536"/>
      </c:lineChart>
      <c:catAx>
        <c:axId val="136977408"/>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37265536"/>
        <c:crosses val="autoZero"/>
        <c:auto val="1"/>
        <c:lblAlgn val="ctr"/>
        <c:lblOffset val="0"/>
        <c:tickLblSkip val="1"/>
        <c:tickMarkSkip val="1"/>
        <c:noMultiLvlLbl val="1"/>
      </c:catAx>
      <c:valAx>
        <c:axId val="137265536"/>
        <c:scaling>
          <c:orientation val="minMax"/>
          <c:max val="0.1"/>
          <c:min val="-0.2"/>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36977408"/>
        <c:crosses val="autoZero"/>
        <c:crossBetween val="between"/>
        <c:majorUnit val="0.05"/>
      </c:valAx>
      <c:spPr>
        <a:noFill/>
        <a:ln w="6350">
          <a:solidFill>
            <a:sysClr val="window" lastClr="FFFFFF">
              <a:lumMod val="75000"/>
            </a:sysClr>
          </a:solidFill>
        </a:ln>
      </c:spPr>
    </c:plotArea>
    <c:legend>
      <c:legendPos val="b"/>
      <c:layout>
        <c:manualLayout>
          <c:xMode val="edge"/>
          <c:yMode val="edge"/>
          <c:x val="0.68135166272532754"/>
          <c:y val="0.45396885389326502"/>
          <c:w val="0.27024349679062393"/>
          <c:h val="0.27489950422863807"/>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-6.4281676491964701E-2</c:v>
                </c:pt>
                <c:pt idx="1">
                  <c:v>-0.31794737872951673</c:v>
                </c:pt>
                <c:pt idx="2">
                  <c:v>-0.23496540713145336</c:v>
                </c:pt>
                <c:pt idx="3">
                  <c:v>3.5022354694485884E-2</c:v>
                </c:pt>
                <c:pt idx="4">
                  <c:v>8.8115992060067497E-2</c:v>
                </c:pt>
                <c:pt idx="5">
                  <c:v>0.52282952043649011</c:v>
                </c:pt>
                <c:pt idx="6">
                  <c:v>0.43321739130434878</c:v>
                </c:pt>
                <c:pt idx="7">
                  <c:v>0.43012558995280503</c:v>
                </c:pt>
                <c:pt idx="8" formatCode="0.000">
                  <c:v>0.40609137055837574</c:v>
                </c:pt>
                <c:pt idx="9" formatCode="0.000">
                  <c:v>0.22452699729712741</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-0.30087583719732164</c:v>
                </c:pt>
                <c:pt idx="1">
                  <c:v>-0.45678943865098726</c:v>
                </c:pt>
                <c:pt idx="2">
                  <c:v>-0.22293858160841529</c:v>
                </c:pt>
                <c:pt idx="3">
                  <c:v>1.1193724977530907E-2</c:v>
                </c:pt>
                <c:pt idx="4">
                  <c:v>5.9690493736182924E-2</c:v>
                </c:pt>
                <c:pt idx="5">
                  <c:v>0.51465332380271556</c:v>
                </c:pt>
                <c:pt idx="6">
                  <c:v>0.49371179039301338</c:v>
                </c:pt>
                <c:pt idx="7">
                  <c:v>0.36449579831932782</c:v>
                </c:pt>
                <c:pt idx="8" formatCode="0.000">
                  <c:v>0.6369089012517386</c:v>
                </c:pt>
                <c:pt idx="9" formatCode="0.000">
                  <c:v>0.49841569473471364</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-0.54765187023251682</c:v>
                </c:pt>
                <c:pt idx="1">
                  <c:v>-0.6207740882340318</c:v>
                </c:pt>
                <c:pt idx="2">
                  <c:v>-0.22121650977552498</c:v>
                </c:pt>
                <c:pt idx="3">
                  <c:v>-3.290343915343908E-2</c:v>
                </c:pt>
                <c:pt idx="4">
                  <c:v>2.590410402275501E-2</c:v>
                </c:pt>
                <c:pt idx="5">
                  <c:v>0.50577707294970564</c:v>
                </c:pt>
                <c:pt idx="6">
                  <c:v>0.59916317991631596</c:v>
                </c:pt>
                <c:pt idx="7">
                  <c:v>0.26688322790220598</c:v>
                </c:pt>
                <c:pt idx="8" formatCode="0.000">
                  <c:v>1.0953559758391922</c:v>
                </c:pt>
                <c:pt idx="9" formatCode="0.000">
                  <c:v>0.98758745204242759</c:v>
                </c:pt>
              </c:numCache>
            </c:numRef>
          </c:val>
        </c:ser>
        <c:axId val="139896320"/>
        <c:axId val="139898240"/>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-0.25358767938396992</c:v>
                </c:pt>
                <c:pt idx="1">
                  <c:v>-0.26349121398626352</c:v>
                </c:pt>
                <c:pt idx="2">
                  <c:v>-0.18850987432675048</c:v>
                </c:pt>
                <c:pt idx="3">
                  <c:v>-8.518216975371469E-2</c:v>
                </c:pt>
                <c:pt idx="4">
                  <c:v>6.9284876905040954E-2</c:v>
                </c:pt>
                <c:pt idx="5">
                  <c:v>0.18384401114206192</c:v>
                </c:pt>
                <c:pt idx="6">
                  <c:v>0.14194224499301344</c:v>
                </c:pt>
                <c:pt idx="7">
                  <c:v>0.10201357214373119</c:v>
                </c:pt>
                <c:pt idx="8" formatCode="0.000">
                  <c:v>0.10623835105799806</c:v>
                </c:pt>
                <c:pt idx="9" formatCode="0.000">
                  <c:v>1.3196930946291596E-2</c:v>
                </c:pt>
              </c:numCache>
            </c:numRef>
          </c:val>
        </c:ser>
        <c:marker val="1"/>
        <c:axId val="139896320"/>
        <c:axId val="139898240"/>
      </c:lineChart>
      <c:catAx>
        <c:axId val="139896320"/>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39898240"/>
        <c:crosses val="autoZero"/>
        <c:auto val="1"/>
        <c:lblAlgn val="ctr"/>
        <c:lblOffset val="0"/>
        <c:tickLblSkip val="1"/>
        <c:tickMarkSkip val="1"/>
        <c:noMultiLvlLbl val="1"/>
      </c:catAx>
      <c:valAx>
        <c:axId val="139898240"/>
        <c:scaling>
          <c:orientation val="minMax"/>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39896320"/>
        <c:crosses val="autoZero"/>
        <c:crossBetween val="between"/>
      </c:valAx>
    </c:plotArea>
    <c:legend>
      <c:legendPos val="b"/>
      <c:layout>
        <c:manualLayout>
          <c:xMode val="edge"/>
          <c:yMode val="edge"/>
          <c:x val="0.14410596707818932"/>
          <c:y val="7.6834465846417316E-2"/>
          <c:w val="0.36478189300412739"/>
          <c:h val="0.3275959147389214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-0.58857782754759269</c:v>
                </c:pt>
                <c:pt idx="1">
                  <c:v>-0.61049177163264323</c:v>
                </c:pt>
                <c:pt idx="2">
                  <c:v>-0.60186812634962084</c:v>
                </c:pt>
                <c:pt idx="3">
                  <c:v>-0.33415101571483385</c:v>
                </c:pt>
                <c:pt idx="4">
                  <c:v>0.2581654872074039</c:v>
                </c:pt>
                <c:pt idx="5">
                  <c:v>0.18547887498451265</c:v>
                </c:pt>
                <c:pt idx="6">
                  <c:v>0.32732088799192877</c:v>
                </c:pt>
                <c:pt idx="7">
                  <c:v>7.8286898457287535E-2</c:v>
                </c:pt>
                <c:pt idx="8" formatCode="General">
                  <c:v>0.45657111952406698</c:v>
                </c:pt>
                <c:pt idx="9" formatCode="General">
                  <c:v>0.34260033444816029</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-0.5110888443553776</c:v>
                </c:pt>
                <c:pt idx="1">
                  <c:v>-0.62404663325343424</c:v>
                </c:pt>
                <c:pt idx="2">
                  <c:v>-0.61321203472469976</c:v>
                </c:pt>
                <c:pt idx="3">
                  <c:v>-0.36721457130164498</c:v>
                </c:pt>
                <c:pt idx="4">
                  <c:v>6.5992621942888616E-2</c:v>
                </c:pt>
                <c:pt idx="5">
                  <c:v>0.24605129691349098</c:v>
                </c:pt>
                <c:pt idx="6">
                  <c:v>0.5197540353574176</c:v>
                </c:pt>
                <c:pt idx="7">
                  <c:v>0.45478798090424127</c:v>
                </c:pt>
                <c:pt idx="8" formatCode="General">
                  <c:v>0.73096641886695657</c:v>
                </c:pt>
                <c:pt idx="9" formatCode="General">
                  <c:v>0.65228514943598115</c:v>
                </c:pt>
              </c:numCache>
            </c:numRef>
          </c:val>
        </c:ser>
        <c:ser>
          <c:idx val="2"/>
          <c:order val="2"/>
          <c:tx>
            <c:strRef>
              <c:f>Sheet1!$A$5</c:f>
              <c:strCache>
                <c:ptCount val="1"/>
                <c:pt idx="0">
                  <c:v>LV Iekšējais tirgus</c:v>
                </c:pt>
              </c:strCache>
            </c:strRef>
          </c:tx>
          <c:spPr>
            <a:solidFill>
              <a:schemeClr val="bg1">
                <a:lumMod val="9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-0.22961077526779095</c:v>
                </c:pt>
                <c:pt idx="1">
                  <c:v>-0.66304976851852082</c:v>
                </c:pt>
                <c:pt idx="2">
                  <c:v>-0.65306872473355382</c:v>
                </c:pt>
                <c:pt idx="3">
                  <c:v>-0.47283650773360686</c:v>
                </c:pt>
                <c:pt idx="4">
                  <c:v>-0.30685572687224766</c:v>
                </c:pt>
                <c:pt idx="5">
                  <c:v>0.44718763417775881</c:v>
                </c:pt>
                <c:pt idx="6">
                  <c:v>1.2947563559322037</c:v>
                </c:pt>
                <c:pt idx="7">
                  <c:v>1.9745392822502419</c:v>
                </c:pt>
                <c:pt idx="8" formatCode="General">
                  <c:v>1.697120158887786</c:v>
                </c:pt>
                <c:pt idx="9" formatCode="General">
                  <c:v>1.4951787568609998</c:v>
                </c:pt>
              </c:numCache>
            </c:numRef>
          </c:val>
        </c:ser>
        <c:axId val="140469376"/>
        <c:axId val="140471296"/>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-0.36547548730065116</c:v>
                </c:pt>
                <c:pt idx="1">
                  <c:v>-0.40416318468434242</c:v>
                </c:pt>
                <c:pt idx="2">
                  <c:v>-0.3182034976152629</c:v>
                </c:pt>
                <c:pt idx="3">
                  <c:v>-9.2535225342260649E-2</c:v>
                </c:pt>
                <c:pt idx="4">
                  <c:v>0.1398650221084477</c:v>
                </c:pt>
                <c:pt idx="5">
                  <c:v>0.38110416932296426</c:v>
                </c:pt>
                <c:pt idx="6">
                  <c:v>0.31607788270957293</c:v>
                </c:pt>
                <c:pt idx="7">
                  <c:v>0.28466027970487939</c:v>
                </c:pt>
                <c:pt idx="8" formatCode="General">
                  <c:v>0.27347897100857588</c:v>
                </c:pt>
                <c:pt idx="9" formatCode="General">
                  <c:v>0.16543574593796195</c:v>
                </c:pt>
              </c:numCache>
            </c:numRef>
          </c:val>
        </c:ser>
        <c:marker val="1"/>
        <c:axId val="140469376"/>
        <c:axId val="140471296"/>
      </c:lineChart>
      <c:catAx>
        <c:axId val="140469376"/>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40471296"/>
        <c:crosses val="autoZero"/>
        <c:auto val="1"/>
        <c:lblAlgn val="ctr"/>
        <c:lblOffset val="0"/>
        <c:tickLblSkip val="1"/>
        <c:tickMarkSkip val="1"/>
        <c:noMultiLvlLbl val="1"/>
      </c:catAx>
      <c:valAx>
        <c:axId val="140471296"/>
        <c:scaling>
          <c:orientation val="minMax"/>
          <c:max val="2.5"/>
          <c:min val="-1"/>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40469376"/>
        <c:crosses val="autoZero"/>
        <c:crossBetween val="between"/>
        <c:majorUnit val="0.5"/>
      </c:valAx>
    </c:plotArea>
    <c:legend>
      <c:legendPos val="b"/>
      <c:layout>
        <c:manualLayout>
          <c:xMode val="edge"/>
          <c:yMode val="edge"/>
          <c:x val="0.15717181069958816"/>
          <c:y val="9.3659869821717201E-2"/>
          <c:w val="0.36913717421124831"/>
          <c:h val="0.32759591473892141"/>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v-LV"/>
  <c:style val="1"/>
  <c:chart>
    <c:autoTitleDeleted val="1"/>
    <c:plotArea>
      <c:layout>
        <c:manualLayout>
          <c:layoutTarget val="inner"/>
          <c:xMode val="edge"/>
          <c:yMode val="edge"/>
          <c:x val="6.1452852608155605E-2"/>
          <c:y val="5.5276381909549123E-2"/>
          <c:w val="0.92690756726289381"/>
          <c:h val="0.76307579973555961"/>
        </c:manualLayout>
      </c:layout>
      <c:barChart>
        <c:barDir val="col"/>
        <c:grouping val="clustered"/>
        <c:ser>
          <c:idx val="0"/>
          <c:order val="0"/>
          <c:tx>
            <c:strRef>
              <c:f>Sheet1!$A$3</c:f>
              <c:strCache>
                <c:ptCount val="1"/>
                <c:pt idx="0">
                  <c:v>LV Eksports</c:v>
                </c:pt>
              </c:strCache>
            </c:strRef>
          </c:tx>
          <c:spPr>
            <a:solidFill>
              <a:schemeClr val="bg1">
                <a:lumMod val="65000"/>
              </a:schemeClr>
            </a:solidFill>
            <a:ln w="3175">
              <a:solidFill>
                <a:srgbClr val="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c:formatCode>
                <c:ptCount val="10"/>
                <c:pt idx="0">
                  <c:v>-0.38214887501239042</c:v>
                </c:pt>
                <c:pt idx="1">
                  <c:v>-0.38770130093415156</c:v>
                </c:pt>
                <c:pt idx="2">
                  <c:v>-0.39987714987715101</c:v>
                </c:pt>
                <c:pt idx="3">
                  <c:v>-0.39927576601671338</c:v>
                </c:pt>
                <c:pt idx="4">
                  <c:v>-8.5906793935991127E-2</c:v>
                </c:pt>
                <c:pt idx="5">
                  <c:v>0.18008236615499848</c:v>
                </c:pt>
                <c:pt idx="6">
                  <c:v>0.32378027976799822</c:v>
                </c:pt>
                <c:pt idx="7">
                  <c:v>0.33979412037466494</c:v>
                </c:pt>
                <c:pt idx="8">
                  <c:v>0.54887679887679852</c:v>
                </c:pt>
                <c:pt idx="9">
                  <c:v>0.68781725888324852</c:v>
                </c:pt>
              </c:numCache>
            </c:numRef>
          </c:val>
        </c:ser>
        <c:ser>
          <c:idx val="1"/>
          <c:order val="1"/>
          <c:tx>
            <c:strRef>
              <c:f>Sheet1!$A$4</c:f>
              <c:strCache>
                <c:ptCount val="1"/>
                <c:pt idx="0">
                  <c:v>LV Pavisam</c:v>
                </c:pt>
              </c:strCache>
            </c:strRef>
          </c:tx>
          <c:spPr>
            <a:solidFill>
              <a:srgbClr val="FF0000"/>
            </a:solidFill>
            <a:ln>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c:formatCode>
                <c:ptCount val="10"/>
                <c:pt idx="0">
                  <c:v>-0.38172858225928841</c:v>
                </c:pt>
                <c:pt idx="1">
                  <c:v>-0.55928928268451472</c:v>
                </c:pt>
                <c:pt idx="2">
                  <c:v>-0.46838703406716242</c:v>
                </c:pt>
                <c:pt idx="3">
                  <c:v>-0.43833735998242973</c:v>
                </c:pt>
                <c:pt idx="4">
                  <c:v>-8.1019532276429898E-2</c:v>
                </c:pt>
                <c:pt idx="5">
                  <c:v>0.27301892845685011</c:v>
                </c:pt>
                <c:pt idx="6">
                  <c:v>0.29481671085108374</c:v>
                </c:pt>
                <c:pt idx="7">
                  <c:v>0.2368755499071267</c:v>
                </c:pt>
                <c:pt idx="8">
                  <c:v>0.47445672893633239</c:v>
                </c:pt>
                <c:pt idx="9">
                  <c:v>0.46169354838709675</c:v>
                </c:pt>
              </c:numCache>
            </c:numRef>
          </c:val>
        </c:ser>
        <c:ser>
          <c:idx val="2"/>
          <c:order val="2"/>
          <c:tx>
            <c:strRef>
              <c:f>Sheet1!$A$5</c:f>
              <c:strCache>
                <c:ptCount val="1"/>
                <c:pt idx="0">
                  <c:v>LV Iekšējais tirgus</c:v>
                </c:pt>
              </c:strCache>
            </c:strRef>
          </c:tx>
          <c:spPr>
            <a:solidFill>
              <a:schemeClr val="bg1">
                <a:lumMod val="95000"/>
              </a:schemeClr>
            </a:solidFill>
            <a:ln w="3175">
              <a:solidFill>
                <a:schemeClr val="tx1"/>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c:formatCode>
                <c:ptCount val="10"/>
                <c:pt idx="0">
                  <c:v>-0.47606253053248682</c:v>
                </c:pt>
                <c:pt idx="1">
                  <c:v>-0.78763263121438265</c:v>
                </c:pt>
                <c:pt idx="2">
                  <c:v>-0.67881136950904464</c:v>
                </c:pt>
                <c:pt idx="3">
                  <c:v>-0.62723100458949699</c:v>
                </c:pt>
                <c:pt idx="4">
                  <c:v>-0.10054390054390051</c:v>
                </c:pt>
                <c:pt idx="5">
                  <c:v>0.5319495922905878</c:v>
                </c:pt>
                <c:pt idx="6">
                  <c:v>-9.9490480021453567E-2</c:v>
                </c:pt>
                <c:pt idx="7">
                  <c:v>-0.16248670010639951</c:v>
                </c:pt>
                <c:pt idx="8">
                  <c:v>0.35504492052522468</c:v>
                </c:pt>
                <c:pt idx="9">
                  <c:v>-1.8387689925480901E-3</c:v>
                </c:pt>
              </c:numCache>
            </c:numRef>
          </c:val>
        </c:ser>
        <c:axId val="140804864"/>
        <c:axId val="140806784"/>
      </c:barChart>
      <c:lineChart>
        <c:grouping val="standard"/>
        <c:ser>
          <c:idx val="3"/>
          <c:order val="3"/>
          <c:tx>
            <c:strRef>
              <c:f>Sheet1!$A$6</c:f>
              <c:strCache>
                <c:ptCount val="1"/>
                <c:pt idx="0">
                  <c:v>EU-27 Pavisam</c:v>
                </c:pt>
              </c:strCache>
            </c:strRef>
          </c:tx>
          <c:spPr>
            <a:ln w="31750">
              <a:solidFill>
                <a:srgbClr val="000000"/>
              </a:solidFill>
            </a:ln>
          </c:spPr>
          <c:marker>
            <c:symbol val="diamond"/>
            <c:size val="7"/>
            <c:spPr>
              <a:solidFill>
                <a:schemeClr val="bg1"/>
              </a:solidFill>
              <a:ln>
                <a:solidFill>
                  <a:srgbClr val="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c:formatCode>
                <c:ptCount val="10"/>
                <c:pt idx="0">
                  <c:v>-0.35176901179341191</c:v>
                </c:pt>
                <c:pt idx="1">
                  <c:v>-0.2772946859903383</c:v>
                </c:pt>
                <c:pt idx="2">
                  <c:v>-0.18781218781218831</c:v>
                </c:pt>
                <c:pt idx="3">
                  <c:v>5.7974500841953311E-2</c:v>
                </c:pt>
                <c:pt idx="4">
                  <c:v>0.14730238393977421</c:v>
                </c:pt>
                <c:pt idx="5">
                  <c:v>0.16054934370442436</c:v>
                </c:pt>
                <c:pt idx="6">
                  <c:v>0.12333668791233357</c:v>
                </c:pt>
                <c:pt idx="7">
                  <c:v>0.18713051386994106</c:v>
                </c:pt>
                <c:pt idx="8">
                  <c:v>0.14096675415573079</c:v>
                </c:pt>
                <c:pt idx="9">
                  <c:v>0.15865535658184152</c:v>
                </c:pt>
              </c:numCache>
            </c:numRef>
          </c:val>
        </c:ser>
        <c:marker val="1"/>
        <c:axId val="140804864"/>
        <c:axId val="140806784"/>
      </c:lineChart>
      <c:catAx>
        <c:axId val="140804864"/>
        <c:scaling>
          <c:orientation val="minMax"/>
        </c:scaling>
        <c:axPos val="b"/>
        <c:majorGridlines>
          <c:spPr>
            <a:ln w="6350">
              <a:solidFill>
                <a:schemeClr val="bg1">
                  <a:lumMod val="85000"/>
                </a:schemeClr>
              </a:solidFill>
            </a:ln>
          </c:spPr>
        </c:majorGridlines>
        <c:numFmt formatCode="General" sourceLinked="1"/>
        <c:majorTickMark val="none"/>
        <c:tickLblPos val="low"/>
        <c:spPr>
          <a:ln w="6350">
            <a:solidFill>
              <a:srgbClr val="000000"/>
            </a:solidFill>
          </a:ln>
        </c:spPr>
        <c:txPr>
          <a:bodyPr rot="0" vert="horz"/>
          <a:lstStyle/>
          <a:p>
            <a:pPr>
              <a:defRPr lang="lv-LV" sz="700">
                <a:latin typeface="Arial" pitchFamily="34" charset="0"/>
                <a:cs typeface="Arial" pitchFamily="34" charset="0"/>
              </a:defRPr>
            </a:pPr>
            <a:endParaRPr lang="lv-LV"/>
          </a:p>
        </c:txPr>
        <c:crossAx val="140806784"/>
        <c:crosses val="autoZero"/>
        <c:auto val="1"/>
        <c:lblAlgn val="ctr"/>
        <c:lblOffset val="0"/>
        <c:tickLblSkip val="1"/>
        <c:tickMarkSkip val="1"/>
        <c:noMultiLvlLbl val="1"/>
      </c:catAx>
      <c:valAx>
        <c:axId val="140806784"/>
        <c:scaling>
          <c:orientation val="minMax"/>
          <c:max val="1"/>
          <c:min val="-0.8"/>
        </c:scaling>
        <c:axPos val="l"/>
        <c:majorGridlines>
          <c:spPr>
            <a:ln w="6350">
              <a:solidFill>
                <a:schemeClr val="bg1">
                  <a:lumMod val="85000"/>
                </a:schemeClr>
              </a:solidFill>
            </a:ln>
          </c:spPr>
        </c:majorGridlines>
        <c:numFmt formatCode="0%" sourceLinked="0"/>
        <c:tickLblPos val="nextTo"/>
        <c:spPr>
          <a:ln w="6350">
            <a:solidFill>
              <a:srgbClr val="000000"/>
            </a:solidFill>
          </a:ln>
        </c:spPr>
        <c:txPr>
          <a:bodyPr rot="0" vert="horz"/>
          <a:lstStyle/>
          <a:p>
            <a:pPr>
              <a:defRPr lang="lv-LV" sz="700">
                <a:latin typeface="Arial" pitchFamily="34" charset="0"/>
                <a:cs typeface="Arial" pitchFamily="34" charset="0"/>
              </a:defRPr>
            </a:pPr>
            <a:endParaRPr lang="lv-LV"/>
          </a:p>
        </c:txPr>
        <c:crossAx val="140804864"/>
        <c:crosses val="autoZero"/>
        <c:crossBetween val="between"/>
        <c:majorUnit val="0.30000000000000032"/>
      </c:valAx>
    </c:plotArea>
    <c:legend>
      <c:legendPos val="b"/>
      <c:layout>
        <c:manualLayout>
          <c:xMode val="edge"/>
          <c:yMode val="edge"/>
          <c:x val="0.13975068587105624"/>
          <c:y val="6.0009061871117403E-2"/>
          <c:w val="0.38220301783264843"/>
          <c:h val="0.26870700082537219"/>
        </c:manualLayout>
      </c:layout>
      <c:spPr>
        <a:solidFill>
          <a:schemeClr val="bg1"/>
        </a:solidFill>
      </c:spPr>
      <c:txPr>
        <a:bodyPr/>
        <a:lstStyle/>
        <a:p>
          <a:pPr>
            <a:defRPr lang="lv-LV" sz="700"/>
          </a:pPr>
          <a:endParaRPr lang="lv-LV"/>
        </a:p>
      </c:txPr>
    </c:legend>
    <c:plotVisOnly val="1"/>
    <c:dispBlanksAs val="gap"/>
  </c:chart>
  <c:spPr>
    <a:ln>
      <a:noFill/>
    </a:ln>
  </c:spPr>
  <c:txPr>
    <a:bodyPr/>
    <a:lstStyle/>
    <a:p>
      <a:pPr>
        <a:defRPr>
          <a:latin typeface="Times New Roman" pitchFamily="18" charset="0"/>
          <a:cs typeface="Times New Roman" pitchFamily="18" charset="0"/>
        </a:defRPr>
      </a:pPr>
      <a:endParaRPr lang="lv-LV"/>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01"/>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100.07</c:v>
                </c:pt>
                <c:pt idx="1">
                  <c:v>106.3</c:v>
                </c:pt>
                <c:pt idx="2">
                  <c:v>103.35</c:v>
                </c:pt>
                <c:pt idx="3">
                  <c:v>114.92</c:v>
                </c:pt>
                <c:pt idx="4">
                  <c:v>109.09</c:v>
                </c:pt>
                <c:pt idx="5">
                  <c:v>106.3</c:v>
                </c:pt>
                <c:pt idx="6">
                  <c:v>104.5</c:v>
                </c:pt>
                <c:pt idx="7">
                  <c:v>100.54</c:v>
                </c:pt>
                <c:pt idx="8">
                  <c:v>104.27</c:v>
                </c:pt>
                <c:pt idx="9">
                  <c:v>108.27</c:v>
                </c:pt>
                <c:pt idx="10">
                  <c:v>91.6</c:v>
                </c:pt>
                <c:pt idx="11">
                  <c:v>86.63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72.77</c:v>
                </c:pt>
                <c:pt idx="1">
                  <c:v>72.569999999999993</c:v>
                </c:pt>
                <c:pt idx="2">
                  <c:v>78.709999999999994</c:v>
                </c:pt>
                <c:pt idx="3">
                  <c:v>84.4</c:v>
                </c:pt>
                <c:pt idx="4">
                  <c:v>81.45</c:v>
                </c:pt>
                <c:pt idx="5">
                  <c:v>85.52</c:v>
                </c:pt>
                <c:pt idx="6">
                  <c:v>83.07</c:v>
                </c:pt>
                <c:pt idx="7">
                  <c:v>85.179999999999978</c:v>
                </c:pt>
                <c:pt idx="8">
                  <c:v>85.79</c:v>
                </c:pt>
                <c:pt idx="9">
                  <c:v>88.27</c:v>
                </c:pt>
                <c:pt idx="10">
                  <c:v>87.4</c:v>
                </c:pt>
                <c:pt idx="11">
                  <c:v>80.7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71.290000000000006</c:v>
                </c:pt>
                <c:pt idx="1">
                  <c:v>73.569999999999993</c:v>
                </c:pt>
                <c:pt idx="2">
                  <c:v>88.23</c:v>
                </c:pt>
                <c:pt idx="3">
                  <c:v>95.61</c:v>
                </c:pt>
                <c:pt idx="4">
                  <c:v>95.78</c:v>
                </c:pt>
                <c:pt idx="5">
                  <c:v>98.679999999999978</c:v>
                </c:pt>
                <c:pt idx="6">
                  <c:v>100.88</c:v>
                </c:pt>
                <c:pt idx="7">
                  <c:v>106.91000000000012</c:v>
                </c:pt>
                <c:pt idx="8">
                  <c:v>105.74000000000002</c:v>
                </c:pt>
                <c:pt idx="9">
                  <c:v>109.74000000000002</c:v>
                </c:pt>
                <c:pt idx="10">
                  <c:v>104.13</c:v>
                </c:pt>
                <c:pt idx="11">
                  <c:v>98.16</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81.95</c:v>
                </c:pt>
                <c:pt idx="1">
                  <c:v>83.78</c:v>
                </c:pt>
                <c:pt idx="2">
                  <c:v>101.76</c:v>
                </c:pt>
                <c:pt idx="3">
                  <c:v>106.8</c:v>
                </c:pt>
                <c:pt idx="4">
                  <c:v>112.32</c:v>
                </c:pt>
                <c:pt idx="5">
                  <c:v>113.27</c:v>
                </c:pt>
                <c:pt idx="6">
                  <c:v>108.99000000000002</c:v>
                </c:pt>
              </c:numCache>
            </c:numRef>
          </c:val>
        </c:ser>
        <c:marker val="1"/>
        <c:axId val="141492608"/>
        <c:axId val="141494144"/>
      </c:lineChart>
      <c:catAx>
        <c:axId val="1414926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1494144"/>
        <c:crosses val="autoZero"/>
        <c:auto val="1"/>
        <c:lblAlgn val="ctr"/>
        <c:lblOffset val="0"/>
        <c:tickMarkSkip val="1"/>
      </c:catAx>
      <c:valAx>
        <c:axId val="141494144"/>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1492608"/>
        <c:crosses val="autoZero"/>
        <c:crossBetween val="between"/>
        <c:majorUnit val="10"/>
      </c:valAx>
      <c:spPr>
        <a:noFill/>
        <a:ln w="6350">
          <a:solidFill>
            <a:sysClr val="window" lastClr="FFFFFF">
              <a:lumMod val="85000"/>
            </a:sysClr>
          </a:solidFill>
        </a:ln>
      </c:spPr>
    </c:plotArea>
    <c:legend>
      <c:legendPos val="b"/>
      <c:layout>
        <c:manualLayout>
          <c:xMode val="edge"/>
          <c:yMode val="edge"/>
          <c:x val="0.33393081067972402"/>
          <c:y val="0.71563368055555565"/>
          <c:w val="0.60874119783542491"/>
          <c:h val="0.13042997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Sheet1!$C$14:$C$56</c:f>
              <c:numCache>
                <c:formatCode>0.0</c:formatCode>
                <c:ptCount val="43"/>
                <c:pt idx="0">
                  <c:v>105.28800755429617</c:v>
                </c:pt>
                <c:pt idx="1">
                  <c:v>106.4211520302175</c:v>
                </c:pt>
                <c:pt idx="2">
                  <c:v>104.53257790368225</c:v>
                </c:pt>
                <c:pt idx="3">
                  <c:v>102.17186024551461</c:v>
                </c:pt>
                <c:pt idx="4">
                  <c:v>98.583569405099226</c:v>
                </c:pt>
                <c:pt idx="5">
                  <c:v>98.961284230406022</c:v>
                </c:pt>
                <c:pt idx="6">
                  <c:v>95.845136921624118</c:v>
                </c:pt>
                <c:pt idx="7">
                  <c:v>92.823418319168454</c:v>
                </c:pt>
                <c:pt idx="8">
                  <c:v>92.823418319168454</c:v>
                </c:pt>
                <c:pt idx="9">
                  <c:v>91.784702549575073</c:v>
                </c:pt>
                <c:pt idx="10">
                  <c:v>88.857412653446588</c:v>
                </c:pt>
                <c:pt idx="11">
                  <c:v>84.985835694050948</c:v>
                </c:pt>
                <c:pt idx="12">
                  <c:v>79.697828139753923</c:v>
                </c:pt>
                <c:pt idx="13">
                  <c:v>79.225684608120872</c:v>
                </c:pt>
                <c:pt idx="14">
                  <c:v>75.920679886685548</c:v>
                </c:pt>
                <c:pt idx="15">
                  <c:v>78.564683663834231</c:v>
                </c:pt>
                <c:pt idx="16">
                  <c:v>77.431539187913515</c:v>
                </c:pt>
                <c:pt idx="17">
                  <c:v>77.431539187913515</c:v>
                </c:pt>
                <c:pt idx="18">
                  <c:v>75.63739376770539</c:v>
                </c:pt>
                <c:pt idx="19">
                  <c:v>77.620396600566025</c:v>
                </c:pt>
                <c:pt idx="20">
                  <c:v>76.20396600566572</c:v>
                </c:pt>
                <c:pt idx="21">
                  <c:v>76.20396600566572</c:v>
                </c:pt>
                <c:pt idx="22">
                  <c:v>82.436260623229799</c:v>
                </c:pt>
                <c:pt idx="23">
                  <c:v>79.414542020774306</c:v>
                </c:pt>
                <c:pt idx="24">
                  <c:v>81.114258734655309</c:v>
                </c:pt>
                <c:pt idx="25">
                  <c:v>81.397544853635509</c:v>
                </c:pt>
                <c:pt idx="26">
                  <c:v>85.741265344664797</c:v>
                </c:pt>
                <c:pt idx="27">
                  <c:v>86.496694995279285</c:v>
                </c:pt>
                <c:pt idx="28">
                  <c:v>88.479697828139749</c:v>
                </c:pt>
                <c:pt idx="29">
                  <c:v>89.046270066100121</c:v>
                </c:pt>
                <c:pt idx="30">
                  <c:v>93.106704438149208</c:v>
                </c:pt>
                <c:pt idx="31">
                  <c:v>93.862134088763</c:v>
                </c:pt>
                <c:pt idx="32">
                  <c:v>93.484419263456104</c:v>
                </c:pt>
                <c:pt idx="33">
                  <c:v>96.317280453257823</c:v>
                </c:pt>
                <c:pt idx="34">
                  <c:v>95.467422096317705</c:v>
                </c:pt>
                <c:pt idx="35">
                  <c:v>94.61756373937736</c:v>
                </c:pt>
                <c:pt idx="36">
                  <c:v>92.351274787535431</c:v>
                </c:pt>
                <c:pt idx="37" formatCode="General">
                  <c:v>93.95656279508971</c:v>
                </c:pt>
                <c:pt idx="38" formatCode="General">
                  <c:v>97.167138810197855</c:v>
                </c:pt>
                <c:pt idx="39" formatCode="General">
                  <c:v>101.03871576959398</c:v>
                </c:pt>
                <c:pt idx="40" formatCode="General">
                  <c:v>100.94428706326784</c:v>
                </c:pt>
                <c:pt idx="41" formatCode="General">
                  <c:v>101.98300283286063</c:v>
                </c:pt>
                <c:pt idx="42" formatCode="General">
                  <c:v>102.73843248347461</c:v>
                </c:pt>
              </c:numCache>
            </c:numRef>
          </c:val>
        </c:ser>
        <c:marker val="1"/>
        <c:axId val="142427648"/>
        <c:axId val="142429184"/>
      </c:lineChart>
      <c:catAx>
        <c:axId val="1424276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2429184"/>
        <c:crosses val="autoZero"/>
        <c:auto val="1"/>
        <c:lblAlgn val="ctr"/>
        <c:lblOffset val="0"/>
        <c:tickLblSkip val="2"/>
        <c:tickMarkSkip val="1"/>
        <c:noMultiLvlLbl val="1"/>
      </c:catAx>
      <c:valAx>
        <c:axId val="142429184"/>
        <c:scaling>
          <c:orientation val="minMax"/>
          <c:max val="110"/>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2427648"/>
        <c:crossesAt val="1"/>
        <c:crossBetween val="between"/>
        <c:majorUnit val="5"/>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22336324884587"/>
          <c:y val="4.7330555555555563E-2"/>
          <c:w val="0.8075809613525875"/>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149.1028</c:v>
                </c:pt>
                <c:pt idx="1">
                  <c:v>147.54510000000002</c:v>
                </c:pt>
                <c:pt idx="2">
                  <c:v>143.74799999999999</c:v>
                </c:pt>
                <c:pt idx="3">
                  <c:v>168.441</c:v>
                </c:pt>
                <c:pt idx="4">
                  <c:v>163.62290000000004</c:v>
                </c:pt>
                <c:pt idx="5">
                  <c:v>162.13999999999999</c:v>
                </c:pt>
                <c:pt idx="6">
                  <c:v>166.48780000000062</c:v>
                </c:pt>
                <c:pt idx="7">
                  <c:v>155.4992</c:v>
                </c:pt>
                <c:pt idx="8">
                  <c:v>161.71549999999996</c:v>
                </c:pt>
                <c:pt idx="9">
                  <c:v>157.49479999999997</c:v>
                </c:pt>
                <c:pt idx="10">
                  <c:v>132.55949999999999</c:v>
                </c:pt>
                <c:pt idx="11">
                  <c:v>137.09030000000001</c:v>
                </c:pt>
                <c:pt idx="12">
                  <c:v>97.546500000000023</c:v>
                </c:pt>
                <c:pt idx="13">
                  <c:v>100.00470000000001</c:v>
                </c:pt>
                <c:pt idx="14">
                  <c:v>105.94550000000002</c:v>
                </c:pt>
                <c:pt idx="15">
                  <c:v>110.53689999999999</c:v>
                </c:pt>
                <c:pt idx="16">
                  <c:v>111.65459999999999</c:v>
                </c:pt>
                <c:pt idx="17">
                  <c:v>116.93849999999999</c:v>
                </c:pt>
                <c:pt idx="18">
                  <c:v>112.5368</c:v>
                </c:pt>
                <c:pt idx="19">
                  <c:v>106.65860000000001</c:v>
                </c:pt>
                <c:pt idx="20">
                  <c:v>108.09120000000034</c:v>
                </c:pt>
                <c:pt idx="21">
                  <c:v>104.898</c:v>
                </c:pt>
                <c:pt idx="22">
                  <c:v>98.236100000000022</c:v>
                </c:pt>
                <c:pt idx="23">
                  <c:v>101.1189</c:v>
                </c:pt>
                <c:pt idx="24">
                  <c:v>84.143500000000003</c:v>
                </c:pt>
                <c:pt idx="25">
                  <c:v>85.210499999999996</c:v>
                </c:pt>
                <c:pt idx="26">
                  <c:v>100.25890000000001</c:v>
                </c:pt>
                <c:pt idx="27">
                  <c:v>101.55889999999997</c:v>
                </c:pt>
                <c:pt idx="28">
                  <c:v>109.80029999999999</c:v>
                </c:pt>
                <c:pt idx="29">
                  <c:v>113.99860000000012</c:v>
                </c:pt>
                <c:pt idx="30">
                  <c:v>117.71890000000006</c:v>
                </c:pt>
                <c:pt idx="31">
                  <c:v>118.85679999999995</c:v>
                </c:pt>
                <c:pt idx="32">
                  <c:v>122.57760000000002</c:v>
                </c:pt>
                <c:pt idx="33">
                  <c:v>126.12169999999999</c:v>
                </c:pt>
                <c:pt idx="34">
                  <c:v>118.51439999999999</c:v>
                </c:pt>
                <c:pt idx="35">
                  <c:v>116.41540000000003</c:v>
                </c:pt>
                <c:pt idx="36">
                  <c:v>96.183399999999978</c:v>
                </c:pt>
                <c:pt idx="37">
                  <c:v>95.571900000000028</c:v>
                </c:pt>
                <c:pt idx="38">
                  <c:v>117.64989999999997</c:v>
                </c:pt>
                <c:pt idx="39">
                  <c:v>114.47540000000001</c:v>
                </c:pt>
                <c:pt idx="40">
                  <c:v>131.08280000000047</c:v>
                </c:pt>
                <c:pt idx="41">
                  <c:v>135.05010000000001</c:v>
                </c:pt>
                <c:pt idx="42">
                  <c:v>133.73409999999998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141.91399999999999</c:v>
                </c:pt>
                <c:pt idx="1">
                  <c:v>158.66589999999999</c:v>
                </c:pt>
                <c:pt idx="2">
                  <c:v>159.82980000000001</c:v>
                </c:pt>
                <c:pt idx="3">
                  <c:v>181.82570000000001</c:v>
                </c:pt>
                <c:pt idx="4">
                  <c:v>168.72240000000065</c:v>
                </c:pt>
                <c:pt idx="5">
                  <c:v>164.29679999999999</c:v>
                </c:pt>
                <c:pt idx="6">
                  <c:v>161.53949999999998</c:v>
                </c:pt>
                <c:pt idx="7">
                  <c:v>177.68170000000001</c:v>
                </c:pt>
                <c:pt idx="8">
                  <c:v>184.37810000000007</c:v>
                </c:pt>
                <c:pt idx="9">
                  <c:v>164.16200000000001</c:v>
                </c:pt>
                <c:pt idx="10">
                  <c:v>139.3494</c:v>
                </c:pt>
                <c:pt idx="11">
                  <c:v>121.62769999999999</c:v>
                </c:pt>
                <c:pt idx="12">
                  <c:v>114.28420000000033</c:v>
                </c:pt>
                <c:pt idx="13">
                  <c:v>111.70689999999999</c:v>
                </c:pt>
                <c:pt idx="14">
                  <c:v>125.3968</c:v>
                </c:pt>
                <c:pt idx="15">
                  <c:v>122.23950000000002</c:v>
                </c:pt>
                <c:pt idx="16">
                  <c:v>118.12329999999999</c:v>
                </c:pt>
                <c:pt idx="17">
                  <c:v>124.62910000000001</c:v>
                </c:pt>
                <c:pt idx="18">
                  <c:v>115.1935</c:v>
                </c:pt>
                <c:pt idx="19">
                  <c:v>119.93720000000039</c:v>
                </c:pt>
                <c:pt idx="20">
                  <c:v>140.53030000000001</c:v>
                </c:pt>
                <c:pt idx="21">
                  <c:v>146.94150000000002</c:v>
                </c:pt>
                <c:pt idx="22">
                  <c:v>133.36110000000065</c:v>
                </c:pt>
                <c:pt idx="23">
                  <c:v>130.01009999999999</c:v>
                </c:pt>
                <c:pt idx="24">
                  <c:v>111.35310000000001</c:v>
                </c:pt>
                <c:pt idx="25">
                  <c:v>130.4949</c:v>
                </c:pt>
                <c:pt idx="26">
                  <c:v>152.67099999999999</c:v>
                </c:pt>
                <c:pt idx="27">
                  <c:v>163.42260000000007</c:v>
                </c:pt>
                <c:pt idx="28">
                  <c:v>162.73979999999995</c:v>
                </c:pt>
                <c:pt idx="29">
                  <c:v>160.3683000000008</c:v>
                </c:pt>
                <c:pt idx="30">
                  <c:v>171.38150000000007</c:v>
                </c:pt>
                <c:pt idx="31">
                  <c:v>177.71619999999999</c:v>
                </c:pt>
                <c:pt idx="32">
                  <c:v>187.55140000000065</c:v>
                </c:pt>
                <c:pt idx="33">
                  <c:v>177.2225</c:v>
                </c:pt>
                <c:pt idx="34">
                  <c:v>164.49379999999999</c:v>
                </c:pt>
                <c:pt idx="35">
                  <c:v>163.05730000000065</c:v>
                </c:pt>
                <c:pt idx="36">
                  <c:v>173.60720000000001</c:v>
                </c:pt>
                <c:pt idx="37">
                  <c:v>177.3820000000008</c:v>
                </c:pt>
                <c:pt idx="38">
                  <c:v>201.19210000000001</c:v>
                </c:pt>
                <c:pt idx="39">
                  <c:v>192.9768</c:v>
                </c:pt>
                <c:pt idx="40">
                  <c:v>201.95490000000001</c:v>
                </c:pt>
                <c:pt idx="41">
                  <c:v>198.0986</c:v>
                </c:pt>
                <c:pt idx="42">
                  <c:v>181.89010000000007</c:v>
                </c:pt>
              </c:numCache>
            </c:numRef>
          </c:val>
        </c:ser>
        <c:gapWidth val="0"/>
        <c:overlap val="100"/>
        <c:axId val="140836224"/>
        <c:axId val="141456512"/>
      </c:barChart>
      <c:catAx>
        <c:axId val="1408362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1456512"/>
        <c:crosses val="autoZero"/>
        <c:auto val="1"/>
        <c:lblAlgn val="ctr"/>
        <c:lblOffset val="0"/>
        <c:tickLblSkip val="3"/>
        <c:tickMarkSkip val="1"/>
        <c:noMultiLvlLbl val="1"/>
      </c:catAx>
      <c:valAx>
        <c:axId val="14145651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0836224"/>
        <c:crosses val="autoZero"/>
        <c:crossBetween val="between"/>
      </c:valAx>
      <c:spPr>
        <a:noFill/>
        <a:ln w="6350">
          <a:solidFill>
            <a:sysClr val="window" lastClr="FFFFFF">
              <a:lumMod val="85000"/>
            </a:sysClr>
          </a:solidFill>
        </a:ln>
      </c:spPr>
    </c:plotArea>
    <c:legend>
      <c:legendPos val="b"/>
      <c:layout>
        <c:manualLayout>
          <c:xMode val="edge"/>
          <c:yMode val="edge"/>
          <c:x val="0.3252057385268764"/>
          <c:y val="9.5926645659380083E-2"/>
          <c:w val="0.35673227969348681"/>
          <c:h val="0.17263831018518541"/>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666"/>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0.20617477375357307</c:v>
                </c:pt>
                <c:pt idx="1">
                  <c:v>5.9947544356648894</c:v>
                </c:pt>
                <c:pt idx="2">
                  <c:v>-11.366372432826276</c:v>
                </c:pt>
                <c:pt idx="3">
                  <c:v>13.656943888868966</c:v>
                </c:pt>
                <c:pt idx="4">
                  <c:v>-7.4741557628291284</c:v>
                </c:pt>
                <c:pt idx="5">
                  <c:v>-6.4337344584478871</c:v>
                </c:pt>
                <c:pt idx="6">
                  <c:v>-3.3903870283092772</c:v>
                </c:pt>
                <c:pt idx="7">
                  <c:v>-8.1840256815852488</c:v>
                </c:pt>
                <c:pt idx="8">
                  <c:v>4.9957013231071894</c:v>
                </c:pt>
                <c:pt idx="9">
                  <c:v>-7.1661386620647676</c:v>
                </c:pt>
                <c:pt idx="10">
                  <c:v>-17.127714117710397</c:v>
                </c:pt>
                <c:pt idx="11">
                  <c:v>-10.509232689758306</c:v>
                </c:pt>
                <c:pt idx="12">
                  <c:v>-26.701922434141089</c:v>
                </c:pt>
                <c:pt idx="13">
                  <c:v>-28.270027768554201</c:v>
                </c:pt>
                <c:pt idx="14">
                  <c:v>-18.852891501968116</c:v>
                </c:pt>
                <c:pt idx="15">
                  <c:v>-28.267854669425901</c:v>
                </c:pt>
                <c:pt idx="16">
                  <c:v>-24.69462250006902</c:v>
                </c:pt>
                <c:pt idx="17">
                  <c:v>-17.116496572679182</c:v>
                </c:pt>
                <c:pt idx="18">
                  <c:v>-21.90390105208121</c:v>
                </c:pt>
                <c:pt idx="19">
                  <c:v>-22.21838811196449</c:v>
                </c:pt>
                <c:pt idx="20">
                  <c:v>-18.911300176679926</c:v>
                </c:pt>
                <c:pt idx="21">
                  <c:v>-14.650960238401268</c:v>
                </c:pt>
                <c:pt idx="22">
                  <c:v>-7.3725512179611545</c:v>
                </c:pt>
                <c:pt idx="23">
                  <c:v>-4.0762662404327834</c:v>
                </c:pt>
                <c:pt idx="24">
                  <c:v>-3.2187215593082792</c:v>
                </c:pt>
                <c:pt idx="25">
                  <c:v>4.7663154269926906</c:v>
                </c:pt>
                <c:pt idx="26">
                  <c:v>8.7687048535383525</c:v>
                </c:pt>
                <c:pt idx="27">
                  <c:v>11.515023866795971</c:v>
                </c:pt>
                <c:pt idx="28">
                  <c:v>14.114085655319485</c:v>
                </c:pt>
                <c:pt idx="29">
                  <c:v>7.6983092150116903</c:v>
                </c:pt>
                <c:pt idx="30">
                  <c:v>20.608581961684635</c:v>
                </c:pt>
                <c:pt idx="31">
                  <c:v>23.263205067384192</c:v>
                </c:pt>
                <c:pt idx="32">
                  <c:v>16.512533429366073</c:v>
                </c:pt>
                <c:pt idx="33">
                  <c:v>13.243131909738461</c:v>
                </c:pt>
                <c:pt idx="34">
                  <c:v>13.255179845460002</c:v>
                </c:pt>
                <c:pt idx="35">
                  <c:v>12.618066785260526</c:v>
                </c:pt>
                <c:pt idx="36">
                  <c:v>28.781098975635672</c:v>
                </c:pt>
                <c:pt idx="37">
                  <c:v>16.535302460708987</c:v>
                </c:pt>
                <c:pt idx="38" formatCode="General">
                  <c:v>15.959849069146845</c:v>
                </c:pt>
                <c:pt idx="39" formatCode="General">
                  <c:v>6.7901119563007519</c:v>
                </c:pt>
                <c:pt idx="40" formatCode="General">
                  <c:v>14.447846772540672</c:v>
                </c:pt>
                <c:pt idx="41" formatCode="General">
                  <c:v>14.073016012381174</c:v>
                </c:pt>
                <c:pt idx="42" formatCode="General">
                  <c:v>1.3117790088293844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10.85529019123933</c:v>
                </c:pt>
                <c:pt idx="1">
                  <c:v>11.702882663511602</c:v>
                </c:pt>
                <c:pt idx="2">
                  <c:v>8.7742853830579151</c:v>
                </c:pt>
                <c:pt idx="3">
                  <c:v>9.548467112172613</c:v>
                </c:pt>
                <c:pt idx="4">
                  <c:v>7.6798464169899319</c:v>
                </c:pt>
                <c:pt idx="5">
                  <c:v>8.9635225371859963</c:v>
                </c:pt>
                <c:pt idx="6">
                  <c:v>9.0440631320486915</c:v>
                </c:pt>
                <c:pt idx="7">
                  <c:v>9.8007142210849594</c:v>
                </c:pt>
                <c:pt idx="8">
                  <c:v>10.10586330224541</c:v>
                </c:pt>
                <c:pt idx="9">
                  <c:v>4.6772552703442045</c:v>
                </c:pt>
                <c:pt idx="10">
                  <c:v>2.8885938649590632</c:v>
                </c:pt>
                <c:pt idx="11">
                  <c:v>2.3931480857248331</c:v>
                </c:pt>
                <c:pt idx="12">
                  <c:v>-0.50822488381440678</c:v>
                </c:pt>
                <c:pt idx="13">
                  <c:v>-2.5908492084322603</c:v>
                </c:pt>
                <c:pt idx="14">
                  <c:v>-4.9418326181750416</c:v>
                </c:pt>
                <c:pt idx="15">
                  <c:v>-5.2752426332865934</c:v>
                </c:pt>
                <c:pt idx="16">
                  <c:v>-6.1670746564725389</c:v>
                </c:pt>
                <c:pt idx="17">
                  <c:v>-8.8821653428891665</c:v>
                </c:pt>
                <c:pt idx="18">
                  <c:v>-8.6719077296878559</c:v>
                </c:pt>
                <c:pt idx="19">
                  <c:v>-9.7717709877917898</c:v>
                </c:pt>
                <c:pt idx="20">
                  <c:v>-9.2522081921543986</c:v>
                </c:pt>
                <c:pt idx="21">
                  <c:v>-7.0545656513048405</c:v>
                </c:pt>
                <c:pt idx="22">
                  <c:v>-7.4528921566396784</c:v>
                </c:pt>
                <c:pt idx="23">
                  <c:v>-6.5874680184900853</c:v>
                </c:pt>
                <c:pt idx="24">
                  <c:v>-4.4922004175345513</c:v>
                </c:pt>
                <c:pt idx="25">
                  <c:v>-2.8798812401082747</c:v>
                </c:pt>
                <c:pt idx="26">
                  <c:v>0.5627490137397092</c:v>
                </c:pt>
                <c:pt idx="27">
                  <c:v>2.3201845134350094</c:v>
                </c:pt>
                <c:pt idx="28">
                  <c:v>4.4961462251181104</c:v>
                </c:pt>
                <c:pt idx="29">
                  <c:v>5.8793808394492775</c:v>
                </c:pt>
                <c:pt idx="30">
                  <c:v>6.3400059073868755</c:v>
                </c:pt>
                <c:pt idx="31">
                  <c:v>7.6187442008723085</c:v>
                </c:pt>
                <c:pt idx="32">
                  <c:v>8.226879694599468</c:v>
                </c:pt>
                <c:pt idx="33">
                  <c:v>7.2082666992962734</c:v>
                </c:pt>
                <c:pt idx="34">
                  <c:v>8.9432750581398679</c:v>
                </c:pt>
                <c:pt idx="35">
                  <c:v>8.2982613258807465</c:v>
                </c:pt>
                <c:pt idx="36">
                  <c:v>9.2216079768126029</c:v>
                </c:pt>
                <c:pt idx="37">
                  <c:v>10.004830516954074</c:v>
                </c:pt>
                <c:pt idx="38" formatCode="General">
                  <c:v>10.099584789799957</c:v>
                </c:pt>
                <c:pt idx="39" formatCode="General">
                  <c:v>9.2376862107410744</c:v>
                </c:pt>
                <c:pt idx="40" formatCode="General">
                  <c:v>7.7498408337969096</c:v>
                </c:pt>
                <c:pt idx="41" formatCode="General">
                  <c:v>7.3515071352725982</c:v>
                </c:pt>
                <c:pt idx="42" formatCode="General">
                  <c:v>7.8628191584508809</c:v>
                </c:pt>
              </c:numCache>
            </c:numRef>
          </c:val>
        </c:ser>
        <c:gapWidth val="48"/>
        <c:overlap val="100"/>
        <c:axId val="144566912"/>
        <c:axId val="144569472"/>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11.061464964992851</c:v>
                </c:pt>
                <c:pt idx="1">
                  <c:v>17.69763709917649</c:v>
                </c:pt>
                <c:pt idx="2">
                  <c:v>-2.5920870497683239</c:v>
                </c:pt>
                <c:pt idx="3">
                  <c:v>23.205411001041526</c:v>
                </c:pt>
                <c:pt idx="4">
                  <c:v>0.20569065416080434</c:v>
                </c:pt>
                <c:pt idx="5">
                  <c:v>2.5297880787380231</c:v>
                </c:pt>
                <c:pt idx="6">
                  <c:v>5.6536761037394143</c:v>
                </c:pt>
                <c:pt idx="7">
                  <c:v>1.6166885394996535</c:v>
                </c:pt>
                <c:pt idx="8">
                  <c:v>15.101564625352593</c:v>
                </c:pt>
                <c:pt idx="9">
                  <c:v>-2.4888833917205488</c:v>
                </c:pt>
                <c:pt idx="10">
                  <c:v>-14.239120252751333</c:v>
                </c:pt>
                <c:pt idx="11">
                  <c:v>-8.116084604033432</c:v>
                </c:pt>
                <c:pt idx="12">
                  <c:v>-27.210147317955517</c:v>
                </c:pt>
                <c:pt idx="13">
                  <c:v>-30.860876976986461</c:v>
                </c:pt>
                <c:pt idx="14">
                  <c:v>-23.794724120143126</c:v>
                </c:pt>
                <c:pt idx="15">
                  <c:v>-33.543097302712248</c:v>
                </c:pt>
                <c:pt idx="16">
                  <c:v>-30.861697156541709</c:v>
                </c:pt>
                <c:pt idx="17">
                  <c:v>-25.998661915568253</c:v>
                </c:pt>
                <c:pt idx="18">
                  <c:v>-30.575808781769069</c:v>
                </c:pt>
                <c:pt idx="19">
                  <c:v>-31.990159099756326</c:v>
                </c:pt>
                <c:pt idx="20">
                  <c:v>-28.163508368834332</c:v>
                </c:pt>
                <c:pt idx="21">
                  <c:v>-21.705525889705918</c:v>
                </c:pt>
                <c:pt idx="22">
                  <c:v>-14.825443374600876</c:v>
                </c:pt>
                <c:pt idx="23">
                  <c:v>-10.66373425892294</c:v>
                </c:pt>
                <c:pt idx="24">
                  <c:v>-7.7109219768428261</c:v>
                </c:pt>
                <c:pt idx="25">
                  <c:v>1.886434186884415</c:v>
                </c:pt>
                <c:pt idx="26">
                  <c:v>9.3314538672780447</c:v>
                </c:pt>
                <c:pt idx="27">
                  <c:v>13.835208380230981</c:v>
                </c:pt>
                <c:pt idx="28">
                  <c:v>18.610231880437592</c:v>
                </c:pt>
                <c:pt idx="29">
                  <c:v>13.577690054461018</c:v>
                </c:pt>
                <c:pt idx="30">
                  <c:v>26.948587869071357</c:v>
                </c:pt>
                <c:pt idx="31">
                  <c:v>30.88194926825653</c:v>
                </c:pt>
                <c:pt idx="32">
                  <c:v>24.739413123965527</c:v>
                </c:pt>
                <c:pt idx="33">
                  <c:v>20.45139860903473</c:v>
                </c:pt>
                <c:pt idx="34">
                  <c:v>22.198454903599867</c:v>
                </c:pt>
                <c:pt idx="35">
                  <c:v>20.916328111141411</c:v>
                </c:pt>
                <c:pt idx="36">
                  <c:v>38.002706952448278</c:v>
                </c:pt>
                <c:pt idx="37">
                  <c:v>26.540132977662896</c:v>
                </c:pt>
                <c:pt idx="38" formatCode="General">
                  <c:v>26.059433858946687</c:v>
                </c:pt>
                <c:pt idx="39" formatCode="General">
                  <c:v>16.027798167041851</c:v>
                </c:pt>
                <c:pt idx="40" formatCode="General">
                  <c:v>22.197687606337581</c:v>
                </c:pt>
                <c:pt idx="41" formatCode="General">
                  <c:v>21.424523147653726</c:v>
                </c:pt>
                <c:pt idx="42" formatCode="General">
                  <c:v>9.1745981672802941</c:v>
                </c:pt>
              </c:numCache>
            </c:numRef>
          </c:val>
        </c:ser>
        <c:marker val="1"/>
        <c:axId val="144566912"/>
        <c:axId val="144569472"/>
      </c:lineChart>
      <c:catAx>
        <c:axId val="14456691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569472"/>
        <c:crosses val="autoZero"/>
        <c:auto val="1"/>
        <c:lblAlgn val="ctr"/>
        <c:lblOffset val="0"/>
        <c:tickLblSkip val="2"/>
        <c:tickMarkSkip val="1"/>
        <c:noMultiLvlLbl val="1"/>
      </c:catAx>
      <c:valAx>
        <c:axId val="14456947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566912"/>
        <c:crosses val="autoZero"/>
        <c:crossBetween val="between"/>
      </c:valAx>
      <c:spPr>
        <a:noFill/>
        <a:ln w="6350">
          <a:solidFill>
            <a:sysClr val="window" lastClr="FFFFFF">
              <a:lumMod val="85000"/>
            </a:sysClr>
          </a:solidFill>
        </a:ln>
      </c:spPr>
    </c:plotArea>
    <c:legend>
      <c:legendPos val="b"/>
      <c:layout>
        <c:manualLayout>
          <c:xMode val="edge"/>
          <c:yMode val="edge"/>
          <c:x val="0.20612246665595219"/>
          <c:y val="8.9325231481481498E-2"/>
          <c:w val="0.52206321839080461"/>
          <c:h val="0.15773680728933887"/>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91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102.37452779276848</c:v>
                </c:pt>
                <c:pt idx="1">
                  <c:v>103.7468198288493</c:v>
                </c:pt>
                <c:pt idx="2">
                  <c:v>104.06290956749665</c:v>
                </c:pt>
                <c:pt idx="3">
                  <c:v>104.66425102150951</c:v>
                </c:pt>
                <c:pt idx="4">
                  <c:v>105.58939171999045</c:v>
                </c:pt>
                <c:pt idx="5">
                  <c:v>107.15442140158817</c:v>
                </c:pt>
                <c:pt idx="6">
                  <c:v>107.61699175082875</c:v>
                </c:pt>
                <c:pt idx="7">
                  <c:v>109.33621154883971</c:v>
                </c:pt>
                <c:pt idx="8">
                  <c:v>108.20291419320021</c:v>
                </c:pt>
                <c:pt idx="9">
                  <c:v>105.6048107316321</c:v>
                </c:pt>
                <c:pt idx="10">
                  <c:v>103.89330043944175</c:v>
                </c:pt>
                <c:pt idx="11">
                  <c:v>100</c:v>
                </c:pt>
                <c:pt idx="12">
                  <c:v>99.429857464366094</c:v>
                </c:pt>
                <c:pt idx="13">
                  <c:v>97.471867966991752</c:v>
                </c:pt>
                <c:pt idx="14">
                  <c:v>95.671417854462959</c:v>
                </c:pt>
                <c:pt idx="15">
                  <c:v>94.688672168041435</c:v>
                </c:pt>
                <c:pt idx="16">
                  <c:v>94.643660915228793</c:v>
                </c:pt>
                <c:pt idx="17">
                  <c:v>93.533383345836455</c:v>
                </c:pt>
                <c:pt idx="18">
                  <c:v>93.495873968492106</c:v>
                </c:pt>
                <c:pt idx="19">
                  <c:v>93.518379594898619</c:v>
                </c:pt>
                <c:pt idx="20">
                  <c:v>93.825956489122262</c:v>
                </c:pt>
                <c:pt idx="21">
                  <c:v>94.733683420855527</c:v>
                </c:pt>
                <c:pt idx="22">
                  <c:v>93.270817704425539</c:v>
                </c:pt>
                <c:pt idx="23">
                  <c:v>93.750937734433009</c:v>
                </c:pt>
                <c:pt idx="24">
                  <c:v>94.688672168041407</c:v>
                </c:pt>
                <c:pt idx="25">
                  <c:v>94.838709677419288</c:v>
                </c:pt>
                <c:pt idx="26">
                  <c:v>95.768942235558455</c:v>
                </c:pt>
                <c:pt idx="27">
                  <c:v>96.444111027756932</c:v>
                </c:pt>
                <c:pt idx="28">
                  <c:v>98.199549887471818</c:v>
                </c:pt>
                <c:pt idx="29">
                  <c:v>98.417104276068997</c:v>
                </c:pt>
                <c:pt idx="30">
                  <c:v>98.357089272318063</c:v>
                </c:pt>
                <c:pt idx="31">
                  <c:v>99.069767441860435</c:v>
                </c:pt>
                <c:pt idx="32">
                  <c:v>100.075018754688</c:v>
                </c:pt>
                <c:pt idx="33">
                  <c:v>100.36009002250555</c:v>
                </c:pt>
                <c:pt idx="34">
                  <c:v>100.27006751687881</c:v>
                </c:pt>
                <c:pt idx="35">
                  <c:v>100.33758439609898</c:v>
                </c:pt>
                <c:pt idx="36">
                  <c:v>101.5003750937731</c:v>
                </c:pt>
                <c:pt idx="37" formatCode="General">
                  <c:v>102.80570142535628</c:v>
                </c:pt>
                <c:pt idx="38" formatCode="General">
                  <c:v>104.01350337584392</c:v>
                </c:pt>
                <c:pt idx="39" formatCode="General">
                  <c:v>104.80870217554323</c:v>
                </c:pt>
                <c:pt idx="40" formatCode="General">
                  <c:v>105.04876219054761</c:v>
                </c:pt>
                <c:pt idx="41" formatCode="General">
                  <c:v>104.95123780945234</c:v>
                </c:pt>
                <c:pt idx="42" formatCode="General">
                  <c:v>106.07651912978241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102.66993901532055</c:v>
                </c:pt>
                <c:pt idx="1">
                  <c:v>103.93425554068126</c:v>
                </c:pt>
                <c:pt idx="2">
                  <c:v>103.27234865387416</c:v>
                </c:pt>
                <c:pt idx="3">
                  <c:v>104.28380187416325</c:v>
                </c:pt>
                <c:pt idx="4">
                  <c:v>104.30611334225793</c:v>
                </c:pt>
                <c:pt idx="5">
                  <c:v>105.33987803064051</c:v>
                </c:pt>
                <c:pt idx="6">
                  <c:v>104.93083444890679</c:v>
                </c:pt>
                <c:pt idx="7">
                  <c:v>106.62650602409609</c:v>
                </c:pt>
                <c:pt idx="8">
                  <c:v>106.34389409489813</c:v>
                </c:pt>
                <c:pt idx="9">
                  <c:v>105.13163766175816</c:v>
                </c:pt>
                <c:pt idx="10">
                  <c:v>104.46229361892047</c:v>
                </c:pt>
                <c:pt idx="11">
                  <c:v>100</c:v>
                </c:pt>
                <c:pt idx="12">
                  <c:v>99.503597122302153</c:v>
                </c:pt>
                <c:pt idx="13">
                  <c:v>97.510791366906389</c:v>
                </c:pt>
                <c:pt idx="14">
                  <c:v>96.705035971222998</c:v>
                </c:pt>
                <c:pt idx="15">
                  <c:v>95.446043165467827</c:v>
                </c:pt>
                <c:pt idx="16">
                  <c:v>94.618705035971189</c:v>
                </c:pt>
                <c:pt idx="17">
                  <c:v>93.93525179856114</c:v>
                </c:pt>
                <c:pt idx="18">
                  <c:v>93.431654676259342</c:v>
                </c:pt>
                <c:pt idx="19">
                  <c:v>93.302158273380769</c:v>
                </c:pt>
                <c:pt idx="20">
                  <c:v>93.071942446043153</c:v>
                </c:pt>
                <c:pt idx="21">
                  <c:v>93.482014388489148</c:v>
                </c:pt>
                <c:pt idx="22">
                  <c:v>92.338129496402871</c:v>
                </c:pt>
                <c:pt idx="23">
                  <c:v>93.035971223021008</c:v>
                </c:pt>
                <c:pt idx="24">
                  <c:v>92.546762589928065</c:v>
                </c:pt>
                <c:pt idx="25">
                  <c:v>92.381294964028797</c:v>
                </c:pt>
                <c:pt idx="26">
                  <c:v>92.568345323740758</c:v>
                </c:pt>
                <c:pt idx="27">
                  <c:v>92.913669064748959</c:v>
                </c:pt>
                <c:pt idx="28">
                  <c:v>93.669064748201421</c:v>
                </c:pt>
                <c:pt idx="29">
                  <c:v>94</c:v>
                </c:pt>
                <c:pt idx="30">
                  <c:v>94.143884892085765</c:v>
                </c:pt>
                <c:pt idx="31">
                  <c:v>94.798561151079141</c:v>
                </c:pt>
                <c:pt idx="32">
                  <c:v>96.028776978416815</c:v>
                </c:pt>
                <c:pt idx="33">
                  <c:v>96.201438848920859</c:v>
                </c:pt>
                <c:pt idx="34">
                  <c:v>96.582733812948959</c:v>
                </c:pt>
                <c:pt idx="35">
                  <c:v>96.719424460431696</c:v>
                </c:pt>
                <c:pt idx="36">
                  <c:v>98.374100719423879</c:v>
                </c:pt>
                <c:pt idx="37" formatCode="General">
                  <c:v>98.812949640287826</c:v>
                </c:pt>
                <c:pt idx="38" formatCode="General">
                  <c:v>99.597122302158255</c:v>
                </c:pt>
                <c:pt idx="39" formatCode="General">
                  <c:v>100.98561151079105</c:v>
                </c:pt>
                <c:pt idx="40" formatCode="General">
                  <c:v>101.51798561151082</c:v>
                </c:pt>
                <c:pt idx="41" formatCode="General">
                  <c:v>101.87050359712227</c:v>
                </c:pt>
                <c:pt idx="42" formatCode="General">
                  <c:v>102.38848920863305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102.02805611222368</c:v>
                </c:pt>
                <c:pt idx="1">
                  <c:v>103.52705410821643</c:v>
                </c:pt>
                <c:pt idx="2">
                  <c:v>105.01803607214394</c:v>
                </c:pt>
                <c:pt idx="3">
                  <c:v>105.13026052104246</c:v>
                </c:pt>
                <c:pt idx="4">
                  <c:v>107.14228456913852</c:v>
                </c:pt>
                <c:pt idx="5">
                  <c:v>109.33867735470886</c:v>
                </c:pt>
                <c:pt idx="6">
                  <c:v>110.86172344689382</c:v>
                </c:pt>
                <c:pt idx="7">
                  <c:v>112.60921843687375</c:v>
                </c:pt>
                <c:pt idx="8">
                  <c:v>110.45290581162291</c:v>
                </c:pt>
                <c:pt idx="9">
                  <c:v>106.18036072144291</c:v>
                </c:pt>
                <c:pt idx="10">
                  <c:v>103.21442885771546</c:v>
                </c:pt>
                <c:pt idx="11">
                  <c:v>100</c:v>
                </c:pt>
                <c:pt idx="12">
                  <c:v>99.347996857816185</c:v>
                </c:pt>
                <c:pt idx="13">
                  <c:v>97.423409269442658</c:v>
                </c:pt>
                <c:pt idx="14">
                  <c:v>94.548311076197948</c:v>
                </c:pt>
                <c:pt idx="15">
                  <c:v>93.86488609583661</c:v>
                </c:pt>
                <c:pt idx="16">
                  <c:v>94.666142969363733</c:v>
                </c:pt>
                <c:pt idx="17">
                  <c:v>93.102906520030999</c:v>
                </c:pt>
                <c:pt idx="18">
                  <c:v>93.55852317360565</c:v>
                </c:pt>
                <c:pt idx="19">
                  <c:v>93.747054202670867</c:v>
                </c:pt>
                <c:pt idx="20">
                  <c:v>94.626865671641781</c:v>
                </c:pt>
                <c:pt idx="21">
                  <c:v>96.080125687353132</c:v>
                </c:pt>
                <c:pt idx="22">
                  <c:v>94.273369992144538</c:v>
                </c:pt>
                <c:pt idx="23">
                  <c:v>94.509033778476038</c:v>
                </c:pt>
                <c:pt idx="24">
                  <c:v>96.865671641791039</c:v>
                </c:pt>
                <c:pt idx="25">
                  <c:v>97.344854673998427</c:v>
                </c:pt>
                <c:pt idx="26">
                  <c:v>99.010212097407702</c:v>
                </c:pt>
                <c:pt idx="27">
                  <c:v>100.01571091908875</c:v>
                </c:pt>
                <c:pt idx="28">
                  <c:v>102.76512175962291</c:v>
                </c:pt>
                <c:pt idx="29">
                  <c:v>102.87509819324364</c:v>
                </c:pt>
                <c:pt idx="30">
                  <c:v>102.60801256873525</c:v>
                </c:pt>
                <c:pt idx="31">
                  <c:v>103.36999214454045</c:v>
                </c:pt>
                <c:pt idx="32">
                  <c:v>104.16339355852283</c:v>
                </c:pt>
                <c:pt idx="33">
                  <c:v>104.55616653574232</c:v>
                </c:pt>
                <c:pt idx="34">
                  <c:v>103.9905734485471</c:v>
                </c:pt>
                <c:pt idx="35">
                  <c:v>103.9984289080911</c:v>
                </c:pt>
                <c:pt idx="36">
                  <c:v>104.75255302435191</c:v>
                </c:pt>
                <c:pt idx="37" formatCode="General">
                  <c:v>106.80282796543597</c:v>
                </c:pt>
                <c:pt idx="38" formatCode="General">
                  <c:v>108.37391987431263</c:v>
                </c:pt>
                <c:pt idx="39" formatCode="General">
                  <c:v>108.67242733699845</c:v>
                </c:pt>
                <c:pt idx="40" formatCode="General">
                  <c:v>108.66457187745405</c:v>
                </c:pt>
                <c:pt idx="41" formatCode="General">
                  <c:v>108.18538884524745</c:v>
                </c:pt>
                <c:pt idx="42" formatCode="General">
                  <c:v>109.82717989002325</c:v>
                </c:pt>
              </c:numCache>
            </c:numRef>
          </c:val>
        </c:ser>
        <c:marker val="1"/>
        <c:axId val="140782592"/>
        <c:axId val="142525184"/>
      </c:lineChart>
      <c:catAx>
        <c:axId val="14078259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2525184"/>
        <c:crosses val="autoZero"/>
        <c:auto val="1"/>
        <c:lblAlgn val="ctr"/>
        <c:lblOffset val="0"/>
        <c:tickLblSkip val="2"/>
        <c:tickMarkSkip val="1"/>
        <c:noMultiLvlLbl val="1"/>
      </c:catAx>
      <c:valAx>
        <c:axId val="142525184"/>
        <c:scaling>
          <c:orientation val="minMax"/>
          <c:max val="114"/>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0782592"/>
        <c:crosses val="autoZero"/>
        <c:crossBetween val="between"/>
        <c:majorUnit val="4"/>
      </c:valAx>
      <c:spPr>
        <a:noFill/>
        <a:ln w="6350">
          <a:solidFill>
            <a:sysClr val="window" lastClr="FFFFFF">
              <a:lumMod val="85000"/>
            </a:sysClr>
          </a:solidFill>
        </a:ln>
      </c:spPr>
    </c:plotArea>
    <c:legend>
      <c:legendPos val="b"/>
      <c:layout>
        <c:manualLayout>
          <c:xMode val="edge"/>
          <c:yMode val="edge"/>
          <c:x val="0.32996476518364665"/>
          <c:y val="7.4365162037037094E-2"/>
          <c:w val="0.45080477616355735"/>
          <c:h val="0.2053368055555555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-0.9</c:v>
                </c:pt>
                <c:pt idx="1">
                  <c:v>-2</c:v>
                </c:pt>
                <c:pt idx="2">
                  <c:v>-5.6</c:v>
                </c:pt>
                <c:pt idx="3">
                  <c:v>-7.8</c:v>
                </c:pt>
                <c:pt idx="4">
                  <c:v>-13.1</c:v>
                </c:pt>
                <c:pt idx="5">
                  <c:v>-12.3</c:v>
                </c:pt>
                <c:pt idx="6">
                  <c:v>-14.1</c:v>
                </c:pt>
                <c:pt idx="7">
                  <c:v>-13.6</c:v>
                </c:pt>
                <c:pt idx="8">
                  <c:v>-17.600000000000001</c:v>
                </c:pt>
                <c:pt idx="9">
                  <c:v>-22.8</c:v>
                </c:pt>
                <c:pt idx="10">
                  <c:v>-25.7</c:v>
                </c:pt>
                <c:pt idx="11">
                  <c:v>-28</c:v>
                </c:pt>
                <c:pt idx="12">
                  <c:v>-31.5</c:v>
                </c:pt>
                <c:pt idx="13">
                  <c:v>-36.300000000000004</c:v>
                </c:pt>
                <c:pt idx="14">
                  <c:v>-35.6</c:v>
                </c:pt>
                <c:pt idx="15">
                  <c:v>-28.2</c:v>
                </c:pt>
                <c:pt idx="16">
                  <c:v>-27.2</c:v>
                </c:pt>
                <c:pt idx="17">
                  <c:v>-26.5</c:v>
                </c:pt>
                <c:pt idx="18">
                  <c:v>-26.3</c:v>
                </c:pt>
                <c:pt idx="19">
                  <c:v>-28.3</c:v>
                </c:pt>
                <c:pt idx="20">
                  <c:v>-26.4</c:v>
                </c:pt>
                <c:pt idx="21">
                  <c:v>-23.4</c:v>
                </c:pt>
                <c:pt idx="22">
                  <c:v>-22.5</c:v>
                </c:pt>
                <c:pt idx="23">
                  <c:v>-19.7</c:v>
                </c:pt>
                <c:pt idx="24">
                  <c:v>-18.100000000000001</c:v>
                </c:pt>
                <c:pt idx="25">
                  <c:v>-14.2</c:v>
                </c:pt>
                <c:pt idx="26">
                  <c:v>-10.7</c:v>
                </c:pt>
                <c:pt idx="27">
                  <c:v>-8.1</c:v>
                </c:pt>
                <c:pt idx="28">
                  <c:v>-5.4</c:v>
                </c:pt>
                <c:pt idx="29">
                  <c:v>-5.3</c:v>
                </c:pt>
                <c:pt idx="30">
                  <c:v>-5.0999999999999996</c:v>
                </c:pt>
                <c:pt idx="31">
                  <c:v>-5.0999999999999996</c:v>
                </c:pt>
                <c:pt idx="32">
                  <c:v>-5.7</c:v>
                </c:pt>
                <c:pt idx="33">
                  <c:v>-4.4000000000000004</c:v>
                </c:pt>
                <c:pt idx="34">
                  <c:v>-4.7</c:v>
                </c:pt>
                <c:pt idx="35">
                  <c:v>-4.5999999999999996</c:v>
                </c:pt>
                <c:pt idx="36">
                  <c:v>-5.9</c:v>
                </c:pt>
                <c:pt idx="37" formatCode="General">
                  <c:v>-3</c:v>
                </c:pt>
                <c:pt idx="38" formatCode="General">
                  <c:v>-2.8</c:v>
                </c:pt>
                <c:pt idx="39" formatCode="General">
                  <c:v>-3</c:v>
                </c:pt>
                <c:pt idx="40" formatCode="General">
                  <c:v>-3.8</c:v>
                </c:pt>
                <c:pt idx="41" formatCode="General">
                  <c:v>-5.2</c:v>
                </c:pt>
                <c:pt idx="42" formatCode="General">
                  <c:v>-3.4</c:v>
                </c:pt>
                <c:pt idx="43" formatCode="General">
                  <c:v>-6.8</c:v>
                </c:pt>
              </c:numCache>
            </c:numRef>
          </c:val>
        </c:ser>
        <c:marker val="1"/>
        <c:axId val="144957824"/>
        <c:axId val="144959360"/>
      </c:lineChart>
      <c:catAx>
        <c:axId val="1449578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959360"/>
        <c:crosses val="autoZero"/>
        <c:auto val="1"/>
        <c:lblAlgn val="ctr"/>
        <c:lblOffset val="0"/>
        <c:tickLblSkip val="2"/>
        <c:tickMarkSkip val="1"/>
        <c:noMultiLvlLbl val="1"/>
      </c:catAx>
      <c:valAx>
        <c:axId val="144959360"/>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95782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23"/>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102.3</c:v>
                </c:pt>
                <c:pt idx="1">
                  <c:v>97.75</c:v>
                </c:pt>
                <c:pt idx="2">
                  <c:v>100.74000000000002</c:v>
                </c:pt>
                <c:pt idx="3">
                  <c:v>114.58</c:v>
                </c:pt>
                <c:pt idx="4">
                  <c:v>111.66999999999999</c:v>
                </c:pt>
                <c:pt idx="5">
                  <c:v>108.07</c:v>
                </c:pt>
                <c:pt idx="6">
                  <c:v>107.34</c:v>
                </c:pt>
                <c:pt idx="7">
                  <c:v>107.08</c:v>
                </c:pt>
                <c:pt idx="8">
                  <c:v>105.1</c:v>
                </c:pt>
                <c:pt idx="9">
                  <c:v>110.03</c:v>
                </c:pt>
                <c:pt idx="10">
                  <c:v>96.990000000000023</c:v>
                </c:pt>
                <c:pt idx="11">
                  <c:v>100.66999999999999</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82.7</c:v>
                </c:pt>
                <c:pt idx="1">
                  <c:v>78.319999999999993</c:v>
                </c:pt>
                <c:pt idx="2">
                  <c:v>90.04</c:v>
                </c:pt>
                <c:pt idx="3">
                  <c:v>94.149999999999991</c:v>
                </c:pt>
                <c:pt idx="4">
                  <c:v>92.56</c:v>
                </c:pt>
                <c:pt idx="5">
                  <c:v>97.53</c:v>
                </c:pt>
                <c:pt idx="6">
                  <c:v>91.9</c:v>
                </c:pt>
                <c:pt idx="7">
                  <c:v>90.25</c:v>
                </c:pt>
                <c:pt idx="8">
                  <c:v>86.35</c:v>
                </c:pt>
                <c:pt idx="9">
                  <c:v>84.16</c:v>
                </c:pt>
                <c:pt idx="10">
                  <c:v>84.54</c:v>
                </c:pt>
                <c:pt idx="11">
                  <c:v>86.47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73.290000000000006</c:v>
                </c:pt>
                <c:pt idx="1">
                  <c:v>73.430000000000007</c:v>
                </c:pt>
                <c:pt idx="2">
                  <c:v>88.63</c:v>
                </c:pt>
                <c:pt idx="3">
                  <c:v>91.69</c:v>
                </c:pt>
                <c:pt idx="4">
                  <c:v>91.43</c:v>
                </c:pt>
                <c:pt idx="5">
                  <c:v>93.740000000000023</c:v>
                </c:pt>
                <c:pt idx="6">
                  <c:v>92.92</c:v>
                </c:pt>
                <c:pt idx="7">
                  <c:v>95.7</c:v>
                </c:pt>
                <c:pt idx="8">
                  <c:v>88.22</c:v>
                </c:pt>
                <c:pt idx="9">
                  <c:v>88.11999999999999</c:v>
                </c:pt>
                <c:pt idx="10">
                  <c:v>89.55</c:v>
                </c:pt>
                <c:pt idx="11">
                  <c:v>91.36</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75.400000000000006</c:v>
                </c:pt>
                <c:pt idx="1">
                  <c:v>72.86999999999999</c:v>
                </c:pt>
                <c:pt idx="2">
                  <c:v>87.85</c:v>
                </c:pt>
                <c:pt idx="3" formatCode="General">
                  <c:v>89.57</c:v>
                </c:pt>
                <c:pt idx="4" formatCode="General">
                  <c:v>93.07</c:v>
                </c:pt>
                <c:pt idx="5" formatCode="General">
                  <c:v>96.57</c:v>
                </c:pt>
                <c:pt idx="6" formatCode="General">
                  <c:v>88.86999999999999</c:v>
                </c:pt>
              </c:numCache>
            </c:numRef>
          </c:val>
        </c:ser>
        <c:marker val="1"/>
        <c:axId val="144927744"/>
        <c:axId val="145584896"/>
      </c:lineChart>
      <c:catAx>
        <c:axId val="1449277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5584896"/>
        <c:crosses val="autoZero"/>
        <c:auto val="1"/>
        <c:lblAlgn val="ctr"/>
        <c:lblOffset val="0"/>
        <c:tickMarkSkip val="1"/>
      </c:catAx>
      <c:valAx>
        <c:axId val="145584896"/>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927744"/>
        <c:crosses val="autoZero"/>
        <c:crossBetween val="between"/>
        <c:majorUnit val="10"/>
      </c:valAx>
      <c:spPr>
        <a:noFill/>
        <a:ln w="6350">
          <a:solidFill>
            <a:sysClr val="window" lastClr="FFFFFF">
              <a:lumMod val="85000"/>
            </a:sysClr>
          </a:solidFill>
        </a:ln>
      </c:spPr>
    </c:plotArea>
    <c:legend>
      <c:legendPos val="b"/>
      <c:layout>
        <c:manualLayout>
          <c:xMode val="edge"/>
          <c:yMode val="edge"/>
          <c:x val="0.39504191644427838"/>
          <c:y val="0.63478877314815962"/>
          <c:w val="0.35818544316576945"/>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7254631492232E-2"/>
          <c:y val="3.4089330065378856E-2"/>
          <c:w val="0.90694542156476965"/>
          <c:h val="0.80983469115375262"/>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General</c:formatCode>
                <c:ptCount val="44"/>
                <c:pt idx="0">
                  <c:v>105.5</c:v>
                </c:pt>
                <c:pt idx="1">
                  <c:v>102.6</c:v>
                </c:pt>
                <c:pt idx="2">
                  <c:v>104.2</c:v>
                </c:pt>
                <c:pt idx="3">
                  <c:v>101.6</c:v>
                </c:pt>
                <c:pt idx="4">
                  <c:v>99.9</c:v>
                </c:pt>
                <c:pt idx="5">
                  <c:v>96.9</c:v>
                </c:pt>
                <c:pt idx="6">
                  <c:v>93.7</c:v>
                </c:pt>
                <c:pt idx="7">
                  <c:v>92.1</c:v>
                </c:pt>
                <c:pt idx="8">
                  <c:v>90</c:v>
                </c:pt>
                <c:pt idx="9">
                  <c:v>83.6</c:v>
                </c:pt>
                <c:pt idx="10">
                  <c:v>78.599999999999994</c:v>
                </c:pt>
                <c:pt idx="11">
                  <c:v>72.3</c:v>
                </c:pt>
                <c:pt idx="12">
                  <c:v>70.599999999999994</c:v>
                </c:pt>
                <c:pt idx="13">
                  <c:v>68.099999999999994</c:v>
                </c:pt>
                <c:pt idx="14">
                  <c:v>66.900000000000006</c:v>
                </c:pt>
                <c:pt idx="15">
                  <c:v>70.400000000000006</c:v>
                </c:pt>
                <c:pt idx="16">
                  <c:v>74.099999999999994</c:v>
                </c:pt>
                <c:pt idx="17">
                  <c:v>77.2</c:v>
                </c:pt>
                <c:pt idx="18">
                  <c:v>79.8</c:v>
                </c:pt>
                <c:pt idx="19">
                  <c:v>84.7</c:v>
                </c:pt>
                <c:pt idx="20">
                  <c:v>87</c:v>
                </c:pt>
                <c:pt idx="21" formatCode="0.0">
                  <c:v>90.1</c:v>
                </c:pt>
                <c:pt idx="22" formatCode="0.0">
                  <c:v>92</c:v>
                </c:pt>
                <c:pt idx="23" formatCode="0.0">
                  <c:v>94.7</c:v>
                </c:pt>
                <c:pt idx="24" formatCode="0.0">
                  <c:v>96.3</c:v>
                </c:pt>
                <c:pt idx="25" formatCode="0.0">
                  <c:v>97.9</c:v>
                </c:pt>
                <c:pt idx="26" formatCode="0.0">
                  <c:v>99.8</c:v>
                </c:pt>
                <c:pt idx="27" formatCode="0.0">
                  <c:v>101.1</c:v>
                </c:pt>
                <c:pt idx="28" formatCode="0.0">
                  <c:v>100</c:v>
                </c:pt>
                <c:pt idx="29" formatCode="0.0">
                  <c:v>100.2</c:v>
                </c:pt>
                <c:pt idx="30" formatCode="0.0">
                  <c:v>102.1</c:v>
                </c:pt>
                <c:pt idx="31" formatCode="0.0">
                  <c:v>103.2</c:v>
                </c:pt>
                <c:pt idx="32" formatCode="0.0">
                  <c:v>103.6</c:v>
                </c:pt>
                <c:pt idx="33" formatCode="0.0">
                  <c:v>104.1</c:v>
                </c:pt>
                <c:pt idx="34" formatCode="0.0">
                  <c:v>105.3</c:v>
                </c:pt>
                <c:pt idx="35">
                  <c:v>106.4</c:v>
                </c:pt>
                <c:pt idx="36">
                  <c:v>105.9</c:v>
                </c:pt>
                <c:pt idx="37">
                  <c:v>107.3</c:v>
                </c:pt>
                <c:pt idx="38">
                  <c:v>107.4</c:v>
                </c:pt>
                <c:pt idx="39">
                  <c:v>105.1</c:v>
                </c:pt>
                <c:pt idx="40">
                  <c:v>105.4</c:v>
                </c:pt>
                <c:pt idx="41">
                  <c:v>104.6</c:v>
                </c:pt>
                <c:pt idx="42">
                  <c:v>102.3</c:v>
                </c:pt>
                <c:pt idx="43">
                  <c:v>97.3</c:v>
                </c:pt>
              </c:numCache>
            </c:numRef>
          </c:val>
        </c:ser>
        <c:ser>
          <c:idx val="0"/>
          <c:order val="1"/>
          <c:tx>
            <c:strRef>
              <c:f>Sheet1!$A$4</c:f>
              <c:strCache>
                <c:ptCount val="1"/>
                <c:pt idx="0">
                  <c:v>EE</c:v>
                </c:pt>
              </c:strCache>
            </c:strRef>
          </c:tx>
          <c:spPr>
            <a:ln w="15875">
              <a:solidFill>
                <a:sysClr val="windowText" lastClr="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General</c:formatCode>
                <c:ptCount val="44"/>
                <c:pt idx="0">
                  <c:v>99.8</c:v>
                </c:pt>
                <c:pt idx="1">
                  <c:v>99.7</c:v>
                </c:pt>
                <c:pt idx="2">
                  <c:v>99</c:v>
                </c:pt>
                <c:pt idx="3">
                  <c:v>95.8</c:v>
                </c:pt>
                <c:pt idx="4">
                  <c:v>95.4</c:v>
                </c:pt>
                <c:pt idx="5">
                  <c:v>94.9</c:v>
                </c:pt>
                <c:pt idx="6">
                  <c:v>93.2</c:v>
                </c:pt>
                <c:pt idx="7">
                  <c:v>93</c:v>
                </c:pt>
                <c:pt idx="8">
                  <c:v>89.3</c:v>
                </c:pt>
                <c:pt idx="9">
                  <c:v>85.4</c:v>
                </c:pt>
                <c:pt idx="10">
                  <c:v>81.099999999999994</c:v>
                </c:pt>
                <c:pt idx="11">
                  <c:v>77.2</c:v>
                </c:pt>
                <c:pt idx="12">
                  <c:v>77.099999999999994</c:v>
                </c:pt>
                <c:pt idx="13">
                  <c:v>73.099999999999994</c:v>
                </c:pt>
                <c:pt idx="14">
                  <c:v>71.7</c:v>
                </c:pt>
                <c:pt idx="15">
                  <c:v>73.900000000000006</c:v>
                </c:pt>
                <c:pt idx="16">
                  <c:v>78.400000000000006</c:v>
                </c:pt>
                <c:pt idx="17">
                  <c:v>78.099999999999994</c:v>
                </c:pt>
                <c:pt idx="18">
                  <c:v>79.5</c:v>
                </c:pt>
                <c:pt idx="19">
                  <c:v>83</c:v>
                </c:pt>
                <c:pt idx="20">
                  <c:v>86.8</c:v>
                </c:pt>
                <c:pt idx="21" formatCode="0.0">
                  <c:v>89.2</c:v>
                </c:pt>
                <c:pt idx="22" formatCode="0.0">
                  <c:v>91.8</c:v>
                </c:pt>
                <c:pt idx="23" formatCode="0.0">
                  <c:v>93.2</c:v>
                </c:pt>
                <c:pt idx="24" formatCode="0.0">
                  <c:v>94.6</c:v>
                </c:pt>
                <c:pt idx="25" formatCode="0.0">
                  <c:v>96.3</c:v>
                </c:pt>
                <c:pt idx="26" formatCode="0.0">
                  <c:v>96.9</c:v>
                </c:pt>
                <c:pt idx="27" formatCode="0.0">
                  <c:v>100.2</c:v>
                </c:pt>
                <c:pt idx="28" formatCode="0.0">
                  <c:v>103.1</c:v>
                </c:pt>
                <c:pt idx="29" formatCode="0.0">
                  <c:v>103.1</c:v>
                </c:pt>
                <c:pt idx="30" formatCode="0.0">
                  <c:v>104</c:v>
                </c:pt>
                <c:pt idx="31" formatCode="0.0">
                  <c:v>106.4</c:v>
                </c:pt>
                <c:pt idx="32" formatCode="0.0">
                  <c:v>104.8</c:v>
                </c:pt>
                <c:pt idx="33" formatCode="0.0">
                  <c:v>108</c:v>
                </c:pt>
                <c:pt idx="34" formatCode="0.0">
                  <c:v>107.8</c:v>
                </c:pt>
                <c:pt idx="35">
                  <c:v>109</c:v>
                </c:pt>
                <c:pt idx="36">
                  <c:v>110.1</c:v>
                </c:pt>
                <c:pt idx="37">
                  <c:v>110.3</c:v>
                </c:pt>
                <c:pt idx="38">
                  <c:v>110.8</c:v>
                </c:pt>
                <c:pt idx="39">
                  <c:v>109.8</c:v>
                </c:pt>
                <c:pt idx="40">
                  <c:v>109.1</c:v>
                </c:pt>
                <c:pt idx="41">
                  <c:v>108.5</c:v>
                </c:pt>
                <c:pt idx="42">
                  <c:v>107.7</c:v>
                </c:pt>
                <c:pt idx="43">
                  <c:v>106.3</c:v>
                </c:pt>
              </c:numCache>
            </c:numRef>
          </c:val>
        </c:ser>
        <c:ser>
          <c:idx val="2"/>
          <c:order val="2"/>
          <c:tx>
            <c:strRef>
              <c:f>Sheet1!$A$5</c:f>
              <c:strCache>
                <c:ptCount val="1"/>
                <c:pt idx="0">
                  <c:v>LV</c:v>
                </c:pt>
              </c:strCache>
            </c:strRef>
          </c:tx>
          <c:spPr>
            <a:ln w="38100">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General</c:formatCode>
                <c:ptCount val="44"/>
                <c:pt idx="0">
                  <c:v>105.6</c:v>
                </c:pt>
                <c:pt idx="1">
                  <c:v>105.4</c:v>
                </c:pt>
                <c:pt idx="2">
                  <c:v>103.2</c:v>
                </c:pt>
                <c:pt idx="3">
                  <c:v>100.5</c:v>
                </c:pt>
                <c:pt idx="4">
                  <c:v>97.8</c:v>
                </c:pt>
                <c:pt idx="5">
                  <c:v>96.6</c:v>
                </c:pt>
                <c:pt idx="6">
                  <c:v>95.8</c:v>
                </c:pt>
                <c:pt idx="7">
                  <c:v>95.8</c:v>
                </c:pt>
                <c:pt idx="8">
                  <c:v>93.3</c:v>
                </c:pt>
                <c:pt idx="9">
                  <c:v>90.4</c:v>
                </c:pt>
                <c:pt idx="10">
                  <c:v>87.7</c:v>
                </c:pt>
                <c:pt idx="11">
                  <c:v>82.5</c:v>
                </c:pt>
                <c:pt idx="12">
                  <c:v>77.599999999999994</c:v>
                </c:pt>
                <c:pt idx="13">
                  <c:v>74.599999999999994</c:v>
                </c:pt>
                <c:pt idx="14">
                  <c:v>74.400000000000006</c:v>
                </c:pt>
                <c:pt idx="15">
                  <c:v>79.099999999999994</c:v>
                </c:pt>
                <c:pt idx="16">
                  <c:v>80.400000000000006</c:v>
                </c:pt>
                <c:pt idx="17">
                  <c:v>78.8</c:v>
                </c:pt>
                <c:pt idx="18">
                  <c:v>77.8</c:v>
                </c:pt>
                <c:pt idx="19">
                  <c:v>77.599999999999994</c:v>
                </c:pt>
                <c:pt idx="20">
                  <c:v>79.599999999999994</c:v>
                </c:pt>
                <c:pt idx="21" formatCode="0.0">
                  <c:v>81.2</c:v>
                </c:pt>
                <c:pt idx="22" formatCode="0.0">
                  <c:v>82</c:v>
                </c:pt>
                <c:pt idx="23" formatCode="0.0">
                  <c:v>84.2</c:v>
                </c:pt>
                <c:pt idx="24" formatCode="0.0">
                  <c:v>86.3</c:v>
                </c:pt>
                <c:pt idx="25" formatCode="0.0">
                  <c:v>89.1</c:v>
                </c:pt>
                <c:pt idx="26" formatCode="0.0">
                  <c:v>92.9</c:v>
                </c:pt>
                <c:pt idx="27" formatCode="0.0">
                  <c:v>95.3</c:v>
                </c:pt>
                <c:pt idx="28" formatCode="0.0">
                  <c:v>97</c:v>
                </c:pt>
                <c:pt idx="29" formatCode="0.0">
                  <c:v>98.4</c:v>
                </c:pt>
                <c:pt idx="30" formatCode="0.0">
                  <c:v>99</c:v>
                </c:pt>
                <c:pt idx="31" formatCode="0.0">
                  <c:v>99.6</c:v>
                </c:pt>
                <c:pt idx="32" formatCode="0.0">
                  <c:v>99.7</c:v>
                </c:pt>
                <c:pt idx="33" formatCode="0.0">
                  <c:v>101.3</c:v>
                </c:pt>
                <c:pt idx="34" formatCode="0.0">
                  <c:v>101.6</c:v>
                </c:pt>
                <c:pt idx="35">
                  <c:v>101.8</c:v>
                </c:pt>
                <c:pt idx="36">
                  <c:v>101.9</c:v>
                </c:pt>
                <c:pt idx="37">
                  <c:v>102.9</c:v>
                </c:pt>
                <c:pt idx="38">
                  <c:v>102.9</c:v>
                </c:pt>
                <c:pt idx="39">
                  <c:v>101.4</c:v>
                </c:pt>
                <c:pt idx="40">
                  <c:v>102.7</c:v>
                </c:pt>
                <c:pt idx="41">
                  <c:v>103.1</c:v>
                </c:pt>
                <c:pt idx="42">
                  <c:v>103.4</c:v>
                </c:pt>
                <c:pt idx="43">
                  <c:v>102.8</c:v>
                </c:pt>
              </c:numCache>
            </c:numRef>
          </c:val>
        </c:ser>
        <c:ser>
          <c:idx val="3"/>
          <c:order val="3"/>
          <c:tx>
            <c:strRef>
              <c:f>Sheet1!$A$6</c:f>
              <c:strCache>
                <c:ptCount val="1"/>
                <c:pt idx="0">
                  <c:v>LT</c:v>
                </c:pt>
              </c:strCache>
            </c:strRef>
          </c:tx>
          <c:spPr>
            <a:ln w="15875">
              <a:solidFill>
                <a:srgbClr val="000000"/>
              </a:solidFill>
              <a:prstDash val="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General</c:formatCode>
                <c:ptCount val="44"/>
                <c:pt idx="0">
                  <c:v>112.4</c:v>
                </c:pt>
                <c:pt idx="1">
                  <c:v>110.2</c:v>
                </c:pt>
                <c:pt idx="2">
                  <c:v>107.1</c:v>
                </c:pt>
                <c:pt idx="3">
                  <c:v>104.1</c:v>
                </c:pt>
                <c:pt idx="4">
                  <c:v>106.2</c:v>
                </c:pt>
                <c:pt idx="5">
                  <c:v>103.5</c:v>
                </c:pt>
                <c:pt idx="6">
                  <c:v>100</c:v>
                </c:pt>
                <c:pt idx="7">
                  <c:v>100.8</c:v>
                </c:pt>
                <c:pt idx="8">
                  <c:v>97.7</c:v>
                </c:pt>
                <c:pt idx="9">
                  <c:v>94.7</c:v>
                </c:pt>
                <c:pt idx="10">
                  <c:v>88.8</c:v>
                </c:pt>
                <c:pt idx="11">
                  <c:v>81.7</c:v>
                </c:pt>
                <c:pt idx="12">
                  <c:v>78.900000000000006</c:v>
                </c:pt>
                <c:pt idx="13">
                  <c:v>77</c:v>
                </c:pt>
                <c:pt idx="14">
                  <c:v>73.8</c:v>
                </c:pt>
                <c:pt idx="15">
                  <c:v>72.2</c:v>
                </c:pt>
                <c:pt idx="16">
                  <c:v>75.8</c:v>
                </c:pt>
                <c:pt idx="17">
                  <c:v>78.2</c:v>
                </c:pt>
                <c:pt idx="18">
                  <c:v>77.5</c:v>
                </c:pt>
                <c:pt idx="19">
                  <c:v>79.5</c:v>
                </c:pt>
                <c:pt idx="20">
                  <c:v>79.2</c:v>
                </c:pt>
                <c:pt idx="21" formatCode="0.0">
                  <c:v>81</c:v>
                </c:pt>
                <c:pt idx="22" formatCode="0.0">
                  <c:v>82.5</c:v>
                </c:pt>
                <c:pt idx="23" formatCode="0.0">
                  <c:v>85.3</c:v>
                </c:pt>
                <c:pt idx="24" formatCode="0.0">
                  <c:v>91.3</c:v>
                </c:pt>
                <c:pt idx="25" formatCode="0.0">
                  <c:v>90</c:v>
                </c:pt>
                <c:pt idx="26" formatCode="0.0">
                  <c:v>92.3</c:v>
                </c:pt>
                <c:pt idx="27" formatCode="0.0">
                  <c:v>94.8</c:v>
                </c:pt>
                <c:pt idx="28" formatCode="0.0">
                  <c:v>95.8</c:v>
                </c:pt>
                <c:pt idx="29" formatCode="0.0">
                  <c:v>95.6</c:v>
                </c:pt>
                <c:pt idx="30" formatCode="0.0">
                  <c:v>96.4</c:v>
                </c:pt>
                <c:pt idx="31" formatCode="0.0">
                  <c:v>99.3</c:v>
                </c:pt>
                <c:pt idx="32" formatCode="0.0">
                  <c:v>99.9</c:v>
                </c:pt>
                <c:pt idx="33" formatCode="0.0">
                  <c:v>102.4</c:v>
                </c:pt>
                <c:pt idx="34" formatCode="0.0">
                  <c:v>104.2</c:v>
                </c:pt>
                <c:pt idx="35">
                  <c:v>107.2</c:v>
                </c:pt>
                <c:pt idx="36">
                  <c:v>105.5</c:v>
                </c:pt>
                <c:pt idx="37">
                  <c:v>104.9</c:v>
                </c:pt>
                <c:pt idx="38">
                  <c:v>106.6</c:v>
                </c:pt>
                <c:pt idx="39">
                  <c:v>107.7</c:v>
                </c:pt>
                <c:pt idx="40">
                  <c:v>108.4</c:v>
                </c:pt>
                <c:pt idx="41">
                  <c:v>109.8</c:v>
                </c:pt>
                <c:pt idx="42">
                  <c:v>110.2</c:v>
                </c:pt>
                <c:pt idx="43">
                  <c:v>106.5</c:v>
                </c:pt>
              </c:numCache>
            </c:numRef>
          </c:val>
        </c:ser>
        <c:marker val="1"/>
        <c:axId val="139701632"/>
        <c:axId val="139703424"/>
      </c:lineChart>
      <c:catAx>
        <c:axId val="139701632"/>
        <c:scaling>
          <c:orientation val="minMax"/>
        </c:scaling>
        <c:axPos val="b"/>
        <c:majorGridlines>
          <c:spPr>
            <a:ln w="3175">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39703424"/>
        <c:crosses val="autoZero"/>
        <c:lblAlgn val="ctr"/>
        <c:lblOffset val="0"/>
        <c:tickLblSkip val="1"/>
        <c:tickMarkSkip val="1"/>
        <c:noMultiLvlLbl val="1"/>
      </c:catAx>
      <c:valAx>
        <c:axId val="139703424"/>
        <c:scaling>
          <c:orientation val="minMax"/>
          <c:max val="115"/>
          <c:min val="65"/>
        </c:scaling>
        <c:axPos val="l"/>
        <c:majorGridlines>
          <c:spPr>
            <a:ln w="3175">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39701632"/>
        <c:crosses val="autoZero"/>
        <c:crossBetween val="midCat"/>
      </c:valAx>
      <c:spPr>
        <a:noFill/>
        <a:ln w="6350">
          <a:solidFill>
            <a:sysClr val="window" lastClr="FFFFFF">
              <a:lumMod val="75000"/>
            </a:sysClr>
          </a:solidFill>
        </a:ln>
      </c:spPr>
    </c:plotArea>
    <c:legend>
      <c:legendPos val="b"/>
      <c:layout>
        <c:manualLayout>
          <c:xMode val="edge"/>
          <c:yMode val="edge"/>
          <c:x val="0.30928054782898917"/>
          <c:y val="9.5212267207848686E-2"/>
          <c:w val="0.24925188760182895"/>
          <c:h val="0.20880911539858266"/>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110.14604150653324</c:v>
                </c:pt>
                <c:pt idx="1">
                  <c:v>104.65026902382782</c:v>
                </c:pt>
                <c:pt idx="2">
                  <c:v>101.94081475787867</c:v>
                </c:pt>
                <c:pt idx="3">
                  <c:v>107.56149116064566</c:v>
                </c:pt>
                <c:pt idx="4">
                  <c:v>102.72867025365083</c:v>
                </c:pt>
                <c:pt idx="5">
                  <c:v>98.693312836279574</c:v>
                </c:pt>
                <c:pt idx="6">
                  <c:v>97.963105303612622</c:v>
                </c:pt>
                <c:pt idx="7">
                  <c:v>99.385088393543143</c:v>
                </c:pt>
                <c:pt idx="8">
                  <c:v>99.615680245964654</c:v>
                </c:pt>
                <c:pt idx="9">
                  <c:v>99.951960030745596</c:v>
                </c:pt>
                <c:pt idx="10">
                  <c:v>95.714834742505786</c:v>
                </c:pt>
                <c:pt idx="11">
                  <c:v>94.379323597232911</c:v>
                </c:pt>
                <c:pt idx="12">
                  <c:v>91.08378170637954</c:v>
                </c:pt>
                <c:pt idx="13">
                  <c:v>89.171790930053604</c:v>
                </c:pt>
                <c:pt idx="14">
                  <c:v>88.883551114527066</c:v>
                </c:pt>
                <c:pt idx="15">
                  <c:v>87.663335895464726</c:v>
                </c:pt>
                <c:pt idx="16">
                  <c:v>87.038816295157574</c:v>
                </c:pt>
                <c:pt idx="17">
                  <c:v>88.3455034588779</c:v>
                </c:pt>
                <c:pt idx="18">
                  <c:v>83.647194465795721</c:v>
                </c:pt>
                <c:pt idx="19">
                  <c:v>83.339738662567115</c:v>
                </c:pt>
                <c:pt idx="20">
                  <c:v>82.205995388162947</c:v>
                </c:pt>
                <c:pt idx="21">
                  <c:v>78.881629515757126</c:v>
                </c:pt>
                <c:pt idx="22">
                  <c:v>81.936971560338193</c:v>
                </c:pt>
                <c:pt idx="23">
                  <c:v>81.446963873943261</c:v>
                </c:pt>
                <c:pt idx="24">
                  <c:v>82.782475019215951</c:v>
                </c:pt>
                <c:pt idx="25">
                  <c:v>83.848962336663845</c:v>
                </c:pt>
                <c:pt idx="26">
                  <c:v>85.270945426594679</c:v>
                </c:pt>
                <c:pt idx="27">
                  <c:v>84.982705611068383</c:v>
                </c:pt>
                <c:pt idx="28">
                  <c:v>84.521521906225956</c:v>
                </c:pt>
                <c:pt idx="29">
                  <c:v>82.686395080707129</c:v>
                </c:pt>
                <c:pt idx="30">
                  <c:v>85.837817063797061</c:v>
                </c:pt>
                <c:pt idx="31">
                  <c:v>86.087624903920201</c:v>
                </c:pt>
                <c:pt idx="32">
                  <c:v>84.050730207532439</c:v>
                </c:pt>
                <c:pt idx="33">
                  <c:v>84.531129900077005</c:v>
                </c:pt>
                <c:pt idx="34">
                  <c:v>84.982705611068383</c:v>
                </c:pt>
                <c:pt idx="35">
                  <c:v>84.473481936971325</c:v>
                </c:pt>
                <c:pt idx="36" formatCode="General">
                  <c:v>83.733666410453452</c:v>
                </c:pt>
                <c:pt idx="37" formatCode="General">
                  <c:v>83.503074558032253</c:v>
                </c:pt>
                <c:pt idx="38" formatCode="General">
                  <c:v>84.511913912375235</c:v>
                </c:pt>
                <c:pt idx="39" formatCode="General">
                  <c:v>84.694465795541873</c:v>
                </c:pt>
                <c:pt idx="40" formatCode="General">
                  <c:v>82.993850883935394</c:v>
                </c:pt>
                <c:pt idx="41" formatCode="General">
                  <c:v>86.606456571867753</c:v>
                </c:pt>
              </c:numCache>
            </c:numRef>
          </c:val>
        </c:ser>
        <c:marker val="1"/>
        <c:axId val="145850752"/>
        <c:axId val="145852288"/>
      </c:lineChart>
      <c:catAx>
        <c:axId val="14585075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5852288"/>
        <c:crosses val="autoZero"/>
        <c:auto val="1"/>
        <c:lblAlgn val="ctr"/>
        <c:lblOffset val="0"/>
        <c:tickLblSkip val="2"/>
        <c:tickMarkSkip val="1"/>
        <c:noMultiLvlLbl val="1"/>
      </c:catAx>
      <c:valAx>
        <c:axId val="145852288"/>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5850752"/>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515737916393"/>
          <c:y val="4.7330555555555563E-2"/>
          <c:w val="0.82355002443307845"/>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67.127799999999979</c:v>
                </c:pt>
                <c:pt idx="1">
                  <c:v>62.480700000000006</c:v>
                </c:pt>
                <c:pt idx="2">
                  <c:v>64.190600000000003</c:v>
                </c:pt>
                <c:pt idx="3">
                  <c:v>68.974199999999996</c:v>
                </c:pt>
                <c:pt idx="4">
                  <c:v>71.381599999999992</c:v>
                </c:pt>
                <c:pt idx="5">
                  <c:v>70.761200000000386</c:v>
                </c:pt>
                <c:pt idx="6">
                  <c:v>73.903999999999996</c:v>
                </c:pt>
                <c:pt idx="7">
                  <c:v>69.714500000000342</c:v>
                </c:pt>
                <c:pt idx="8">
                  <c:v>71.494400000000027</c:v>
                </c:pt>
                <c:pt idx="9">
                  <c:v>69.093600000000023</c:v>
                </c:pt>
                <c:pt idx="10">
                  <c:v>62.69080000000001</c:v>
                </c:pt>
                <c:pt idx="11">
                  <c:v>67.048699999999997</c:v>
                </c:pt>
                <c:pt idx="12">
                  <c:v>55.339000000000006</c:v>
                </c:pt>
                <c:pt idx="13">
                  <c:v>53.496700000000011</c:v>
                </c:pt>
                <c:pt idx="14">
                  <c:v>56.313199999999995</c:v>
                </c:pt>
                <c:pt idx="15">
                  <c:v>58.694900000000011</c:v>
                </c:pt>
                <c:pt idx="16">
                  <c:v>59.062400000000011</c:v>
                </c:pt>
                <c:pt idx="17">
                  <c:v>61.715800000000002</c:v>
                </c:pt>
                <c:pt idx="18">
                  <c:v>57.728500000000217</c:v>
                </c:pt>
                <c:pt idx="19">
                  <c:v>53.177800000000005</c:v>
                </c:pt>
                <c:pt idx="20">
                  <c:v>52.369100000000003</c:v>
                </c:pt>
                <c:pt idx="21">
                  <c:v>51.626100000000164</c:v>
                </c:pt>
                <c:pt idx="22">
                  <c:v>50.497300000000003</c:v>
                </c:pt>
                <c:pt idx="23">
                  <c:v>53.416100000000007</c:v>
                </c:pt>
                <c:pt idx="24">
                  <c:v>45.27640000000001</c:v>
                </c:pt>
                <c:pt idx="25">
                  <c:v>44.881299999999996</c:v>
                </c:pt>
                <c:pt idx="26">
                  <c:v>52.894100000000002</c:v>
                </c:pt>
                <c:pt idx="27">
                  <c:v>52.249500000000012</c:v>
                </c:pt>
                <c:pt idx="28">
                  <c:v>53.518800000000006</c:v>
                </c:pt>
                <c:pt idx="29">
                  <c:v>56.236200000000011</c:v>
                </c:pt>
                <c:pt idx="30">
                  <c:v>57.388300000000001</c:v>
                </c:pt>
                <c:pt idx="31">
                  <c:v>54.452200000000005</c:v>
                </c:pt>
                <c:pt idx="32">
                  <c:v>53.864200000000004</c:v>
                </c:pt>
                <c:pt idx="33">
                  <c:v>53.950499999999991</c:v>
                </c:pt>
                <c:pt idx="34">
                  <c:v>55.713800000000006</c:v>
                </c:pt>
                <c:pt idx="35">
                  <c:v>56.084500000000006</c:v>
                </c:pt>
                <c:pt idx="36">
                  <c:v>48.723400000000012</c:v>
                </c:pt>
                <c:pt idx="37">
                  <c:v>47.653400000000005</c:v>
                </c:pt>
                <c:pt idx="38">
                  <c:v>56.672100000000157</c:v>
                </c:pt>
                <c:pt idx="39">
                  <c:v>55.222900000000209</c:v>
                </c:pt>
                <c:pt idx="40">
                  <c:v>58.013300000000001</c:v>
                </c:pt>
                <c:pt idx="41">
                  <c:v>62.141100000000009</c:v>
                </c:pt>
                <c:pt idx="42">
                  <c:v>58.381199999999993</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18.840599999999903</c:v>
                </c:pt>
                <c:pt idx="1">
                  <c:v>20.6326</c:v>
                </c:pt>
                <c:pt idx="2">
                  <c:v>21.362199999999898</c:v>
                </c:pt>
                <c:pt idx="3">
                  <c:v>21.991999999999987</c:v>
                </c:pt>
                <c:pt idx="4">
                  <c:v>22.007300000000001</c:v>
                </c:pt>
                <c:pt idx="5">
                  <c:v>23.061400000000003</c:v>
                </c:pt>
                <c:pt idx="6">
                  <c:v>22.380400000000002</c:v>
                </c:pt>
                <c:pt idx="7">
                  <c:v>21.446299999999884</c:v>
                </c:pt>
                <c:pt idx="8">
                  <c:v>23.241199999999989</c:v>
                </c:pt>
                <c:pt idx="9">
                  <c:v>24.700699999999898</c:v>
                </c:pt>
                <c:pt idx="10">
                  <c:v>19.182299999999898</c:v>
                </c:pt>
                <c:pt idx="11">
                  <c:v>21.9648</c:v>
                </c:pt>
                <c:pt idx="12">
                  <c:v>13.4199</c:v>
                </c:pt>
                <c:pt idx="13">
                  <c:v>13.825000000000006</c:v>
                </c:pt>
                <c:pt idx="14">
                  <c:v>17.831299999999999</c:v>
                </c:pt>
                <c:pt idx="15">
                  <c:v>18.120900000000031</c:v>
                </c:pt>
                <c:pt idx="16">
                  <c:v>16.5488</c:v>
                </c:pt>
                <c:pt idx="17">
                  <c:v>18.294499999999989</c:v>
                </c:pt>
                <c:pt idx="18">
                  <c:v>17.598099999999906</c:v>
                </c:pt>
                <c:pt idx="19">
                  <c:v>16.788599999999843</c:v>
                </c:pt>
                <c:pt idx="20">
                  <c:v>19.392799999999891</c:v>
                </c:pt>
                <c:pt idx="21">
                  <c:v>18.640799999999906</c:v>
                </c:pt>
                <c:pt idx="22">
                  <c:v>19.77029999999991</c:v>
                </c:pt>
                <c:pt idx="23">
                  <c:v>17.32</c:v>
                </c:pt>
                <c:pt idx="24">
                  <c:v>14.1187</c:v>
                </c:pt>
                <c:pt idx="25">
                  <c:v>15.9709</c:v>
                </c:pt>
                <c:pt idx="26">
                  <c:v>18.553799999999914</c:v>
                </c:pt>
                <c:pt idx="27">
                  <c:v>19.253299999999989</c:v>
                </c:pt>
                <c:pt idx="28">
                  <c:v>19.173299999999987</c:v>
                </c:pt>
                <c:pt idx="29">
                  <c:v>20.625599999999906</c:v>
                </c:pt>
                <c:pt idx="30">
                  <c:v>19.725499999999876</c:v>
                </c:pt>
                <c:pt idx="31">
                  <c:v>21.869299999999917</c:v>
                </c:pt>
                <c:pt idx="32">
                  <c:v>23.1553</c:v>
                </c:pt>
                <c:pt idx="33">
                  <c:v>23.415699999999891</c:v>
                </c:pt>
                <c:pt idx="34">
                  <c:v>22.528299999999899</c:v>
                </c:pt>
                <c:pt idx="35">
                  <c:v>22.816800000000097</c:v>
                </c:pt>
                <c:pt idx="36">
                  <c:v>19.3245</c:v>
                </c:pt>
                <c:pt idx="37">
                  <c:v>20.02029999999991</c:v>
                </c:pt>
                <c:pt idx="38">
                  <c:v>22.6048000000001</c:v>
                </c:pt>
                <c:pt idx="39">
                  <c:v>22.180299999999914</c:v>
                </c:pt>
                <c:pt idx="40">
                  <c:v>24.678999999999988</c:v>
                </c:pt>
                <c:pt idx="41">
                  <c:v>23.6387</c:v>
                </c:pt>
                <c:pt idx="42">
                  <c:v>26.134400000000031</c:v>
                </c:pt>
              </c:numCache>
            </c:numRef>
          </c:val>
        </c:ser>
        <c:gapWidth val="0"/>
        <c:overlap val="100"/>
        <c:axId val="144939264"/>
        <c:axId val="145739776"/>
      </c:barChart>
      <c:catAx>
        <c:axId val="14493926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5739776"/>
        <c:crosses val="autoZero"/>
        <c:auto val="1"/>
        <c:lblAlgn val="ctr"/>
        <c:lblOffset val="0"/>
        <c:tickLblSkip val="3"/>
        <c:tickMarkSkip val="1"/>
        <c:noMultiLvlLbl val="1"/>
      </c:catAx>
      <c:valAx>
        <c:axId val="14573977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4939264"/>
        <c:crosses val="autoZero"/>
        <c:crossBetween val="between"/>
      </c:valAx>
      <c:spPr>
        <a:noFill/>
        <a:ln w="6350">
          <a:solidFill>
            <a:sysClr val="window" lastClr="FFFFFF">
              <a:lumMod val="85000"/>
            </a:sysClr>
          </a:solidFill>
        </a:ln>
      </c:spPr>
    </c:plotArea>
    <c:legend>
      <c:legendPos val="b"/>
      <c:layout>
        <c:manualLayout>
          <c:xMode val="edge"/>
          <c:yMode val="edge"/>
          <c:x val="0.54490692871974855"/>
          <c:y val="7.3834220163866121E-2"/>
          <c:w val="0.35673227969348681"/>
          <c:h val="0.13589057465377194"/>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688"/>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3.8227250961041395</c:v>
                </c:pt>
                <c:pt idx="1">
                  <c:v>2.2789635391530965</c:v>
                </c:pt>
                <c:pt idx="2">
                  <c:v>-8.1053744151718519</c:v>
                </c:pt>
                <c:pt idx="3">
                  <c:v>-0.24874214000499387</c:v>
                </c:pt>
                <c:pt idx="4">
                  <c:v>-10.420722319865177</c:v>
                </c:pt>
                <c:pt idx="5">
                  <c:v>-9.2026597743939504</c:v>
                </c:pt>
                <c:pt idx="6">
                  <c:v>-6.5034004936109024</c:v>
                </c:pt>
                <c:pt idx="7">
                  <c:v>-14.851045013004372</c:v>
                </c:pt>
                <c:pt idx="8">
                  <c:v>0.69941668483135766</c:v>
                </c:pt>
                <c:pt idx="9">
                  <c:v>-7.7246551016172145</c:v>
                </c:pt>
                <c:pt idx="10">
                  <c:v>-15.868778684726308</c:v>
                </c:pt>
                <c:pt idx="11">
                  <c:v>-4.0276920772607445</c:v>
                </c:pt>
                <c:pt idx="12">
                  <c:v>-24.293854072751202</c:v>
                </c:pt>
                <c:pt idx="13">
                  <c:v>-20.284408000381173</c:v>
                </c:pt>
                <c:pt idx="14">
                  <c:v>-13.800317746360719</c:v>
                </c:pt>
                <c:pt idx="15">
                  <c:v>-14.782477767969922</c:v>
                </c:pt>
                <c:pt idx="16">
                  <c:v>-17.351877576197268</c:v>
                </c:pt>
                <c:pt idx="17">
                  <c:v>-11.130099978977071</c:v>
                </c:pt>
                <c:pt idx="18">
                  <c:v>-17.693256787490622</c:v>
                </c:pt>
                <c:pt idx="19">
                  <c:v>-18.810180802761252</c:v>
                </c:pt>
                <c:pt idx="20">
                  <c:v>-19.608726181005089</c:v>
                </c:pt>
                <c:pt idx="21">
                  <c:v>-20.851180605178641</c:v>
                </c:pt>
                <c:pt idx="22">
                  <c:v>-8.1680364961444205</c:v>
                </c:pt>
                <c:pt idx="23">
                  <c:v>-15.873273325205957</c:v>
                </c:pt>
                <c:pt idx="24">
                  <c:v>-8.8674642162846027</c:v>
                </c:pt>
                <c:pt idx="25">
                  <c:v>-5.6754971703959285</c:v>
                </c:pt>
                <c:pt idx="26">
                  <c:v>-1.7195117663955979</c:v>
                </c:pt>
                <c:pt idx="27">
                  <c:v>-5.7307169342537234</c:v>
                </c:pt>
                <c:pt idx="28">
                  <c:v>-3.3872689436298788</c:v>
                </c:pt>
                <c:pt idx="29">
                  <c:v>-4.4054947410748104</c:v>
                </c:pt>
                <c:pt idx="30">
                  <c:v>1.0705649775729804</c:v>
                </c:pt>
                <c:pt idx="31">
                  <c:v>6.8227393827491394</c:v>
                </c:pt>
                <c:pt idx="32">
                  <c:v>2.8955209498205079</c:v>
                </c:pt>
                <c:pt idx="33">
                  <c:v>4.8173650497903475</c:v>
                </c:pt>
                <c:pt idx="34">
                  <c:v>4.057778299012611</c:v>
                </c:pt>
                <c:pt idx="35">
                  <c:v>5.3910963443614577</c:v>
                </c:pt>
                <c:pt idx="36">
                  <c:v>7.4531962940252328</c:v>
                </c:pt>
                <c:pt idx="37">
                  <c:v>2.5758533112431099</c:v>
                </c:pt>
                <c:pt idx="38" formatCode="General">
                  <c:v>1.9389605770764291</c:v>
                </c:pt>
                <c:pt idx="39" formatCode="General">
                  <c:v>-1.2821654382123171</c:v>
                </c:pt>
                <c:pt idx="40" formatCode="General">
                  <c:v>3.3351713899028965</c:v>
                </c:pt>
                <c:pt idx="41" formatCode="General">
                  <c:v>0.83180854183213149</c:v>
                </c:pt>
                <c:pt idx="42" formatCode="General">
                  <c:v>-1.13419616503812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23.017166253629</c:v>
                </c:pt>
                <c:pt idx="1">
                  <c:v>23.867403541154829</c:v>
                </c:pt>
                <c:pt idx="2">
                  <c:v>19.745298833958589</c:v>
                </c:pt>
                <c:pt idx="3">
                  <c:v>22.189636473142528</c:v>
                </c:pt>
                <c:pt idx="4">
                  <c:v>19.313313945099551</c:v>
                </c:pt>
                <c:pt idx="5">
                  <c:v>19.096072443059633</c:v>
                </c:pt>
                <c:pt idx="6">
                  <c:v>19.651241581510327</c:v>
                </c:pt>
                <c:pt idx="7">
                  <c:v>16.944525355478127</c:v>
                </c:pt>
                <c:pt idx="8">
                  <c:v>17.1258023665781</c:v>
                </c:pt>
                <c:pt idx="9">
                  <c:v>11.991866629069079</c:v>
                </c:pt>
                <c:pt idx="10">
                  <c:v>8.1626921614722097</c:v>
                </c:pt>
                <c:pt idx="11">
                  <c:v>7.2996401289074324</c:v>
                </c:pt>
                <c:pt idx="12">
                  <c:v>4.2754519622082654</c:v>
                </c:pt>
                <c:pt idx="13">
                  <c:v>1.2843201684698755</c:v>
                </c:pt>
                <c:pt idx="14">
                  <c:v>0.46551163831982612</c:v>
                </c:pt>
                <c:pt idx="15">
                  <c:v>-0.77319016143684394</c:v>
                </c:pt>
                <c:pt idx="16">
                  <c:v>-1.6843247990314858</c:v>
                </c:pt>
                <c:pt idx="17">
                  <c:v>-3.5916195214418138</c:v>
                </c:pt>
                <c:pt idx="18">
                  <c:v>-4.0733014503964142</c:v>
                </c:pt>
                <c:pt idx="19">
                  <c:v>-4.4392860733520934</c:v>
                </c:pt>
                <c:pt idx="20">
                  <c:v>-4.6416084344931878</c:v>
                </c:pt>
                <c:pt idx="21">
                  <c:v>-4.2328596829839</c:v>
                </c:pt>
                <c:pt idx="22">
                  <c:v>-6.0069489386321084</c:v>
                </c:pt>
                <c:pt idx="23">
                  <c:v>-4.6600165690235213</c:v>
                </c:pt>
                <c:pt idx="24">
                  <c:v>-4.7508455588863745</c:v>
                </c:pt>
                <c:pt idx="25">
                  <c:v>-3.9343314584117293</c:v>
                </c:pt>
                <c:pt idx="26">
                  <c:v>-1.9174404013309361</c:v>
                </c:pt>
                <c:pt idx="27">
                  <c:v>-1.1858288805395738</c:v>
                </c:pt>
                <c:pt idx="28">
                  <c:v>-0.47340249128977796</c:v>
                </c:pt>
                <c:pt idx="29">
                  <c:v>0.47037638756282546</c:v>
                </c:pt>
                <c:pt idx="30">
                  <c:v>1.302036467334915</c:v>
                </c:pt>
                <c:pt idx="31">
                  <c:v>2.2603347785626258</c:v>
                </c:pt>
                <c:pt idx="32">
                  <c:v>4.4309294368052576</c:v>
                </c:pt>
                <c:pt idx="33">
                  <c:v>5.2859695216792772</c:v>
                </c:pt>
                <c:pt idx="34">
                  <c:v>7.2909798768749763</c:v>
                </c:pt>
                <c:pt idx="35">
                  <c:v>6.1520902322238955</c:v>
                </c:pt>
                <c:pt idx="36">
                  <c:v>7.1150088272726455</c:v>
                </c:pt>
                <c:pt idx="37">
                  <c:v>8.6340947267900159</c:v>
                </c:pt>
                <c:pt idx="38" formatCode="General">
                  <c:v>9.0186742869293823</c:v>
                </c:pt>
                <c:pt idx="39" formatCode="General">
                  <c:v>9.5341499758807657</c:v>
                </c:pt>
                <c:pt idx="40" formatCode="General">
                  <c:v>10.421756804495104</c:v>
                </c:pt>
                <c:pt idx="41" formatCode="General">
                  <c:v>10.770834123314927</c:v>
                </c:pt>
                <c:pt idx="42" formatCode="General">
                  <c:v>10.732737541549252</c:v>
                </c:pt>
              </c:numCache>
            </c:numRef>
          </c:val>
        </c:ser>
        <c:gapWidth val="48"/>
        <c:overlap val="100"/>
        <c:axId val="146744832"/>
        <c:axId val="146767872"/>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26.839891349733151</c:v>
                </c:pt>
                <c:pt idx="1">
                  <c:v>26.146367080307929</c:v>
                </c:pt>
                <c:pt idx="2">
                  <c:v>11.639924418786734</c:v>
                </c:pt>
                <c:pt idx="3">
                  <c:v>21.940894333137589</c:v>
                </c:pt>
                <c:pt idx="4">
                  <c:v>8.892591625234374</c:v>
                </c:pt>
                <c:pt idx="5">
                  <c:v>9.8934126686657251</c:v>
                </c:pt>
                <c:pt idx="6">
                  <c:v>13.147841087899398</c:v>
                </c:pt>
                <c:pt idx="7">
                  <c:v>2.0934803424738249</c:v>
                </c:pt>
                <c:pt idx="8">
                  <c:v>17.825219051409462</c:v>
                </c:pt>
                <c:pt idx="9">
                  <c:v>4.2672115274518605</c:v>
                </c:pt>
                <c:pt idx="10">
                  <c:v>-7.7060865232541014</c:v>
                </c:pt>
                <c:pt idx="11">
                  <c:v>3.2719480516466746</c:v>
                </c:pt>
                <c:pt idx="12">
                  <c:v>-20.018402110542926</c:v>
                </c:pt>
                <c:pt idx="13">
                  <c:v>-19.000087831911284</c:v>
                </c:pt>
                <c:pt idx="14">
                  <c:v>-13.334806108040894</c:v>
                </c:pt>
                <c:pt idx="15">
                  <c:v>-15.555667929406805</c:v>
                </c:pt>
                <c:pt idx="16">
                  <c:v>-19.036202375228729</c:v>
                </c:pt>
                <c:pt idx="17">
                  <c:v>-14.721719500418848</c:v>
                </c:pt>
                <c:pt idx="18">
                  <c:v>-21.766558237886926</c:v>
                </c:pt>
                <c:pt idx="19">
                  <c:v>-23.24946687611331</c:v>
                </c:pt>
                <c:pt idx="20">
                  <c:v>-24.250334615498303</c:v>
                </c:pt>
                <c:pt idx="21">
                  <c:v>-25.084040288162413</c:v>
                </c:pt>
                <c:pt idx="22">
                  <c:v>-14.174985434776517</c:v>
                </c:pt>
                <c:pt idx="23">
                  <c:v>-20.533289894229512</c:v>
                </c:pt>
                <c:pt idx="24">
                  <c:v>-13.618309775170918</c:v>
                </c:pt>
                <c:pt idx="25">
                  <c:v>-9.6098286288076498</c:v>
                </c:pt>
                <c:pt idx="26">
                  <c:v>-3.636952167726534</c:v>
                </c:pt>
                <c:pt idx="27">
                  <c:v>-6.9165458147932952</c:v>
                </c:pt>
                <c:pt idx="28">
                  <c:v>-3.8606714349196567</c:v>
                </c:pt>
                <c:pt idx="29">
                  <c:v>-3.9351183535119807</c:v>
                </c:pt>
                <c:pt idx="30">
                  <c:v>2.3726014449079003</c:v>
                </c:pt>
                <c:pt idx="31">
                  <c:v>9.0830741613117159</c:v>
                </c:pt>
                <c:pt idx="32">
                  <c:v>7.3264503866257655</c:v>
                </c:pt>
                <c:pt idx="33">
                  <c:v>10.103334571469691</c:v>
                </c:pt>
                <c:pt idx="34">
                  <c:v>11.34875817588761</c:v>
                </c:pt>
                <c:pt idx="35">
                  <c:v>11.543186576585411</c:v>
                </c:pt>
                <c:pt idx="36">
                  <c:v>14.568205121297833</c:v>
                </c:pt>
                <c:pt idx="37">
                  <c:v>11.209948038033147</c:v>
                </c:pt>
                <c:pt idx="38" formatCode="General">
                  <c:v>10.957634864005874</c:v>
                </c:pt>
                <c:pt idx="39" formatCode="General">
                  <c:v>8.2519845376684966</c:v>
                </c:pt>
                <c:pt idx="40" formatCode="General">
                  <c:v>13.756928194397998</c:v>
                </c:pt>
                <c:pt idx="41" formatCode="General">
                  <c:v>11.602642665147076</c:v>
                </c:pt>
                <c:pt idx="42" formatCode="General">
                  <c:v>9.5985413765110739</c:v>
                </c:pt>
              </c:numCache>
            </c:numRef>
          </c:val>
        </c:ser>
        <c:marker val="1"/>
        <c:axId val="146744832"/>
        <c:axId val="146767872"/>
      </c:lineChart>
      <c:catAx>
        <c:axId val="14674483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6767872"/>
        <c:crosses val="autoZero"/>
        <c:auto val="1"/>
        <c:lblAlgn val="ctr"/>
        <c:lblOffset val="0"/>
        <c:tickLblSkip val="2"/>
        <c:tickMarkSkip val="1"/>
        <c:noMultiLvlLbl val="1"/>
      </c:catAx>
      <c:valAx>
        <c:axId val="14676787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6744832"/>
        <c:crosses val="autoZero"/>
        <c:crossBetween val="between"/>
      </c:valAx>
      <c:spPr>
        <a:noFill/>
        <a:ln w="6350">
          <a:solidFill>
            <a:sysClr val="window" lastClr="FFFFFF">
              <a:lumMod val="85000"/>
            </a:sysClr>
          </a:solidFill>
        </a:ln>
      </c:spPr>
    </c:plotArea>
    <c:legend>
      <c:legendPos val="b"/>
      <c:layout>
        <c:manualLayout>
          <c:xMode val="edge"/>
          <c:yMode val="edge"/>
          <c:x val="0.31001134645570022"/>
          <c:y val="4.5228009259259253E-2"/>
          <c:w val="0.49761859163442168"/>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98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102.63650662871696</c:v>
                </c:pt>
                <c:pt idx="1">
                  <c:v>105.29548348438342</c:v>
                </c:pt>
                <c:pt idx="2">
                  <c:v>104.67380720545223</c:v>
                </c:pt>
                <c:pt idx="3">
                  <c:v>105.34791401393154</c:v>
                </c:pt>
                <c:pt idx="4">
                  <c:v>105.8572391581155</c:v>
                </c:pt>
                <c:pt idx="5">
                  <c:v>106.7335780091379</c:v>
                </c:pt>
                <c:pt idx="6">
                  <c:v>107.46011534716533</c:v>
                </c:pt>
                <c:pt idx="7">
                  <c:v>108.35143434948652</c:v>
                </c:pt>
                <c:pt idx="8">
                  <c:v>108.5461763163804</c:v>
                </c:pt>
                <c:pt idx="9">
                  <c:v>108.15669238259262</c:v>
                </c:pt>
                <c:pt idx="10">
                  <c:v>107.93199011310014</c:v>
                </c:pt>
                <c:pt idx="11">
                  <c:v>107.60242678451053</c:v>
                </c:pt>
                <c:pt idx="12">
                  <c:v>108.45629540858364</c:v>
                </c:pt>
                <c:pt idx="13">
                  <c:v>107.10808179162557</c:v>
                </c:pt>
                <c:pt idx="14">
                  <c:v>105.25054303048417</c:v>
                </c:pt>
                <c:pt idx="15">
                  <c:v>104.38918433076134</c:v>
                </c:pt>
                <c:pt idx="16">
                  <c:v>103.65515691708418</c:v>
                </c:pt>
                <c:pt idx="17">
                  <c:v>102.38184405662435</c:v>
                </c:pt>
                <c:pt idx="18">
                  <c:v>102.12718148453298</c:v>
                </c:pt>
                <c:pt idx="19">
                  <c:v>102.43427458617363</c:v>
                </c:pt>
                <c:pt idx="20">
                  <c:v>102.15714178713206</c:v>
                </c:pt>
                <c:pt idx="21">
                  <c:v>102.30694330012734</c:v>
                </c:pt>
                <c:pt idx="22">
                  <c:v>100.68908695977831</c:v>
                </c:pt>
                <c:pt idx="23">
                  <c:v>101.6702868698974</c:v>
                </c:pt>
                <c:pt idx="24">
                  <c:v>103.04097071380389</c:v>
                </c:pt>
                <c:pt idx="25">
                  <c:v>102.54662572092028</c:v>
                </c:pt>
                <c:pt idx="26">
                  <c:v>103.23571268069809</c:v>
                </c:pt>
                <c:pt idx="27">
                  <c:v>102.96606995730689</c:v>
                </c:pt>
                <c:pt idx="28">
                  <c:v>103.15332184855014</c:v>
                </c:pt>
                <c:pt idx="29">
                  <c:v>102.79379821736201</c:v>
                </c:pt>
                <c:pt idx="30">
                  <c:v>103.50535540408929</c:v>
                </c:pt>
                <c:pt idx="31">
                  <c:v>104.29181334731528</c:v>
                </c:pt>
                <c:pt idx="32">
                  <c:v>106.19429256235485</c:v>
                </c:pt>
                <c:pt idx="33">
                  <c:v>107.06314133772725</c:v>
                </c:pt>
                <c:pt idx="34">
                  <c:v>107.60242678451053</c:v>
                </c:pt>
                <c:pt idx="35">
                  <c:v>107.29533368287019</c:v>
                </c:pt>
                <c:pt idx="36">
                  <c:v>109.35510448655531</c:v>
                </c:pt>
                <c:pt idx="37">
                  <c:v>110.76323870871094</c:v>
                </c:pt>
                <c:pt idx="38">
                  <c:v>112.00659126657175</c:v>
                </c:pt>
                <c:pt idx="39">
                  <c:v>112.70316830199987</c:v>
                </c:pt>
                <c:pt idx="40" formatCode="General">
                  <c:v>113.12261253838612</c:v>
                </c:pt>
                <c:pt idx="41" formatCode="General">
                  <c:v>113.68436821211867</c:v>
                </c:pt>
                <c:pt idx="42" formatCode="General">
                  <c:v>114.12628267545456</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103.05400372439479</c:v>
                </c:pt>
                <c:pt idx="1">
                  <c:v>104.09683426443203</c:v>
                </c:pt>
                <c:pt idx="2">
                  <c:v>103.88081936685288</c:v>
                </c:pt>
                <c:pt idx="3">
                  <c:v>104.88640595903165</c:v>
                </c:pt>
                <c:pt idx="4">
                  <c:v>105.78770949720672</c:v>
                </c:pt>
                <c:pt idx="5">
                  <c:v>106.59217877094945</c:v>
                </c:pt>
                <c:pt idx="6">
                  <c:v>107.27001862197392</c:v>
                </c:pt>
                <c:pt idx="7">
                  <c:v>107.77653631284861</c:v>
                </c:pt>
                <c:pt idx="8">
                  <c:v>108.17132216014895</c:v>
                </c:pt>
                <c:pt idx="9">
                  <c:v>107.33705772811919</c:v>
                </c:pt>
                <c:pt idx="10">
                  <c:v>106.64432029795157</c:v>
                </c:pt>
                <c:pt idx="11">
                  <c:v>106.81564245810056</c:v>
                </c:pt>
                <c:pt idx="12">
                  <c:v>107.91806331471136</c:v>
                </c:pt>
                <c:pt idx="13">
                  <c:v>105.98882681564244</c:v>
                </c:pt>
                <c:pt idx="14">
                  <c:v>104.40968342644319</c:v>
                </c:pt>
                <c:pt idx="15">
                  <c:v>103.40409683426441</c:v>
                </c:pt>
                <c:pt idx="16">
                  <c:v>103.53072625698293</c:v>
                </c:pt>
                <c:pt idx="17">
                  <c:v>102.00372439478581</c:v>
                </c:pt>
                <c:pt idx="18">
                  <c:v>101.51955307262568</c:v>
                </c:pt>
                <c:pt idx="19">
                  <c:v>101.2141527001862</c:v>
                </c:pt>
                <c:pt idx="20">
                  <c:v>100.38733705772756</c:v>
                </c:pt>
                <c:pt idx="21">
                  <c:v>100.21601489757913</c:v>
                </c:pt>
                <c:pt idx="22">
                  <c:v>98.919925512104285</c:v>
                </c:pt>
                <c:pt idx="23">
                  <c:v>99.888268156423734</c:v>
                </c:pt>
                <c:pt idx="24">
                  <c:v>99.821229050279427</c:v>
                </c:pt>
                <c:pt idx="25">
                  <c:v>99.061452513966458</c:v>
                </c:pt>
                <c:pt idx="26">
                  <c:v>99.597765363128502</c:v>
                </c:pt>
                <c:pt idx="27">
                  <c:v>99.664804469274131</c:v>
                </c:pt>
                <c:pt idx="28">
                  <c:v>99.627560521415262</c:v>
                </c:pt>
                <c:pt idx="29">
                  <c:v>99.739292364990675</c:v>
                </c:pt>
                <c:pt idx="30">
                  <c:v>100.096834264432</c:v>
                </c:pt>
                <c:pt idx="31">
                  <c:v>100.71508379888266</c:v>
                </c:pt>
                <c:pt idx="32">
                  <c:v>102.44320297951614</c:v>
                </c:pt>
                <c:pt idx="33">
                  <c:v>103.34450651769085</c:v>
                </c:pt>
                <c:pt idx="34">
                  <c:v>104.05959031657297</c:v>
                </c:pt>
                <c:pt idx="35">
                  <c:v>104.73743016759775</c:v>
                </c:pt>
                <c:pt idx="36">
                  <c:v>106.73370577281185</c:v>
                </c:pt>
                <c:pt idx="37">
                  <c:v>107.51582867783981</c:v>
                </c:pt>
                <c:pt idx="38">
                  <c:v>108.58100558659217</c:v>
                </c:pt>
                <c:pt idx="39">
                  <c:v>109.55679702048354</c:v>
                </c:pt>
                <c:pt idx="40" formatCode="General">
                  <c:v>109.83985102420857</c:v>
                </c:pt>
                <c:pt idx="41" formatCode="General">
                  <c:v>110.54748603351955</c:v>
                </c:pt>
                <c:pt idx="42" formatCode="General">
                  <c:v>111.00186219739294</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101.2180267965892</c:v>
                </c:pt>
                <c:pt idx="1">
                  <c:v>109.32551766138856</c:v>
                </c:pt>
                <c:pt idx="2">
                  <c:v>107.32338611449356</c:v>
                </c:pt>
                <c:pt idx="3">
                  <c:v>106.87423873325159</c:v>
                </c:pt>
                <c:pt idx="4">
                  <c:v>106.07490864799024</c:v>
                </c:pt>
                <c:pt idx="5">
                  <c:v>107.20158343483585</c:v>
                </c:pt>
                <c:pt idx="6">
                  <c:v>108.07704019488372</c:v>
                </c:pt>
                <c:pt idx="7">
                  <c:v>110.2694884287454</c:v>
                </c:pt>
                <c:pt idx="8">
                  <c:v>109.80511571254534</c:v>
                </c:pt>
                <c:pt idx="9">
                  <c:v>110.92417783191229</c:v>
                </c:pt>
                <c:pt idx="10">
                  <c:v>112.24878197320338</c:v>
                </c:pt>
                <c:pt idx="11">
                  <c:v>110.24665042630966</c:v>
                </c:pt>
                <c:pt idx="12">
                  <c:v>110.27710109622379</c:v>
                </c:pt>
                <c:pt idx="13">
                  <c:v>110.83282582216805</c:v>
                </c:pt>
                <c:pt idx="14">
                  <c:v>108.05420219244805</c:v>
                </c:pt>
                <c:pt idx="15">
                  <c:v>107.68118148599272</c:v>
                </c:pt>
                <c:pt idx="16">
                  <c:v>104.1184531059683</c:v>
                </c:pt>
                <c:pt idx="17">
                  <c:v>103.69214372716195</c:v>
                </c:pt>
                <c:pt idx="18">
                  <c:v>104.20219244823382</c:v>
                </c:pt>
                <c:pt idx="19">
                  <c:v>106.47076735688111</c:v>
                </c:pt>
                <c:pt idx="20">
                  <c:v>107.97046285018237</c:v>
                </c:pt>
                <c:pt idx="21">
                  <c:v>109.19610231425048</c:v>
                </c:pt>
                <c:pt idx="22">
                  <c:v>106.49360535931841</c:v>
                </c:pt>
                <c:pt idx="23">
                  <c:v>107.53654080389765</c:v>
                </c:pt>
                <c:pt idx="24">
                  <c:v>113.54293544457975</c:v>
                </c:pt>
                <c:pt idx="25">
                  <c:v>113.92356881851367</c:v>
                </c:pt>
                <c:pt idx="26">
                  <c:v>115.09591961023139</c:v>
                </c:pt>
                <c:pt idx="27">
                  <c:v>113.75609013398254</c:v>
                </c:pt>
                <c:pt idx="28">
                  <c:v>114.65438489646716</c:v>
                </c:pt>
                <c:pt idx="29">
                  <c:v>112.77405602923272</c:v>
                </c:pt>
                <c:pt idx="30">
                  <c:v>114.63915956151052</c:v>
                </c:pt>
                <c:pt idx="31">
                  <c:v>115.96376370280146</c:v>
                </c:pt>
                <c:pt idx="32">
                  <c:v>118.40742996345919</c:v>
                </c:pt>
                <c:pt idx="33">
                  <c:v>119.18392204628501</c:v>
                </c:pt>
                <c:pt idx="34">
                  <c:v>119.15347137636965</c:v>
                </c:pt>
                <c:pt idx="35">
                  <c:v>115.67448233861082</c:v>
                </c:pt>
                <c:pt idx="36">
                  <c:v>117.95066991473844</c:v>
                </c:pt>
                <c:pt idx="37">
                  <c:v>121.44488428745433</c:v>
                </c:pt>
                <c:pt idx="38">
                  <c:v>123.28714981729597</c:v>
                </c:pt>
                <c:pt idx="39">
                  <c:v>123.04354445797837</c:v>
                </c:pt>
                <c:pt idx="40" formatCode="General">
                  <c:v>123.9113885505481</c:v>
                </c:pt>
                <c:pt idx="41" formatCode="General">
                  <c:v>123.97228989037762</c:v>
                </c:pt>
                <c:pt idx="42" formatCode="General">
                  <c:v>124.38337393422621</c:v>
                </c:pt>
              </c:numCache>
            </c:numRef>
          </c:val>
        </c:ser>
        <c:marker val="1"/>
        <c:axId val="145958784"/>
        <c:axId val="145960320"/>
      </c:lineChart>
      <c:catAx>
        <c:axId val="1459587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5960320"/>
        <c:crosses val="autoZero"/>
        <c:auto val="1"/>
        <c:lblAlgn val="ctr"/>
        <c:lblOffset val="0"/>
        <c:tickLblSkip val="2"/>
        <c:tickMarkSkip val="1"/>
        <c:noMultiLvlLbl val="1"/>
      </c:catAx>
      <c:valAx>
        <c:axId val="145960320"/>
        <c:scaling>
          <c:orientation val="minMax"/>
          <c:max val="125"/>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5958784"/>
        <c:crosses val="autoZero"/>
        <c:crossBetween val="between"/>
        <c:majorUnit val="5"/>
      </c:valAx>
      <c:spPr>
        <a:noFill/>
        <a:ln w="6350">
          <a:solidFill>
            <a:sysClr val="window" lastClr="FFFFFF">
              <a:lumMod val="85000"/>
            </a:sysClr>
          </a:solidFill>
        </a:ln>
      </c:spPr>
    </c:plotArea>
    <c:legend>
      <c:legendPos val="b"/>
      <c:layout>
        <c:manualLayout>
          <c:xMode val="edge"/>
          <c:yMode val="edge"/>
          <c:x val="0.14704522529590044"/>
          <c:y val="5.9666087962964034E-2"/>
          <c:w val="0.45080477616355746"/>
          <c:h val="0.18328819444445188"/>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599629676144669"/>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6.1640804111576708</c:v>
                </c:pt>
                <c:pt idx="1">
                  <c:v>7.0195106465929715</c:v>
                </c:pt>
                <c:pt idx="2">
                  <c:v>5.4446345326675045</c:v>
                </c:pt>
                <c:pt idx="3">
                  <c:v>-3.2337255929535243E-2</c:v>
                </c:pt>
                <c:pt idx="4">
                  <c:v>-1.5125533898766721</c:v>
                </c:pt>
                <c:pt idx="5">
                  <c:v>-1.4889160823644254</c:v>
                </c:pt>
                <c:pt idx="6">
                  <c:v>-2.9403304648183202</c:v>
                </c:pt>
                <c:pt idx="7">
                  <c:v>-0.59643090540863952</c:v>
                </c:pt>
                <c:pt idx="8">
                  <c:v>-6.3587629459087154</c:v>
                </c:pt>
                <c:pt idx="9">
                  <c:v>-14.249222494788841</c:v>
                </c:pt>
                <c:pt idx="10">
                  <c:v>-16.210449461721012</c:v>
                </c:pt>
                <c:pt idx="11">
                  <c:v>-17.569970674827353</c:v>
                </c:pt>
                <c:pt idx="12">
                  <c:v>-18.447094439830369</c:v>
                </c:pt>
                <c:pt idx="13">
                  <c:v>-30.483802697349763</c:v>
                </c:pt>
                <c:pt idx="14">
                  <c:v>-29.418580631239863</c:v>
                </c:pt>
                <c:pt idx="15">
                  <c:v>-24.306746862133618</c:v>
                </c:pt>
                <c:pt idx="16">
                  <c:v>-18.991934647679226</c:v>
                </c:pt>
                <c:pt idx="17">
                  <c:v>-24.190810334088791</c:v>
                </c:pt>
                <c:pt idx="18">
                  <c:v>-25.529050767119891</c:v>
                </c:pt>
                <c:pt idx="19">
                  <c:v>-23.681285028134631</c:v>
                </c:pt>
                <c:pt idx="20">
                  <c:v>-25.770763160886577</c:v>
                </c:pt>
                <c:pt idx="21">
                  <c:v>-22.545379094265552</c:v>
                </c:pt>
                <c:pt idx="22">
                  <c:v>-26.040678528110575</c:v>
                </c:pt>
                <c:pt idx="23">
                  <c:v>-24.239513766290941</c:v>
                </c:pt>
                <c:pt idx="24">
                  <c:v>-20.756008749293461</c:v>
                </c:pt>
                <c:pt idx="25">
                  <c:v>-19.723056654138727</c:v>
                </c:pt>
                <c:pt idx="26">
                  <c:v>-15.33502081443245</c:v>
                </c:pt>
                <c:pt idx="27">
                  <c:v>-11.152414673160942</c:v>
                </c:pt>
                <c:pt idx="28">
                  <c:v>-13.114605429613242</c:v>
                </c:pt>
                <c:pt idx="29">
                  <c:v>-8.0182586998523639</c:v>
                </c:pt>
                <c:pt idx="30">
                  <c:v>-8.8124440397703427</c:v>
                </c:pt>
                <c:pt idx="31">
                  <c:v>-6.3951418223749865</c:v>
                </c:pt>
                <c:pt idx="32">
                  <c:v>-7.1950813226187735</c:v>
                </c:pt>
                <c:pt idx="33">
                  <c:v>-5.9772941993658888</c:v>
                </c:pt>
                <c:pt idx="34">
                  <c:v>-4.3076494199592803</c:v>
                </c:pt>
                <c:pt idx="35">
                  <c:v>-6.9230298706877855</c:v>
                </c:pt>
                <c:pt idx="36">
                  <c:v>-9.9097226171364206</c:v>
                </c:pt>
                <c:pt idx="37">
                  <c:v>-9.3870431490886563</c:v>
                </c:pt>
                <c:pt idx="38">
                  <c:v>-5.7554930362536716</c:v>
                </c:pt>
                <c:pt idx="39">
                  <c:v>-7.0139917695473244</c:v>
                </c:pt>
                <c:pt idx="40">
                  <c:v>-7.7324265005941788</c:v>
                </c:pt>
                <c:pt idx="41">
                  <c:v>-5.409735336396178</c:v>
                </c:pt>
                <c:pt idx="42">
                  <c:v>-6.5193033240704024</c:v>
                </c:pt>
              </c:numCache>
            </c:numRef>
          </c:val>
        </c:ser>
        <c:marker val="1"/>
        <c:axId val="147016704"/>
        <c:axId val="147043072"/>
      </c:lineChart>
      <c:catAx>
        <c:axId val="14701670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043072"/>
        <c:crosses val="autoZero"/>
        <c:auto val="1"/>
        <c:lblAlgn val="ctr"/>
        <c:lblOffset val="0"/>
        <c:tickLblSkip val="2"/>
        <c:tickMarkSkip val="1"/>
        <c:noMultiLvlLbl val="1"/>
      </c:catAx>
      <c:valAx>
        <c:axId val="147043072"/>
        <c:scaling>
          <c:orientation val="minMax"/>
          <c:max val="10"/>
          <c:min val="-3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01670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12"/>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95.34</c:v>
                </c:pt>
                <c:pt idx="1">
                  <c:v>107.96000000000002</c:v>
                </c:pt>
                <c:pt idx="2">
                  <c:v>97.960000000000022</c:v>
                </c:pt>
                <c:pt idx="3">
                  <c:v>103.89</c:v>
                </c:pt>
                <c:pt idx="4">
                  <c:v>92.69</c:v>
                </c:pt>
                <c:pt idx="5">
                  <c:v>87.95</c:v>
                </c:pt>
                <c:pt idx="6">
                  <c:v>87.960000000000022</c:v>
                </c:pt>
                <c:pt idx="7">
                  <c:v>81.55</c:v>
                </c:pt>
                <c:pt idx="8">
                  <c:v>89.42</c:v>
                </c:pt>
                <c:pt idx="9">
                  <c:v>101.25</c:v>
                </c:pt>
                <c:pt idx="10">
                  <c:v>82.940000000000026</c:v>
                </c:pt>
                <c:pt idx="11">
                  <c:v>71.540000000000006</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62.37</c:v>
                </c:pt>
                <c:pt idx="1">
                  <c:v>56.160000000000011</c:v>
                </c:pt>
                <c:pt idx="2">
                  <c:v>54.32</c:v>
                </c:pt>
                <c:pt idx="3">
                  <c:v>56.93</c:v>
                </c:pt>
                <c:pt idx="4">
                  <c:v>51.82</c:v>
                </c:pt>
                <c:pt idx="5">
                  <c:v>58.33</c:v>
                </c:pt>
                <c:pt idx="6">
                  <c:v>56.27</c:v>
                </c:pt>
                <c:pt idx="7">
                  <c:v>55.18</c:v>
                </c:pt>
                <c:pt idx="8">
                  <c:v>55.67</c:v>
                </c:pt>
                <c:pt idx="9">
                  <c:v>56.1</c:v>
                </c:pt>
                <c:pt idx="10">
                  <c:v>58.7</c:v>
                </c:pt>
                <c:pt idx="11">
                  <c:v>53.3</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53.47</c:v>
                </c:pt>
                <c:pt idx="1">
                  <c:v>55.08</c:v>
                </c:pt>
                <c:pt idx="2">
                  <c:v>64.440000000000026</c:v>
                </c:pt>
                <c:pt idx="3" formatCode="General">
                  <c:v>62.160000000000011</c:v>
                </c:pt>
                <c:pt idx="4">
                  <c:v>63.96</c:v>
                </c:pt>
                <c:pt idx="5">
                  <c:v>64.47</c:v>
                </c:pt>
                <c:pt idx="6">
                  <c:v>71.59</c:v>
                </c:pt>
                <c:pt idx="7">
                  <c:v>72.36999999999999</c:v>
                </c:pt>
                <c:pt idx="8">
                  <c:v>75.28</c:v>
                </c:pt>
                <c:pt idx="9">
                  <c:v>77.06</c:v>
                </c:pt>
                <c:pt idx="10">
                  <c:v>73.319999999999993</c:v>
                </c:pt>
                <c:pt idx="11">
                  <c:v>72.83</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72.179999999999978</c:v>
                </c:pt>
                <c:pt idx="1">
                  <c:v>85.88</c:v>
                </c:pt>
                <c:pt idx="2">
                  <c:v>89.6</c:v>
                </c:pt>
                <c:pt idx="3" formatCode="General">
                  <c:v>82.27</c:v>
                </c:pt>
                <c:pt idx="4" formatCode="General">
                  <c:v>81.760000000000005</c:v>
                </c:pt>
                <c:pt idx="5" formatCode="General">
                  <c:v>76.149999999999991</c:v>
                </c:pt>
                <c:pt idx="6" formatCode="General">
                  <c:v>81.209999999999994</c:v>
                </c:pt>
              </c:numCache>
            </c:numRef>
          </c:val>
        </c:ser>
        <c:marker val="1"/>
        <c:axId val="146999168"/>
        <c:axId val="147000704"/>
      </c:lineChart>
      <c:catAx>
        <c:axId val="1469991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000704"/>
        <c:crosses val="autoZero"/>
        <c:auto val="1"/>
        <c:lblAlgn val="ctr"/>
        <c:lblOffset val="0"/>
        <c:tickMarkSkip val="1"/>
      </c:catAx>
      <c:valAx>
        <c:axId val="147000704"/>
        <c:scaling>
          <c:orientation val="minMax"/>
          <c:max val="12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6999168"/>
        <c:crosses val="autoZero"/>
        <c:crossBetween val="between"/>
      </c:valAx>
      <c:spPr>
        <a:noFill/>
        <a:ln w="6350">
          <a:solidFill>
            <a:sysClr val="window" lastClr="FFFFFF">
              <a:lumMod val="85000"/>
            </a:sysClr>
          </a:solidFill>
        </a:ln>
      </c:spPr>
    </c:plotArea>
    <c:legend>
      <c:legendPos val="b"/>
      <c:layout>
        <c:manualLayout>
          <c:xMode val="edge"/>
          <c:yMode val="edge"/>
          <c:x val="0.43781969047947156"/>
          <c:y val="4.6825810185184759E-2"/>
          <c:w val="0.3215190007419948"/>
          <c:h val="0.24802256944444445"/>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Sheet1!$A$2:$B$43</c:f>
              <c:multiLvlStrCache>
                <c:ptCount val="4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lvl>
                <c:lvl>
                  <c:pt idx="0">
                    <c:v>2008</c:v>
                  </c:pt>
                  <c:pt idx="12">
                    <c:v>2009</c:v>
                  </c:pt>
                  <c:pt idx="24">
                    <c:v>2010</c:v>
                  </c:pt>
                  <c:pt idx="36">
                    <c:v>2011</c:v>
                  </c:pt>
                </c:lvl>
              </c:multiLvlStrCache>
            </c:multiLvlStrRef>
          </c:cat>
          <c:val>
            <c:numRef>
              <c:f>Sheet1!$C$2:$C$43</c:f>
              <c:numCache>
                <c:formatCode>0.0</c:formatCode>
                <c:ptCount val="42"/>
                <c:pt idx="0">
                  <c:v>101.12082262210798</c:v>
                </c:pt>
                <c:pt idx="1">
                  <c:v>102.02570694087395</c:v>
                </c:pt>
                <c:pt idx="2">
                  <c:v>102.83804627249297</c:v>
                </c:pt>
                <c:pt idx="3">
                  <c:v>105.12082262210798</c:v>
                </c:pt>
                <c:pt idx="4">
                  <c:v>98.85861182519281</c:v>
                </c:pt>
                <c:pt idx="5">
                  <c:v>92.555269922879205</c:v>
                </c:pt>
                <c:pt idx="6">
                  <c:v>94.488431876606001</c:v>
                </c:pt>
                <c:pt idx="7">
                  <c:v>85.511568123393332</c:v>
                </c:pt>
                <c:pt idx="8">
                  <c:v>86.642673521850909</c:v>
                </c:pt>
                <c:pt idx="9">
                  <c:v>92.524421593830354</c:v>
                </c:pt>
                <c:pt idx="10">
                  <c:v>86.704370179948583</c:v>
                </c:pt>
                <c:pt idx="11">
                  <c:v>75.259640102827689</c:v>
                </c:pt>
                <c:pt idx="12">
                  <c:v>68.431876606683758</c:v>
                </c:pt>
                <c:pt idx="13">
                  <c:v>60.534704370180009</c:v>
                </c:pt>
                <c:pt idx="14">
                  <c:v>55.341902313624644</c:v>
                </c:pt>
                <c:pt idx="15">
                  <c:v>57.717223650385428</c:v>
                </c:pt>
                <c:pt idx="16">
                  <c:v>57.172236503856041</c:v>
                </c:pt>
                <c:pt idx="17">
                  <c:v>61.470437017994854</c:v>
                </c:pt>
                <c:pt idx="18">
                  <c:v>59.938303341902312</c:v>
                </c:pt>
                <c:pt idx="19">
                  <c:v>57.840616966580967</c:v>
                </c:pt>
                <c:pt idx="20">
                  <c:v>54.159383033419005</c:v>
                </c:pt>
                <c:pt idx="21">
                  <c:v>53.14138817480719</c:v>
                </c:pt>
                <c:pt idx="22">
                  <c:v>59.526992287917892</c:v>
                </c:pt>
                <c:pt idx="23">
                  <c:v>56.35989717223606</c:v>
                </c:pt>
                <c:pt idx="24">
                  <c:v>60.627249357326292</c:v>
                </c:pt>
                <c:pt idx="25">
                  <c:v>59.043701799485859</c:v>
                </c:pt>
                <c:pt idx="26">
                  <c:v>63.290488431876597</c:v>
                </c:pt>
                <c:pt idx="27">
                  <c:v>62.920308483290292</c:v>
                </c:pt>
                <c:pt idx="28">
                  <c:v>68.246786632390709</c:v>
                </c:pt>
                <c:pt idx="29">
                  <c:v>65.881748071979388</c:v>
                </c:pt>
                <c:pt idx="30">
                  <c:v>78.406169665810424</c:v>
                </c:pt>
                <c:pt idx="31">
                  <c:v>73.388174807197615</c:v>
                </c:pt>
                <c:pt idx="32">
                  <c:v>73.367609254498703</c:v>
                </c:pt>
                <c:pt idx="33">
                  <c:v>75.578406169665428</c:v>
                </c:pt>
                <c:pt idx="34">
                  <c:v>72.215938303341858</c:v>
                </c:pt>
                <c:pt idx="35">
                  <c:v>74.807197943444649</c:v>
                </c:pt>
                <c:pt idx="36" formatCode="General">
                  <c:v>79.218508997428884</c:v>
                </c:pt>
                <c:pt idx="37" formatCode="General">
                  <c:v>91.526992287917736</c:v>
                </c:pt>
                <c:pt idx="38" formatCode="General">
                  <c:v>87.629820051413859</c:v>
                </c:pt>
                <c:pt idx="39" formatCode="General">
                  <c:v>85.861182519280149</c:v>
                </c:pt>
                <c:pt idx="40" formatCode="General">
                  <c:v>81.686375321336399</c:v>
                </c:pt>
                <c:pt idx="41" formatCode="General">
                  <c:v>80.565552699228775</c:v>
                </c:pt>
              </c:numCache>
            </c:numRef>
          </c:val>
        </c:ser>
        <c:marker val="1"/>
        <c:axId val="147639296"/>
        <c:axId val="147677952"/>
      </c:lineChart>
      <c:catAx>
        <c:axId val="1476392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677952"/>
        <c:crosses val="autoZero"/>
        <c:auto val="1"/>
        <c:lblAlgn val="ctr"/>
        <c:lblOffset val="0"/>
        <c:tickLblSkip val="2"/>
        <c:tickMarkSkip val="1"/>
        <c:noMultiLvlLbl val="1"/>
      </c:catAx>
      <c:valAx>
        <c:axId val="147677952"/>
        <c:scaling>
          <c:orientation val="minMax"/>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6392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3.4395999999999987</c:v>
                </c:pt>
                <c:pt idx="1">
                  <c:v>3.9051000000000031</c:v>
                </c:pt>
                <c:pt idx="2">
                  <c:v>3.609</c:v>
                </c:pt>
                <c:pt idx="3">
                  <c:v>4.0974999999999975</c:v>
                </c:pt>
                <c:pt idx="4">
                  <c:v>3.777099999999999</c:v>
                </c:pt>
                <c:pt idx="5">
                  <c:v>3.3353999999999977</c:v>
                </c:pt>
                <c:pt idx="6">
                  <c:v>3.1296000000000017</c:v>
                </c:pt>
                <c:pt idx="7">
                  <c:v>2.6887999999999992</c:v>
                </c:pt>
                <c:pt idx="8">
                  <c:v>3.4339999999999993</c:v>
                </c:pt>
                <c:pt idx="9">
                  <c:v>3.252399999999998</c:v>
                </c:pt>
                <c:pt idx="10">
                  <c:v>3.1232000000000006</c:v>
                </c:pt>
                <c:pt idx="11">
                  <c:v>2.6597999999999997</c:v>
                </c:pt>
                <c:pt idx="12">
                  <c:v>1.682199999999999</c:v>
                </c:pt>
                <c:pt idx="13">
                  <c:v>1.7307000000000006</c:v>
                </c:pt>
                <c:pt idx="14">
                  <c:v>1.9517999999999978</c:v>
                </c:pt>
                <c:pt idx="15">
                  <c:v>1.9179999999999944</c:v>
                </c:pt>
                <c:pt idx="16">
                  <c:v>1.6600000000000021</c:v>
                </c:pt>
                <c:pt idx="17">
                  <c:v>1.8365000000000009</c:v>
                </c:pt>
                <c:pt idx="18">
                  <c:v>1.7883000000000013</c:v>
                </c:pt>
                <c:pt idx="19">
                  <c:v>1.6910000000000007</c:v>
                </c:pt>
                <c:pt idx="20">
                  <c:v>2.0484999999999989</c:v>
                </c:pt>
                <c:pt idx="21">
                  <c:v>2.0329999999999977</c:v>
                </c:pt>
                <c:pt idx="22">
                  <c:v>1.9107000000000003</c:v>
                </c:pt>
                <c:pt idx="23">
                  <c:v>2.0097999999999994</c:v>
                </c:pt>
                <c:pt idx="24">
                  <c:v>1.4273999999999925</c:v>
                </c:pt>
                <c:pt idx="25">
                  <c:v>1.5687999999999978</c:v>
                </c:pt>
                <c:pt idx="26">
                  <c:v>2.0387000000000022</c:v>
                </c:pt>
                <c:pt idx="27">
                  <c:v>1.9087000000000021</c:v>
                </c:pt>
                <c:pt idx="28">
                  <c:v>2.3796999999999899</c:v>
                </c:pt>
                <c:pt idx="29">
                  <c:v>2.0526999999999918</c:v>
                </c:pt>
                <c:pt idx="30">
                  <c:v>2.1321000000000008</c:v>
                </c:pt>
                <c:pt idx="31">
                  <c:v>2.0872000000000011</c:v>
                </c:pt>
                <c:pt idx="32">
                  <c:v>2.3241000000000014</c:v>
                </c:pt>
                <c:pt idx="33">
                  <c:v>2.7125999999999983</c:v>
                </c:pt>
                <c:pt idx="34">
                  <c:v>2.4407999999999994</c:v>
                </c:pt>
                <c:pt idx="35">
                  <c:v>2.4277000000000015</c:v>
                </c:pt>
                <c:pt idx="36">
                  <c:v>1.8772000000000002</c:v>
                </c:pt>
                <c:pt idx="37">
                  <c:v>1.8682000000000021</c:v>
                </c:pt>
                <c:pt idx="38">
                  <c:v>2.4825999999999997</c:v>
                </c:pt>
                <c:pt idx="39">
                  <c:v>2.1115999999999997</c:v>
                </c:pt>
                <c:pt idx="40">
                  <c:v>2.3001999999999985</c:v>
                </c:pt>
                <c:pt idx="41">
                  <c:v>2.0600000000000005</c:v>
                </c:pt>
                <c:pt idx="42">
                  <c:v>2.0248000000000008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10.764000000000001</c:v>
                </c:pt>
                <c:pt idx="1">
                  <c:v>12.4963</c:v>
                </c:pt>
                <c:pt idx="2">
                  <c:v>12.1381</c:v>
                </c:pt>
                <c:pt idx="3">
                  <c:v>11.873900000000004</c:v>
                </c:pt>
                <c:pt idx="4">
                  <c:v>11.016500000000002</c:v>
                </c:pt>
                <c:pt idx="5">
                  <c:v>10.964800000000002</c:v>
                </c:pt>
                <c:pt idx="6">
                  <c:v>10.838900000000001</c:v>
                </c:pt>
                <c:pt idx="7">
                  <c:v>10.6646</c:v>
                </c:pt>
                <c:pt idx="8">
                  <c:v>12.433300000000001</c:v>
                </c:pt>
                <c:pt idx="9">
                  <c:v>13.563700000000004</c:v>
                </c:pt>
                <c:pt idx="10">
                  <c:v>9.9465000000000003</c:v>
                </c:pt>
                <c:pt idx="11">
                  <c:v>7.2677999999999985</c:v>
                </c:pt>
                <c:pt idx="12">
                  <c:v>7.8006000000000002</c:v>
                </c:pt>
                <c:pt idx="13">
                  <c:v>8.0269000000000013</c:v>
                </c:pt>
                <c:pt idx="14">
                  <c:v>7.2811000000000003</c:v>
                </c:pt>
                <c:pt idx="15">
                  <c:v>8.3861000000000008</c:v>
                </c:pt>
                <c:pt idx="16">
                  <c:v>7.8256999999999985</c:v>
                </c:pt>
                <c:pt idx="17">
                  <c:v>8.3250000000000028</c:v>
                </c:pt>
                <c:pt idx="18">
                  <c:v>8.8718000000000021</c:v>
                </c:pt>
                <c:pt idx="19">
                  <c:v>7.7051999999999996</c:v>
                </c:pt>
                <c:pt idx="20">
                  <c:v>8.2981999999999996</c:v>
                </c:pt>
                <c:pt idx="21">
                  <c:v>8.4250000000000007</c:v>
                </c:pt>
                <c:pt idx="22">
                  <c:v>7.6341999999999945</c:v>
                </c:pt>
                <c:pt idx="23">
                  <c:v>6.3683000000000005</c:v>
                </c:pt>
                <c:pt idx="24">
                  <c:v>7.1791999999999998</c:v>
                </c:pt>
                <c:pt idx="25">
                  <c:v>8.0998000000000001</c:v>
                </c:pt>
                <c:pt idx="26">
                  <c:v>9.3984000000000005</c:v>
                </c:pt>
                <c:pt idx="27">
                  <c:v>8.968300000000001</c:v>
                </c:pt>
                <c:pt idx="28">
                  <c:v>9.2949000000000002</c:v>
                </c:pt>
                <c:pt idx="29">
                  <c:v>9.3545000000000247</c:v>
                </c:pt>
                <c:pt idx="30">
                  <c:v>10.684800000000001</c:v>
                </c:pt>
                <c:pt idx="31">
                  <c:v>10.081800000000001</c:v>
                </c:pt>
                <c:pt idx="32">
                  <c:v>10.683</c:v>
                </c:pt>
                <c:pt idx="33">
                  <c:v>10.415700000000006</c:v>
                </c:pt>
                <c:pt idx="34">
                  <c:v>10.053100000000002</c:v>
                </c:pt>
                <c:pt idx="35">
                  <c:v>8.8685000000000027</c:v>
                </c:pt>
                <c:pt idx="36">
                  <c:v>9.3040000000000003</c:v>
                </c:pt>
                <c:pt idx="37">
                  <c:v>11.6815</c:v>
                </c:pt>
                <c:pt idx="38">
                  <c:v>12.617299999999998</c:v>
                </c:pt>
                <c:pt idx="39">
                  <c:v>11.8149</c:v>
                </c:pt>
                <c:pt idx="40">
                  <c:v>11.7081</c:v>
                </c:pt>
                <c:pt idx="41">
                  <c:v>11.882300000000004</c:v>
                </c:pt>
                <c:pt idx="42">
                  <c:v>11.8407</c:v>
                </c:pt>
              </c:numCache>
            </c:numRef>
          </c:val>
        </c:ser>
        <c:gapWidth val="0"/>
        <c:overlap val="100"/>
        <c:axId val="147481728"/>
        <c:axId val="147483264"/>
      </c:barChart>
      <c:catAx>
        <c:axId val="14748172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483264"/>
        <c:crosses val="autoZero"/>
        <c:auto val="1"/>
        <c:lblAlgn val="ctr"/>
        <c:lblOffset val="0"/>
        <c:tickLblSkip val="3"/>
        <c:tickMarkSkip val="1"/>
        <c:noMultiLvlLbl val="1"/>
      </c:catAx>
      <c:valAx>
        <c:axId val="147483264"/>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7481728"/>
        <c:crosses val="autoZero"/>
        <c:crossBetween val="between"/>
      </c:valAx>
      <c:spPr>
        <a:noFill/>
        <a:ln w="6350">
          <a:solidFill>
            <a:sysClr val="window" lastClr="FFFFFF">
              <a:lumMod val="85000"/>
            </a:sysClr>
          </a:solidFill>
        </a:ln>
      </c:spPr>
    </c:plotArea>
    <c:legend>
      <c:legendPos val="b"/>
      <c:layout>
        <c:manualLayout>
          <c:xMode val="edge"/>
          <c:yMode val="edge"/>
          <c:x val="0.44655530514146746"/>
          <c:y val="9.5883101851851699E-2"/>
          <c:w val="0.35673227969348681"/>
          <c:h val="0.1358905746537719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6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-12.373260982415944</c:v>
                </c:pt>
                <c:pt idx="1">
                  <c:v>0.8871020203707185</c:v>
                </c:pt>
                <c:pt idx="2">
                  <c:v>-18.259989600266287</c:v>
                </c:pt>
                <c:pt idx="3">
                  <c:v>0.38992966905104592</c:v>
                </c:pt>
                <c:pt idx="4">
                  <c:v>-13.055751885428007</c:v>
                </c:pt>
                <c:pt idx="5">
                  <c:v>-16.739011707506535</c:v>
                </c:pt>
                <c:pt idx="6">
                  <c:v>-7.845433366202316E-2</c:v>
                </c:pt>
                <c:pt idx="7">
                  <c:v>-22.155437287602126</c:v>
                </c:pt>
                <c:pt idx="8">
                  <c:v>-4.8523193789860821</c:v>
                </c:pt>
                <c:pt idx="9">
                  <c:v>-3.3392655821914303</c:v>
                </c:pt>
                <c:pt idx="10">
                  <c:v>-25.492992411487478</c:v>
                </c:pt>
                <c:pt idx="11">
                  <c:v>-24.441049066704629</c:v>
                </c:pt>
                <c:pt idx="12">
                  <c:v>-36.816500870987703</c:v>
                </c:pt>
                <c:pt idx="13">
                  <c:v>-42.324361247900555</c:v>
                </c:pt>
                <c:pt idx="14">
                  <c:v>-43.598644341680732</c:v>
                </c:pt>
                <c:pt idx="15">
                  <c:v>-37.278682328158375</c:v>
                </c:pt>
                <c:pt idx="16">
                  <c:v>-37.641354159155405</c:v>
                </c:pt>
                <c:pt idx="17">
                  <c:v>-29.346604985203513</c:v>
                </c:pt>
                <c:pt idx="18">
                  <c:v>-25.975900218151089</c:v>
                </c:pt>
                <c:pt idx="19">
                  <c:v>-30.240206015859286</c:v>
                </c:pt>
                <c:pt idx="20">
                  <c:v>-36.070751132450653</c:v>
                </c:pt>
                <c:pt idx="21">
                  <c:v>-37.426012941068663</c:v>
                </c:pt>
                <c:pt idx="22">
                  <c:v>-25.056156435975581</c:v>
                </c:pt>
                <c:pt idx="23">
                  <c:v>-11.585577527250972</c:v>
                </c:pt>
                <c:pt idx="24">
                  <c:v>-6.0124359763839053</c:v>
                </c:pt>
                <c:pt idx="25">
                  <c:v>-5.0069778865139796</c:v>
                </c:pt>
                <c:pt idx="26">
                  <c:v>25.555387775163677</c:v>
                </c:pt>
                <c:pt idx="27">
                  <c:v>8.8836625498637378</c:v>
                </c:pt>
                <c:pt idx="28">
                  <c:v>26.781720946715211</c:v>
                </c:pt>
                <c:pt idx="29">
                  <c:v>13.286567011784102</c:v>
                </c:pt>
                <c:pt idx="30">
                  <c:v>19.757753711210672</c:v>
                </c:pt>
                <c:pt idx="31">
                  <c:v>30.356844521065142</c:v>
                </c:pt>
                <c:pt idx="32">
                  <c:v>29.424211518671786</c:v>
                </c:pt>
                <c:pt idx="33">
                  <c:v>25.860017827627626</c:v>
                </c:pt>
                <c:pt idx="34">
                  <c:v>31.969413180939522</c:v>
                </c:pt>
                <c:pt idx="35">
                  <c:v>32.525414410317694</c:v>
                </c:pt>
                <c:pt idx="36">
                  <c:v>26.066721820434452</c:v>
                </c:pt>
                <c:pt idx="37">
                  <c:v>46.266469932738602</c:v>
                </c:pt>
                <c:pt idx="38" formatCode="General">
                  <c:v>31.704382176911302</c:v>
                </c:pt>
                <c:pt idx="39" formatCode="General">
                  <c:v>23.104359259847797</c:v>
                </c:pt>
                <c:pt idx="40" formatCode="General">
                  <c:v>13.558320345775757</c:v>
                </c:pt>
                <c:pt idx="41" formatCode="General">
                  <c:v>16.4563306968248</c:v>
                </c:pt>
                <c:pt idx="42" formatCode="General">
                  <c:v>4.0526902027034879</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3.5482211837203192</c:v>
                </c:pt>
                <c:pt idx="1">
                  <c:v>3.4886695943882873</c:v>
                </c:pt>
                <c:pt idx="2">
                  <c:v>3.4089059821497747</c:v>
                </c:pt>
                <c:pt idx="3">
                  <c:v>4.5359651120494817</c:v>
                </c:pt>
                <c:pt idx="4">
                  <c:v>4.2279446624524635</c:v>
                </c:pt>
                <c:pt idx="5">
                  <c:v>5.3531798613832065</c:v>
                </c:pt>
                <c:pt idx="6">
                  <c:v>4.6777219852798924</c:v>
                </c:pt>
                <c:pt idx="7">
                  <c:v>5.8369894201550485</c:v>
                </c:pt>
                <c:pt idx="8">
                  <c:v>5.3577825618839645</c:v>
                </c:pt>
                <c:pt idx="9">
                  <c:v>5.2636712893423434</c:v>
                </c:pt>
                <c:pt idx="10">
                  <c:v>4.902541218797964</c:v>
                </c:pt>
                <c:pt idx="11">
                  <c:v>4.6867751306419336</c:v>
                </c:pt>
                <c:pt idx="12">
                  <c:v>3.5798566399476557</c:v>
                </c:pt>
                <c:pt idx="13">
                  <c:v>1.8168435969683121</c:v>
                </c:pt>
                <c:pt idx="14">
                  <c:v>2.2310274471414213</c:v>
                </c:pt>
                <c:pt idx="15">
                  <c:v>1.7946295838777289</c:v>
                </c:pt>
                <c:pt idx="16">
                  <c:v>1.7616494219717733</c:v>
                </c:pt>
                <c:pt idx="17">
                  <c:v>0.40505172021420338</c:v>
                </c:pt>
                <c:pt idx="18">
                  <c:v>2.2911810285459371</c:v>
                </c:pt>
                <c:pt idx="19">
                  <c:v>0.6058057882019483</c:v>
                </c:pt>
                <c:pt idx="20">
                  <c:v>1.2784424220840549</c:v>
                </c:pt>
                <c:pt idx="21">
                  <c:v>-0.38358619309446967</c:v>
                </c:pt>
                <c:pt idx="22">
                  <c:v>-1.9130930494755063</c:v>
                </c:pt>
                <c:pt idx="23">
                  <c:v>-4.0224244067511945</c:v>
                </c:pt>
                <c:pt idx="24">
                  <c:v>-3.2274509768366082</c:v>
                </c:pt>
                <c:pt idx="25">
                  <c:v>4.094868351382388</c:v>
                </c:pt>
                <c:pt idx="26">
                  <c:v>-1.6820652004580841</c:v>
                </c:pt>
                <c:pt idx="27">
                  <c:v>-3.3237398006667802</c:v>
                </c:pt>
                <c:pt idx="28">
                  <c:v>-3.7059331819747592</c:v>
                </c:pt>
                <c:pt idx="29">
                  <c:v>-1.0275501343545841</c:v>
                </c:pt>
                <c:pt idx="30">
                  <c:v>0.47470189427154708</c:v>
                </c:pt>
                <c:pt idx="31">
                  <c:v>-0.84704268628087664</c:v>
                </c:pt>
                <c:pt idx="32">
                  <c:v>-3.7116654895030563</c:v>
                </c:pt>
                <c:pt idx="33">
                  <c:v>-0.32645500490819757</c:v>
                </c:pt>
                <c:pt idx="34">
                  <c:v>-1.0733325514935643</c:v>
                </c:pt>
                <c:pt idx="35">
                  <c:v>2.3046783314734003</c:v>
                </c:pt>
                <c:pt idx="36">
                  <c:v>3.8475300327944639</c:v>
                </c:pt>
                <c:pt idx="37">
                  <c:v>-6.1251878443286536</c:v>
                </c:pt>
                <c:pt idx="38" formatCode="General">
                  <c:v>0.32121871842045535</c:v>
                </c:pt>
                <c:pt idx="39" formatCode="General">
                  <c:v>4.9318639634674861</c:v>
                </c:pt>
                <c:pt idx="40" formatCode="General">
                  <c:v>6.4312296173921304</c:v>
                </c:pt>
                <c:pt idx="41" formatCode="General">
                  <c:v>5.7673525909231813</c:v>
                </c:pt>
                <c:pt idx="42" formatCode="General">
                  <c:v>4.1286953117344751</c:v>
                </c:pt>
              </c:numCache>
            </c:numRef>
          </c:val>
        </c:ser>
        <c:gapWidth val="48"/>
        <c:overlap val="100"/>
        <c:axId val="148726144"/>
        <c:axId val="148728448"/>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-8.8250397986956788</c:v>
                </c:pt>
                <c:pt idx="1">
                  <c:v>4.3757716147590173</c:v>
                </c:pt>
                <c:pt idx="2">
                  <c:v>-14.851083618116522</c:v>
                </c:pt>
                <c:pt idx="3">
                  <c:v>4.9258947811005314</c:v>
                </c:pt>
                <c:pt idx="4">
                  <c:v>-8.8278072229754656</c:v>
                </c:pt>
                <c:pt idx="5">
                  <c:v>-11.385831846123381</c:v>
                </c:pt>
                <c:pt idx="6">
                  <c:v>4.5992676516178514</c:v>
                </c:pt>
                <c:pt idx="7">
                  <c:v>-16.318447867447077</c:v>
                </c:pt>
                <c:pt idx="8">
                  <c:v>0.50546318289785019</c:v>
                </c:pt>
                <c:pt idx="9">
                  <c:v>1.9244057071509104</c:v>
                </c:pt>
                <c:pt idx="10">
                  <c:v>-20.590451192689535</c:v>
                </c:pt>
                <c:pt idx="11">
                  <c:v>-19.754273936062717</c:v>
                </c:pt>
                <c:pt idx="12">
                  <c:v>-33.236644231040025</c:v>
                </c:pt>
                <c:pt idx="13">
                  <c:v>-40.507517650932144</c:v>
                </c:pt>
                <c:pt idx="14">
                  <c:v>-41.367616894539317</c:v>
                </c:pt>
                <c:pt idx="15">
                  <c:v>-35.48405274428039</c:v>
                </c:pt>
                <c:pt idx="16">
                  <c:v>-35.879704737183644</c:v>
                </c:pt>
                <c:pt idx="17">
                  <c:v>-28.941553264989221</c:v>
                </c:pt>
                <c:pt idx="18">
                  <c:v>-23.684719189605186</c:v>
                </c:pt>
                <c:pt idx="19">
                  <c:v>-29.634400227657391</c:v>
                </c:pt>
                <c:pt idx="20">
                  <c:v>-34.792308710366612</c:v>
                </c:pt>
                <c:pt idx="21">
                  <c:v>-37.809599134163086</c:v>
                </c:pt>
                <c:pt idx="22">
                  <c:v>-26.96924948545098</c:v>
                </c:pt>
                <c:pt idx="23">
                  <c:v>-15.608001934002168</c:v>
                </c:pt>
                <c:pt idx="24">
                  <c:v>-9.2398869532205516</c:v>
                </c:pt>
                <c:pt idx="25">
                  <c:v>-0.91210953513159165</c:v>
                </c:pt>
                <c:pt idx="26">
                  <c:v>23.873322574705568</c:v>
                </c:pt>
                <c:pt idx="27">
                  <c:v>5.5599227491969145</c:v>
                </c:pt>
                <c:pt idx="28">
                  <c:v>23.075787764740596</c:v>
                </c:pt>
                <c:pt idx="29">
                  <c:v>12.259016877429568</c:v>
                </c:pt>
                <c:pt idx="30">
                  <c:v>20.23245560548213</c:v>
                </c:pt>
                <c:pt idx="31">
                  <c:v>29.50980183478427</c:v>
                </c:pt>
                <c:pt idx="32">
                  <c:v>25.712546029168642</c:v>
                </c:pt>
                <c:pt idx="33">
                  <c:v>25.533562822719432</c:v>
                </c:pt>
                <c:pt idx="34">
                  <c:v>30.896080629446175</c:v>
                </c:pt>
                <c:pt idx="35">
                  <c:v>34.830092741791105</c:v>
                </c:pt>
                <c:pt idx="36">
                  <c:v>29.914251853228905</c:v>
                </c:pt>
                <c:pt idx="37">
                  <c:v>40.141282088409923</c:v>
                </c:pt>
                <c:pt idx="38" formatCode="General">
                  <c:v>32.025600895331863</c:v>
                </c:pt>
                <c:pt idx="39" formatCode="General">
                  <c:v>28.036223223315229</c:v>
                </c:pt>
                <c:pt idx="40" formatCode="General">
                  <c:v>19.989549963167676</c:v>
                </c:pt>
                <c:pt idx="41" formatCode="General">
                  <c:v>22.223683287747942</c:v>
                </c:pt>
                <c:pt idx="42" formatCode="General">
                  <c:v>8.1813855144379648</c:v>
                </c:pt>
              </c:numCache>
            </c:numRef>
          </c:val>
        </c:ser>
        <c:marker val="1"/>
        <c:axId val="148726144"/>
        <c:axId val="148728448"/>
      </c:lineChart>
      <c:catAx>
        <c:axId val="1487261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728448"/>
        <c:crosses val="autoZero"/>
        <c:auto val="1"/>
        <c:lblAlgn val="ctr"/>
        <c:lblOffset val="0"/>
        <c:tickLblSkip val="2"/>
        <c:tickMarkSkip val="1"/>
        <c:noMultiLvlLbl val="1"/>
      </c:catAx>
      <c:valAx>
        <c:axId val="148728448"/>
        <c:scaling>
          <c:orientation val="minMax"/>
          <c:max val="60"/>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726144"/>
        <c:crosses val="autoZero"/>
        <c:crossBetween val="between"/>
        <c:majorUnit val="15"/>
      </c:valAx>
      <c:spPr>
        <a:noFill/>
        <a:ln w="6350">
          <a:solidFill>
            <a:sysClr val="window" lastClr="FFFFFF">
              <a:lumMod val="85000"/>
            </a:sysClr>
          </a:solidFill>
        </a:ln>
      </c:spPr>
    </c:plotArea>
    <c:legend>
      <c:legendPos val="b"/>
      <c:layout>
        <c:manualLayout>
          <c:xMode val="edge"/>
          <c:yMode val="edge"/>
          <c:x val="0.12667802916202719"/>
          <c:y val="8.1975694444444441E-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84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100.27713212944751</c:v>
                </c:pt>
                <c:pt idx="1">
                  <c:v>101.15322724834645</c:v>
                </c:pt>
                <c:pt idx="2">
                  <c:v>100.96549258001072</c:v>
                </c:pt>
                <c:pt idx="3">
                  <c:v>101.75219023779724</c:v>
                </c:pt>
                <c:pt idx="4">
                  <c:v>101.91310566779934</c:v>
                </c:pt>
                <c:pt idx="5">
                  <c:v>102.67298408725136</c:v>
                </c:pt>
                <c:pt idx="6">
                  <c:v>101.96674414446628</c:v>
                </c:pt>
                <c:pt idx="7">
                  <c:v>104.48775254782764</c:v>
                </c:pt>
                <c:pt idx="8">
                  <c:v>104.72018594671911</c:v>
                </c:pt>
                <c:pt idx="9">
                  <c:v>105.03307706061148</c:v>
                </c:pt>
                <c:pt idx="10">
                  <c:v>107.00876095118898</c:v>
                </c:pt>
                <c:pt idx="11">
                  <c:v>106.23100303951369</c:v>
                </c:pt>
                <c:pt idx="12">
                  <c:v>106.36509923118165</c:v>
                </c:pt>
                <c:pt idx="13">
                  <c:v>104.44305381727159</c:v>
                </c:pt>
                <c:pt idx="14">
                  <c:v>105.1850527445015</c:v>
                </c:pt>
                <c:pt idx="15">
                  <c:v>105.23869122116929</c:v>
                </c:pt>
                <c:pt idx="16">
                  <c:v>105.28338995172534</c:v>
                </c:pt>
                <c:pt idx="17">
                  <c:v>103.6295369211511</c:v>
                </c:pt>
                <c:pt idx="18">
                  <c:v>105.4174861433935</c:v>
                </c:pt>
                <c:pt idx="19">
                  <c:v>105.63204005006223</c:v>
                </c:pt>
                <c:pt idx="20">
                  <c:v>106.70480958340779</c:v>
                </c:pt>
                <c:pt idx="21">
                  <c:v>104.57715000893971</c:v>
                </c:pt>
                <c:pt idx="22">
                  <c:v>104.45199356338308</c:v>
                </c:pt>
                <c:pt idx="23">
                  <c:v>101.48399785446055</c:v>
                </c:pt>
                <c:pt idx="24">
                  <c:v>101.90416592168825</c:v>
                </c:pt>
                <c:pt idx="25">
                  <c:v>107.78651886286393</c:v>
                </c:pt>
                <c:pt idx="26">
                  <c:v>103.14679063114602</c:v>
                </c:pt>
                <c:pt idx="27">
                  <c:v>101.06382978723431</c:v>
                </c:pt>
                <c:pt idx="28">
                  <c:v>101.57339531557263</c:v>
                </c:pt>
                <c:pt idx="29">
                  <c:v>101.90416592168823</c:v>
                </c:pt>
                <c:pt idx="30">
                  <c:v>104.62184873949521</c:v>
                </c:pt>
                <c:pt idx="31">
                  <c:v>103.94242803504376</c:v>
                </c:pt>
                <c:pt idx="32">
                  <c:v>102.91435723225455</c:v>
                </c:pt>
                <c:pt idx="33">
                  <c:v>103.65635615948415</c:v>
                </c:pt>
                <c:pt idx="34">
                  <c:v>103.09315215447855</c:v>
                </c:pt>
                <c:pt idx="35">
                  <c:v>103.25406758448055</c:v>
                </c:pt>
                <c:pt idx="36">
                  <c:v>104.86322188449843</c:v>
                </c:pt>
                <c:pt idx="37">
                  <c:v>103.10209190058934</c:v>
                </c:pt>
                <c:pt idx="38" formatCode="General">
                  <c:v>103.20042910781329</c:v>
                </c:pt>
                <c:pt idx="39" formatCode="General">
                  <c:v>104.747005185053</c:v>
                </c:pt>
                <c:pt idx="40" formatCode="General">
                  <c:v>106.84784552118712</c:v>
                </c:pt>
                <c:pt idx="41" formatCode="General">
                  <c:v>106.46343643840508</c:v>
                </c:pt>
                <c:pt idx="42" formatCode="General">
                  <c:v>108.49275880564953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100.49213463397486</c:v>
                </c:pt>
                <c:pt idx="1">
                  <c:v>103.29554442393886</c:v>
                </c:pt>
                <c:pt idx="2">
                  <c:v>100.72062571403463</c:v>
                </c:pt>
                <c:pt idx="3">
                  <c:v>102.38158010369924</c:v>
                </c:pt>
                <c:pt idx="4">
                  <c:v>102.52218999912118</c:v>
                </c:pt>
                <c:pt idx="5">
                  <c:v>103.20766323930108</c:v>
                </c:pt>
                <c:pt idx="6">
                  <c:v>103.87556024255153</c:v>
                </c:pt>
                <c:pt idx="7">
                  <c:v>105.65076017224708</c:v>
                </c:pt>
                <c:pt idx="8">
                  <c:v>107.10958783724357</c:v>
                </c:pt>
                <c:pt idx="9">
                  <c:v>106.49441954477604</c:v>
                </c:pt>
                <c:pt idx="10">
                  <c:v>107.91809473591761</c:v>
                </c:pt>
                <c:pt idx="11">
                  <c:v>106.46805518938397</c:v>
                </c:pt>
                <c:pt idx="12">
                  <c:v>108.75296598998156</c:v>
                </c:pt>
                <c:pt idx="13">
                  <c:v>106.62624132173298</c:v>
                </c:pt>
                <c:pt idx="14">
                  <c:v>107.36444327269531</c:v>
                </c:pt>
                <c:pt idx="15">
                  <c:v>109.8602689164244</c:v>
                </c:pt>
                <c:pt idx="16">
                  <c:v>108.42780560681959</c:v>
                </c:pt>
                <c:pt idx="17">
                  <c:v>106.49441954477601</c:v>
                </c:pt>
                <c:pt idx="18">
                  <c:v>109.03418578082432</c:v>
                </c:pt>
                <c:pt idx="19">
                  <c:v>109.25388874241968</c:v>
                </c:pt>
                <c:pt idx="20">
                  <c:v>109.57904912558215</c:v>
                </c:pt>
                <c:pt idx="21">
                  <c:v>109.63177783636455</c:v>
                </c:pt>
                <c:pt idx="22">
                  <c:v>106.71412250637142</c:v>
                </c:pt>
                <c:pt idx="23">
                  <c:v>96.308990245188483</c:v>
                </c:pt>
                <c:pt idx="24">
                  <c:v>95.131382371033808</c:v>
                </c:pt>
                <c:pt idx="25">
                  <c:v>93.26830125670044</c:v>
                </c:pt>
                <c:pt idx="26">
                  <c:v>93.25072501977327</c:v>
                </c:pt>
                <c:pt idx="27">
                  <c:v>93.031022058177427</c:v>
                </c:pt>
                <c:pt idx="28">
                  <c:v>92.538887424202471</c:v>
                </c:pt>
                <c:pt idx="29">
                  <c:v>94.173477458475574</c:v>
                </c:pt>
                <c:pt idx="30">
                  <c:v>93.751647772211982</c:v>
                </c:pt>
                <c:pt idx="31">
                  <c:v>94.946831883293783</c:v>
                </c:pt>
                <c:pt idx="32">
                  <c:v>93.619825995254416</c:v>
                </c:pt>
                <c:pt idx="33">
                  <c:v>93.321029967483952</c:v>
                </c:pt>
                <c:pt idx="34">
                  <c:v>94.261358643114505</c:v>
                </c:pt>
                <c:pt idx="35">
                  <c:v>92.477370594955588</c:v>
                </c:pt>
                <c:pt idx="36">
                  <c:v>94.006503207663229</c:v>
                </c:pt>
                <c:pt idx="37">
                  <c:v>94.032867563054239</c:v>
                </c:pt>
                <c:pt idx="38" formatCode="General">
                  <c:v>93.505580455224518</c:v>
                </c:pt>
                <c:pt idx="39" formatCode="General">
                  <c:v>95.395025924949465</c:v>
                </c:pt>
                <c:pt idx="40" formatCode="General">
                  <c:v>95.228051674136552</c:v>
                </c:pt>
                <c:pt idx="41" formatCode="General">
                  <c:v>95.157746726425259</c:v>
                </c:pt>
                <c:pt idx="42" formatCode="General">
                  <c:v>95.52684770190703</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100.17995321216429</c:v>
                </c:pt>
                <c:pt idx="1">
                  <c:v>100.16195789094834</c:v>
                </c:pt>
                <c:pt idx="2">
                  <c:v>101.07072161238037</c:v>
                </c:pt>
                <c:pt idx="3">
                  <c:v>101.45762101853519</c:v>
                </c:pt>
                <c:pt idx="4">
                  <c:v>101.6195789094831</c:v>
                </c:pt>
                <c:pt idx="5">
                  <c:v>102.42037070361705</c:v>
                </c:pt>
                <c:pt idx="6">
                  <c:v>101.07971927298868</c:v>
                </c:pt>
                <c:pt idx="7">
                  <c:v>103.94097534640962</c:v>
                </c:pt>
                <c:pt idx="8">
                  <c:v>103.59906424329679</c:v>
                </c:pt>
                <c:pt idx="9">
                  <c:v>104.35486773438905</c:v>
                </c:pt>
                <c:pt idx="10">
                  <c:v>106.57728990462478</c:v>
                </c:pt>
                <c:pt idx="11">
                  <c:v>106.11840921360405</c:v>
                </c:pt>
                <c:pt idx="12">
                  <c:v>105.55155659528522</c:v>
                </c:pt>
                <c:pt idx="13">
                  <c:v>103.70703617059532</c:v>
                </c:pt>
                <c:pt idx="14">
                  <c:v>104.4358466798632</c:v>
                </c:pt>
                <c:pt idx="15">
                  <c:v>103.69803850998706</c:v>
                </c:pt>
                <c:pt idx="16">
                  <c:v>104.21990282526542</c:v>
                </c:pt>
                <c:pt idx="17">
                  <c:v>102.65430987943097</c:v>
                </c:pt>
                <c:pt idx="18">
                  <c:v>104.20190750404893</c:v>
                </c:pt>
                <c:pt idx="19">
                  <c:v>104.40885369803881</c:v>
                </c:pt>
                <c:pt idx="20">
                  <c:v>105.73150980745005</c:v>
                </c:pt>
                <c:pt idx="21">
                  <c:v>102.88824905524562</c:v>
                </c:pt>
                <c:pt idx="22">
                  <c:v>103.67104552816268</c:v>
                </c:pt>
                <c:pt idx="23">
                  <c:v>103.14018355227641</c:v>
                </c:pt>
                <c:pt idx="24">
                  <c:v>104.0399496131006</c:v>
                </c:pt>
                <c:pt idx="25">
                  <c:v>112.25481374842542</c:v>
                </c:pt>
                <c:pt idx="26">
                  <c:v>106.22638114090306</c:v>
                </c:pt>
                <c:pt idx="27">
                  <c:v>103.58106892208028</c:v>
                </c:pt>
                <c:pt idx="28">
                  <c:v>104.39085837682143</c:v>
                </c:pt>
                <c:pt idx="29">
                  <c:v>104.32787475256372</c:v>
                </c:pt>
                <c:pt idx="30">
                  <c:v>107.9989202807275</c:v>
                </c:pt>
                <c:pt idx="31">
                  <c:v>106.7572431167893</c:v>
                </c:pt>
                <c:pt idx="32">
                  <c:v>105.8124887529236</c:v>
                </c:pt>
                <c:pt idx="33">
                  <c:v>106.86521504408853</c:v>
                </c:pt>
                <c:pt idx="34">
                  <c:v>105.85747705596545</c:v>
                </c:pt>
                <c:pt idx="35">
                  <c:v>106.59528522584129</c:v>
                </c:pt>
                <c:pt idx="36">
                  <c:v>108.23285945654131</c:v>
                </c:pt>
                <c:pt idx="37">
                  <c:v>106.03743026813029</c:v>
                </c:pt>
                <c:pt idx="38" formatCode="General">
                  <c:v>106.28036710455244</c:v>
                </c:pt>
                <c:pt idx="39" formatCode="General">
                  <c:v>107.76498110491272</c:v>
                </c:pt>
                <c:pt idx="40" formatCode="General">
                  <c:v>110.41029332373614</c:v>
                </c:pt>
                <c:pt idx="41" formatCode="General">
                  <c:v>109.9514126327155</c:v>
                </c:pt>
                <c:pt idx="42" formatCode="General">
                  <c:v>112.38977865754846</c:v>
                </c:pt>
              </c:numCache>
            </c:numRef>
          </c:val>
        </c:ser>
        <c:marker val="1"/>
        <c:axId val="148656896"/>
        <c:axId val="148658432"/>
      </c:lineChart>
      <c:catAx>
        <c:axId val="14865689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8658432"/>
        <c:crosses val="autoZero"/>
        <c:auto val="1"/>
        <c:lblAlgn val="ctr"/>
        <c:lblOffset val="0"/>
        <c:tickLblSkip val="2"/>
        <c:tickMarkSkip val="1"/>
        <c:noMultiLvlLbl val="1"/>
      </c:catAx>
      <c:valAx>
        <c:axId val="148658432"/>
        <c:scaling>
          <c:orientation val="minMax"/>
          <c:min val="9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656896"/>
        <c:crosses val="autoZero"/>
        <c:crossBetween val="between"/>
      </c:valAx>
      <c:spPr>
        <a:noFill/>
        <a:ln w="6350">
          <a:solidFill>
            <a:sysClr val="window" lastClr="FFFFFF">
              <a:lumMod val="85000"/>
            </a:sysClr>
          </a:solidFill>
        </a:ln>
      </c:spPr>
    </c:plotArea>
    <c:legend>
      <c:legendPos val="b"/>
      <c:layout>
        <c:manualLayout>
          <c:xMode val="edge"/>
          <c:yMode val="edge"/>
          <c:x val="0.11046131731835145"/>
          <c:y val="0.58883275462962958"/>
          <c:w val="0.42681225973806658"/>
          <c:h val="0.23506481481481481"/>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26207729468589E-2"/>
          <c:y val="2.7980535279805412E-2"/>
          <c:w val="0.92332991143320065"/>
          <c:h val="0.86465387861760246"/>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0.0</c:formatCode>
                <c:ptCount val="44"/>
                <c:pt idx="0">
                  <c:v>100.33853676885454</c:v>
                </c:pt>
                <c:pt idx="1">
                  <c:v>101.85254842956547</c:v>
                </c:pt>
                <c:pt idx="2">
                  <c:v>99.764905021628735</c:v>
                </c:pt>
                <c:pt idx="3">
                  <c:v>99.905962008651414</c:v>
                </c:pt>
                <c:pt idx="4">
                  <c:v>100.82753432386676</c:v>
                </c:pt>
                <c:pt idx="5">
                  <c:v>99.501598645852923</c:v>
                </c:pt>
                <c:pt idx="6">
                  <c:v>99.379349257099719</c:v>
                </c:pt>
                <c:pt idx="7">
                  <c:v>99.43577205190887</c:v>
                </c:pt>
                <c:pt idx="8">
                  <c:v>99.793116419033296</c:v>
                </c:pt>
                <c:pt idx="9">
                  <c:v>98.871544103817939</c:v>
                </c:pt>
                <c:pt idx="10">
                  <c:v>99.069023885649827</c:v>
                </c:pt>
                <c:pt idx="11">
                  <c:v>98.504795937558669</c:v>
                </c:pt>
                <c:pt idx="12">
                  <c:v>98.946774496896708</c:v>
                </c:pt>
                <c:pt idx="13">
                  <c:v>98.100432574760049</c:v>
                </c:pt>
                <c:pt idx="14">
                  <c:v>97.630242618017661</c:v>
                </c:pt>
                <c:pt idx="15">
                  <c:v>98.391950347940565</c:v>
                </c:pt>
                <c:pt idx="16">
                  <c:v>97.771299605040568</c:v>
                </c:pt>
                <c:pt idx="17">
                  <c:v>97.808914801579789</c:v>
                </c:pt>
                <c:pt idx="18">
                  <c:v>97.959375587737441</c:v>
                </c:pt>
                <c:pt idx="19">
                  <c:v>97.743088207635878</c:v>
                </c:pt>
                <c:pt idx="20">
                  <c:v>97.545608425804033</c:v>
                </c:pt>
                <c:pt idx="21">
                  <c:v>98.015798382546436</c:v>
                </c:pt>
                <c:pt idx="22">
                  <c:v>97.724280609366275</c:v>
                </c:pt>
                <c:pt idx="23">
                  <c:v>98.354335151401045</c:v>
                </c:pt>
                <c:pt idx="24">
                  <c:v>97.696069211961628</c:v>
                </c:pt>
                <c:pt idx="25">
                  <c:v>98.166259168704144</c:v>
                </c:pt>
                <c:pt idx="26">
                  <c:v>99.200677073537648</c:v>
                </c:pt>
                <c:pt idx="27">
                  <c:v>97.658454015422095</c:v>
                </c:pt>
                <c:pt idx="28">
                  <c:v>99.022004889975534</c:v>
                </c:pt>
                <c:pt idx="29">
                  <c:v>99.022004889975534</c:v>
                </c:pt>
                <c:pt idx="30">
                  <c:v>99.040812488245351</c:v>
                </c:pt>
                <c:pt idx="31">
                  <c:v>99.078427684784572</c:v>
                </c:pt>
                <c:pt idx="32">
                  <c:v>98.965582095166411</c:v>
                </c:pt>
                <c:pt idx="33">
                  <c:v>98.993793492570987</c:v>
                </c:pt>
                <c:pt idx="34">
                  <c:v>98.974985894301284</c:v>
                </c:pt>
                <c:pt idx="35">
                  <c:v>98.730487116795018</c:v>
                </c:pt>
                <c:pt idx="36">
                  <c:v>99.003197291705831</c:v>
                </c:pt>
                <c:pt idx="37">
                  <c:v>99.031408689110478</c:v>
                </c:pt>
                <c:pt idx="38">
                  <c:v>98.279104758322362</c:v>
                </c:pt>
                <c:pt idx="39">
                  <c:v>99.219484671807521</c:v>
                </c:pt>
                <c:pt idx="40">
                  <c:v>98.025202181681294</c:v>
                </c:pt>
                <c:pt idx="41">
                  <c:v>98.551814933233032</c:v>
                </c:pt>
                <c:pt idx="42">
                  <c:v>98.749294715064892</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0.0</c:formatCode>
                <c:ptCount val="44"/>
                <c:pt idx="0">
                  <c:v>99.629429475797124</c:v>
                </c:pt>
                <c:pt idx="1">
                  <c:v>105.75156334439903</c:v>
                </c:pt>
                <c:pt idx="2">
                  <c:v>98.741604261561136</c:v>
                </c:pt>
                <c:pt idx="3">
                  <c:v>99.220257855323084</c:v>
                </c:pt>
                <c:pt idx="4">
                  <c:v>98.316992202578518</c:v>
                </c:pt>
                <c:pt idx="5">
                  <c:v>95.429630201497702</c:v>
                </c:pt>
                <c:pt idx="6">
                  <c:v>97.761136416274198</c:v>
                </c:pt>
                <c:pt idx="7">
                  <c:v>97.050876244885288</c:v>
                </c:pt>
                <c:pt idx="8">
                  <c:v>95.290666254921632</c:v>
                </c:pt>
                <c:pt idx="9">
                  <c:v>93.206207056280348</c:v>
                </c:pt>
                <c:pt idx="10">
                  <c:v>92.935999382382462</c:v>
                </c:pt>
                <c:pt idx="11">
                  <c:v>86.512776962865672</c:v>
                </c:pt>
                <c:pt idx="12">
                  <c:v>86.559098278391048</c:v>
                </c:pt>
                <c:pt idx="13">
                  <c:v>83.540492549988414</c:v>
                </c:pt>
                <c:pt idx="14">
                  <c:v>82.521423608430496</c:v>
                </c:pt>
                <c:pt idx="15">
                  <c:v>82.050490233922588</c:v>
                </c:pt>
                <c:pt idx="16">
                  <c:v>80.151316297382778</c:v>
                </c:pt>
                <c:pt idx="17">
                  <c:v>81.015980853856135</c:v>
                </c:pt>
                <c:pt idx="18">
                  <c:v>77.24079363853933</c:v>
                </c:pt>
                <c:pt idx="19">
                  <c:v>76.746699606268891</c:v>
                </c:pt>
                <c:pt idx="20">
                  <c:v>74.955608739288181</c:v>
                </c:pt>
                <c:pt idx="21">
                  <c:v>75.681309349185483</c:v>
                </c:pt>
                <c:pt idx="22">
                  <c:v>73.473326642476579</c:v>
                </c:pt>
                <c:pt idx="23">
                  <c:v>73.095035899019479</c:v>
                </c:pt>
                <c:pt idx="24">
                  <c:v>79.417895468231407</c:v>
                </c:pt>
                <c:pt idx="25">
                  <c:v>77.673125916775959</c:v>
                </c:pt>
                <c:pt idx="26">
                  <c:v>77.155871226742704</c:v>
                </c:pt>
                <c:pt idx="27">
                  <c:v>77.387477804369496</c:v>
                </c:pt>
                <c:pt idx="28">
                  <c:v>78.553230911757879</c:v>
                </c:pt>
                <c:pt idx="29">
                  <c:v>77.966494248436632</c:v>
                </c:pt>
                <c:pt idx="30">
                  <c:v>78.553230911757879</c:v>
                </c:pt>
                <c:pt idx="31">
                  <c:v>78.452868061452918</c:v>
                </c:pt>
                <c:pt idx="32">
                  <c:v>78.54551069250364</c:v>
                </c:pt>
                <c:pt idx="33">
                  <c:v>78.622712885045843</c:v>
                </c:pt>
                <c:pt idx="34">
                  <c:v>79.387014591214367</c:v>
                </c:pt>
                <c:pt idx="35">
                  <c:v>78.777117270130447</c:v>
                </c:pt>
                <c:pt idx="36">
                  <c:v>78.020535783216232</c:v>
                </c:pt>
                <c:pt idx="37">
                  <c:v>79.572299853315798</c:v>
                </c:pt>
                <c:pt idx="38">
                  <c:v>80.575928356365168</c:v>
                </c:pt>
                <c:pt idx="39">
                  <c:v>80.537327260094173</c:v>
                </c:pt>
                <c:pt idx="40">
                  <c:v>80.637690110399078</c:v>
                </c:pt>
                <c:pt idx="41">
                  <c:v>81.556396201652078</c:v>
                </c:pt>
                <c:pt idx="42">
                  <c:v>82.459661854396629</c:v>
                </c:pt>
              </c:numCache>
            </c:numRef>
          </c:val>
          <c:smooth val="1"/>
        </c:ser>
        <c:ser>
          <c:idx val="2"/>
          <c:order val="2"/>
          <c:tx>
            <c:strRef>
              <c:f>Sheet1!$A$5</c:f>
              <c:strCache>
                <c:ptCount val="1"/>
                <c:pt idx="0">
                  <c:v>LV</c:v>
                </c:pt>
              </c:strCache>
            </c:strRef>
          </c:tx>
          <c:spPr>
            <a:ln w="31750">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0.0</c:formatCode>
                <c:ptCount val="44"/>
                <c:pt idx="0">
                  <c:v>99.39443172586958</c:v>
                </c:pt>
                <c:pt idx="1">
                  <c:v>100.98958717967651</c:v>
                </c:pt>
                <c:pt idx="2">
                  <c:v>98.559929104202126</c:v>
                </c:pt>
                <c:pt idx="3">
                  <c:v>101.8536297171553</c:v>
                </c:pt>
                <c:pt idx="4">
                  <c:v>97.969130787977349</c:v>
                </c:pt>
                <c:pt idx="5">
                  <c:v>96.529059892179319</c:v>
                </c:pt>
                <c:pt idx="6">
                  <c:v>95.960416512812955</c:v>
                </c:pt>
                <c:pt idx="7">
                  <c:v>93.567683332102533</c:v>
                </c:pt>
                <c:pt idx="8">
                  <c:v>93.213204342367732</c:v>
                </c:pt>
                <c:pt idx="9">
                  <c:v>89.808729045122263</c:v>
                </c:pt>
                <c:pt idx="10">
                  <c:v>89.830883981980676</c:v>
                </c:pt>
                <c:pt idx="11">
                  <c:v>87.726164980429843</c:v>
                </c:pt>
                <c:pt idx="12">
                  <c:v>80.178716490657905</c:v>
                </c:pt>
                <c:pt idx="13">
                  <c:v>75.496639834576513</c:v>
                </c:pt>
                <c:pt idx="14">
                  <c:v>72.490953400782914</c:v>
                </c:pt>
                <c:pt idx="15">
                  <c:v>72.579573148216568</c:v>
                </c:pt>
                <c:pt idx="16">
                  <c:v>72.712502769367248</c:v>
                </c:pt>
                <c:pt idx="17">
                  <c:v>69.847130935676873</c:v>
                </c:pt>
                <c:pt idx="18">
                  <c:v>68.960933461339749</c:v>
                </c:pt>
                <c:pt idx="19">
                  <c:v>66.523890406912372</c:v>
                </c:pt>
                <c:pt idx="20">
                  <c:v>65.334908795509918</c:v>
                </c:pt>
                <c:pt idx="21">
                  <c:v>65.128129384831283</c:v>
                </c:pt>
                <c:pt idx="22">
                  <c:v>63.540358909977186</c:v>
                </c:pt>
                <c:pt idx="23">
                  <c:v>62.609851561923044</c:v>
                </c:pt>
                <c:pt idx="24">
                  <c:v>66.095561627649403</c:v>
                </c:pt>
                <c:pt idx="25">
                  <c:v>65.231519090170721</c:v>
                </c:pt>
                <c:pt idx="26">
                  <c:v>67.099918765231564</c:v>
                </c:pt>
                <c:pt idx="27">
                  <c:v>68.266745439775534</c:v>
                </c:pt>
                <c:pt idx="28">
                  <c:v>68.466139871501412</c:v>
                </c:pt>
                <c:pt idx="29">
                  <c:v>67.978731260615959</c:v>
                </c:pt>
                <c:pt idx="30">
                  <c:v>67.587327376117031</c:v>
                </c:pt>
                <c:pt idx="31">
                  <c:v>68.229820545011506</c:v>
                </c:pt>
                <c:pt idx="32">
                  <c:v>69.123402998301458</c:v>
                </c:pt>
                <c:pt idx="33">
                  <c:v>68.635994387416048</c:v>
                </c:pt>
                <c:pt idx="34">
                  <c:v>68.584299534746393</c:v>
                </c:pt>
                <c:pt idx="35">
                  <c:v>67.410087881249595</c:v>
                </c:pt>
                <c:pt idx="36">
                  <c:v>66.5534303227235</c:v>
                </c:pt>
                <c:pt idx="37">
                  <c:v>67.698102060409099</c:v>
                </c:pt>
                <c:pt idx="38">
                  <c:v>68.126430839672054</c:v>
                </c:pt>
                <c:pt idx="39">
                  <c:v>67.587327376117031</c:v>
                </c:pt>
                <c:pt idx="40">
                  <c:v>69.381877261649848</c:v>
                </c:pt>
                <c:pt idx="41">
                  <c:v>70.637323683627628</c:v>
                </c:pt>
                <c:pt idx="42">
                  <c:v>71.907540063510865</c:v>
                </c:pt>
                <c:pt idx="43">
                  <c:v>73.058060704527009</c:v>
                </c:pt>
              </c:numCache>
            </c:numRef>
          </c:val>
          <c:smooth val="1"/>
        </c:ser>
        <c:ser>
          <c:idx val="3"/>
          <c:order val="3"/>
          <c:tx>
            <c:strRef>
              <c:f>Sheet1!$A$6</c:f>
              <c:strCache>
                <c:ptCount val="1"/>
                <c:pt idx="0">
                  <c:v>LT</c:v>
                </c:pt>
              </c:strCache>
            </c:strRef>
          </c:tx>
          <c:spPr>
            <a:ln w="22225">
              <a:solidFill>
                <a:sysClr val="windowText" lastClr="000000"/>
              </a:solidFill>
              <a:prstDash val="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0.0</c:formatCode>
                <c:ptCount val="44"/>
                <c:pt idx="0">
                  <c:v>104.49223416965351</c:v>
                </c:pt>
                <c:pt idx="1">
                  <c:v>105.51174830744721</c:v>
                </c:pt>
                <c:pt idx="2">
                  <c:v>103.47272003185969</c:v>
                </c:pt>
                <c:pt idx="3">
                  <c:v>104.13381123058532</c:v>
                </c:pt>
                <c:pt idx="4">
                  <c:v>101.80007964954207</c:v>
                </c:pt>
                <c:pt idx="5">
                  <c:v>100.12743926722418</c:v>
                </c:pt>
                <c:pt idx="6">
                  <c:v>99.322978892871177</c:v>
                </c:pt>
                <c:pt idx="7">
                  <c:v>98.383114297092774</c:v>
                </c:pt>
                <c:pt idx="8">
                  <c:v>98.622062923138159</c:v>
                </c:pt>
                <c:pt idx="9">
                  <c:v>98.016726403823156</c:v>
                </c:pt>
                <c:pt idx="10">
                  <c:v>98.032656312226067</c:v>
                </c:pt>
                <c:pt idx="11">
                  <c:v>96.861808044603649</c:v>
                </c:pt>
                <c:pt idx="12">
                  <c:v>87.248108323377124</c:v>
                </c:pt>
                <c:pt idx="13">
                  <c:v>86.92154520111518</c:v>
                </c:pt>
                <c:pt idx="14">
                  <c:v>82.293906810035779</c:v>
                </c:pt>
                <c:pt idx="15">
                  <c:v>83.162086818000645</c:v>
                </c:pt>
                <c:pt idx="16">
                  <c:v>81.545201115093548</c:v>
                </c:pt>
                <c:pt idx="17">
                  <c:v>80.135404221425688</c:v>
                </c:pt>
                <c:pt idx="18">
                  <c:v>79.832735961768179</c:v>
                </c:pt>
                <c:pt idx="19">
                  <c:v>78.725607327757771</c:v>
                </c:pt>
                <c:pt idx="20">
                  <c:v>73.643966547192321</c:v>
                </c:pt>
                <c:pt idx="21">
                  <c:v>73.986459577857403</c:v>
                </c:pt>
                <c:pt idx="22">
                  <c:v>71.469534050179192</c:v>
                </c:pt>
                <c:pt idx="23">
                  <c:v>71.485463958582216</c:v>
                </c:pt>
                <c:pt idx="24">
                  <c:v>73.022700119474123</c:v>
                </c:pt>
                <c:pt idx="25">
                  <c:v>72.720031859816714</c:v>
                </c:pt>
                <c:pt idx="26">
                  <c:v>74.082039028275574</c:v>
                </c:pt>
                <c:pt idx="27">
                  <c:v>73.189964157706058</c:v>
                </c:pt>
                <c:pt idx="28">
                  <c:v>73.333333333333258</c:v>
                </c:pt>
                <c:pt idx="29">
                  <c:v>73.86698526483471</c:v>
                </c:pt>
                <c:pt idx="30">
                  <c:v>73.341298287534812</c:v>
                </c:pt>
                <c:pt idx="31">
                  <c:v>73.914774990043796</c:v>
                </c:pt>
                <c:pt idx="32">
                  <c:v>73.699721226602918</c:v>
                </c:pt>
                <c:pt idx="33">
                  <c:v>74.066109119872536</c:v>
                </c:pt>
                <c:pt idx="34">
                  <c:v>74.583831142970794</c:v>
                </c:pt>
                <c:pt idx="35">
                  <c:v>72.791716447630407</c:v>
                </c:pt>
                <c:pt idx="36">
                  <c:v>75.810434090003952</c:v>
                </c:pt>
                <c:pt idx="37">
                  <c:v>77.905217045001976</c:v>
                </c:pt>
                <c:pt idx="38">
                  <c:v>78.327359617682148</c:v>
                </c:pt>
                <c:pt idx="39">
                  <c:v>78.68578255675007</c:v>
                </c:pt>
                <c:pt idx="40">
                  <c:v>77.443249701314357</c:v>
                </c:pt>
                <c:pt idx="41">
                  <c:v>78.733572281959354</c:v>
                </c:pt>
                <c:pt idx="42">
                  <c:v>78.637992831541098</c:v>
                </c:pt>
              </c:numCache>
            </c:numRef>
          </c:val>
        </c:ser>
        <c:marker val="1"/>
        <c:axId val="146596608"/>
        <c:axId val="146598528"/>
      </c:lineChart>
      <c:catAx>
        <c:axId val="146596608"/>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6598528"/>
        <c:crosses val="autoZero"/>
        <c:auto val="1"/>
        <c:lblAlgn val="ctr"/>
        <c:lblOffset val="0"/>
        <c:tickLblSkip val="1"/>
        <c:tickMarkSkip val="1"/>
        <c:noMultiLvlLbl val="1"/>
      </c:catAx>
      <c:valAx>
        <c:axId val="146598528"/>
        <c:scaling>
          <c:orientation val="minMax"/>
          <c:max val="1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6596608"/>
        <c:crosses val="autoZero"/>
        <c:crossBetween val="between"/>
        <c:majorUnit val="10"/>
      </c:valAx>
      <c:spPr>
        <a:noFill/>
        <a:ln w="6350">
          <a:solidFill>
            <a:sysClr val="window" lastClr="FFFFFF">
              <a:lumMod val="85000"/>
            </a:sysClr>
          </a:solidFill>
        </a:ln>
      </c:spPr>
    </c:plotArea>
    <c:legend>
      <c:legendPos val="b"/>
      <c:layout>
        <c:manualLayout>
          <c:xMode val="edge"/>
          <c:yMode val="edge"/>
          <c:x val="8.5297101449275353E-2"/>
          <c:y val="0.46281452703874792"/>
          <c:w val="0.17024456521739209"/>
          <c:h val="0.30159862175818331"/>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-4.9495182251483074</c:v>
                </c:pt>
                <c:pt idx="1">
                  <c:v>-1.0031574526802047</c:v>
                </c:pt>
                <c:pt idx="2">
                  <c:v>-2.7147624378191799</c:v>
                </c:pt>
                <c:pt idx="3">
                  <c:v>-7.1879838918379733</c:v>
                </c:pt>
                <c:pt idx="4">
                  <c:v>-11.015160481121761</c:v>
                </c:pt>
                <c:pt idx="5">
                  <c:v>-9.9390044455017161</c:v>
                </c:pt>
                <c:pt idx="6">
                  <c:v>-12.629118292365471</c:v>
                </c:pt>
                <c:pt idx="7">
                  <c:v>-16.472321517265577</c:v>
                </c:pt>
                <c:pt idx="8">
                  <c:v>-8.0303530791461313</c:v>
                </c:pt>
                <c:pt idx="9">
                  <c:v>-14.80118542692767</c:v>
                </c:pt>
                <c:pt idx="10">
                  <c:v>-15.885606094355623</c:v>
                </c:pt>
                <c:pt idx="11">
                  <c:v>-25.862663709043829</c:v>
                </c:pt>
                <c:pt idx="12">
                  <c:v>-20.391379457147988</c:v>
                </c:pt>
                <c:pt idx="13">
                  <c:v>-30.813383801721429</c:v>
                </c:pt>
                <c:pt idx="14">
                  <c:v>-32.660217459105425</c:v>
                </c:pt>
                <c:pt idx="15">
                  <c:v>-21.510667699563676</c:v>
                </c:pt>
                <c:pt idx="16">
                  <c:v>-21.044540276318937</c:v>
                </c:pt>
                <c:pt idx="17">
                  <c:v>-27.684700394232092</c:v>
                </c:pt>
                <c:pt idx="18">
                  <c:v>-31.908188334794492</c:v>
                </c:pt>
                <c:pt idx="19">
                  <c:v>-27.164959484166911</c:v>
                </c:pt>
                <c:pt idx="20">
                  <c:v>-33.4646476346675</c:v>
                </c:pt>
                <c:pt idx="21">
                  <c:v>-28.536895776209995</c:v>
                </c:pt>
                <c:pt idx="22">
                  <c:v>-25.102088908162081</c:v>
                </c:pt>
                <c:pt idx="23">
                  <c:v>-28.668135879073116</c:v>
                </c:pt>
                <c:pt idx="24">
                  <c:v>-18.341151980968064</c:v>
                </c:pt>
                <c:pt idx="25">
                  <c:v>-15.71523728539035</c:v>
                </c:pt>
                <c:pt idx="26">
                  <c:v>-7.5158446699325605</c:v>
                </c:pt>
                <c:pt idx="27">
                  <c:v>-9.4586561233876978</c:v>
                </c:pt>
                <c:pt idx="28">
                  <c:v>-5.0382591036283602</c:v>
                </c:pt>
                <c:pt idx="29">
                  <c:v>-2.3291633595670014</c:v>
                </c:pt>
                <c:pt idx="30">
                  <c:v>0.76071350331136989</c:v>
                </c:pt>
                <c:pt idx="31">
                  <c:v>-4.2256610149643414</c:v>
                </c:pt>
                <c:pt idx="32">
                  <c:v>-6.1918228762586445</c:v>
                </c:pt>
                <c:pt idx="33">
                  <c:v>-1.7969292796699536</c:v>
                </c:pt>
                <c:pt idx="34">
                  <c:v>-2.8728162612995027</c:v>
                </c:pt>
                <c:pt idx="35">
                  <c:v>-0.18093231820843841</c:v>
                </c:pt>
                <c:pt idx="36">
                  <c:v>-1.1954079131803221</c:v>
                </c:pt>
                <c:pt idx="37">
                  <c:v>-4.169735916283666</c:v>
                </c:pt>
                <c:pt idx="38">
                  <c:v>-0.97737555282381805</c:v>
                </c:pt>
                <c:pt idx="39">
                  <c:v>-3.3330046458708638</c:v>
                </c:pt>
                <c:pt idx="40">
                  <c:v>-2.0471521157291677</c:v>
                </c:pt>
                <c:pt idx="41">
                  <c:v>0.73508119186504806</c:v>
                </c:pt>
                <c:pt idx="42">
                  <c:v>-3.2403582503980179</c:v>
                </c:pt>
              </c:numCache>
            </c:numRef>
          </c:val>
        </c:ser>
        <c:marker val="1"/>
        <c:axId val="148895616"/>
        <c:axId val="148897152"/>
      </c:lineChart>
      <c:catAx>
        <c:axId val="14889561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897152"/>
        <c:crosses val="autoZero"/>
        <c:auto val="1"/>
        <c:lblAlgn val="ctr"/>
        <c:lblOffset val="0"/>
        <c:tickLblSkip val="2"/>
        <c:tickMarkSkip val="1"/>
        <c:noMultiLvlLbl val="1"/>
      </c:catAx>
      <c:valAx>
        <c:axId val="148897152"/>
        <c:scaling>
          <c:orientation val="minMax"/>
          <c:max val="5"/>
          <c:min val="-3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89561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12"/>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93.28</c:v>
                </c:pt>
                <c:pt idx="1">
                  <c:v>90.22</c:v>
                </c:pt>
                <c:pt idx="2">
                  <c:v>87.33</c:v>
                </c:pt>
                <c:pt idx="3">
                  <c:v>90.669999999999987</c:v>
                </c:pt>
                <c:pt idx="4">
                  <c:v>85.42</c:v>
                </c:pt>
                <c:pt idx="5">
                  <c:v>81.34</c:v>
                </c:pt>
                <c:pt idx="6">
                  <c:v>81.569999999999993</c:v>
                </c:pt>
                <c:pt idx="7">
                  <c:v>73.06</c:v>
                </c:pt>
                <c:pt idx="8">
                  <c:v>77.8</c:v>
                </c:pt>
                <c:pt idx="9">
                  <c:v>81.02</c:v>
                </c:pt>
                <c:pt idx="10">
                  <c:v>65.52</c:v>
                </c:pt>
                <c:pt idx="11">
                  <c:v>57.63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61.160000000000011</c:v>
                </c:pt>
                <c:pt idx="1">
                  <c:v>64.400000000000006</c:v>
                </c:pt>
                <c:pt idx="2">
                  <c:v>77.410000000000025</c:v>
                </c:pt>
                <c:pt idx="3">
                  <c:v>79.19</c:v>
                </c:pt>
                <c:pt idx="4">
                  <c:v>79.06</c:v>
                </c:pt>
                <c:pt idx="5">
                  <c:v>82.3</c:v>
                </c:pt>
                <c:pt idx="6">
                  <c:v>90.22</c:v>
                </c:pt>
                <c:pt idx="7">
                  <c:v>89.02</c:v>
                </c:pt>
                <c:pt idx="8">
                  <c:v>89.149999999999991</c:v>
                </c:pt>
                <c:pt idx="9">
                  <c:v>94.26</c:v>
                </c:pt>
                <c:pt idx="10">
                  <c:v>93.31</c:v>
                </c:pt>
                <c:pt idx="11">
                  <c:v>80.86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91.51</c:v>
                </c:pt>
                <c:pt idx="1">
                  <c:v>93.08</c:v>
                </c:pt>
                <c:pt idx="2">
                  <c:v>118.55</c:v>
                </c:pt>
                <c:pt idx="3" formatCode="General">
                  <c:v>112.08</c:v>
                </c:pt>
                <c:pt idx="4">
                  <c:v>107.78</c:v>
                </c:pt>
                <c:pt idx="5">
                  <c:v>113.02</c:v>
                </c:pt>
                <c:pt idx="6">
                  <c:v>119.51</c:v>
                </c:pt>
                <c:pt idx="7">
                  <c:v>116.07</c:v>
                </c:pt>
                <c:pt idx="8">
                  <c:v>115.04</c:v>
                </c:pt>
                <c:pt idx="9">
                  <c:v>115.14</c:v>
                </c:pt>
                <c:pt idx="10">
                  <c:v>106.56</c:v>
                </c:pt>
                <c:pt idx="11">
                  <c:v>95.53</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110.3</c:v>
                </c:pt>
                <c:pt idx="1">
                  <c:v>106.8</c:v>
                </c:pt>
                <c:pt idx="2">
                  <c:v>145.25</c:v>
                </c:pt>
                <c:pt idx="3" formatCode="General">
                  <c:v>121.11999999999999</c:v>
                </c:pt>
                <c:pt idx="4" formatCode="General">
                  <c:v>128.34</c:v>
                </c:pt>
                <c:pt idx="5" formatCode="General">
                  <c:v>118.89</c:v>
                </c:pt>
                <c:pt idx="6" formatCode="General">
                  <c:v>117.69</c:v>
                </c:pt>
              </c:numCache>
            </c:numRef>
          </c:val>
        </c:ser>
        <c:marker val="1"/>
        <c:axId val="148886272"/>
        <c:axId val="148887808"/>
      </c:lineChart>
      <c:catAx>
        <c:axId val="1488862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887808"/>
        <c:crosses val="autoZero"/>
        <c:auto val="1"/>
        <c:lblAlgn val="ctr"/>
        <c:lblOffset val="0"/>
        <c:tickMarkSkip val="1"/>
      </c:catAx>
      <c:valAx>
        <c:axId val="148887808"/>
        <c:scaling>
          <c:orientation val="minMax"/>
          <c:max val="15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8886272"/>
        <c:crosses val="autoZero"/>
        <c:crossBetween val="between"/>
        <c:majorUnit val="20"/>
      </c:valAx>
      <c:spPr>
        <a:noFill/>
        <a:ln w="6350">
          <a:solidFill>
            <a:sysClr val="window" lastClr="FFFFFF">
              <a:lumMod val="85000"/>
            </a:sysClr>
          </a:solidFill>
        </a:ln>
      </c:spPr>
    </c:plotArea>
    <c:legend>
      <c:legendPos val="b"/>
      <c:layout>
        <c:manualLayout>
          <c:xMode val="edge"/>
          <c:yMode val="edge"/>
          <c:x val="0.61504189719669355"/>
          <c:y val="4.6825810185185217E-2"/>
          <c:w val="0.35818544316576939"/>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109.6026490066222</c:v>
                </c:pt>
                <c:pt idx="1">
                  <c:v>100.33112582781457</c:v>
                </c:pt>
                <c:pt idx="2">
                  <c:v>94.150110375275929</c:v>
                </c:pt>
                <c:pt idx="3">
                  <c:v>90.61810154525385</c:v>
                </c:pt>
                <c:pt idx="4">
                  <c:v>87.527593818984258</c:v>
                </c:pt>
                <c:pt idx="5">
                  <c:v>88.962472406180467</c:v>
                </c:pt>
                <c:pt idx="6">
                  <c:v>84.988962472406158</c:v>
                </c:pt>
                <c:pt idx="7">
                  <c:v>81.788079470198653</c:v>
                </c:pt>
                <c:pt idx="8">
                  <c:v>84.105960264900673</c:v>
                </c:pt>
                <c:pt idx="9">
                  <c:v>84.54746136865343</c:v>
                </c:pt>
                <c:pt idx="10">
                  <c:v>78.145695364238421</c:v>
                </c:pt>
                <c:pt idx="11">
                  <c:v>75.717439293598247</c:v>
                </c:pt>
                <c:pt idx="12">
                  <c:v>73.730684326710829</c:v>
                </c:pt>
                <c:pt idx="13">
                  <c:v>77.4834437086093</c:v>
                </c:pt>
                <c:pt idx="14">
                  <c:v>76.821192052979669</c:v>
                </c:pt>
                <c:pt idx="15">
                  <c:v>83.774834437085858</c:v>
                </c:pt>
                <c:pt idx="16">
                  <c:v>85.209713024282593</c:v>
                </c:pt>
                <c:pt idx="17">
                  <c:v>88.079470198675025</c:v>
                </c:pt>
                <c:pt idx="18">
                  <c:v>93.377483443708641</c:v>
                </c:pt>
                <c:pt idx="19">
                  <c:v>98.785871964679629</c:v>
                </c:pt>
                <c:pt idx="20">
                  <c:v>96.57836644591616</c:v>
                </c:pt>
                <c:pt idx="21">
                  <c:v>100.44150110375281</c:v>
                </c:pt>
                <c:pt idx="22">
                  <c:v>108.83002207505524</c:v>
                </c:pt>
                <c:pt idx="23">
                  <c:v>106.84326710816782</c:v>
                </c:pt>
                <c:pt idx="24">
                  <c:v>112.03090507726276</c:v>
                </c:pt>
                <c:pt idx="25">
                  <c:v>112.03090507726276</c:v>
                </c:pt>
                <c:pt idx="26">
                  <c:v>116.77704194260458</c:v>
                </c:pt>
                <c:pt idx="27">
                  <c:v>115.34216335540846</c:v>
                </c:pt>
                <c:pt idx="28">
                  <c:v>114.01766004415057</c:v>
                </c:pt>
                <c:pt idx="29">
                  <c:v>121.41280353200888</c:v>
                </c:pt>
                <c:pt idx="30">
                  <c:v>126.26931567328926</c:v>
                </c:pt>
                <c:pt idx="31">
                  <c:v>125.82781456953649</c:v>
                </c:pt>
                <c:pt idx="32">
                  <c:v>124.94481236203096</c:v>
                </c:pt>
                <c:pt idx="33">
                  <c:v>125.82781456953649</c:v>
                </c:pt>
                <c:pt idx="34">
                  <c:v>122.29580573951441</c:v>
                </c:pt>
                <c:pt idx="35">
                  <c:v>124.172185430463</c:v>
                </c:pt>
                <c:pt idx="36" formatCode="General">
                  <c:v>131.56732891832311</c:v>
                </c:pt>
                <c:pt idx="37" formatCode="General">
                  <c:v>128.5871964679923</c:v>
                </c:pt>
                <c:pt idx="38" formatCode="General">
                  <c:v>137.63796909492217</c:v>
                </c:pt>
                <c:pt idx="39" formatCode="General">
                  <c:v>130.68432671081683</c:v>
                </c:pt>
                <c:pt idx="40" formatCode="General">
                  <c:v>132.56070640176605</c:v>
                </c:pt>
                <c:pt idx="41" formatCode="General">
                  <c:v>127.92494481236209</c:v>
                </c:pt>
                <c:pt idx="42" formatCode="General">
                  <c:v>127.48344370860933</c:v>
                </c:pt>
              </c:numCache>
            </c:numRef>
          </c:val>
        </c:ser>
        <c:marker val="1"/>
        <c:axId val="149141376"/>
        <c:axId val="149142912"/>
      </c:lineChart>
      <c:catAx>
        <c:axId val="14914137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142912"/>
        <c:crosses val="autoZero"/>
        <c:auto val="1"/>
        <c:lblAlgn val="ctr"/>
        <c:lblOffset val="0"/>
        <c:tickLblSkip val="2"/>
        <c:tickMarkSkip val="1"/>
        <c:noMultiLvlLbl val="1"/>
      </c:catAx>
      <c:valAx>
        <c:axId val="149142912"/>
        <c:scaling>
          <c:orientation val="minMax"/>
          <c:max val="14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14137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22.2014</c:v>
                </c:pt>
                <c:pt idx="1">
                  <c:v>21.052999999999987</c:v>
                </c:pt>
                <c:pt idx="2">
                  <c:v>19.256999999999987</c:v>
                </c:pt>
                <c:pt idx="3">
                  <c:v>21.741500000000002</c:v>
                </c:pt>
                <c:pt idx="4">
                  <c:v>20.348999999999986</c:v>
                </c:pt>
                <c:pt idx="5">
                  <c:v>19.167500000000004</c:v>
                </c:pt>
                <c:pt idx="6">
                  <c:v>19.823099999999986</c:v>
                </c:pt>
                <c:pt idx="7">
                  <c:v>17.600500000000004</c:v>
                </c:pt>
                <c:pt idx="8">
                  <c:v>17.339700000000008</c:v>
                </c:pt>
                <c:pt idx="9">
                  <c:v>18.090600000000002</c:v>
                </c:pt>
                <c:pt idx="10">
                  <c:v>13.783200000000001</c:v>
                </c:pt>
                <c:pt idx="11">
                  <c:v>11.415600000000024</c:v>
                </c:pt>
                <c:pt idx="12">
                  <c:v>9.641299999999994</c:v>
                </c:pt>
                <c:pt idx="13">
                  <c:v>11.433200000000001</c:v>
                </c:pt>
                <c:pt idx="14">
                  <c:v>13.300900000000002</c:v>
                </c:pt>
                <c:pt idx="15">
                  <c:v>11.929300000000005</c:v>
                </c:pt>
                <c:pt idx="16">
                  <c:v>11.478600000000004</c:v>
                </c:pt>
                <c:pt idx="17">
                  <c:v>11.172900000000006</c:v>
                </c:pt>
                <c:pt idx="18">
                  <c:v>13.676600000000002</c:v>
                </c:pt>
                <c:pt idx="19">
                  <c:v>13.087200000000001</c:v>
                </c:pt>
                <c:pt idx="20">
                  <c:v>13.0471</c:v>
                </c:pt>
                <c:pt idx="21">
                  <c:v>13.3611</c:v>
                </c:pt>
                <c:pt idx="22">
                  <c:v>13.2377</c:v>
                </c:pt>
                <c:pt idx="23">
                  <c:v>11.443300000000001</c:v>
                </c:pt>
                <c:pt idx="24">
                  <c:v>11.862400000000058</c:v>
                </c:pt>
                <c:pt idx="25">
                  <c:v>13.121299999999998</c:v>
                </c:pt>
                <c:pt idx="26">
                  <c:v>15.673800000000007</c:v>
                </c:pt>
                <c:pt idx="27">
                  <c:v>14.851600000000024</c:v>
                </c:pt>
                <c:pt idx="28">
                  <c:v>15.919800000000002</c:v>
                </c:pt>
                <c:pt idx="29">
                  <c:v>16.163299999999989</c:v>
                </c:pt>
                <c:pt idx="30">
                  <c:v>17.521199999999986</c:v>
                </c:pt>
                <c:pt idx="31">
                  <c:v>16.983499999999854</c:v>
                </c:pt>
                <c:pt idx="32">
                  <c:v>18.410700000000006</c:v>
                </c:pt>
                <c:pt idx="33">
                  <c:v>19.063399999999898</c:v>
                </c:pt>
                <c:pt idx="34">
                  <c:v>17.198599999999914</c:v>
                </c:pt>
                <c:pt idx="35">
                  <c:v>14.686100000000001</c:v>
                </c:pt>
                <c:pt idx="36">
                  <c:v>15.566000000000004</c:v>
                </c:pt>
                <c:pt idx="37">
                  <c:v>16.005499999999905</c:v>
                </c:pt>
                <c:pt idx="38">
                  <c:v>21.537500000000001</c:v>
                </c:pt>
                <c:pt idx="39">
                  <c:v>19.732599999999906</c:v>
                </c:pt>
                <c:pt idx="40">
                  <c:v>22.512700000000002</c:v>
                </c:pt>
                <c:pt idx="41">
                  <c:v>20.008499999999891</c:v>
                </c:pt>
                <c:pt idx="42">
                  <c:v>19.260499999999873</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39.833600000000004</c:v>
                </c:pt>
                <c:pt idx="1">
                  <c:v>40.816600000000001</c:v>
                </c:pt>
                <c:pt idx="2">
                  <c:v>39.707500000000003</c:v>
                </c:pt>
                <c:pt idx="3">
                  <c:v>40.16320000000001</c:v>
                </c:pt>
                <c:pt idx="4">
                  <c:v>34.8797</c:v>
                </c:pt>
                <c:pt idx="5">
                  <c:v>34.054199999999994</c:v>
                </c:pt>
                <c:pt idx="6">
                  <c:v>33.493400000000001</c:v>
                </c:pt>
                <c:pt idx="7">
                  <c:v>32.848400000000005</c:v>
                </c:pt>
                <c:pt idx="8">
                  <c:v>34.671700000000001</c:v>
                </c:pt>
                <c:pt idx="9">
                  <c:v>33.099700000000013</c:v>
                </c:pt>
                <c:pt idx="10">
                  <c:v>29.888699999999872</c:v>
                </c:pt>
                <c:pt idx="11">
                  <c:v>23.436700000000002</c:v>
                </c:pt>
                <c:pt idx="12">
                  <c:v>25.914900000000031</c:v>
                </c:pt>
                <c:pt idx="13">
                  <c:v>27.1432</c:v>
                </c:pt>
                <c:pt idx="14">
                  <c:v>29.636900000000097</c:v>
                </c:pt>
                <c:pt idx="15">
                  <c:v>30.525499999999884</c:v>
                </c:pt>
                <c:pt idx="16">
                  <c:v>31.005699999999884</c:v>
                </c:pt>
                <c:pt idx="17">
                  <c:v>32.525900000000156</c:v>
                </c:pt>
                <c:pt idx="18">
                  <c:v>32.805</c:v>
                </c:pt>
                <c:pt idx="19">
                  <c:v>35.787800000000004</c:v>
                </c:pt>
                <c:pt idx="20">
                  <c:v>35.105900000000013</c:v>
                </c:pt>
                <c:pt idx="21">
                  <c:v>40.411899999999996</c:v>
                </c:pt>
                <c:pt idx="22">
                  <c:v>38.5501</c:v>
                </c:pt>
                <c:pt idx="23">
                  <c:v>33.910899999999998</c:v>
                </c:pt>
                <c:pt idx="24">
                  <c:v>36.224800000000002</c:v>
                </c:pt>
                <c:pt idx="25">
                  <c:v>37.508400000000002</c:v>
                </c:pt>
                <c:pt idx="26">
                  <c:v>47.023500000000013</c:v>
                </c:pt>
                <c:pt idx="27">
                  <c:v>51.911899999999996</c:v>
                </c:pt>
                <c:pt idx="28">
                  <c:v>47.9696</c:v>
                </c:pt>
                <c:pt idx="29">
                  <c:v>49.969800000000006</c:v>
                </c:pt>
                <c:pt idx="30">
                  <c:v>54.430300000000003</c:v>
                </c:pt>
                <c:pt idx="31">
                  <c:v>52.237700000000011</c:v>
                </c:pt>
                <c:pt idx="32">
                  <c:v>50.997400000000006</c:v>
                </c:pt>
                <c:pt idx="33">
                  <c:v>52.438100000000013</c:v>
                </c:pt>
                <c:pt idx="34">
                  <c:v>46.973400000000005</c:v>
                </c:pt>
                <c:pt idx="35">
                  <c:v>41.893000000000001</c:v>
                </c:pt>
                <c:pt idx="36">
                  <c:v>48.740600000000001</c:v>
                </c:pt>
                <c:pt idx="37">
                  <c:v>46.567400000000006</c:v>
                </c:pt>
                <c:pt idx="38">
                  <c:v>59.63920000000001</c:v>
                </c:pt>
                <c:pt idx="39">
                  <c:v>56.058100000000003</c:v>
                </c:pt>
                <c:pt idx="40">
                  <c:v>58.049900000000001</c:v>
                </c:pt>
                <c:pt idx="41">
                  <c:v>54.145400000000002</c:v>
                </c:pt>
                <c:pt idx="42">
                  <c:v>50.529900000000012</c:v>
                </c:pt>
              </c:numCache>
            </c:numRef>
          </c:val>
        </c:ser>
        <c:gapWidth val="0"/>
        <c:overlap val="100"/>
        <c:axId val="149102592"/>
        <c:axId val="149104128"/>
      </c:barChart>
      <c:catAx>
        <c:axId val="14910259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104128"/>
        <c:crosses val="autoZero"/>
        <c:auto val="1"/>
        <c:lblAlgn val="ctr"/>
        <c:lblOffset val="0"/>
        <c:tickLblSkip val="3"/>
        <c:tickMarkSkip val="1"/>
        <c:noMultiLvlLbl val="1"/>
      </c:catAx>
      <c:valAx>
        <c:axId val="14910412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102592"/>
        <c:crosses val="autoZero"/>
        <c:crossBetween val="between"/>
      </c:valAx>
      <c:spPr>
        <a:noFill/>
        <a:ln w="6350">
          <a:solidFill>
            <a:sysClr val="window" lastClr="FFFFFF">
              <a:lumMod val="85000"/>
            </a:sysClr>
          </a:solidFill>
        </a:ln>
      </c:spPr>
    </c:plotArea>
    <c:legend>
      <c:legendPos val="b"/>
      <c:layout>
        <c:manualLayout>
          <c:xMode val="edge"/>
          <c:yMode val="edge"/>
          <c:x val="0.26439717782140382"/>
          <c:y val="8.8533564814814808E-2"/>
          <c:w val="0.35673227969348681"/>
          <c:h val="0.13589057465377199"/>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83325137069243E-2"/>
          <c:y val="4.7330555555555563E-2"/>
          <c:w val="0.83999861417336308"/>
          <c:h val="0.839984251968526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6.8247094484704265</c:v>
                </c:pt>
                <c:pt idx="1">
                  <c:v>7.9048802937125231</c:v>
                </c:pt>
                <c:pt idx="2">
                  <c:v>-5.5578709066889473</c:v>
                </c:pt>
                <c:pt idx="3">
                  <c:v>6.8003211386132874</c:v>
                </c:pt>
                <c:pt idx="4">
                  <c:v>-12.183126000338831</c:v>
                </c:pt>
                <c:pt idx="5">
                  <c:v>-9.7034860545570538</c:v>
                </c:pt>
                <c:pt idx="6">
                  <c:v>-6.4603282826957411</c:v>
                </c:pt>
                <c:pt idx="7">
                  <c:v>-6.0068442535375786</c:v>
                </c:pt>
                <c:pt idx="8">
                  <c:v>-2.3107629096283948</c:v>
                </c:pt>
                <c:pt idx="9">
                  <c:v>-4.3779153904835475</c:v>
                </c:pt>
                <c:pt idx="10">
                  <c:v>-20.489773399832107</c:v>
                </c:pt>
                <c:pt idx="11">
                  <c:v>-16.893917410184915</c:v>
                </c:pt>
                <c:pt idx="12">
                  <c:v>-33.873609085836591</c:v>
                </c:pt>
                <c:pt idx="13">
                  <c:v>-26.726924599842192</c:v>
                </c:pt>
                <c:pt idx="14">
                  <c:v>-11.838959903668709</c:v>
                </c:pt>
                <c:pt idx="15">
                  <c:v>-16.325273184724228</c:v>
                </c:pt>
                <c:pt idx="16">
                  <c:v>-6.4027758895774065</c:v>
                </c:pt>
                <c:pt idx="17">
                  <c:v>-1.0008660444195954</c:v>
                </c:pt>
                <c:pt idx="18">
                  <c:v>3.3856340974163452</c:v>
                </c:pt>
                <c:pt idx="19">
                  <c:v>10.727724572108727</c:v>
                </c:pt>
                <c:pt idx="20">
                  <c:v>7.4143493454368814</c:v>
                </c:pt>
                <c:pt idx="21">
                  <c:v>18.205141674247223</c:v>
                </c:pt>
                <c:pt idx="22">
                  <c:v>32.888174790782394</c:v>
                </c:pt>
                <c:pt idx="23">
                  <c:v>43.633563835684697</c:v>
                </c:pt>
                <c:pt idx="24">
                  <c:v>39.037436728552009</c:v>
                </c:pt>
                <c:pt idx="25">
                  <c:v>28.664215923837233</c:v>
                </c:pt>
                <c:pt idx="26">
                  <c:v>37.676056800343787</c:v>
                </c:pt>
                <c:pt idx="27">
                  <c:v>42.384064966043859</c:v>
                </c:pt>
                <c:pt idx="28">
                  <c:v>31.263260514633902</c:v>
                </c:pt>
                <c:pt idx="29">
                  <c:v>32.365483848303505</c:v>
                </c:pt>
                <c:pt idx="30">
                  <c:v>35.213777097680094</c:v>
                </c:pt>
                <c:pt idx="31">
                  <c:v>24.569687829071789</c:v>
                </c:pt>
                <c:pt idx="32">
                  <c:v>24.285016744849809</c:v>
                </c:pt>
                <c:pt idx="33">
                  <c:v>17.964778975209526</c:v>
                </c:pt>
                <c:pt idx="34">
                  <c:v>10.649413829908356</c:v>
                </c:pt>
                <c:pt idx="35">
                  <c:v>13.149954875391259</c:v>
                </c:pt>
                <c:pt idx="36">
                  <c:v>24.65122701133263</c:v>
                </c:pt>
                <c:pt idx="37">
                  <c:v>12.952045625788385</c:v>
                </c:pt>
                <c:pt idx="38" formatCode="General">
                  <c:v>19.075026073357822</c:v>
                </c:pt>
                <c:pt idx="39" formatCode="General">
                  <c:v>5.2472655550824374</c:v>
                </c:pt>
                <c:pt idx="40" formatCode="General">
                  <c:v>21.62298349479623</c:v>
                </c:pt>
                <c:pt idx="41" formatCode="General">
                  <c:v>8.7568143752722705</c:v>
                </c:pt>
                <c:pt idx="42" formatCode="General">
                  <c:v>-4.6769827100923784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3.5230991598504482</c:v>
                </c:pt>
                <c:pt idx="1">
                  <c:v>-0.47242322269411835</c:v>
                </c:pt>
                <c:pt idx="2">
                  <c:v>-3.1279306332687753</c:v>
                </c:pt>
                <c:pt idx="3">
                  <c:v>-7.0590808642570755</c:v>
                </c:pt>
                <c:pt idx="4">
                  <c:v>-6.2168373578262255</c:v>
                </c:pt>
                <c:pt idx="5">
                  <c:v>-7.3581718489558057</c:v>
                </c:pt>
                <c:pt idx="6">
                  <c:v>-9.1230900216419002</c:v>
                </c:pt>
                <c:pt idx="7">
                  <c:v>-11.454576913447646</c:v>
                </c:pt>
                <c:pt idx="8">
                  <c:v>-9.5822580061106493</c:v>
                </c:pt>
                <c:pt idx="9">
                  <c:v>-11.060475916521725</c:v>
                </c:pt>
                <c:pt idx="10">
                  <c:v>-8.2912561399961699</c:v>
                </c:pt>
                <c:pt idx="11">
                  <c:v>-7.1564479303019652</c:v>
                </c:pt>
                <c:pt idx="12">
                  <c:v>-8.8100372428485727</c:v>
                </c:pt>
                <c:pt idx="13">
                  <c:v>-10.921936876553326</c:v>
                </c:pt>
                <c:pt idx="14">
                  <c:v>-15.341292621155505</c:v>
                </c:pt>
                <c:pt idx="15">
                  <c:v>-15.093827465145548</c:v>
                </c:pt>
                <c:pt idx="16">
                  <c:v>-16.672907586586227</c:v>
                </c:pt>
                <c:pt idx="17">
                  <c:v>-16.892023510028956</c:v>
                </c:pt>
                <c:pt idx="18">
                  <c:v>-16.20511774694312</c:v>
                </c:pt>
                <c:pt idx="19">
                  <c:v>-13.847515092813833</c:v>
                </c:pt>
                <c:pt idx="20">
                  <c:v>-14.832723009672037</c:v>
                </c:pt>
                <c:pt idx="21">
                  <c:v>-13.159849890452374</c:v>
                </c:pt>
                <c:pt idx="22">
                  <c:v>-14.304371475607223</c:v>
                </c:pt>
                <c:pt idx="23">
                  <c:v>-13.500975742502856</c:v>
                </c:pt>
                <c:pt idx="24">
                  <c:v>-3.7946380042788777</c:v>
                </c:pt>
                <c:pt idx="25">
                  <c:v>2.5810532044380921</c:v>
                </c:pt>
                <c:pt idx="26">
                  <c:v>8.3428356440758193</c:v>
                </c:pt>
                <c:pt idx="27">
                  <c:v>14.87377160367231</c:v>
                </c:pt>
                <c:pt idx="28">
                  <c:v>19.120292939230126</c:v>
                </c:pt>
                <c:pt idx="29">
                  <c:v>18.972996842241653</c:v>
                </c:pt>
                <c:pt idx="30">
                  <c:v>19.581883981112352</c:v>
                </c:pt>
                <c:pt idx="31">
                  <c:v>17.059365879368087</c:v>
                </c:pt>
                <c:pt idx="32">
                  <c:v>19.855742917060969</c:v>
                </c:pt>
                <c:pt idx="33">
                  <c:v>15.004369110260818</c:v>
                </c:pt>
                <c:pt idx="34">
                  <c:v>13.263940280519209</c:v>
                </c:pt>
                <c:pt idx="35">
                  <c:v>11.599461937164152</c:v>
                </c:pt>
                <c:pt idx="36">
                  <c:v>9.0779150472609444</c:v>
                </c:pt>
                <c:pt idx="37">
                  <c:v>10.637270526588665</c:v>
                </c:pt>
                <c:pt idx="38" formatCode="General">
                  <c:v>10.398970414529073</c:v>
                </c:pt>
                <c:pt idx="39" formatCode="General">
                  <c:v>8.2738949592704927</c:v>
                </c:pt>
                <c:pt idx="40" formatCode="General">
                  <c:v>4.4739903381087629</c:v>
                </c:pt>
                <c:pt idx="41" formatCode="General">
                  <c:v>3.3714542224495707</c:v>
                </c:pt>
                <c:pt idx="42" formatCode="General">
                  <c:v>1.673431706986108</c:v>
                </c:pt>
              </c:numCache>
            </c:numRef>
          </c:val>
        </c:ser>
        <c:gapWidth val="48"/>
        <c:overlap val="100"/>
        <c:axId val="149515264"/>
        <c:axId val="149562880"/>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10.347808608320868</c:v>
                </c:pt>
                <c:pt idx="1">
                  <c:v>7.4324570710184048</c:v>
                </c:pt>
                <c:pt idx="2">
                  <c:v>-8.6858015399577528</c:v>
                </c:pt>
                <c:pt idx="3">
                  <c:v>-0.25875972564379879</c:v>
                </c:pt>
                <c:pt idx="4">
                  <c:v>-18.399963358165067</c:v>
                </c:pt>
                <c:pt idx="5">
                  <c:v>-17.061657903512828</c:v>
                </c:pt>
                <c:pt idx="6">
                  <c:v>-15.58341830433765</c:v>
                </c:pt>
                <c:pt idx="7">
                  <c:v>-17.461421166985129</c:v>
                </c:pt>
                <c:pt idx="8">
                  <c:v>-11.89302091573907</c:v>
                </c:pt>
                <c:pt idx="9">
                  <c:v>-15.438391307005233</c:v>
                </c:pt>
                <c:pt idx="10">
                  <c:v>-28.781029539828218</c:v>
                </c:pt>
                <c:pt idx="11">
                  <c:v>-24.050365340486891</c:v>
                </c:pt>
                <c:pt idx="12">
                  <c:v>-42.68364632868542</c:v>
                </c:pt>
                <c:pt idx="13">
                  <c:v>-37.648861476395268</c:v>
                </c:pt>
                <c:pt idx="14">
                  <c:v>-27.180252524824226</c:v>
                </c:pt>
                <c:pt idx="15">
                  <c:v>-31.419100649869872</c:v>
                </c:pt>
                <c:pt idx="16">
                  <c:v>-23.075683476163519</c:v>
                </c:pt>
                <c:pt idx="17">
                  <c:v>-17.892889554448644</c:v>
                </c:pt>
                <c:pt idx="18">
                  <c:v>-12.819483649526928</c:v>
                </c:pt>
                <c:pt idx="19">
                  <c:v>-3.1197905207051093</c:v>
                </c:pt>
                <c:pt idx="20">
                  <c:v>-7.4183736642351734</c:v>
                </c:pt>
                <c:pt idx="21">
                  <c:v>5.0452917837950082</c:v>
                </c:pt>
                <c:pt idx="22">
                  <c:v>18.583803315175189</c:v>
                </c:pt>
                <c:pt idx="23">
                  <c:v>30.132588093181788</c:v>
                </c:pt>
                <c:pt idx="24">
                  <c:v>35.242798724273271</c:v>
                </c:pt>
                <c:pt idx="25">
                  <c:v>31.245269128275289</c:v>
                </c:pt>
                <c:pt idx="26">
                  <c:v>46.018892444419606</c:v>
                </c:pt>
                <c:pt idx="27">
                  <c:v>57.257836569716062</c:v>
                </c:pt>
                <c:pt idx="28">
                  <c:v>50.383553453863883</c:v>
                </c:pt>
                <c:pt idx="29">
                  <c:v>51.338480690545254</c:v>
                </c:pt>
                <c:pt idx="30">
                  <c:v>54.795661078792286</c:v>
                </c:pt>
                <c:pt idx="31">
                  <c:v>41.629053708440011</c:v>
                </c:pt>
                <c:pt idx="32">
                  <c:v>44.140759661911005</c:v>
                </c:pt>
                <c:pt idx="33">
                  <c:v>32.96914808547038</c:v>
                </c:pt>
                <c:pt idx="34">
                  <c:v>23.913354110427548</c:v>
                </c:pt>
                <c:pt idx="35">
                  <c:v>24.749416812555264</c:v>
                </c:pt>
                <c:pt idx="36">
                  <c:v>33.729142058593567</c:v>
                </c:pt>
                <c:pt idx="37">
                  <c:v>23.589316152376888</c:v>
                </c:pt>
                <c:pt idx="38" formatCode="General">
                  <c:v>29.473996487887032</c:v>
                </c:pt>
                <c:pt idx="39" formatCode="General">
                  <c:v>13.521160514352928</c:v>
                </c:pt>
                <c:pt idx="40" formatCode="General">
                  <c:v>26.096973832904986</c:v>
                </c:pt>
                <c:pt idx="41" formatCode="General">
                  <c:v>12.128268597721801</c:v>
                </c:pt>
                <c:pt idx="42" formatCode="General">
                  <c:v>-3.0035510031062671</c:v>
                </c:pt>
              </c:numCache>
            </c:numRef>
          </c:val>
        </c:ser>
        <c:marker val="1"/>
        <c:axId val="149515264"/>
        <c:axId val="149562880"/>
      </c:lineChart>
      <c:catAx>
        <c:axId val="14951526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562880"/>
        <c:crosses val="autoZero"/>
        <c:auto val="1"/>
        <c:lblAlgn val="ctr"/>
        <c:lblOffset val="0"/>
        <c:tickLblSkip val="2"/>
        <c:tickMarkSkip val="1"/>
        <c:noMultiLvlLbl val="1"/>
      </c:catAx>
      <c:valAx>
        <c:axId val="149562880"/>
        <c:scaling>
          <c:orientation val="minMax"/>
          <c:max val="75"/>
          <c:min val="-4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515264"/>
        <c:crosses val="autoZero"/>
        <c:crossBetween val="between"/>
        <c:majorUnit val="15"/>
      </c:valAx>
      <c:spPr>
        <a:noFill/>
        <a:ln w="6350">
          <a:solidFill>
            <a:sysClr val="window" lastClr="FFFFFF">
              <a:lumMod val="85000"/>
            </a:sysClr>
          </a:solidFill>
        </a:ln>
      </c:spPr>
    </c:plotArea>
    <c:legend>
      <c:legendPos val="b"/>
      <c:layout>
        <c:manualLayout>
          <c:xMode val="edge"/>
          <c:yMode val="edge"/>
          <c:x val="9.6122476279748362E-2"/>
          <c:y val="5.2577546296296303E-2"/>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84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99.873502492744464</c:v>
                </c:pt>
                <c:pt idx="1">
                  <c:v>97.968598854080867</c:v>
                </c:pt>
                <c:pt idx="2">
                  <c:v>98.005804003274079</c:v>
                </c:pt>
                <c:pt idx="3">
                  <c:v>96.599449363791948</c:v>
                </c:pt>
                <c:pt idx="4">
                  <c:v>95.632115484783114</c:v>
                </c:pt>
                <c:pt idx="5">
                  <c:v>95.527941067043699</c:v>
                </c:pt>
                <c:pt idx="6">
                  <c:v>94.813602202544658</c:v>
                </c:pt>
                <c:pt idx="7">
                  <c:v>93.131929459037678</c:v>
                </c:pt>
                <c:pt idx="8">
                  <c:v>93.355160354193018</c:v>
                </c:pt>
                <c:pt idx="9">
                  <c:v>92.938462683235684</c:v>
                </c:pt>
                <c:pt idx="10">
                  <c:v>92.454795743730941</c:v>
                </c:pt>
                <c:pt idx="11">
                  <c:v>91.256789939727668</c:v>
                </c:pt>
                <c:pt idx="12">
                  <c:v>86.330828186620494</c:v>
                </c:pt>
                <c:pt idx="13">
                  <c:v>82.766574893965313</c:v>
                </c:pt>
                <c:pt idx="14">
                  <c:v>80.40032740531332</c:v>
                </c:pt>
                <c:pt idx="15">
                  <c:v>78.852593198898688</c:v>
                </c:pt>
                <c:pt idx="16">
                  <c:v>78.383808319070809</c:v>
                </c:pt>
                <c:pt idx="17">
                  <c:v>78.845152169060199</c:v>
                </c:pt>
                <c:pt idx="18">
                  <c:v>79.805045018230459</c:v>
                </c:pt>
                <c:pt idx="19">
                  <c:v>80.876553314978779</c:v>
                </c:pt>
                <c:pt idx="20">
                  <c:v>79.938983555324057</c:v>
                </c:pt>
                <c:pt idx="21">
                  <c:v>82.126646327851248</c:v>
                </c:pt>
                <c:pt idx="22">
                  <c:v>81.538804970607941</c:v>
                </c:pt>
                <c:pt idx="23">
                  <c:v>82.312672073815008</c:v>
                </c:pt>
                <c:pt idx="24">
                  <c:v>83.689262593942999</c:v>
                </c:pt>
                <c:pt idx="25">
                  <c:v>84.135724384254758</c:v>
                </c:pt>
                <c:pt idx="26">
                  <c:v>84.894709427784719</c:v>
                </c:pt>
                <c:pt idx="27">
                  <c:v>86.598705260808103</c:v>
                </c:pt>
                <c:pt idx="28">
                  <c:v>89.545353076865808</c:v>
                </c:pt>
                <c:pt idx="29">
                  <c:v>89.865317359922358</c:v>
                </c:pt>
                <c:pt idx="30">
                  <c:v>90.996353895379471</c:v>
                </c:pt>
                <c:pt idx="31">
                  <c:v>91.747897909070971</c:v>
                </c:pt>
                <c:pt idx="32">
                  <c:v>92.692908698563528</c:v>
                </c:pt>
                <c:pt idx="33">
                  <c:v>92.715231788079464</c:v>
                </c:pt>
                <c:pt idx="34">
                  <c:v>91.576754222783876</c:v>
                </c:pt>
                <c:pt idx="35">
                  <c:v>90.936825656670877</c:v>
                </c:pt>
                <c:pt idx="36">
                  <c:v>90.133194434109683</c:v>
                </c:pt>
                <c:pt idx="37" formatCode="General">
                  <c:v>92.26132896792916</c:v>
                </c:pt>
                <c:pt idx="38" formatCode="General">
                  <c:v>92.581293250985937</c:v>
                </c:pt>
                <c:pt idx="39" formatCode="General">
                  <c:v>93.84626832353598</c:v>
                </c:pt>
                <c:pt idx="40" formatCode="General">
                  <c:v>93.161693578391265</c:v>
                </c:pt>
                <c:pt idx="41" formatCode="General">
                  <c:v>93.012872981620589</c:v>
                </c:pt>
                <c:pt idx="42" formatCode="General">
                  <c:v>93.057519160651808</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99.170153417015342</c:v>
                </c:pt>
                <c:pt idx="1">
                  <c:v>99.539748953974339</c:v>
                </c:pt>
                <c:pt idx="2">
                  <c:v>98.619246861924651</c:v>
                </c:pt>
                <c:pt idx="3">
                  <c:v>97.461645746164564</c:v>
                </c:pt>
                <c:pt idx="4">
                  <c:v>95.6694560669456</c:v>
                </c:pt>
                <c:pt idx="5">
                  <c:v>96.450488145048809</c:v>
                </c:pt>
                <c:pt idx="6">
                  <c:v>93.967921896792177</c:v>
                </c:pt>
                <c:pt idx="7">
                  <c:v>94.086471408647128</c:v>
                </c:pt>
                <c:pt idx="8">
                  <c:v>92.656903765690373</c:v>
                </c:pt>
                <c:pt idx="9">
                  <c:v>91.966527196652649</c:v>
                </c:pt>
                <c:pt idx="10">
                  <c:v>92.810320781032459</c:v>
                </c:pt>
                <c:pt idx="11">
                  <c:v>88.563458856345889</c:v>
                </c:pt>
                <c:pt idx="12">
                  <c:v>80</c:v>
                </c:pt>
                <c:pt idx="13">
                  <c:v>77.405857740585759</c:v>
                </c:pt>
                <c:pt idx="14">
                  <c:v>75.704323570432365</c:v>
                </c:pt>
                <c:pt idx="15">
                  <c:v>74.323570432356519</c:v>
                </c:pt>
                <c:pt idx="16">
                  <c:v>72.44072524407305</c:v>
                </c:pt>
                <c:pt idx="17">
                  <c:v>73.103207810320384</c:v>
                </c:pt>
                <c:pt idx="18">
                  <c:v>71.827057182705659</c:v>
                </c:pt>
                <c:pt idx="19">
                  <c:v>73.584379358437758</c:v>
                </c:pt>
                <c:pt idx="20">
                  <c:v>72.294281729428164</c:v>
                </c:pt>
                <c:pt idx="21">
                  <c:v>74.205020920502065</c:v>
                </c:pt>
                <c:pt idx="22">
                  <c:v>73.207810320780979</c:v>
                </c:pt>
                <c:pt idx="23">
                  <c:v>74.609483960948367</c:v>
                </c:pt>
                <c:pt idx="24">
                  <c:v>75.230125523012916</c:v>
                </c:pt>
                <c:pt idx="25">
                  <c:v>75.801952580195234</c:v>
                </c:pt>
                <c:pt idx="26">
                  <c:v>76.248256624825927</c:v>
                </c:pt>
                <c:pt idx="27">
                  <c:v>78.375174337516825</c:v>
                </c:pt>
                <c:pt idx="28">
                  <c:v>80.822873082287259</c:v>
                </c:pt>
                <c:pt idx="29">
                  <c:v>81.011157601116267</c:v>
                </c:pt>
                <c:pt idx="30">
                  <c:v>80.746164574616756</c:v>
                </c:pt>
                <c:pt idx="31">
                  <c:v>82.336122733612243</c:v>
                </c:pt>
                <c:pt idx="32">
                  <c:v>84.00976290097627</c:v>
                </c:pt>
                <c:pt idx="33">
                  <c:v>84.567642956764189</c:v>
                </c:pt>
                <c:pt idx="34">
                  <c:v>84.972105997210576</c:v>
                </c:pt>
                <c:pt idx="35">
                  <c:v>84.225941422593579</c:v>
                </c:pt>
                <c:pt idx="36">
                  <c:v>85.383542538353666</c:v>
                </c:pt>
                <c:pt idx="37" formatCode="General">
                  <c:v>86.039051603905122</c:v>
                </c:pt>
                <c:pt idx="38" formatCode="General">
                  <c:v>86.227336122733035</c:v>
                </c:pt>
                <c:pt idx="39" formatCode="General">
                  <c:v>89.539748953974325</c:v>
                </c:pt>
                <c:pt idx="40" formatCode="General">
                  <c:v>89.98605299860526</c:v>
                </c:pt>
                <c:pt idx="41" formatCode="General">
                  <c:v>89.337517433751458</c:v>
                </c:pt>
                <c:pt idx="42" formatCode="General">
                  <c:v>89.560669456066933</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100.36374893584085</c:v>
                </c:pt>
                <c:pt idx="1">
                  <c:v>96.873307019579784</c:v>
                </c:pt>
                <c:pt idx="2">
                  <c:v>97.577586874080367</c:v>
                </c:pt>
                <c:pt idx="3">
                  <c:v>96.006501044810747</c:v>
                </c:pt>
                <c:pt idx="4">
                  <c:v>95.611794752728088</c:v>
                </c:pt>
                <c:pt idx="5">
                  <c:v>94.892036220106718</c:v>
                </c:pt>
                <c:pt idx="6">
                  <c:v>95.410571937156519</c:v>
                </c:pt>
                <c:pt idx="7">
                  <c:v>92.469623094188279</c:v>
                </c:pt>
                <c:pt idx="8">
                  <c:v>93.847225446947462</c:v>
                </c:pt>
                <c:pt idx="9">
                  <c:v>93.622784614193378</c:v>
                </c:pt>
                <c:pt idx="10">
                  <c:v>92.214224905193831</c:v>
                </c:pt>
                <c:pt idx="11">
                  <c:v>93.142945592445926</c:v>
                </c:pt>
                <c:pt idx="12">
                  <c:v>90.217475427598472</c:v>
                </c:pt>
                <c:pt idx="13">
                  <c:v>86.092407708381558</c:v>
                </c:pt>
                <c:pt idx="14">
                  <c:v>83.352681680984418</c:v>
                </c:pt>
                <c:pt idx="15">
                  <c:v>81.704202461110313</c:v>
                </c:pt>
                <c:pt idx="16">
                  <c:v>82.013776023527257</c:v>
                </c:pt>
                <c:pt idx="17">
                  <c:v>82.377524959368785</c:v>
                </c:pt>
                <c:pt idx="18">
                  <c:v>84.575497252533822</c:v>
                </c:pt>
                <c:pt idx="19">
                  <c:v>85.264298428914543</c:v>
                </c:pt>
                <c:pt idx="20">
                  <c:v>84.521321879111511</c:v>
                </c:pt>
                <c:pt idx="21">
                  <c:v>86.874080953485915</c:v>
                </c:pt>
                <c:pt idx="22">
                  <c:v>86.510332017645197</c:v>
                </c:pt>
                <c:pt idx="23">
                  <c:v>86.943735005030561</c:v>
                </c:pt>
                <c:pt idx="24">
                  <c:v>88.72378298893274</c:v>
                </c:pt>
                <c:pt idx="25">
                  <c:v>89.11074994195495</c:v>
                </c:pt>
                <c:pt idx="26">
                  <c:v>90.039470629208267</c:v>
                </c:pt>
                <c:pt idx="27">
                  <c:v>91.533163067874227</c:v>
                </c:pt>
                <c:pt idx="28">
                  <c:v>94.76820679513969</c:v>
                </c:pt>
                <c:pt idx="29">
                  <c:v>95.155173748161758</c:v>
                </c:pt>
                <c:pt idx="30">
                  <c:v>97.035833139849558</c:v>
                </c:pt>
                <c:pt idx="31">
                  <c:v>97.34540670226761</c:v>
                </c:pt>
                <c:pt idx="32">
                  <c:v>97.910378453679641</c:v>
                </c:pt>
                <c:pt idx="33">
                  <c:v>97.64724092562497</c:v>
                </c:pt>
                <c:pt idx="34">
                  <c:v>95.673709465211701</c:v>
                </c:pt>
                <c:pt idx="35">
                  <c:v>95.085519696617936</c:v>
                </c:pt>
                <c:pt idx="36">
                  <c:v>93.413822459561985</c:v>
                </c:pt>
                <c:pt idx="37" formatCode="General">
                  <c:v>96.215463199442794</c:v>
                </c:pt>
                <c:pt idx="38" formatCode="General">
                  <c:v>96.60243015246391</c:v>
                </c:pt>
                <c:pt idx="39" formatCode="General">
                  <c:v>96.981657766426778</c:v>
                </c:pt>
                <c:pt idx="40" formatCode="General">
                  <c:v>95.782060212057758</c:v>
                </c:pt>
                <c:pt idx="41" formatCode="General">
                  <c:v>95.85945360266237</c:v>
                </c:pt>
                <c:pt idx="42" formatCode="General">
                  <c:v>95.828496246419988</c:v>
                </c:pt>
              </c:numCache>
            </c:numRef>
          </c:val>
        </c:ser>
        <c:marker val="1"/>
        <c:axId val="149495808"/>
        <c:axId val="149497344"/>
      </c:lineChart>
      <c:catAx>
        <c:axId val="1494958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49497344"/>
        <c:crosses val="autoZero"/>
        <c:auto val="1"/>
        <c:lblAlgn val="ctr"/>
        <c:lblOffset val="0"/>
        <c:tickLblSkip val="2"/>
        <c:tickMarkSkip val="1"/>
        <c:noMultiLvlLbl val="1"/>
      </c:catAx>
      <c:valAx>
        <c:axId val="149497344"/>
        <c:scaling>
          <c:orientation val="minMax"/>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495808"/>
        <c:crosses val="autoZero"/>
        <c:crossBetween val="between"/>
      </c:valAx>
      <c:spPr>
        <a:noFill/>
        <a:ln w="6350">
          <a:solidFill>
            <a:sysClr val="window" lastClr="FFFFFF">
              <a:lumMod val="85000"/>
            </a:sysClr>
          </a:solidFill>
        </a:ln>
      </c:spPr>
    </c:plotArea>
    <c:legend>
      <c:legendPos val="b"/>
      <c:layout>
        <c:manualLayout>
          <c:xMode val="edge"/>
          <c:yMode val="edge"/>
          <c:x val="0.24460231323602921"/>
          <c:y val="3.761747685185185E-2"/>
          <c:w val="0.42641569401641882"/>
          <c:h val="0.2126863425926006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-9.1</c:v>
                </c:pt>
                <c:pt idx="1">
                  <c:v>-12.1</c:v>
                </c:pt>
                <c:pt idx="2">
                  <c:v>-19.5</c:v>
                </c:pt>
                <c:pt idx="3">
                  <c:v>-16.600000000000001</c:v>
                </c:pt>
                <c:pt idx="4">
                  <c:v>-27.6</c:v>
                </c:pt>
                <c:pt idx="5">
                  <c:v>-26.1</c:v>
                </c:pt>
                <c:pt idx="6">
                  <c:v>-25.3</c:v>
                </c:pt>
                <c:pt idx="7">
                  <c:v>-21.4</c:v>
                </c:pt>
                <c:pt idx="8">
                  <c:v>-29.4</c:v>
                </c:pt>
                <c:pt idx="9">
                  <c:v>-27.7</c:v>
                </c:pt>
                <c:pt idx="10">
                  <c:v>-39</c:v>
                </c:pt>
                <c:pt idx="11">
                  <c:v>-39.300000000000004</c:v>
                </c:pt>
                <c:pt idx="12">
                  <c:v>-48.1</c:v>
                </c:pt>
                <c:pt idx="13">
                  <c:v>-44.2</c:v>
                </c:pt>
                <c:pt idx="14">
                  <c:v>-42.7</c:v>
                </c:pt>
                <c:pt idx="15">
                  <c:v>-32.300000000000004</c:v>
                </c:pt>
                <c:pt idx="16">
                  <c:v>-24.7</c:v>
                </c:pt>
                <c:pt idx="17">
                  <c:v>-22.7</c:v>
                </c:pt>
                <c:pt idx="18">
                  <c:v>-14.8</c:v>
                </c:pt>
                <c:pt idx="19">
                  <c:v>-15</c:v>
                </c:pt>
                <c:pt idx="20">
                  <c:v>-12.4</c:v>
                </c:pt>
                <c:pt idx="21">
                  <c:v>-10.4</c:v>
                </c:pt>
                <c:pt idx="22">
                  <c:v>-10.1</c:v>
                </c:pt>
                <c:pt idx="23">
                  <c:v>-1</c:v>
                </c:pt>
                <c:pt idx="24">
                  <c:v>-5.5</c:v>
                </c:pt>
                <c:pt idx="25">
                  <c:v>-4.8</c:v>
                </c:pt>
                <c:pt idx="26">
                  <c:v>3.4</c:v>
                </c:pt>
                <c:pt idx="27">
                  <c:v>3.5</c:v>
                </c:pt>
                <c:pt idx="28">
                  <c:v>2.6</c:v>
                </c:pt>
                <c:pt idx="29">
                  <c:v>2.5</c:v>
                </c:pt>
                <c:pt idx="30">
                  <c:v>2.4</c:v>
                </c:pt>
                <c:pt idx="31">
                  <c:v>-0.4</c:v>
                </c:pt>
                <c:pt idx="32">
                  <c:v>-0.1</c:v>
                </c:pt>
                <c:pt idx="33">
                  <c:v>1.4</c:v>
                </c:pt>
                <c:pt idx="34">
                  <c:v>1.4</c:v>
                </c:pt>
                <c:pt idx="35">
                  <c:v>-3.3</c:v>
                </c:pt>
                <c:pt idx="36">
                  <c:v>2.2999999999999998</c:v>
                </c:pt>
                <c:pt idx="37" formatCode="General">
                  <c:v>8.3000000000000007</c:v>
                </c:pt>
                <c:pt idx="38" formatCode="General">
                  <c:v>2.8</c:v>
                </c:pt>
                <c:pt idx="39" formatCode="General">
                  <c:v>3.9</c:v>
                </c:pt>
                <c:pt idx="40" formatCode="General">
                  <c:v>4.4000000000000004</c:v>
                </c:pt>
                <c:pt idx="41" formatCode="General">
                  <c:v>3.6</c:v>
                </c:pt>
                <c:pt idx="42" formatCode="General">
                  <c:v>-2.2000000000000002</c:v>
                </c:pt>
                <c:pt idx="43" formatCode="General">
                  <c:v>0.30000000000000032</c:v>
                </c:pt>
              </c:numCache>
            </c:numRef>
          </c:val>
        </c:ser>
        <c:marker val="1"/>
        <c:axId val="149881984"/>
        <c:axId val="149883520"/>
      </c:lineChart>
      <c:catAx>
        <c:axId val="1498819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883520"/>
        <c:crosses val="autoZero"/>
        <c:auto val="1"/>
        <c:lblAlgn val="ctr"/>
        <c:lblOffset val="0"/>
        <c:tickLblSkip val="2"/>
        <c:tickMarkSkip val="1"/>
        <c:noMultiLvlLbl val="1"/>
      </c:catAx>
      <c:valAx>
        <c:axId val="149883520"/>
        <c:scaling>
          <c:orientation val="minMax"/>
          <c:max val="1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88198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12"/>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111.3</c:v>
                </c:pt>
                <c:pt idx="1">
                  <c:v>102.79</c:v>
                </c:pt>
                <c:pt idx="2">
                  <c:v>103.78</c:v>
                </c:pt>
                <c:pt idx="3">
                  <c:v>108.77</c:v>
                </c:pt>
                <c:pt idx="4">
                  <c:v>102.02</c:v>
                </c:pt>
                <c:pt idx="5">
                  <c:v>97.43</c:v>
                </c:pt>
                <c:pt idx="6">
                  <c:v>104.46000000000002</c:v>
                </c:pt>
                <c:pt idx="7">
                  <c:v>100.09</c:v>
                </c:pt>
                <c:pt idx="8">
                  <c:v>104.99000000000002</c:v>
                </c:pt>
                <c:pt idx="9">
                  <c:v>116</c:v>
                </c:pt>
                <c:pt idx="10">
                  <c:v>99.36</c:v>
                </c:pt>
                <c:pt idx="11">
                  <c:v>93.66</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72.179999999999978</c:v>
                </c:pt>
                <c:pt idx="1">
                  <c:v>78.64</c:v>
                </c:pt>
                <c:pt idx="2">
                  <c:v>79.940000000000026</c:v>
                </c:pt>
                <c:pt idx="3">
                  <c:v>81.89</c:v>
                </c:pt>
                <c:pt idx="4">
                  <c:v>76.89</c:v>
                </c:pt>
                <c:pt idx="5">
                  <c:v>79.599999999999994</c:v>
                </c:pt>
                <c:pt idx="6">
                  <c:v>94.31</c:v>
                </c:pt>
                <c:pt idx="7">
                  <c:v>88.42</c:v>
                </c:pt>
                <c:pt idx="8">
                  <c:v>93.55</c:v>
                </c:pt>
                <c:pt idx="9">
                  <c:v>95.39</c:v>
                </c:pt>
                <c:pt idx="10">
                  <c:v>98.05</c:v>
                </c:pt>
                <c:pt idx="11">
                  <c:v>92.9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80.459999999999994</c:v>
                </c:pt>
                <c:pt idx="1">
                  <c:v>89.04</c:v>
                </c:pt>
                <c:pt idx="2">
                  <c:v>110.81</c:v>
                </c:pt>
                <c:pt idx="3">
                  <c:v>96.960000000000022</c:v>
                </c:pt>
                <c:pt idx="4">
                  <c:v>94.51</c:v>
                </c:pt>
                <c:pt idx="5">
                  <c:v>96.53</c:v>
                </c:pt>
                <c:pt idx="6">
                  <c:v>97.42</c:v>
                </c:pt>
                <c:pt idx="7">
                  <c:v>108.27</c:v>
                </c:pt>
                <c:pt idx="8">
                  <c:v>116.05</c:v>
                </c:pt>
                <c:pt idx="9">
                  <c:v>114.23</c:v>
                </c:pt>
                <c:pt idx="10">
                  <c:v>117.84</c:v>
                </c:pt>
                <c:pt idx="11">
                  <c:v>113.99000000000002</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94.55</c:v>
                </c:pt>
                <c:pt idx="1">
                  <c:v>95.25</c:v>
                </c:pt>
                <c:pt idx="2">
                  <c:v>112.06</c:v>
                </c:pt>
                <c:pt idx="3">
                  <c:v>98.97</c:v>
                </c:pt>
                <c:pt idx="4">
                  <c:v>99.43</c:v>
                </c:pt>
                <c:pt idx="5">
                  <c:v>97.210000000000022</c:v>
                </c:pt>
                <c:pt idx="6">
                  <c:v>93.51</c:v>
                </c:pt>
                <c:pt idx="11">
                  <c:v>0</c:v>
                </c:pt>
              </c:numCache>
            </c:numRef>
          </c:val>
        </c:ser>
        <c:marker val="1"/>
        <c:axId val="149946368"/>
        <c:axId val="149947904"/>
      </c:lineChart>
      <c:catAx>
        <c:axId val="1499463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947904"/>
        <c:crosses val="autoZero"/>
        <c:auto val="1"/>
        <c:lblAlgn val="ctr"/>
        <c:lblOffset val="0"/>
        <c:tickMarkSkip val="1"/>
      </c:catAx>
      <c:valAx>
        <c:axId val="149947904"/>
        <c:scaling>
          <c:orientation val="minMax"/>
          <c:max val="12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946368"/>
        <c:crosses val="autoZero"/>
        <c:crossBetween val="between"/>
      </c:valAx>
      <c:spPr>
        <a:noFill/>
        <a:ln w="6350">
          <a:solidFill>
            <a:sysClr val="window" lastClr="FFFFFF">
              <a:lumMod val="85000"/>
            </a:sysClr>
          </a:solidFill>
        </a:ln>
      </c:spPr>
    </c:plotArea>
    <c:legend>
      <c:legendPos val="b"/>
      <c:layout>
        <c:manualLayout>
          <c:xMode val="edge"/>
          <c:yMode val="edge"/>
          <c:x val="0.59059745489086057"/>
          <c:y val="0.62743923611112262"/>
          <c:w val="0.35818544316576939"/>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125.18166844298034</c:v>
                </c:pt>
                <c:pt idx="1">
                  <c:v>112.63443464780546</c:v>
                </c:pt>
                <c:pt idx="2">
                  <c:v>107.10202499757777</c:v>
                </c:pt>
                <c:pt idx="3">
                  <c:v>104.08875109001065</c:v>
                </c:pt>
                <c:pt idx="4">
                  <c:v>102.71291541517309</c:v>
                </c:pt>
                <c:pt idx="5">
                  <c:v>100.87200852630536</c:v>
                </c:pt>
                <c:pt idx="6">
                  <c:v>101.52117042922197</c:v>
                </c:pt>
                <c:pt idx="7">
                  <c:v>96.211607402383493</c:v>
                </c:pt>
                <c:pt idx="8">
                  <c:v>91.783741885476189</c:v>
                </c:pt>
                <c:pt idx="9">
                  <c:v>95.44617769595969</c:v>
                </c:pt>
                <c:pt idx="10">
                  <c:v>92.491037690146428</c:v>
                </c:pt>
                <c:pt idx="11">
                  <c:v>85.350256758066081</c:v>
                </c:pt>
                <c:pt idx="12">
                  <c:v>84.090688886735748</c:v>
                </c:pt>
                <c:pt idx="13">
                  <c:v>87.297742466815237</c:v>
                </c:pt>
                <c:pt idx="14">
                  <c:v>73.16151535703905</c:v>
                </c:pt>
                <c:pt idx="15">
                  <c:v>85.166166069179397</c:v>
                </c:pt>
                <c:pt idx="16">
                  <c:v>82.21102606336612</c:v>
                </c:pt>
                <c:pt idx="17">
                  <c:v>83.150857475050714</c:v>
                </c:pt>
                <c:pt idx="18">
                  <c:v>90.524174014145913</c:v>
                </c:pt>
                <c:pt idx="19">
                  <c:v>84.836740625908362</c:v>
                </c:pt>
                <c:pt idx="20">
                  <c:v>82.162581145237851</c:v>
                </c:pt>
                <c:pt idx="21">
                  <c:v>81.678131963956744</c:v>
                </c:pt>
                <c:pt idx="22">
                  <c:v>87.142718728805349</c:v>
                </c:pt>
                <c:pt idx="23">
                  <c:v>85.011142331169452</c:v>
                </c:pt>
                <c:pt idx="24">
                  <c:v>96.066272647999213</c:v>
                </c:pt>
                <c:pt idx="25">
                  <c:v>97.936246487743574</c:v>
                </c:pt>
                <c:pt idx="26">
                  <c:v>101.89904079062092</c:v>
                </c:pt>
                <c:pt idx="27">
                  <c:v>96.172851467880776</c:v>
                </c:pt>
                <c:pt idx="28">
                  <c:v>99.108613506443149</c:v>
                </c:pt>
                <c:pt idx="29">
                  <c:v>97.752155798856649</c:v>
                </c:pt>
                <c:pt idx="30">
                  <c:v>97.306462552078258</c:v>
                </c:pt>
                <c:pt idx="31">
                  <c:v>100.24222459064057</c:v>
                </c:pt>
                <c:pt idx="32">
                  <c:v>101.89904079062092</c:v>
                </c:pt>
                <c:pt idx="33">
                  <c:v>101.63743823272908</c:v>
                </c:pt>
                <c:pt idx="34">
                  <c:v>100.82356360817771</c:v>
                </c:pt>
                <c:pt idx="35">
                  <c:v>100.71698478829585</c:v>
                </c:pt>
                <c:pt idx="36" formatCode="General">
                  <c:v>107.33456060459262</c:v>
                </c:pt>
                <c:pt idx="37" formatCode="General">
                  <c:v>104.09844007363613</c:v>
                </c:pt>
                <c:pt idx="38" formatCode="General">
                  <c:v>99.205503342699288</c:v>
                </c:pt>
                <c:pt idx="39" formatCode="General">
                  <c:v>105.45489778122287</c:v>
                </c:pt>
                <c:pt idx="40" formatCode="General">
                  <c:v>97.916868520492201</c:v>
                </c:pt>
                <c:pt idx="41" formatCode="General">
                  <c:v>102.18002131576382</c:v>
                </c:pt>
              </c:numCache>
            </c:numRef>
          </c:val>
        </c:ser>
        <c:marker val="1"/>
        <c:axId val="150000768"/>
        <c:axId val="150002304"/>
      </c:lineChart>
      <c:catAx>
        <c:axId val="1500007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002304"/>
        <c:crosses val="autoZero"/>
        <c:auto val="1"/>
        <c:lblAlgn val="ctr"/>
        <c:lblOffset val="0"/>
        <c:tickLblSkip val="2"/>
        <c:tickMarkSkip val="1"/>
        <c:noMultiLvlLbl val="1"/>
      </c:catAx>
      <c:valAx>
        <c:axId val="150002304"/>
        <c:scaling>
          <c:orientation val="minMax"/>
          <c:max val="13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000768"/>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7.1280999999999946</c:v>
                </c:pt>
                <c:pt idx="1">
                  <c:v>7.3420999999999985</c:v>
                </c:pt>
                <c:pt idx="2">
                  <c:v>6.9994000000000014</c:v>
                </c:pt>
                <c:pt idx="3">
                  <c:v>7.4652000000000012</c:v>
                </c:pt>
                <c:pt idx="4">
                  <c:v>7.0672999999999995</c:v>
                </c:pt>
                <c:pt idx="5">
                  <c:v>6.5454000000000008</c:v>
                </c:pt>
                <c:pt idx="6">
                  <c:v>6.6872999999999987</c:v>
                </c:pt>
                <c:pt idx="7">
                  <c:v>6.0522000000000009</c:v>
                </c:pt>
                <c:pt idx="8">
                  <c:v>6.6607999999999965</c:v>
                </c:pt>
                <c:pt idx="9">
                  <c:v>6.9589000000000008</c:v>
                </c:pt>
                <c:pt idx="10">
                  <c:v>6.3414999999999999</c:v>
                </c:pt>
                <c:pt idx="11">
                  <c:v>7.0016000000000034</c:v>
                </c:pt>
                <c:pt idx="12">
                  <c:v>4.5844999999999985</c:v>
                </c:pt>
                <c:pt idx="13">
                  <c:v>4.801800000000001</c:v>
                </c:pt>
                <c:pt idx="14">
                  <c:v>5.1953000000000005</c:v>
                </c:pt>
                <c:pt idx="15">
                  <c:v>4.7626000000000008</c:v>
                </c:pt>
                <c:pt idx="16">
                  <c:v>4.6236999999999995</c:v>
                </c:pt>
                <c:pt idx="17">
                  <c:v>4.5255999999999945</c:v>
                </c:pt>
                <c:pt idx="18">
                  <c:v>4.7498000000000014</c:v>
                </c:pt>
                <c:pt idx="19">
                  <c:v>4.5355999999999996</c:v>
                </c:pt>
                <c:pt idx="20">
                  <c:v>5.1814999999999998</c:v>
                </c:pt>
                <c:pt idx="21">
                  <c:v>4.8657999999999975</c:v>
                </c:pt>
                <c:pt idx="22">
                  <c:v>4.9769000000000014</c:v>
                </c:pt>
                <c:pt idx="23">
                  <c:v>5.7622999999999998</c:v>
                </c:pt>
                <c:pt idx="24">
                  <c:v>4.1765000000000008</c:v>
                </c:pt>
                <c:pt idx="25">
                  <c:v>4.4602999999999984</c:v>
                </c:pt>
                <c:pt idx="26">
                  <c:v>5.3583000000000007</c:v>
                </c:pt>
                <c:pt idx="27">
                  <c:v>5.0777999999999999</c:v>
                </c:pt>
                <c:pt idx="28">
                  <c:v>4.9108000000000009</c:v>
                </c:pt>
                <c:pt idx="29">
                  <c:v>4.8438000000000017</c:v>
                </c:pt>
                <c:pt idx="30">
                  <c:v>4.4760000000000124</c:v>
                </c:pt>
                <c:pt idx="31">
                  <c:v>5.5199000000000016</c:v>
                </c:pt>
                <c:pt idx="32">
                  <c:v>5.772899999999999</c:v>
                </c:pt>
                <c:pt idx="33">
                  <c:v>5.4210999999999991</c:v>
                </c:pt>
                <c:pt idx="34">
                  <c:v>5.8539999999999965</c:v>
                </c:pt>
                <c:pt idx="35">
                  <c:v>6.4176000000000002</c:v>
                </c:pt>
                <c:pt idx="36">
                  <c:v>4.9607000000000001</c:v>
                </c:pt>
                <c:pt idx="37">
                  <c:v>4.7962000000000033</c:v>
                </c:pt>
                <c:pt idx="38">
                  <c:v>5.6880000000000015</c:v>
                </c:pt>
                <c:pt idx="39">
                  <c:v>5.032300000000002</c:v>
                </c:pt>
                <c:pt idx="40">
                  <c:v>5.6778999999999975</c:v>
                </c:pt>
                <c:pt idx="41">
                  <c:v>5.1457999999999995</c:v>
                </c:pt>
                <c:pt idx="42">
                  <c:v>4.7403000000000013</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5.0261000000000005</c:v>
                </c:pt>
                <c:pt idx="1">
                  <c:v>4.2866000000000124</c:v>
                </c:pt>
                <c:pt idx="2">
                  <c:v>4.1256999999999975</c:v>
                </c:pt>
                <c:pt idx="3">
                  <c:v>5.3194999999999997</c:v>
                </c:pt>
                <c:pt idx="4">
                  <c:v>3.8849999999999998</c:v>
                </c:pt>
                <c:pt idx="5">
                  <c:v>3.7333000000000012</c:v>
                </c:pt>
                <c:pt idx="6">
                  <c:v>4.4939999999999998</c:v>
                </c:pt>
                <c:pt idx="7">
                  <c:v>4.6138999999999966</c:v>
                </c:pt>
                <c:pt idx="8">
                  <c:v>4.8476000000000008</c:v>
                </c:pt>
                <c:pt idx="9">
                  <c:v>5.6523999999999965</c:v>
                </c:pt>
                <c:pt idx="10">
                  <c:v>4.6882999999999999</c:v>
                </c:pt>
                <c:pt idx="11">
                  <c:v>3.274</c:v>
                </c:pt>
                <c:pt idx="12">
                  <c:v>3.5355999999999987</c:v>
                </c:pt>
                <c:pt idx="13">
                  <c:v>3.4051999999999998</c:v>
                </c:pt>
                <c:pt idx="14">
                  <c:v>3.7951999999999999</c:v>
                </c:pt>
                <c:pt idx="15">
                  <c:v>3.9255</c:v>
                </c:pt>
                <c:pt idx="16">
                  <c:v>3.6566999999999967</c:v>
                </c:pt>
                <c:pt idx="17">
                  <c:v>3.7163000000000004</c:v>
                </c:pt>
                <c:pt idx="18">
                  <c:v>4.2631999999999985</c:v>
                </c:pt>
                <c:pt idx="19">
                  <c:v>4.5161000000000007</c:v>
                </c:pt>
                <c:pt idx="20">
                  <c:v>4.4558999999999997</c:v>
                </c:pt>
                <c:pt idx="21">
                  <c:v>4.9438000000000004</c:v>
                </c:pt>
                <c:pt idx="22">
                  <c:v>4.9577999999999998</c:v>
                </c:pt>
                <c:pt idx="23">
                  <c:v>4.1991999999999985</c:v>
                </c:pt>
                <c:pt idx="24">
                  <c:v>4.1603999999999965</c:v>
                </c:pt>
                <c:pt idx="25">
                  <c:v>5.0020999999999995</c:v>
                </c:pt>
                <c:pt idx="26">
                  <c:v>6.2252000000000001</c:v>
                </c:pt>
                <c:pt idx="27">
                  <c:v>5.4969999999999999</c:v>
                </c:pt>
                <c:pt idx="28">
                  <c:v>5.4247999999999985</c:v>
                </c:pt>
                <c:pt idx="29">
                  <c:v>5.0253999999999985</c:v>
                </c:pt>
                <c:pt idx="30">
                  <c:v>5.8318999999999992</c:v>
                </c:pt>
                <c:pt idx="31">
                  <c:v>6.1846999999999985</c:v>
                </c:pt>
                <c:pt idx="32">
                  <c:v>6.7573999999999996</c:v>
                </c:pt>
                <c:pt idx="33">
                  <c:v>7.0561000000000007</c:v>
                </c:pt>
                <c:pt idx="34">
                  <c:v>7.2969999999999997</c:v>
                </c:pt>
                <c:pt idx="35">
                  <c:v>6.0876999999999999</c:v>
                </c:pt>
                <c:pt idx="36">
                  <c:v>6.5333999999999994</c:v>
                </c:pt>
                <c:pt idx="37">
                  <c:v>6.5990000000000002</c:v>
                </c:pt>
                <c:pt idx="38">
                  <c:v>7.3982000000000001</c:v>
                </c:pt>
                <c:pt idx="39">
                  <c:v>6.9288999999999996</c:v>
                </c:pt>
                <c:pt idx="40">
                  <c:v>6.6348999999999965</c:v>
                </c:pt>
                <c:pt idx="41">
                  <c:v>5.9081000000000001</c:v>
                </c:pt>
                <c:pt idx="42">
                  <c:v>6.6138999999999966</c:v>
                </c:pt>
              </c:numCache>
            </c:numRef>
          </c:val>
        </c:ser>
        <c:gapWidth val="0"/>
        <c:overlap val="100"/>
        <c:axId val="149982208"/>
        <c:axId val="149988096"/>
      </c:barChart>
      <c:catAx>
        <c:axId val="14998220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988096"/>
        <c:crosses val="autoZero"/>
        <c:auto val="1"/>
        <c:lblAlgn val="ctr"/>
        <c:lblOffset val="0"/>
        <c:tickLblSkip val="3"/>
        <c:tickMarkSkip val="1"/>
        <c:noMultiLvlLbl val="1"/>
      </c:catAx>
      <c:valAx>
        <c:axId val="14998809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49982208"/>
        <c:crosses val="autoZero"/>
        <c:crossBetween val="between"/>
      </c:valAx>
      <c:spPr>
        <a:noFill/>
        <a:ln w="6350">
          <a:solidFill>
            <a:sysClr val="window" lastClr="FFFFFF">
              <a:lumMod val="85000"/>
            </a:sysClr>
          </a:solidFill>
        </a:ln>
      </c:spPr>
    </c:plotArea>
    <c:legend>
      <c:legendPos val="b"/>
      <c:layout>
        <c:manualLayout>
          <c:xMode val="edge"/>
          <c:yMode val="edge"/>
          <c:x val="0.32315786405368385"/>
          <c:y val="5.1785879629629626E-2"/>
          <c:w val="0.3155999442930188"/>
          <c:h val="0.12854108796296382"/>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53542673107895E-2"/>
          <c:y val="3.6529680365296795E-2"/>
          <c:w val="0.91567995169086891"/>
          <c:h val="0.801673315064691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Sheet1!$B$1:$AS$2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Sheet1!$B$4:$AS$4</c:f>
              <c:numCache>
                <c:formatCode>0.000</c:formatCode>
                <c:ptCount val="32"/>
                <c:pt idx="0">
                  <c:v>-0.13784021071115021</c:v>
                </c:pt>
                <c:pt idx="1">
                  <c:v>-0.21829163071613497</c:v>
                </c:pt>
                <c:pt idx="2">
                  <c:v>-0.16926869350862794</c:v>
                </c:pt>
                <c:pt idx="3">
                  <c:v>-0.17426059152677867</c:v>
                </c:pt>
                <c:pt idx="4">
                  <c:v>-0.18831667947732542</c:v>
                </c:pt>
                <c:pt idx="5">
                  <c:v>-0.13728549141965674</c:v>
                </c:pt>
                <c:pt idx="6">
                  <c:v>-0.20414201183431946</c:v>
                </c:pt>
                <c:pt idx="7">
                  <c:v>-0.20565749235474021</c:v>
                </c:pt>
                <c:pt idx="8">
                  <c:v>-0.21457821457821449</c:v>
                </c:pt>
                <c:pt idx="9">
                  <c:v>-0.19159256265157637</c:v>
                </c:pt>
                <c:pt idx="10">
                  <c:v>-0.20434782608695656</c:v>
                </c:pt>
                <c:pt idx="11">
                  <c:v>-0.15323854660347561</c:v>
                </c:pt>
                <c:pt idx="12">
                  <c:v>-9.5723014256619221E-2</c:v>
                </c:pt>
                <c:pt idx="13">
                  <c:v>-7.836644591611483E-2</c:v>
                </c:pt>
                <c:pt idx="14">
                  <c:v>-6.3303659742828824E-2</c:v>
                </c:pt>
                <c:pt idx="15">
                  <c:v>-6.0019361084220804E-2</c:v>
                </c:pt>
                <c:pt idx="16">
                  <c:v>-1.2310606060606077E-2</c:v>
                </c:pt>
                <c:pt idx="17">
                  <c:v>-3.3453887884267543E-2</c:v>
                </c:pt>
                <c:pt idx="18">
                  <c:v>1.6728624535316001E-2</c:v>
                </c:pt>
                <c:pt idx="19">
                  <c:v>3.4648700673724643E-2</c:v>
                </c:pt>
                <c:pt idx="20">
                  <c:v>5.0052137643378507E-2</c:v>
                </c:pt>
                <c:pt idx="21">
                  <c:v>3.4999999999999934E-2</c:v>
                </c:pt>
                <c:pt idx="22">
                  <c:v>9.0710382513661342E-2</c:v>
                </c:pt>
                <c:pt idx="23">
                  <c:v>8.3022388059701524E-2</c:v>
                </c:pt>
                <c:pt idx="24">
                  <c:v>-1.6891891891891889E-2</c:v>
                </c:pt>
                <c:pt idx="25">
                  <c:v>2.1556886227544807E-2</c:v>
                </c:pt>
                <c:pt idx="26" formatCode="General">
                  <c:v>4.4350580781415093E-2</c:v>
                </c:pt>
                <c:pt idx="27" formatCode="General">
                  <c:v>3.1925849639546935E-2</c:v>
                </c:pt>
                <c:pt idx="28" formatCode="General">
                  <c:v>3.2598274209012512E-2</c:v>
                </c:pt>
                <c:pt idx="29" formatCode="General">
                  <c:v>4.7708138447146796E-2</c:v>
                </c:pt>
                <c:pt idx="30" formatCode="General">
                  <c:v>4.7531992687385623E-2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Sheet1!$B$1:$AS$2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Sheet1!$B$5:$AS$5</c:f>
              <c:numCache>
                <c:formatCode>0.000</c:formatCode>
                <c:ptCount val="32"/>
                <c:pt idx="0">
                  <c:v>-0.19305337843412251</c:v>
                </c:pt>
                <c:pt idx="1">
                  <c:v>-0.26451720403232526</c:v>
                </c:pt>
                <c:pt idx="2">
                  <c:v>-0.26343485887418283</c:v>
                </c:pt>
                <c:pt idx="3">
                  <c:v>-0.28359900279519529</c:v>
                </c:pt>
                <c:pt idx="4">
                  <c:v>-0.2650693188667872</c:v>
                </c:pt>
                <c:pt idx="5">
                  <c:v>-0.2690227740117298</c:v>
                </c:pt>
                <c:pt idx="6">
                  <c:v>-0.27606504304319029</c:v>
                </c:pt>
                <c:pt idx="7">
                  <c:v>-0.2864962135412763</c:v>
                </c:pt>
                <c:pt idx="8">
                  <c:v>-0.2983598838578051</c:v>
                </c:pt>
                <c:pt idx="9">
                  <c:v>-0.28085310328301011</c:v>
                </c:pt>
                <c:pt idx="10">
                  <c:v>-0.28963204951856925</c:v>
                </c:pt>
                <c:pt idx="11">
                  <c:v>-0.29257077166259576</c:v>
                </c:pt>
                <c:pt idx="12">
                  <c:v>-0.18208772109191296</c:v>
                </c:pt>
                <c:pt idx="13">
                  <c:v>-0.13615768010874485</c:v>
                </c:pt>
                <c:pt idx="14">
                  <c:v>-6.4083134877679193E-2</c:v>
                </c:pt>
                <c:pt idx="15">
                  <c:v>-6.4958346514815912E-2</c:v>
                </c:pt>
                <c:pt idx="16">
                  <c:v>-5.1568587246257902E-2</c:v>
                </c:pt>
                <c:pt idx="17">
                  <c:v>-2.6258205689277878E-2</c:v>
                </c:pt>
                <c:pt idx="18">
                  <c:v>-2.6018904360199272E-2</c:v>
                </c:pt>
                <c:pt idx="19">
                  <c:v>3.457335014712061E-2</c:v>
                </c:pt>
                <c:pt idx="20">
                  <c:v>6.2856503746784531E-2</c:v>
                </c:pt>
                <c:pt idx="21">
                  <c:v>4.965011662779073E-2</c:v>
                </c:pt>
                <c:pt idx="22">
                  <c:v>8.6288273024325415E-2</c:v>
                </c:pt>
                <c:pt idx="23">
                  <c:v>8.7548242941296012E-2</c:v>
                </c:pt>
                <c:pt idx="24">
                  <c:v>9.374999999999932E-3</c:v>
                </c:pt>
                <c:pt idx="25">
                  <c:v>3.6191974822974017E-2</c:v>
                </c:pt>
                <c:pt idx="26" formatCode="General">
                  <c:v>1.1450381679389401E-2</c:v>
                </c:pt>
                <c:pt idx="27" formatCode="General">
                  <c:v>-1.5563324687041805E-2</c:v>
                </c:pt>
                <c:pt idx="28" formatCode="General">
                  <c:v>1.9457355961517674E-2</c:v>
                </c:pt>
                <c:pt idx="29" formatCode="General">
                  <c:v>3.916532905296944E-2</c:v>
                </c:pt>
                <c:pt idx="30" formatCode="General">
                  <c:v>5.603673171240757E-2</c:v>
                </c:pt>
                <c:pt idx="31" formatCode="General">
                  <c:v>8.2000000000000003E-2</c:v>
                </c:pt>
              </c:numCache>
            </c:numRef>
          </c:val>
        </c:ser>
        <c:ser>
          <c:idx val="3"/>
          <c:order val="3"/>
          <c:tx>
            <c:strRef>
              <c:f>Sheet1!$A$6</c:f>
              <c:strCache>
                <c:ptCount val="1"/>
                <c:pt idx="0">
                  <c:v>LT</c:v>
                </c:pt>
              </c:strCache>
            </c:strRef>
          </c:tx>
          <c:spPr>
            <a:solidFill>
              <a:sysClr val="window" lastClr="FFFFFF">
                <a:lumMod val="65000"/>
              </a:sysClr>
            </a:solidFill>
            <a:ln w="3175">
              <a:solidFill>
                <a:sysClr val="windowText" lastClr="000000"/>
              </a:solidFill>
              <a:prstDash val="solid"/>
            </a:ln>
          </c:spPr>
          <c:cat>
            <c:multiLvlStrRef>
              <c:f>Sheet1!$B$1:$AS$2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Sheet1!$B$6:$AS$6</c:f>
              <c:numCache>
                <c:formatCode>0.000</c:formatCode>
                <c:ptCount val="32"/>
                <c:pt idx="0">
                  <c:v>-0.16174593720752167</c:v>
                </c:pt>
                <c:pt idx="1">
                  <c:v>-0.20233160621761637</c:v>
                </c:pt>
                <c:pt idx="2">
                  <c:v>-0.21151347840207879</c:v>
                </c:pt>
                <c:pt idx="3">
                  <c:v>-0.18442818514394796</c:v>
                </c:pt>
                <c:pt idx="4">
                  <c:v>-0.19756554307116117</c:v>
                </c:pt>
                <c:pt idx="5">
                  <c:v>-0.19222204549069521</c:v>
                </c:pt>
                <c:pt idx="6">
                  <c:v>-0.1963384314020947</c:v>
                </c:pt>
                <c:pt idx="7">
                  <c:v>-0.19244454538572203</c:v>
                </c:pt>
                <c:pt idx="8">
                  <c:v>-0.25639810426540288</c:v>
                </c:pt>
                <c:pt idx="9">
                  <c:v>-0.25094645754461881</c:v>
                </c:pt>
                <c:pt idx="10">
                  <c:v>-0.27119633180491881</c:v>
                </c:pt>
                <c:pt idx="11">
                  <c:v>-0.26300498063088013</c:v>
                </c:pt>
                <c:pt idx="12">
                  <c:v>-0.17062525375558268</c:v>
                </c:pt>
                <c:pt idx="13">
                  <c:v>-0.16455559164230821</c:v>
                </c:pt>
                <c:pt idx="14">
                  <c:v>-8.9795077746885152E-2</c:v>
                </c:pt>
                <c:pt idx="15">
                  <c:v>-0.13437347635299859</c:v>
                </c:pt>
                <c:pt idx="16">
                  <c:v>-9.7043951769739456E-2</c:v>
                </c:pt>
                <c:pt idx="17">
                  <c:v>-8.1224771093827045E-2</c:v>
                </c:pt>
                <c:pt idx="18">
                  <c:v>-9.2903346770413439E-2</c:v>
                </c:pt>
                <c:pt idx="19">
                  <c:v>-6.1779319396268885E-2</c:v>
                </c:pt>
                <c:pt idx="20">
                  <c:v>-2.3369449755682426E-3</c:v>
                </c:pt>
                <c:pt idx="21">
                  <c:v>-6.7044868488912446E-3</c:v>
                </c:pt>
                <c:pt idx="22">
                  <c:v>4.0722946694120382E-2</c:v>
                </c:pt>
                <c:pt idx="23">
                  <c:v>2.3183780739628228E-2</c:v>
                </c:pt>
                <c:pt idx="24">
                  <c:v>3.9652429323216332E-2</c:v>
                </c:pt>
                <c:pt idx="25">
                  <c:v>6.7254114293119116E-2</c:v>
                </c:pt>
                <c:pt idx="26" formatCode="General">
                  <c:v>4.7516687408077976E-2</c:v>
                </c:pt>
                <c:pt idx="27" formatCode="General">
                  <c:v>8.3023543990087031E-2</c:v>
                </c:pt>
                <c:pt idx="28" formatCode="General">
                  <c:v>6.7197932371311733E-2</c:v>
                </c:pt>
                <c:pt idx="29" formatCode="General">
                  <c:v>7.0617231033004768E-2</c:v>
                </c:pt>
                <c:pt idx="30" formatCode="General">
                  <c:v>7.2447292269532754E-2</c:v>
                </c:pt>
              </c:numCache>
            </c:numRef>
          </c:val>
        </c:ser>
        <c:axId val="147405440"/>
        <c:axId val="148062976"/>
      </c:barChart>
      <c:lineChart>
        <c:grouping val="standard"/>
        <c:ser>
          <c:idx val="1"/>
          <c:order val="0"/>
          <c:tx>
            <c:strRef>
              <c:f>Sheet1!$A$3</c:f>
              <c:strCache>
                <c:ptCount val="1"/>
                <c:pt idx="0">
                  <c:v>EU27</c:v>
                </c:pt>
              </c:strCache>
            </c:strRef>
          </c:tx>
          <c:spPr>
            <a:ln w="34925">
              <a:solidFill>
                <a:srgbClr val="000000"/>
              </a:solidFill>
              <a:prstDash val="solid"/>
            </a:ln>
          </c:spPr>
          <c:marker>
            <c:symbol val="diamond"/>
            <c:size val="7"/>
            <c:spPr>
              <a:solidFill>
                <a:sysClr val="window" lastClr="FFFFFF">
                  <a:lumMod val="95000"/>
                </a:sysClr>
              </a:solidFill>
              <a:ln>
                <a:solidFill>
                  <a:sysClr val="windowText" lastClr="000000"/>
                </a:solidFill>
              </a:ln>
            </c:spPr>
          </c:marker>
          <c:cat>
            <c:multiLvlStrRef>
              <c:f>Sheet1!$B$1:$AS$2</c:f>
              <c:multiLvlStrCache>
                <c:ptCount val="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lvl>
                <c:lvl>
                  <c:pt idx="0">
                    <c:v>2009</c:v>
                  </c:pt>
                  <c:pt idx="12">
                    <c:v>2010</c:v>
                  </c:pt>
                  <c:pt idx="24">
                    <c:v>2011</c:v>
                  </c:pt>
                </c:lvl>
              </c:multiLvlStrCache>
            </c:multiLvlStrRef>
          </c:cat>
          <c:val>
            <c:numRef>
              <c:f>Sheet1!$B$3:$AS$3</c:f>
              <c:numCache>
                <c:formatCode>0.000</c:formatCode>
                <c:ptCount val="32"/>
                <c:pt idx="0">
                  <c:v>-1.387066541705719E-2</c:v>
                </c:pt>
                <c:pt idx="1">
                  <c:v>-3.6838703720801481E-2</c:v>
                </c:pt>
                <c:pt idx="2">
                  <c:v>-2.1396927137336309E-2</c:v>
                </c:pt>
                <c:pt idx="3">
                  <c:v>-1.5154367469879526E-2</c:v>
                </c:pt>
                <c:pt idx="4">
                  <c:v>-3.031150904681968E-2</c:v>
                </c:pt>
                <c:pt idx="5">
                  <c:v>-1.701162461015028E-2</c:v>
                </c:pt>
                <c:pt idx="6">
                  <c:v>-1.4288417865253589E-2</c:v>
                </c:pt>
                <c:pt idx="7">
                  <c:v>-1.7022886324947979E-2</c:v>
                </c:pt>
                <c:pt idx="8">
                  <c:v>-2.2521673577082593E-2</c:v>
                </c:pt>
                <c:pt idx="9">
                  <c:v>-8.6551264980026122E-3</c:v>
                </c:pt>
                <c:pt idx="10">
                  <c:v>-1.3573801613668644E-2</c:v>
                </c:pt>
                <c:pt idx="11">
                  <c:v>-1.5274463007159955E-3</c:v>
                </c:pt>
                <c:pt idx="12">
                  <c:v>-1.2640182474814687E-2</c:v>
                </c:pt>
                <c:pt idx="13">
                  <c:v>6.7101226993870943E-4</c:v>
                </c:pt>
                <c:pt idx="14">
                  <c:v>1.6085532652668121E-2</c:v>
                </c:pt>
                <c:pt idx="15">
                  <c:v>-7.4548408678200007E-3</c:v>
                </c:pt>
                <c:pt idx="16">
                  <c:v>1.2792151582187173E-2</c:v>
                </c:pt>
                <c:pt idx="17">
                  <c:v>1.240265359100068E-2</c:v>
                </c:pt>
                <c:pt idx="18">
                  <c:v>1.1039646731304517E-2</c:v>
                </c:pt>
                <c:pt idx="19">
                  <c:v>1.3661727919953808E-2</c:v>
                </c:pt>
                <c:pt idx="20">
                  <c:v>1.455702304058604E-2</c:v>
                </c:pt>
                <c:pt idx="21">
                  <c:v>9.9779334164826865E-3</c:v>
                </c:pt>
                <c:pt idx="22">
                  <c:v>1.27983063895305E-2</c:v>
                </c:pt>
                <c:pt idx="23">
                  <c:v>3.824457405105619E-3</c:v>
                </c:pt>
                <c:pt idx="24">
                  <c:v>1.3379536047742901E-2</c:v>
                </c:pt>
                <c:pt idx="25">
                  <c:v>8.8131047035156038E-3</c:v>
                </c:pt>
                <c:pt idx="26" formatCode="General">
                  <c:v>-9.2899800928997224E-3</c:v>
                </c:pt>
                <c:pt idx="27" formatCode="General">
                  <c:v>1.5984593163216338E-2</c:v>
                </c:pt>
                <c:pt idx="28" formatCode="General">
                  <c:v>-1.0066476733143427E-2</c:v>
                </c:pt>
                <c:pt idx="29" formatCode="General">
                  <c:v>-4.7483380816714165E-3</c:v>
                </c:pt>
                <c:pt idx="30" formatCode="General">
                  <c:v>-2.9434105582983915E-3</c:v>
                </c:pt>
              </c:numCache>
            </c:numRef>
          </c:val>
        </c:ser>
        <c:marker val="1"/>
        <c:axId val="147405440"/>
        <c:axId val="148062976"/>
      </c:lineChart>
      <c:catAx>
        <c:axId val="147405440"/>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48062976"/>
        <c:crosses val="autoZero"/>
        <c:auto val="1"/>
        <c:lblAlgn val="ctr"/>
        <c:lblOffset val="0"/>
        <c:tickLblSkip val="1"/>
        <c:tickMarkSkip val="1"/>
        <c:noMultiLvlLbl val="1"/>
      </c:catAx>
      <c:valAx>
        <c:axId val="148062976"/>
        <c:scaling>
          <c:orientation val="minMax"/>
          <c:max val="0.18000000000000024"/>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47405440"/>
        <c:crosses val="autoZero"/>
        <c:crossBetween val="between"/>
        <c:majorUnit val="6.0000000000000032E-2"/>
      </c:valAx>
      <c:spPr>
        <a:solidFill>
          <a:sysClr val="window" lastClr="FFFFFF"/>
        </a:solidFill>
        <a:ln w="6350">
          <a:solidFill>
            <a:sysClr val="window" lastClr="FFFFFF">
              <a:lumMod val="75000"/>
            </a:sysClr>
          </a:solidFill>
        </a:ln>
      </c:spPr>
    </c:plotArea>
    <c:legend>
      <c:legendPos val="b"/>
      <c:layout>
        <c:manualLayout>
          <c:xMode val="edge"/>
          <c:yMode val="edge"/>
          <c:x val="9.7738929146537867E-2"/>
          <c:y val="6.2377929631042918E-2"/>
          <c:w val="0.29449275362318839"/>
          <c:h val="0.14605200781620739"/>
        </c:manualLayout>
      </c:layout>
      <c:spPr>
        <a:solidFill>
          <a:sysClr val="window" lastClr="FFFFFF"/>
        </a:solidFill>
      </c:spPr>
      <c:txPr>
        <a:bodyPr/>
        <a:lstStyle/>
        <a:p>
          <a:pPr>
            <a:defRPr lang="lv-LV" sz="9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655"/>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23.79111653080848</c:v>
                </c:pt>
                <c:pt idx="1">
                  <c:v>16.303319252736486</c:v>
                </c:pt>
                <c:pt idx="2">
                  <c:v>-10.030406266700332</c:v>
                </c:pt>
                <c:pt idx="3">
                  <c:v>23.442731882939682</c:v>
                </c:pt>
                <c:pt idx="4">
                  <c:v>-7.7607645725928895</c:v>
                </c:pt>
                <c:pt idx="5">
                  <c:v>-6.9088604826333473</c:v>
                </c:pt>
                <c:pt idx="6">
                  <c:v>12.370963601573749</c:v>
                </c:pt>
                <c:pt idx="7">
                  <c:v>-12.313483863270196</c:v>
                </c:pt>
                <c:pt idx="8">
                  <c:v>-1.9833940229647311</c:v>
                </c:pt>
                <c:pt idx="9">
                  <c:v>-5.9864011530783534</c:v>
                </c:pt>
                <c:pt idx="10">
                  <c:v>-14.202491189108457</c:v>
                </c:pt>
                <c:pt idx="11">
                  <c:v>-3.1584074835181744</c:v>
                </c:pt>
                <c:pt idx="12">
                  <c:v>-33.394523660128016</c:v>
                </c:pt>
                <c:pt idx="13">
                  <c:v>-24.029691721594901</c:v>
                </c:pt>
                <c:pt idx="14">
                  <c:v>-18.176028334403796</c:v>
                </c:pt>
                <c:pt idx="15">
                  <c:v>-27.945614994223064</c:v>
                </c:pt>
                <c:pt idx="16">
                  <c:v>-21.391635432792171</c:v>
                </c:pt>
                <c:pt idx="17">
                  <c:v>-16.346865327123517</c:v>
                </c:pt>
                <c:pt idx="18">
                  <c:v>-10.825335469544555</c:v>
                </c:pt>
                <c:pt idx="19">
                  <c:v>-8.1960468240150508</c:v>
                </c:pt>
                <c:pt idx="20">
                  <c:v>-6.3031473533845599</c:v>
                </c:pt>
                <c:pt idx="21">
                  <c:v>-14.308011568483735</c:v>
                </c:pt>
                <c:pt idx="22">
                  <c:v>0.60583753019338671</c:v>
                </c:pt>
                <c:pt idx="23">
                  <c:v>1.9165677565974022</c:v>
                </c:pt>
                <c:pt idx="24">
                  <c:v>13.692854422599737</c:v>
                </c:pt>
                <c:pt idx="25">
                  <c:v>19.101600848122089</c:v>
                </c:pt>
                <c:pt idx="26">
                  <c:v>39.151171274092746</c:v>
                </c:pt>
                <c:pt idx="27">
                  <c:v>24.239539795263799</c:v>
                </c:pt>
                <c:pt idx="28">
                  <c:v>24.411712460886534</c:v>
                </c:pt>
                <c:pt idx="29">
                  <c:v>21.704120568177789</c:v>
                </c:pt>
                <c:pt idx="30">
                  <c:v>9.4647702983838826</c:v>
                </c:pt>
                <c:pt idx="31">
                  <c:v>21.045899081122318</c:v>
                </c:pt>
                <c:pt idx="32">
                  <c:v>21.964838946813828</c:v>
                </c:pt>
                <c:pt idx="33">
                  <c:v>18.730710358915886</c:v>
                </c:pt>
                <c:pt idx="34">
                  <c:v>20.749385019170987</c:v>
                </c:pt>
                <c:pt idx="35">
                  <c:v>19.843329868805299</c:v>
                </c:pt>
                <c:pt idx="36">
                  <c:v>18.478818714876695</c:v>
                </c:pt>
                <c:pt idx="37">
                  <c:v>6.6414168459778917</c:v>
                </c:pt>
                <c:pt idx="38" formatCode="General">
                  <c:v>0.24456793414606323</c:v>
                </c:pt>
                <c:pt idx="39" formatCode="General">
                  <c:v>2.1875279160270944</c:v>
                </c:pt>
                <c:pt idx="40" formatCode="General">
                  <c:v>5.9874214944813602</c:v>
                </c:pt>
                <c:pt idx="41" formatCode="General">
                  <c:v>-3.6434662676487481</c:v>
                </c:pt>
                <c:pt idx="42" formatCode="General">
                  <c:v>-3.9531925212185972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0.72941457319940661</c:v>
                </c:pt>
                <c:pt idx="1">
                  <c:v>11.501446210841209</c:v>
                </c:pt>
                <c:pt idx="2">
                  <c:v>7.2242593021789885</c:v>
                </c:pt>
                <c:pt idx="3">
                  <c:v>5.9518270417999872</c:v>
                </c:pt>
                <c:pt idx="4">
                  <c:v>7.6631635509747298</c:v>
                </c:pt>
                <c:pt idx="5">
                  <c:v>4.1667494924265513</c:v>
                </c:pt>
                <c:pt idx="6">
                  <c:v>-2.9059873423344675</c:v>
                </c:pt>
                <c:pt idx="7">
                  <c:v>0.6602079583584165</c:v>
                </c:pt>
                <c:pt idx="8">
                  <c:v>2.6552159901434202</c:v>
                </c:pt>
                <c:pt idx="9">
                  <c:v>4.7668507496946324</c:v>
                </c:pt>
                <c:pt idx="10">
                  <c:v>2.1503115905022612</c:v>
                </c:pt>
                <c:pt idx="11">
                  <c:v>1.5450564049187883</c:v>
                </c:pt>
                <c:pt idx="12">
                  <c:v>0.20352795493968737</c:v>
                </c:pt>
                <c:pt idx="13">
                  <c:v>-5.3949215197820255</c:v>
                </c:pt>
                <c:pt idx="14">
                  <c:v>-1.011214926330922</c:v>
                </c:pt>
                <c:pt idx="15">
                  <c:v>-4.0973738909285684</c:v>
                </c:pt>
                <c:pt idx="16">
                  <c:v>-3.0041535795613896</c:v>
                </c:pt>
                <c:pt idx="17">
                  <c:v>-3.4688701258034977</c:v>
                </c:pt>
                <c:pt idx="18">
                  <c:v>-8.5668640063661208</c:v>
                </c:pt>
                <c:pt idx="19">
                  <c:v>-6.9397572655772137</c:v>
                </c:pt>
                <c:pt idx="20">
                  <c:v>-9.9545426817202767</c:v>
                </c:pt>
                <c:pt idx="21">
                  <c:v>-7.9077790320094721</c:v>
                </c:pt>
                <c:pt idx="22">
                  <c:v>-10.534394711647252</c:v>
                </c:pt>
                <c:pt idx="23">
                  <c:v>-4.9733235664771414</c:v>
                </c:pt>
                <c:pt idx="24">
                  <c:v>-11.022936564445354</c:v>
                </c:pt>
                <c:pt idx="25">
                  <c:v>-3.8049029073399225</c:v>
                </c:pt>
                <c:pt idx="26">
                  <c:v>-10.309616299397311</c:v>
                </c:pt>
                <c:pt idx="27">
                  <c:v>-2.5236295271961002</c:v>
                </c:pt>
                <c:pt idx="28">
                  <c:v>0.40834454119067443</c:v>
                </c:pt>
                <c:pt idx="29">
                  <c:v>-1.9598868356647201</c:v>
                </c:pt>
                <c:pt idx="30">
                  <c:v>4.9022551093604818</c:v>
                </c:pt>
                <c:pt idx="31">
                  <c:v>8.2624076457907467</c:v>
                </c:pt>
                <c:pt idx="32">
                  <c:v>8.0525931406786508</c:v>
                </c:pt>
                <c:pt idx="33">
                  <c:v>8.4630590098657716</c:v>
                </c:pt>
                <c:pt idx="34">
                  <c:v>11.625019844589374</c:v>
                </c:pt>
                <c:pt idx="35">
                  <c:v>5.6929849432208783</c:v>
                </c:pt>
                <c:pt idx="36">
                  <c:v>19.391372843136509</c:v>
                </c:pt>
                <c:pt idx="37">
                  <c:v>13.784690695449276</c:v>
                </c:pt>
                <c:pt idx="38" formatCode="General">
                  <c:v>12.728195047681503</c:v>
                </c:pt>
                <c:pt idx="39" formatCode="General">
                  <c:v>10.922885519688107</c:v>
                </c:pt>
                <c:pt idx="40" formatCode="General">
                  <c:v>13.142575796435468</c:v>
                </c:pt>
                <c:pt idx="41" formatCode="General">
                  <c:v>15.647478750930002</c:v>
                </c:pt>
                <c:pt idx="42" formatCode="General">
                  <c:v>14.103659638672241</c:v>
                </c:pt>
              </c:numCache>
            </c:numRef>
          </c:val>
        </c:ser>
        <c:gapWidth val="48"/>
        <c:overlap val="100"/>
        <c:axId val="150694144"/>
        <c:axId val="150721280"/>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24.520531104007887</c:v>
                </c:pt>
                <c:pt idx="1">
                  <c:v>27.804765463577638</c:v>
                </c:pt>
                <c:pt idx="2">
                  <c:v>-2.8061469645212771</c:v>
                </c:pt>
                <c:pt idx="3">
                  <c:v>29.394558924739897</c:v>
                </c:pt>
                <c:pt idx="4">
                  <c:v>-9.7601021618160644E-2</c:v>
                </c:pt>
                <c:pt idx="5">
                  <c:v>-2.7421109902067542</c:v>
                </c:pt>
                <c:pt idx="6">
                  <c:v>9.4649762592393412</c:v>
                </c:pt>
                <c:pt idx="7">
                  <c:v>-11.653275904911768</c:v>
                </c:pt>
                <c:pt idx="8">
                  <c:v>0.67182196717870657</c:v>
                </c:pt>
                <c:pt idx="9">
                  <c:v>-1.2195504033837221</c:v>
                </c:pt>
                <c:pt idx="10">
                  <c:v>-12.052179598606282</c:v>
                </c:pt>
                <c:pt idx="11">
                  <c:v>-1.6133510785994076</c:v>
                </c:pt>
                <c:pt idx="12">
                  <c:v>-33.190995705188413</c:v>
                </c:pt>
                <c:pt idx="13">
                  <c:v>-29.424613241376782</c:v>
                </c:pt>
                <c:pt idx="14">
                  <c:v>-19.187243260734689</c:v>
                </c:pt>
                <c:pt idx="15">
                  <c:v>-32.042988885151942</c:v>
                </c:pt>
                <c:pt idx="16">
                  <c:v>-24.395789012353529</c:v>
                </c:pt>
                <c:pt idx="17">
                  <c:v>-19.815735452926926</c:v>
                </c:pt>
                <c:pt idx="18">
                  <c:v>-19.392199475910672</c:v>
                </c:pt>
                <c:pt idx="19">
                  <c:v>-15.135804089592256</c:v>
                </c:pt>
                <c:pt idx="20">
                  <c:v>-16.257690035104787</c:v>
                </c:pt>
                <c:pt idx="21">
                  <c:v>-22.215790600493186</c:v>
                </c:pt>
                <c:pt idx="22">
                  <c:v>-9.9285571814538489</c:v>
                </c:pt>
                <c:pt idx="23">
                  <c:v>-3.0567558098797165</c:v>
                </c:pt>
                <c:pt idx="24">
                  <c:v>2.6699178581544678</c:v>
                </c:pt>
                <c:pt idx="25">
                  <c:v>15.29669794078225</c:v>
                </c:pt>
                <c:pt idx="26">
                  <c:v>28.84155497469553</c:v>
                </c:pt>
                <c:pt idx="27">
                  <c:v>21.715910268067802</c:v>
                </c:pt>
                <c:pt idx="28">
                  <c:v>24.820057002077206</c:v>
                </c:pt>
                <c:pt idx="29">
                  <c:v>19.744233732513059</c:v>
                </c:pt>
                <c:pt idx="30">
                  <c:v>14.367025407744364</c:v>
                </c:pt>
                <c:pt idx="31">
                  <c:v>29.308306726913173</c:v>
                </c:pt>
                <c:pt idx="32">
                  <c:v>30.017432087492491</c:v>
                </c:pt>
                <c:pt idx="33">
                  <c:v>27.193769368781602</c:v>
                </c:pt>
                <c:pt idx="34">
                  <c:v>32.374404863759978</c:v>
                </c:pt>
                <c:pt idx="35">
                  <c:v>25.536314812026319</c:v>
                </c:pt>
                <c:pt idx="36">
                  <c:v>37.870191558012969</c:v>
                </c:pt>
                <c:pt idx="37">
                  <c:v>20.426107541427026</c:v>
                </c:pt>
                <c:pt idx="38" formatCode="General">
                  <c:v>12.972762981827659</c:v>
                </c:pt>
                <c:pt idx="39" formatCode="General">
                  <c:v>13.110413435715103</c:v>
                </c:pt>
                <c:pt idx="40" formatCode="General">
                  <c:v>19.129997290916805</c:v>
                </c:pt>
                <c:pt idx="41" formatCode="General">
                  <c:v>12.004012483281315</c:v>
                </c:pt>
                <c:pt idx="42" formatCode="General">
                  <c:v>10.150467117453626</c:v>
                </c:pt>
              </c:numCache>
            </c:numRef>
          </c:val>
        </c:ser>
        <c:marker val="1"/>
        <c:axId val="150694144"/>
        <c:axId val="150721280"/>
      </c:lineChart>
      <c:catAx>
        <c:axId val="1506941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721280"/>
        <c:crosses val="autoZero"/>
        <c:auto val="1"/>
        <c:lblAlgn val="ctr"/>
        <c:lblOffset val="0"/>
        <c:tickLblSkip val="2"/>
        <c:tickMarkSkip val="1"/>
        <c:noMultiLvlLbl val="1"/>
      </c:catAx>
      <c:valAx>
        <c:axId val="150721280"/>
        <c:scaling>
          <c:orientation val="minMax"/>
          <c:max val="5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694144"/>
        <c:crosses val="autoZero"/>
        <c:crossBetween val="between"/>
        <c:majorUnit val="10"/>
      </c:valAx>
      <c:spPr>
        <a:noFill/>
        <a:ln w="6350">
          <a:solidFill>
            <a:sysClr val="window" lastClr="FFFFFF">
              <a:lumMod val="85000"/>
            </a:sysClr>
          </a:solidFill>
        </a:ln>
      </c:spPr>
    </c:plotArea>
    <c:legend>
      <c:legendPos val="b"/>
      <c:layout>
        <c:manualLayout>
          <c:xMode val="edge"/>
          <c:yMode val="edge"/>
          <c:x val="0.12667802916202719"/>
          <c:y val="5.2577546296296303E-2"/>
          <c:w val="0.48539637048150741"/>
          <c:h val="0.1650862268518518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84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101.47579693034238</c:v>
                </c:pt>
                <c:pt idx="1">
                  <c:v>104.30932703659914</c:v>
                </c:pt>
                <c:pt idx="2">
                  <c:v>102.96002698600122</c:v>
                </c:pt>
                <c:pt idx="3">
                  <c:v>102.64800134930006</c:v>
                </c:pt>
                <c:pt idx="4">
                  <c:v>100.98667566200039</c:v>
                </c:pt>
                <c:pt idx="5">
                  <c:v>100.49755439365832</c:v>
                </c:pt>
                <c:pt idx="6">
                  <c:v>101.15533816832445</c:v>
                </c:pt>
                <c:pt idx="7">
                  <c:v>101.65289256198299</c:v>
                </c:pt>
                <c:pt idx="8">
                  <c:v>102.42030696576154</c:v>
                </c:pt>
                <c:pt idx="9">
                  <c:v>101.66132568729979</c:v>
                </c:pt>
                <c:pt idx="10">
                  <c:v>102.85039635688912</c:v>
                </c:pt>
                <c:pt idx="11">
                  <c:v>102.06611570247935</c:v>
                </c:pt>
                <c:pt idx="12">
                  <c:v>102.15044695564146</c:v>
                </c:pt>
                <c:pt idx="13">
                  <c:v>97.343565525383724</c:v>
                </c:pt>
                <c:pt idx="14">
                  <c:v>102.40344071512905</c:v>
                </c:pt>
                <c:pt idx="15">
                  <c:v>97.023106763366513</c:v>
                </c:pt>
                <c:pt idx="16">
                  <c:v>96.744813627931066</c:v>
                </c:pt>
                <c:pt idx="17">
                  <c:v>95.319615449485596</c:v>
                </c:pt>
                <c:pt idx="18">
                  <c:v>92.190925957159678</c:v>
                </c:pt>
                <c:pt idx="19">
                  <c:v>93.928149772305602</c:v>
                </c:pt>
                <c:pt idx="20">
                  <c:v>92.072862202731756</c:v>
                </c:pt>
                <c:pt idx="21">
                  <c:v>92.747512228031695</c:v>
                </c:pt>
                <c:pt idx="22">
                  <c:v>93.059537864732619</c:v>
                </c:pt>
                <c:pt idx="23">
                  <c:v>96.930342384887808</c:v>
                </c:pt>
                <c:pt idx="24">
                  <c:v>93.919716646989372</c:v>
                </c:pt>
                <c:pt idx="25">
                  <c:v>95.24371732163938</c:v>
                </c:pt>
                <c:pt idx="26">
                  <c:v>95.522010457075382</c:v>
                </c:pt>
                <c:pt idx="27">
                  <c:v>95.977399224152464</c:v>
                </c:pt>
                <c:pt idx="28">
                  <c:v>97.731489289931247</c:v>
                </c:pt>
                <c:pt idx="29">
                  <c:v>95.943666722887627</c:v>
                </c:pt>
                <c:pt idx="30">
                  <c:v>97.292966773485958</c:v>
                </c:pt>
                <c:pt idx="31">
                  <c:v>100.08433125316245</c:v>
                </c:pt>
                <c:pt idx="32">
                  <c:v>98.743464327879934</c:v>
                </c:pt>
                <c:pt idx="33">
                  <c:v>99.763872491145236</c:v>
                </c:pt>
                <c:pt idx="34">
                  <c:v>100.69994940124853</c:v>
                </c:pt>
                <c:pt idx="35">
                  <c:v>100.89391128352165</c:v>
                </c:pt>
                <c:pt idx="36">
                  <c:v>107.88497217068586</c:v>
                </c:pt>
                <c:pt idx="37" formatCode="General">
                  <c:v>105.56586270871988</c:v>
                </c:pt>
                <c:pt idx="38" formatCode="General">
                  <c:v>106.43447461629283</c:v>
                </c:pt>
                <c:pt idx="39" formatCode="General">
                  <c:v>106.46820711755748</c:v>
                </c:pt>
                <c:pt idx="40" formatCode="General">
                  <c:v>109.64749536178113</c:v>
                </c:pt>
                <c:pt idx="41" formatCode="General">
                  <c:v>109.52099848203748</c:v>
                </c:pt>
                <c:pt idx="42" formatCode="General">
                  <c:v>111.28352167313241</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102.08794125453387</c:v>
                </c:pt>
                <c:pt idx="1">
                  <c:v>104.5651596921176</c:v>
                </c:pt>
                <c:pt idx="2">
                  <c:v>103.28231442979742</c:v>
                </c:pt>
                <c:pt idx="3">
                  <c:v>103.74236928249137</c:v>
                </c:pt>
                <c:pt idx="4">
                  <c:v>102.12333008935649</c:v>
                </c:pt>
                <c:pt idx="5">
                  <c:v>103.24692559497514</c:v>
                </c:pt>
                <c:pt idx="6">
                  <c:v>101.08820667079534</c:v>
                </c:pt>
                <c:pt idx="7">
                  <c:v>104.34397947447579</c:v>
                </c:pt>
                <c:pt idx="8">
                  <c:v>103.86623020437052</c:v>
                </c:pt>
                <c:pt idx="9">
                  <c:v>102.74263469875252</c:v>
                </c:pt>
                <c:pt idx="10">
                  <c:v>104.81288153587541</c:v>
                </c:pt>
                <c:pt idx="11">
                  <c:v>104.06971600460051</c:v>
                </c:pt>
                <c:pt idx="12">
                  <c:v>102.22064938511932</c:v>
                </c:pt>
                <c:pt idx="13">
                  <c:v>102.66300982040133</c:v>
                </c:pt>
                <c:pt idx="14">
                  <c:v>109.14801380164556</c:v>
                </c:pt>
                <c:pt idx="15">
                  <c:v>99.336459347075973</c:v>
                </c:pt>
                <c:pt idx="16">
                  <c:v>99.239140051313797</c:v>
                </c:pt>
                <c:pt idx="17">
                  <c:v>96.487658143855583</c:v>
                </c:pt>
                <c:pt idx="18">
                  <c:v>96.372644430682058</c:v>
                </c:pt>
                <c:pt idx="19">
                  <c:v>98.628682650623148</c:v>
                </c:pt>
                <c:pt idx="20">
                  <c:v>96.646907900557338</c:v>
                </c:pt>
                <c:pt idx="21">
                  <c:v>95.912589577988101</c:v>
                </c:pt>
                <c:pt idx="22">
                  <c:v>99.416084225426843</c:v>
                </c:pt>
                <c:pt idx="23">
                  <c:v>103.58311952578957</c:v>
                </c:pt>
                <c:pt idx="24">
                  <c:v>101.58365035831191</c:v>
                </c:pt>
                <c:pt idx="25">
                  <c:v>102.31796868088119</c:v>
                </c:pt>
                <c:pt idx="26">
                  <c:v>102.32681588958648</c:v>
                </c:pt>
                <c:pt idx="27">
                  <c:v>101.84906661948148</c:v>
                </c:pt>
                <c:pt idx="28">
                  <c:v>103.2469255949751</c:v>
                </c:pt>
                <c:pt idx="29">
                  <c:v>104.37936830929806</c:v>
                </c:pt>
                <c:pt idx="30">
                  <c:v>103.68043882155102</c:v>
                </c:pt>
                <c:pt idx="31">
                  <c:v>104.37936830929806</c:v>
                </c:pt>
                <c:pt idx="32">
                  <c:v>104.89250641422625</c:v>
                </c:pt>
                <c:pt idx="33">
                  <c:v>104.42360435282635</c:v>
                </c:pt>
                <c:pt idx="34">
                  <c:v>104.35282668318141</c:v>
                </c:pt>
                <c:pt idx="35">
                  <c:v>104.83942316199266</c:v>
                </c:pt>
                <c:pt idx="36">
                  <c:v>114.25285322480752</c:v>
                </c:pt>
                <c:pt idx="37" formatCode="General">
                  <c:v>108.90913916659287</c:v>
                </c:pt>
                <c:pt idx="38" formatCode="General">
                  <c:v>112.43032823144291</c:v>
                </c:pt>
                <c:pt idx="39" formatCode="General">
                  <c:v>115.1110324692559</c:v>
                </c:pt>
                <c:pt idx="40" formatCode="General">
                  <c:v>116.96009908873798</c:v>
                </c:pt>
                <c:pt idx="41" formatCode="General">
                  <c:v>115.51800406971626</c:v>
                </c:pt>
                <c:pt idx="42" formatCode="General">
                  <c:v>119.94160842254294</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99.878484089010414</c:v>
                </c:pt>
                <c:pt idx="1">
                  <c:v>103.63788258525101</c:v>
                </c:pt>
                <c:pt idx="2">
                  <c:v>102.14171793119164</c:v>
                </c:pt>
                <c:pt idx="3">
                  <c:v>99.7569681780205</c:v>
                </c:pt>
                <c:pt idx="4">
                  <c:v>97.972203235361135</c:v>
                </c:pt>
                <c:pt idx="5">
                  <c:v>93.172324751272129</c:v>
                </c:pt>
                <c:pt idx="6">
                  <c:v>101.34426976532312</c:v>
                </c:pt>
                <c:pt idx="7">
                  <c:v>94.478620794410276</c:v>
                </c:pt>
                <c:pt idx="8">
                  <c:v>98.572188045872252</c:v>
                </c:pt>
                <c:pt idx="9">
                  <c:v>98.777246145667206</c:v>
                </c:pt>
                <c:pt idx="10">
                  <c:v>97.622844991266049</c:v>
                </c:pt>
                <c:pt idx="11">
                  <c:v>96.7570441254652</c:v>
                </c:pt>
                <c:pt idx="12">
                  <c:v>99.741778689147679</c:v>
                </c:pt>
                <c:pt idx="13">
                  <c:v>87.14209766841347</c:v>
                </c:pt>
                <c:pt idx="14">
                  <c:v>89.936963621174769</c:v>
                </c:pt>
                <c:pt idx="15">
                  <c:v>91.349586086428189</c:v>
                </c:pt>
                <c:pt idx="16">
                  <c:v>90.810359231411852</c:v>
                </c:pt>
                <c:pt idx="17">
                  <c:v>91.402749297485698</c:v>
                </c:pt>
                <c:pt idx="18">
                  <c:v>83.838383838383265</c:v>
                </c:pt>
                <c:pt idx="19">
                  <c:v>84.742158426368931</c:v>
                </c:pt>
                <c:pt idx="20">
                  <c:v>83.101693628009627</c:v>
                </c:pt>
                <c:pt idx="21">
                  <c:v>85.904154325207557</c:v>
                </c:pt>
                <c:pt idx="22">
                  <c:v>81.400470874155019</c:v>
                </c:pt>
                <c:pt idx="23">
                  <c:v>84.734563681932997</c:v>
                </c:pt>
                <c:pt idx="24">
                  <c:v>80.306827675248726</c:v>
                </c:pt>
                <c:pt idx="25">
                  <c:v>82.471329839750879</c:v>
                </c:pt>
                <c:pt idx="26">
                  <c:v>83.139667350193648</c:v>
                </c:pt>
                <c:pt idx="27">
                  <c:v>84.962406015037601</c:v>
                </c:pt>
                <c:pt idx="28">
                  <c:v>87.195260879471419</c:v>
                </c:pt>
                <c:pt idx="29">
                  <c:v>81.157439052175889</c:v>
                </c:pt>
                <c:pt idx="30">
                  <c:v>85.486443381180237</c:v>
                </c:pt>
                <c:pt idx="31">
                  <c:v>91.288828130932998</c:v>
                </c:pt>
                <c:pt idx="32">
                  <c:v>87.240829346092525</c:v>
                </c:pt>
                <c:pt idx="33">
                  <c:v>90.438216754006234</c:v>
                </c:pt>
                <c:pt idx="34">
                  <c:v>92.822966507177043</c:v>
                </c:pt>
                <c:pt idx="35">
                  <c:v>92.595124174071557</c:v>
                </c:pt>
                <c:pt idx="36">
                  <c:v>96.726665147717796</c:v>
                </c:pt>
                <c:pt idx="37" formatCode="General">
                  <c:v>97.713981924508261</c:v>
                </c:pt>
                <c:pt idx="38" formatCode="General">
                  <c:v>95.739348370927289</c:v>
                </c:pt>
                <c:pt idx="39" formatCode="General">
                  <c:v>92.959671907040374</c:v>
                </c:pt>
                <c:pt idx="40" formatCode="General">
                  <c:v>97.41019214703428</c:v>
                </c:pt>
                <c:pt idx="41" formatCode="General">
                  <c:v>98.693703956861455</c:v>
                </c:pt>
                <c:pt idx="42" formatCode="General">
                  <c:v>97.569681780208327</c:v>
                </c:pt>
              </c:numCache>
            </c:numRef>
          </c:val>
        </c:ser>
        <c:marker val="1"/>
        <c:axId val="150682240"/>
        <c:axId val="150860160"/>
      </c:lineChart>
      <c:catAx>
        <c:axId val="15068224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0860160"/>
        <c:crosses val="autoZero"/>
        <c:auto val="1"/>
        <c:lblAlgn val="ctr"/>
        <c:lblOffset val="0"/>
        <c:tickLblSkip val="2"/>
        <c:tickMarkSkip val="1"/>
        <c:noMultiLvlLbl val="1"/>
      </c:catAx>
      <c:valAx>
        <c:axId val="150860160"/>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682240"/>
        <c:crosses val="autoZero"/>
        <c:crossBetween val="between"/>
      </c:valAx>
      <c:spPr>
        <a:noFill/>
        <a:ln w="6350">
          <a:solidFill>
            <a:sysClr val="window" lastClr="FFFFFF">
              <a:lumMod val="85000"/>
            </a:sysClr>
          </a:solidFill>
        </a:ln>
      </c:spPr>
    </c:plotArea>
    <c:legend>
      <c:legendPos val="b"/>
      <c:layout>
        <c:manualLayout>
          <c:xMode val="edge"/>
          <c:yMode val="edge"/>
          <c:x val="0.1836291332734484"/>
          <c:y val="7.4365162037037094E-2"/>
          <c:w val="0.45080477616355724"/>
          <c:h val="0.1832881944444517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10.384332885468847</c:v>
                </c:pt>
                <c:pt idx="1">
                  <c:v>-0.5921492233695953</c:v>
                </c:pt>
                <c:pt idx="2">
                  <c:v>1.4019448702386097</c:v>
                </c:pt>
                <c:pt idx="3">
                  <c:v>-4.0061309454971985</c:v>
                </c:pt>
                <c:pt idx="4">
                  <c:v>-5.1954924065630284</c:v>
                </c:pt>
                <c:pt idx="5">
                  <c:v>-4.6807774806805194</c:v>
                </c:pt>
                <c:pt idx="6">
                  <c:v>-16.328665785997359</c:v>
                </c:pt>
                <c:pt idx="7">
                  <c:v>-11.971212107040305</c:v>
                </c:pt>
                <c:pt idx="8">
                  <c:v>-27.609343436532782</c:v>
                </c:pt>
                <c:pt idx="9">
                  <c:v>-23.699586177372929</c:v>
                </c:pt>
                <c:pt idx="10">
                  <c:v>-31.461305044687727</c:v>
                </c:pt>
                <c:pt idx="11">
                  <c:v>-39.596940617763586</c:v>
                </c:pt>
                <c:pt idx="12">
                  <c:v>-39.858071610696804</c:v>
                </c:pt>
                <c:pt idx="13">
                  <c:v>-47.637527133589238</c:v>
                </c:pt>
                <c:pt idx="14">
                  <c:v>-45.256495979212808</c:v>
                </c:pt>
                <c:pt idx="15">
                  <c:v>-35.182650055586755</c:v>
                </c:pt>
                <c:pt idx="16">
                  <c:v>-44.295479125054911</c:v>
                </c:pt>
                <c:pt idx="17">
                  <c:v>-36.659566166339474</c:v>
                </c:pt>
                <c:pt idx="18">
                  <c:v>-36.910708638781088</c:v>
                </c:pt>
                <c:pt idx="19">
                  <c:v>-40.820752006012505</c:v>
                </c:pt>
                <c:pt idx="20">
                  <c:v>-36.73326207204309</c:v>
                </c:pt>
                <c:pt idx="21">
                  <c:v>-36.657639179573046</c:v>
                </c:pt>
                <c:pt idx="22">
                  <c:v>-35.973911487534295</c:v>
                </c:pt>
                <c:pt idx="23">
                  <c:v>-32.114141283601015</c:v>
                </c:pt>
                <c:pt idx="24">
                  <c:v>-9.4069430878814586</c:v>
                </c:pt>
                <c:pt idx="25">
                  <c:v>-16.7526194819024</c:v>
                </c:pt>
                <c:pt idx="26">
                  <c:v>-26.257280540902229</c:v>
                </c:pt>
                <c:pt idx="27">
                  <c:v>-13.486736180545661</c:v>
                </c:pt>
                <c:pt idx="28">
                  <c:v>-5.5275487195233115</c:v>
                </c:pt>
                <c:pt idx="29">
                  <c:v>-14.331896401877284</c:v>
                </c:pt>
                <c:pt idx="30">
                  <c:v>-7.0505427056518366</c:v>
                </c:pt>
                <c:pt idx="31">
                  <c:v>-1.4556264017667631</c:v>
                </c:pt>
                <c:pt idx="32">
                  <c:v>-2.4455232789494546E-2</c:v>
                </c:pt>
                <c:pt idx="33">
                  <c:v>-9.2279514854789966</c:v>
                </c:pt>
                <c:pt idx="34">
                  <c:v>-0.62642742989975297</c:v>
                </c:pt>
                <c:pt idx="35">
                  <c:v>0.56686816534650308</c:v>
                </c:pt>
                <c:pt idx="36">
                  <c:v>2.4869276708692771</c:v>
                </c:pt>
                <c:pt idx="37">
                  <c:v>-5.2244713044401578</c:v>
                </c:pt>
                <c:pt idx="38">
                  <c:v>-1.7939622037155658</c:v>
                </c:pt>
                <c:pt idx="39">
                  <c:v>-5.2145625347228073</c:v>
                </c:pt>
                <c:pt idx="40">
                  <c:v>-0.75726307612635935</c:v>
                </c:pt>
                <c:pt idx="41">
                  <c:v>-6.8467361216866314</c:v>
                </c:pt>
                <c:pt idx="42">
                  <c:v>3.3000000000000003</c:v>
                </c:pt>
              </c:numCache>
            </c:numRef>
          </c:val>
        </c:ser>
        <c:marker val="1"/>
        <c:axId val="150937600"/>
        <c:axId val="150939136"/>
      </c:lineChart>
      <c:catAx>
        <c:axId val="15093760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939136"/>
        <c:crosses val="autoZero"/>
        <c:auto val="1"/>
        <c:lblAlgn val="ctr"/>
        <c:lblOffset val="0"/>
        <c:tickLblSkip val="2"/>
        <c:tickMarkSkip val="1"/>
        <c:noMultiLvlLbl val="1"/>
      </c:catAx>
      <c:valAx>
        <c:axId val="150939136"/>
        <c:scaling>
          <c:orientation val="minMax"/>
          <c:max val="15"/>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93760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34"/>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103.16</c:v>
                </c:pt>
                <c:pt idx="1">
                  <c:v>125.59</c:v>
                </c:pt>
                <c:pt idx="2">
                  <c:v>129.99</c:v>
                </c:pt>
                <c:pt idx="3">
                  <c:v>119.46000000000002</c:v>
                </c:pt>
                <c:pt idx="4">
                  <c:v>110.61</c:v>
                </c:pt>
                <c:pt idx="5">
                  <c:v>101.91000000000012</c:v>
                </c:pt>
                <c:pt idx="6">
                  <c:v>112.53</c:v>
                </c:pt>
                <c:pt idx="7">
                  <c:v>114.64999999999999</c:v>
                </c:pt>
                <c:pt idx="8">
                  <c:v>133.28</c:v>
                </c:pt>
                <c:pt idx="9">
                  <c:v>154.34</c:v>
                </c:pt>
                <c:pt idx="10">
                  <c:v>136.97999999999999</c:v>
                </c:pt>
                <c:pt idx="11">
                  <c:v>116.33</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82.84</c:v>
                </c:pt>
                <c:pt idx="1">
                  <c:v>81.7</c:v>
                </c:pt>
                <c:pt idx="2">
                  <c:v>94.05</c:v>
                </c:pt>
                <c:pt idx="3">
                  <c:v>91.57</c:v>
                </c:pt>
                <c:pt idx="4">
                  <c:v>90.32</c:v>
                </c:pt>
                <c:pt idx="5">
                  <c:v>91.98</c:v>
                </c:pt>
                <c:pt idx="6">
                  <c:v>79.649999999999991</c:v>
                </c:pt>
                <c:pt idx="7">
                  <c:v>95.9</c:v>
                </c:pt>
                <c:pt idx="8">
                  <c:v>106.16999999999999</c:v>
                </c:pt>
                <c:pt idx="9">
                  <c:v>132.44999999999999</c:v>
                </c:pt>
                <c:pt idx="10">
                  <c:v>132.16</c:v>
                </c:pt>
                <c:pt idx="11">
                  <c:v>110.26</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75.28</c:v>
                </c:pt>
                <c:pt idx="1">
                  <c:v>87.27</c:v>
                </c:pt>
                <c:pt idx="2">
                  <c:v>92.42</c:v>
                </c:pt>
                <c:pt idx="3">
                  <c:v>92.7</c:v>
                </c:pt>
                <c:pt idx="4">
                  <c:v>99.81</c:v>
                </c:pt>
                <c:pt idx="5">
                  <c:v>94.92</c:v>
                </c:pt>
                <c:pt idx="6">
                  <c:v>92.11</c:v>
                </c:pt>
                <c:pt idx="7">
                  <c:v>115.01</c:v>
                </c:pt>
                <c:pt idx="8">
                  <c:v>101.74000000000002</c:v>
                </c:pt>
                <c:pt idx="9">
                  <c:v>133.88000000000062</c:v>
                </c:pt>
                <c:pt idx="10">
                  <c:v>135.63999999999999</c:v>
                </c:pt>
                <c:pt idx="11">
                  <c:v>129.83000000000001</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77.349999999999994</c:v>
                </c:pt>
                <c:pt idx="1">
                  <c:v>81.64</c:v>
                </c:pt>
                <c:pt idx="2">
                  <c:v>103.21000000000002</c:v>
                </c:pt>
                <c:pt idx="3" formatCode="General">
                  <c:v>98.83</c:v>
                </c:pt>
                <c:pt idx="4">
                  <c:v>104.16</c:v>
                </c:pt>
                <c:pt idx="5">
                  <c:v>130.5</c:v>
                </c:pt>
                <c:pt idx="6">
                  <c:v>83.61</c:v>
                </c:pt>
              </c:numCache>
            </c:numRef>
          </c:val>
        </c:ser>
        <c:marker val="1"/>
        <c:axId val="150887040"/>
        <c:axId val="150913408"/>
      </c:lineChart>
      <c:catAx>
        <c:axId val="15088704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913408"/>
        <c:crosses val="autoZero"/>
        <c:auto val="1"/>
        <c:lblAlgn val="ctr"/>
        <c:lblOffset val="0"/>
        <c:tickMarkSkip val="1"/>
      </c:catAx>
      <c:valAx>
        <c:axId val="150913408"/>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0887040"/>
        <c:crosses val="autoZero"/>
        <c:crossBetween val="between"/>
      </c:valAx>
      <c:spPr>
        <a:noFill/>
        <a:ln w="6350">
          <a:solidFill>
            <a:sysClr val="window" lastClr="FFFFFF">
              <a:lumMod val="85000"/>
            </a:sysClr>
          </a:solidFill>
        </a:ln>
      </c:spPr>
    </c:plotArea>
    <c:legend>
      <c:legendPos val="b"/>
      <c:layout>
        <c:manualLayout>
          <c:xMode val="edge"/>
          <c:yMode val="edge"/>
          <c:x val="0.62115300777314064"/>
          <c:y val="0.64213831018520062"/>
          <c:w val="0.3581854431657695"/>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111.25935274497428</c:v>
                </c:pt>
                <c:pt idx="1">
                  <c:v>110.72748580185701</c:v>
                </c:pt>
                <c:pt idx="2">
                  <c:v>117.69584422608838</c:v>
                </c:pt>
                <c:pt idx="3">
                  <c:v>112.54845397998749</c:v>
                </c:pt>
                <c:pt idx="4">
                  <c:v>104.73271432434869</c:v>
                </c:pt>
                <c:pt idx="5">
                  <c:v>98.936266113765413</c:v>
                </c:pt>
                <c:pt idx="6">
                  <c:v>112.17885152799035</c:v>
                </c:pt>
                <c:pt idx="7">
                  <c:v>104.04759758406199</c:v>
                </c:pt>
                <c:pt idx="8">
                  <c:v>109.84404579464537</c:v>
                </c:pt>
                <c:pt idx="9">
                  <c:v>108.69016496889932</c:v>
                </c:pt>
                <c:pt idx="10">
                  <c:v>102.07337960876225</c:v>
                </c:pt>
                <c:pt idx="11">
                  <c:v>99.711529793563599</c:v>
                </c:pt>
                <c:pt idx="12">
                  <c:v>94.401875056341808</c:v>
                </c:pt>
                <c:pt idx="13">
                  <c:v>89.353646443703212</c:v>
                </c:pt>
                <c:pt idx="14">
                  <c:v>88.902911746146202</c:v>
                </c:pt>
                <c:pt idx="15">
                  <c:v>89.272514198142943</c:v>
                </c:pt>
                <c:pt idx="16">
                  <c:v>88.064545208690134</c:v>
                </c:pt>
                <c:pt idx="17">
                  <c:v>89.434778689263467</c:v>
                </c:pt>
                <c:pt idx="18">
                  <c:v>81.628053727575889</c:v>
                </c:pt>
                <c:pt idx="19">
                  <c:v>85.396195799152622</c:v>
                </c:pt>
                <c:pt idx="20">
                  <c:v>89.858469304967102</c:v>
                </c:pt>
                <c:pt idx="21">
                  <c:v>91.363923194807526</c:v>
                </c:pt>
                <c:pt idx="22">
                  <c:v>93.680699540250586</c:v>
                </c:pt>
                <c:pt idx="23">
                  <c:v>89.452808077165614</c:v>
                </c:pt>
                <c:pt idx="24">
                  <c:v>89.813395835211352</c:v>
                </c:pt>
                <c:pt idx="25">
                  <c:v>96.862886505003118</c:v>
                </c:pt>
                <c:pt idx="26">
                  <c:v>88.920941134048448</c:v>
                </c:pt>
                <c:pt idx="27">
                  <c:v>91.976922383485018</c:v>
                </c:pt>
                <c:pt idx="28">
                  <c:v>96.628504462273483</c:v>
                </c:pt>
                <c:pt idx="29">
                  <c:v>87.523663571621711</c:v>
                </c:pt>
                <c:pt idx="30">
                  <c:v>93.842964031371096</c:v>
                </c:pt>
                <c:pt idx="31">
                  <c:v>97.367709366266979</c:v>
                </c:pt>
                <c:pt idx="32">
                  <c:v>88.929955827999578</c:v>
                </c:pt>
                <c:pt idx="33">
                  <c:v>93.527449743081178</c:v>
                </c:pt>
                <c:pt idx="34">
                  <c:v>94.978815469214766</c:v>
                </c:pt>
                <c:pt idx="35">
                  <c:v>101.37924817452412</c:v>
                </c:pt>
                <c:pt idx="36">
                  <c:v>94.924727305507929</c:v>
                </c:pt>
                <c:pt idx="37">
                  <c:v>94.239610565221327</c:v>
                </c:pt>
                <c:pt idx="38">
                  <c:v>101.15388082574577</c:v>
                </c:pt>
                <c:pt idx="39">
                  <c:v>101.12683674389237</c:v>
                </c:pt>
                <c:pt idx="40">
                  <c:v>101.07274858018543</c:v>
                </c:pt>
                <c:pt idx="41">
                  <c:v>115.52330298386352</c:v>
                </c:pt>
                <c:pt idx="42">
                  <c:v>99</c:v>
                </c:pt>
              </c:numCache>
            </c:numRef>
          </c:val>
        </c:ser>
        <c:marker val="1"/>
        <c:axId val="151097344"/>
        <c:axId val="151098880"/>
      </c:lineChart>
      <c:catAx>
        <c:axId val="1510973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098880"/>
        <c:crosses val="autoZero"/>
        <c:auto val="1"/>
        <c:lblAlgn val="ctr"/>
        <c:lblOffset val="0"/>
        <c:tickLblSkip val="2"/>
        <c:tickMarkSkip val="1"/>
        <c:noMultiLvlLbl val="1"/>
      </c:catAx>
      <c:valAx>
        <c:axId val="151098880"/>
        <c:scaling>
          <c:orientation val="minMax"/>
          <c:max val="12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09734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7.7822999999999993</c:v>
                </c:pt>
                <c:pt idx="1">
                  <c:v>6.9801000000000002</c:v>
                </c:pt>
                <c:pt idx="2">
                  <c:v>7.2910999999999984</c:v>
                </c:pt>
                <c:pt idx="3">
                  <c:v>8.6267000000000014</c:v>
                </c:pt>
                <c:pt idx="4">
                  <c:v>7.8812000000000024</c:v>
                </c:pt>
                <c:pt idx="5">
                  <c:v>7.5562000000000014</c:v>
                </c:pt>
                <c:pt idx="6">
                  <c:v>9.1297000000000015</c:v>
                </c:pt>
                <c:pt idx="7">
                  <c:v>8.1267000000000014</c:v>
                </c:pt>
                <c:pt idx="8">
                  <c:v>9.5254000000000048</c:v>
                </c:pt>
                <c:pt idx="9">
                  <c:v>8.9206000000000056</c:v>
                </c:pt>
                <c:pt idx="10">
                  <c:v>6.8542000000000005</c:v>
                </c:pt>
                <c:pt idx="11">
                  <c:v>7.1013000000000002</c:v>
                </c:pt>
                <c:pt idx="12">
                  <c:v>4.6857999999999995</c:v>
                </c:pt>
                <c:pt idx="13">
                  <c:v>4.1347000000000005</c:v>
                </c:pt>
                <c:pt idx="14">
                  <c:v>4.6212999999999997</c:v>
                </c:pt>
                <c:pt idx="15">
                  <c:v>4.8515999999999995</c:v>
                </c:pt>
                <c:pt idx="16">
                  <c:v>4.4867000000000123</c:v>
                </c:pt>
                <c:pt idx="17">
                  <c:v>4.9100000000000019</c:v>
                </c:pt>
                <c:pt idx="18">
                  <c:v>5.0886000000000031</c:v>
                </c:pt>
                <c:pt idx="19">
                  <c:v>5.2460000000000004</c:v>
                </c:pt>
                <c:pt idx="20">
                  <c:v>6.0042999999999971</c:v>
                </c:pt>
                <c:pt idx="21">
                  <c:v>5.5533999999999999</c:v>
                </c:pt>
                <c:pt idx="22">
                  <c:v>4.4168000000000021</c:v>
                </c:pt>
                <c:pt idx="23">
                  <c:v>5.3637000000000015</c:v>
                </c:pt>
                <c:pt idx="24">
                  <c:v>3.4814000000000007</c:v>
                </c:pt>
                <c:pt idx="25">
                  <c:v>3.6117999999999997</c:v>
                </c:pt>
                <c:pt idx="26">
                  <c:v>4.6926000000000041</c:v>
                </c:pt>
                <c:pt idx="27">
                  <c:v>5.3286999999999995</c:v>
                </c:pt>
                <c:pt idx="28">
                  <c:v>6.0634999999999977</c:v>
                </c:pt>
                <c:pt idx="29">
                  <c:v>5.7502000000000031</c:v>
                </c:pt>
                <c:pt idx="30">
                  <c:v>6.2363000000000124</c:v>
                </c:pt>
                <c:pt idx="31">
                  <c:v>6.4892000000000243</c:v>
                </c:pt>
                <c:pt idx="32">
                  <c:v>7.0556999999999981</c:v>
                </c:pt>
                <c:pt idx="33">
                  <c:v>6.5046999999999997</c:v>
                </c:pt>
                <c:pt idx="34">
                  <c:v>5.6882000000000019</c:v>
                </c:pt>
                <c:pt idx="35">
                  <c:v>5.6716000000000024</c:v>
                </c:pt>
                <c:pt idx="36">
                  <c:v>3.8073999999999995</c:v>
                </c:pt>
                <c:pt idx="37">
                  <c:v>4.0200999999999985</c:v>
                </c:pt>
                <c:pt idx="38">
                  <c:v>4.7210000000000001</c:v>
                </c:pt>
                <c:pt idx="39">
                  <c:v>5.3294999999999995</c:v>
                </c:pt>
                <c:pt idx="40">
                  <c:v>6.7982000000000014</c:v>
                </c:pt>
                <c:pt idx="41">
                  <c:v>7.2828000000000017</c:v>
                </c:pt>
                <c:pt idx="42">
                  <c:v>5.9833000000000034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9.8385000000000016</c:v>
                </c:pt>
                <c:pt idx="1">
                  <c:v>15.8842</c:v>
                </c:pt>
                <c:pt idx="2">
                  <c:v>16.599900000000005</c:v>
                </c:pt>
                <c:pt idx="3">
                  <c:v>14.220700000000001</c:v>
                </c:pt>
                <c:pt idx="4">
                  <c:v>13.4703</c:v>
                </c:pt>
                <c:pt idx="5">
                  <c:v>14.3322</c:v>
                </c:pt>
                <c:pt idx="6">
                  <c:v>13.6212</c:v>
                </c:pt>
                <c:pt idx="7">
                  <c:v>14.893000000000002</c:v>
                </c:pt>
                <c:pt idx="8">
                  <c:v>15.210700000000001</c:v>
                </c:pt>
                <c:pt idx="9">
                  <c:v>17.750599999999906</c:v>
                </c:pt>
                <c:pt idx="10">
                  <c:v>15.567300000000001</c:v>
                </c:pt>
                <c:pt idx="11">
                  <c:v>14.891400000000004</c:v>
                </c:pt>
                <c:pt idx="12">
                  <c:v>9.9434000000000005</c:v>
                </c:pt>
                <c:pt idx="13">
                  <c:v>11.9031</c:v>
                </c:pt>
                <c:pt idx="14">
                  <c:v>14.006600000000002</c:v>
                </c:pt>
                <c:pt idx="15">
                  <c:v>14.3286</c:v>
                </c:pt>
                <c:pt idx="16">
                  <c:v>12.531799999999999</c:v>
                </c:pt>
                <c:pt idx="17">
                  <c:v>13.055900000000022</c:v>
                </c:pt>
                <c:pt idx="18">
                  <c:v>11.4163</c:v>
                </c:pt>
                <c:pt idx="19">
                  <c:v>13.837900000000001</c:v>
                </c:pt>
                <c:pt idx="20">
                  <c:v>12.798199999999998</c:v>
                </c:pt>
                <c:pt idx="21">
                  <c:v>17.9038</c:v>
                </c:pt>
                <c:pt idx="22">
                  <c:v>16.283599999999872</c:v>
                </c:pt>
                <c:pt idx="23">
                  <c:v>16.963799999999843</c:v>
                </c:pt>
                <c:pt idx="24">
                  <c:v>10.2736</c:v>
                </c:pt>
                <c:pt idx="25">
                  <c:v>15.385000000000026</c:v>
                </c:pt>
                <c:pt idx="26">
                  <c:v>14.438800000000001</c:v>
                </c:pt>
                <c:pt idx="27">
                  <c:v>15.5374</c:v>
                </c:pt>
                <c:pt idx="28">
                  <c:v>19.059000000000001</c:v>
                </c:pt>
                <c:pt idx="29">
                  <c:v>16.258299999999902</c:v>
                </c:pt>
                <c:pt idx="30">
                  <c:v>14.5327</c:v>
                </c:pt>
                <c:pt idx="31">
                  <c:v>17.2714</c:v>
                </c:pt>
                <c:pt idx="32">
                  <c:v>13.405400000000048</c:v>
                </c:pt>
                <c:pt idx="33">
                  <c:v>16.791</c:v>
                </c:pt>
                <c:pt idx="34">
                  <c:v>16.915099999999914</c:v>
                </c:pt>
                <c:pt idx="35">
                  <c:v>16.416799999999906</c:v>
                </c:pt>
                <c:pt idx="36">
                  <c:v>13.425700000000004</c:v>
                </c:pt>
                <c:pt idx="37">
                  <c:v>13.563600000000006</c:v>
                </c:pt>
                <c:pt idx="38">
                  <c:v>20.437799999999989</c:v>
                </c:pt>
                <c:pt idx="39">
                  <c:v>17.078400000000002</c:v>
                </c:pt>
                <c:pt idx="40">
                  <c:v>20.648499999999906</c:v>
                </c:pt>
                <c:pt idx="41">
                  <c:v>26.914800000000035</c:v>
                </c:pt>
                <c:pt idx="42">
                  <c:v>14.322400000000044</c:v>
                </c:pt>
              </c:numCache>
            </c:numRef>
          </c:val>
        </c:ser>
        <c:gapWidth val="0"/>
        <c:overlap val="100"/>
        <c:axId val="151025536"/>
        <c:axId val="151027072"/>
      </c:barChart>
      <c:catAx>
        <c:axId val="15102553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027072"/>
        <c:crosses val="autoZero"/>
        <c:auto val="1"/>
        <c:lblAlgn val="ctr"/>
        <c:lblOffset val="0"/>
        <c:tickLblSkip val="3"/>
        <c:tickMarkSkip val="1"/>
        <c:noMultiLvlLbl val="1"/>
      </c:catAx>
      <c:valAx>
        <c:axId val="151027072"/>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025536"/>
        <c:crosses val="autoZero"/>
        <c:crossBetween val="between"/>
      </c:valAx>
      <c:spPr>
        <a:noFill/>
        <a:ln w="6350">
          <a:solidFill>
            <a:sysClr val="window" lastClr="FFFFFF">
              <a:lumMod val="85000"/>
            </a:sysClr>
          </a:solidFill>
        </a:ln>
      </c:spPr>
    </c:plotArea>
    <c:legend>
      <c:legendPos val="b"/>
      <c:layout>
        <c:manualLayout>
          <c:xMode val="edge"/>
          <c:yMode val="edge"/>
          <c:x val="0.35253820716982515"/>
          <c:y val="6.6484953703703706E-2"/>
          <c:w val="0.33910421878593222"/>
          <c:h val="0.13589057465377188"/>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677"/>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-11.610251274680039</c:v>
                </c:pt>
                <c:pt idx="1">
                  <c:v>8.8997540765964747</c:v>
                </c:pt>
                <c:pt idx="2">
                  <c:v>-6.4775574733676704</c:v>
                </c:pt>
                <c:pt idx="3">
                  <c:v>1.344786385413244</c:v>
                </c:pt>
                <c:pt idx="4">
                  <c:v>-18.857654882435668</c:v>
                </c:pt>
                <c:pt idx="5">
                  <c:v>-15.36431317337923</c:v>
                </c:pt>
                <c:pt idx="6">
                  <c:v>-3.3516569928608773</c:v>
                </c:pt>
                <c:pt idx="7">
                  <c:v>-8.0332545132581714</c:v>
                </c:pt>
                <c:pt idx="8">
                  <c:v>1.7074857267553227</c:v>
                </c:pt>
                <c:pt idx="9">
                  <c:v>2.3985378352659992</c:v>
                </c:pt>
                <c:pt idx="10">
                  <c:v>-12.46820346248461</c:v>
                </c:pt>
                <c:pt idx="11">
                  <c:v>6.300526859848139</c:v>
                </c:pt>
                <c:pt idx="12">
                  <c:v>-18.261228751256031</c:v>
                </c:pt>
                <c:pt idx="13">
                  <c:v>-30.542329857616789</c:v>
                </c:pt>
                <c:pt idx="14">
                  <c:v>-20.79716792816803</c:v>
                </c:pt>
                <c:pt idx="15">
                  <c:v>-15.508205521827119</c:v>
                </c:pt>
                <c:pt idx="16">
                  <c:v>-15.914026549543976</c:v>
                </c:pt>
                <c:pt idx="17">
                  <c:v>-14.786205070222081</c:v>
                </c:pt>
                <c:pt idx="18">
                  <c:v>-26.51010671955763</c:v>
                </c:pt>
                <c:pt idx="19">
                  <c:v>-13.337927433716231</c:v>
                </c:pt>
                <c:pt idx="20">
                  <c:v>-21.286973944438373</c:v>
                </c:pt>
                <c:pt idx="21">
                  <c:v>-7.4163967353761917</c:v>
                </c:pt>
                <c:pt idx="22">
                  <c:v>-6.5738004191694728</c:v>
                </c:pt>
                <c:pt idx="23">
                  <c:v>-2.307379563996804</c:v>
                </c:pt>
                <c:pt idx="24">
                  <c:v>-10.55883802583034</c:v>
                </c:pt>
                <c:pt idx="25">
                  <c:v>10.399743874302059</c:v>
                </c:pt>
                <c:pt idx="26">
                  <c:v>-6.3080628924970794</c:v>
                </c:pt>
                <c:pt idx="27">
                  <c:v>-1.9881151902860184</c:v>
                </c:pt>
                <c:pt idx="28">
                  <c:v>27.439869476411133</c:v>
                </c:pt>
                <c:pt idx="29">
                  <c:v>5.1279993562470638</c:v>
                </c:pt>
                <c:pt idx="30">
                  <c:v>15.146552511856259</c:v>
                </c:pt>
                <c:pt idx="31">
                  <c:v>12.512753095038804</c:v>
                </c:pt>
                <c:pt idx="32">
                  <c:v>-0.29481653266151397</c:v>
                </c:pt>
                <c:pt idx="33">
                  <c:v>-9.2452160369559806</c:v>
                </c:pt>
                <c:pt idx="34">
                  <c:v>2.3958990528415711</c:v>
                </c:pt>
                <c:pt idx="35">
                  <c:v>-7.5780995662566966</c:v>
                </c:pt>
                <c:pt idx="36">
                  <c:v>15.2898550959857</c:v>
                </c:pt>
                <c:pt idx="37">
                  <c:v>-15.880427058802574</c:v>
                </c:pt>
                <c:pt idx="38" formatCode="General">
                  <c:v>15.798078646334975</c:v>
                </c:pt>
                <c:pt idx="39" formatCode="General">
                  <c:v>-2.0977944396501438</c:v>
                </c:pt>
                <c:pt idx="40" formatCode="General">
                  <c:v>0.16271961984122724</c:v>
                </c:pt>
                <c:pt idx="41" formatCode="General">
                  <c:v>44.846161234905921</c:v>
                </c:pt>
                <c:pt idx="42" formatCode="General">
                  <c:v>-12.496750542954302</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11.955349849867162</c:v>
                </c:pt>
                <c:pt idx="1">
                  <c:v>11.979442328373176</c:v>
                </c:pt>
                <c:pt idx="2">
                  <c:v>11.123576141541108</c:v>
                </c:pt>
                <c:pt idx="3">
                  <c:v>12.537470384747705</c:v>
                </c:pt>
                <c:pt idx="4">
                  <c:v>9.5584016773347145</c:v>
                </c:pt>
                <c:pt idx="5">
                  <c:v>8.4846467123382361</c:v>
                </c:pt>
                <c:pt idx="6">
                  <c:v>8.5328388589555146</c:v>
                </c:pt>
                <c:pt idx="7">
                  <c:v>9.8079236970606871</c:v>
                </c:pt>
                <c:pt idx="8">
                  <c:v>9.3222824833816524</c:v>
                </c:pt>
                <c:pt idx="9">
                  <c:v>10.835732352388023</c:v>
                </c:pt>
                <c:pt idx="10">
                  <c:v>9.0776207424349789</c:v>
                </c:pt>
                <c:pt idx="11">
                  <c:v>8.2292763959609658</c:v>
                </c:pt>
                <c:pt idx="12">
                  <c:v>1.2835659890658917</c:v>
                </c:pt>
                <c:pt idx="13">
                  <c:v>0.6857412019396808</c:v>
                </c:pt>
                <c:pt idx="14">
                  <c:v>-1.2324666622635192</c:v>
                </c:pt>
                <c:pt idx="15">
                  <c:v>-0.54263614943526439</c:v>
                </c:pt>
                <c:pt idx="16">
                  <c:v>-4.379629633862403</c:v>
                </c:pt>
                <c:pt idx="17">
                  <c:v>-3.1342459449274997</c:v>
                </c:pt>
                <c:pt idx="18">
                  <c:v>-0.94375224865900975</c:v>
                </c:pt>
                <c:pt idx="19">
                  <c:v>-3.7596020736187783</c:v>
                </c:pt>
                <c:pt idx="20">
                  <c:v>-2.7006393009802712</c:v>
                </c:pt>
                <c:pt idx="21">
                  <c:v>-4.6340546878818856</c:v>
                </c:pt>
                <c:pt idx="22">
                  <c:v>-1.1023140245564269</c:v>
                </c:pt>
                <c:pt idx="23">
                  <c:v>3.8297028803699638</c:v>
                </c:pt>
                <c:pt idx="24">
                  <c:v>4.5831182325401985</c:v>
                </c:pt>
                <c:pt idx="25">
                  <c:v>8.0504176191697443</c:v>
                </c:pt>
                <c:pt idx="26">
                  <c:v>9.0109977375413468</c:v>
                </c:pt>
                <c:pt idx="27">
                  <c:v>10.777908831645334</c:v>
                </c:pt>
                <c:pt idx="28">
                  <c:v>20.178898335088135</c:v>
                </c:pt>
                <c:pt idx="29">
                  <c:v>17.373517406063726</c:v>
                </c:pt>
                <c:pt idx="30">
                  <c:v>10.688805472742271</c:v>
                </c:pt>
                <c:pt idx="31">
                  <c:v>11.99324410679101</c:v>
                </c:pt>
                <c:pt idx="32">
                  <c:v>9.1159839306139077</c:v>
                </c:pt>
                <c:pt idx="33">
                  <c:v>8.5567280673773496</c:v>
                </c:pt>
                <c:pt idx="34">
                  <c:v>6.7966769360282058</c:v>
                </c:pt>
                <c:pt idx="35">
                  <c:v>6.5072228447249501</c:v>
                </c:pt>
                <c:pt idx="36">
                  <c:v>9.996222693908873</c:v>
                </c:pt>
                <c:pt idx="37">
                  <c:v>8.4418058173303194</c:v>
                </c:pt>
                <c:pt idx="38" formatCode="General">
                  <c:v>15.707195405746845</c:v>
                </c:pt>
                <c:pt idx="39" formatCode="General">
                  <c:v>9.4868129912721599</c:v>
                </c:pt>
                <c:pt idx="40" formatCode="General">
                  <c:v>9.0887481879007979</c:v>
                </c:pt>
                <c:pt idx="41" formatCode="General">
                  <c:v>10.537440555311672</c:v>
                </c:pt>
                <c:pt idx="42" formatCode="General">
                  <c:v>10.266022053378492</c:v>
                </c:pt>
              </c:numCache>
            </c:numRef>
          </c:val>
        </c:ser>
        <c:gapWidth val="48"/>
        <c:overlap val="100"/>
        <c:axId val="151303296"/>
        <c:axId val="151305600"/>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0.34509857518705445</c:v>
                </c:pt>
                <c:pt idx="1">
                  <c:v>20.879196404969587</c:v>
                </c:pt>
                <c:pt idx="2">
                  <c:v>4.6460186681734355</c:v>
                </c:pt>
                <c:pt idx="3">
                  <c:v>13.882256770160994</c:v>
                </c:pt>
                <c:pt idx="4">
                  <c:v>-9.2992532051009533</c:v>
                </c:pt>
                <c:pt idx="5">
                  <c:v>-6.8796664610410643</c:v>
                </c:pt>
                <c:pt idx="6">
                  <c:v>5.1811818660946045</c:v>
                </c:pt>
                <c:pt idx="7">
                  <c:v>1.7746691838025157</c:v>
                </c:pt>
                <c:pt idx="8">
                  <c:v>11.029768210136966</c:v>
                </c:pt>
                <c:pt idx="9">
                  <c:v>13.234270187653845</c:v>
                </c:pt>
                <c:pt idx="10">
                  <c:v>-3.3905827200496197</c:v>
                </c:pt>
                <c:pt idx="11">
                  <c:v>14.529803255809156</c:v>
                </c:pt>
                <c:pt idx="12">
                  <c:v>-16.977662762190121</c:v>
                </c:pt>
                <c:pt idx="13">
                  <c:v>-29.856588655677193</c:v>
                </c:pt>
                <c:pt idx="14">
                  <c:v>-22.029634590431453</c:v>
                </c:pt>
                <c:pt idx="15">
                  <c:v>-16.050841671262386</c:v>
                </c:pt>
                <c:pt idx="16">
                  <c:v>-20.293656183406327</c:v>
                </c:pt>
                <c:pt idx="17">
                  <c:v>-17.920451015149581</c:v>
                </c:pt>
                <c:pt idx="18">
                  <c:v>-27.453858968216799</c:v>
                </c:pt>
                <c:pt idx="19">
                  <c:v>-17.097529507334894</c:v>
                </c:pt>
                <c:pt idx="20">
                  <c:v>-23.987613245418629</c:v>
                </c:pt>
                <c:pt idx="21">
                  <c:v>-12.050451423258053</c:v>
                </c:pt>
                <c:pt idx="22">
                  <c:v>-7.6761144437258855</c:v>
                </c:pt>
                <c:pt idx="23">
                  <c:v>1.5223233163731598</c:v>
                </c:pt>
                <c:pt idx="24">
                  <c:v>-5.9757197932901818</c:v>
                </c:pt>
                <c:pt idx="25">
                  <c:v>18.450161493471668</c:v>
                </c:pt>
                <c:pt idx="26">
                  <c:v>2.7029348450442692</c:v>
                </c:pt>
                <c:pt idx="27">
                  <c:v>8.789793641359319</c:v>
                </c:pt>
                <c:pt idx="28">
                  <c:v>47.618767811499254</c:v>
                </c:pt>
                <c:pt idx="29">
                  <c:v>22.501516762310828</c:v>
                </c:pt>
                <c:pt idx="30">
                  <c:v>25.835357984598495</c:v>
                </c:pt>
                <c:pt idx="31">
                  <c:v>24.505997201829789</c:v>
                </c:pt>
                <c:pt idx="32">
                  <c:v>8.8211673979523937</c:v>
                </c:pt>
                <c:pt idx="33">
                  <c:v>-0.68848796957863057</c:v>
                </c:pt>
                <c:pt idx="34">
                  <c:v>9.1925759888697769</c:v>
                </c:pt>
                <c:pt idx="35">
                  <c:v>-1.0708767215317538</c:v>
                </c:pt>
                <c:pt idx="36">
                  <c:v>25.286077789894591</c:v>
                </c:pt>
                <c:pt idx="37">
                  <c:v>-7.4386212414722523</c:v>
                </c:pt>
                <c:pt idx="38" formatCode="General">
                  <c:v>31.505274052081887</c:v>
                </c:pt>
                <c:pt idx="39" formatCode="General">
                  <c:v>7.3890185516220157</c:v>
                </c:pt>
                <c:pt idx="40" formatCode="General">
                  <c:v>9.2514678077420598</c:v>
                </c:pt>
                <c:pt idx="41" formatCode="General">
                  <c:v>55.383601790217071</c:v>
                </c:pt>
                <c:pt idx="42" formatCode="General">
                  <c:v>-2.2307284895757937</c:v>
                </c:pt>
              </c:numCache>
            </c:numRef>
          </c:val>
        </c:ser>
        <c:marker val="1"/>
        <c:axId val="151303296"/>
        <c:axId val="151305600"/>
      </c:lineChart>
      <c:catAx>
        <c:axId val="1513032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305600"/>
        <c:crosses val="autoZero"/>
        <c:auto val="1"/>
        <c:lblAlgn val="ctr"/>
        <c:lblOffset val="0"/>
        <c:tickLblSkip val="2"/>
        <c:tickMarkSkip val="1"/>
        <c:noMultiLvlLbl val="1"/>
      </c:catAx>
      <c:valAx>
        <c:axId val="15130560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303296"/>
        <c:crosses val="autoZero"/>
        <c:crossBetween val="between"/>
      </c:valAx>
      <c:spPr>
        <a:noFill/>
        <a:ln w="6350">
          <a:solidFill>
            <a:sysClr val="window" lastClr="FFFFFF">
              <a:lumMod val="85000"/>
            </a:sysClr>
          </a:solidFill>
        </a:ln>
      </c:spPr>
    </c:plotArea>
    <c:legend>
      <c:legendPos val="b"/>
      <c:layout>
        <c:manualLayout>
          <c:xMode val="edge"/>
          <c:yMode val="edge"/>
          <c:x val="0.13890025031493874"/>
          <c:y val="0.11137384259259255"/>
          <c:w val="0.49761859163442357"/>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094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106.67479674796748</c:v>
                </c:pt>
                <c:pt idx="1">
                  <c:v>105.83739837398319</c:v>
                </c:pt>
                <c:pt idx="2">
                  <c:v>107</c:v>
                </c:pt>
                <c:pt idx="3">
                  <c:v>107.39024390243901</c:v>
                </c:pt>
                <c:pt idx="4">
                  <c:v>108.82113821138211</c:v>
                </c:pt>
                <c:pt idx="5">
                  <c:v>108.48780487804879</c:v>
                </c:pt>
                <c:pt idx="6">
                  <c:v>108.16260162601625</c:v>
                </c:pt>
                <c:pt idx="7">
                  <c:v>110.12195121951218</c:v>
                </c:pt>
                <c:pt idx="8">
                  <c:v>109.69918699186991</c:v>
                </c:pt>
                <c:pt idx="9">
                  <c:v>111.91056910569112</c:v>
                </c:pt>
                <c:pt idx="10">
                  <c:v>111.76422764227696</c:v>
                </c:pt>
                <c:pt idx="11">
                  <c:v>109.39837398373975</c:v>
                </c:pt>
                <c:pt idx="12">
                  <c:v>110.32520325203248</c:v>
                </c:pt>
                <c:pt idx="13">
                  <c:v>107.47967479674794</c:v>
                </c:pt>
                <c:pt idx="14">
                  <c:v>106.98373983739835</c:v>
                </c:pt>
                <c:pt idx="15">
                  <c:v>108.14634146341432</c:v>
                </c:pt>
                <c:pt idx="16">
                  <c:v>105.13008130081298</c:v>
                </c:pt>
                <c:pt idx="17">
                  <c:v>105.73170731707305</c:v>
                </c:pt>
                <c:pt idx="18">
                  <c:v>107.54471544715446</c:v>
                </c:pt>
                <c:pt idx="19">
                  <c:v>107.07317073170728</c:v>
                </c:pt>
                <c:pt idx="20">
                  <c:v>107.10569105691035</c:v>
                </c:pt>
                <c:pt idx="21">
                  <c:v>108.32520325203251</c:v>
                </c:pt>
                <c:pt idx="22">
                  <c:v>110.69105691056905</c:v>
                </c:pt>
                <c:pt idx="23">
                  <c:v>112.56097560975606</c:v>
                </c:pt>
                <c:pt idx="24">
                  <c:v>114.44715447154532</c:v>
                </c:pt>
                <c:pt idx="25">
                  <c:v>114.08130081300777</c:v>
                </c:pt>
                <c:pt idx="26">
                  <c:v>115.30081300813006</c:v>
                </c:pt>
                <c:pt idx="27">
                  <c:v>118.18699186991864</c:v>
                </c:pt>
                <c:pt idx="28">
                  <c:v>119.13821138211377</c:v>
                </c:pt>
                <c:pt idx="29">
                  <c:v>120.81300813008066</c:v>
                </c:pt>
                <c:pt idx="30">
                  <c:v>116.92682926829315</c:v>
                </c:pt>
                <c:pt idx="31">
                  <c:v>116.52032520325167</c:v>
                </c:pt>
                <c:pt idx="32">
                  <c:v>115.17886178861784</c:v>
                </c:pt>
                <c:pt idx="33">
                  <c:v>116.05691056910572</c:v>
                </c:pt>
                <c:pt idx="34">
                  <c:v>116.9024390243902</c:v>
                </c:pt>
                <c:pt idx="35">
                  <c:v>119.49593495934982</c:v>
                </c:pt>
                <c:pt idx="36">
                  <c:v>123.50406504065036</c:v>
                </c:pt>
                <c:pt idx="37" formatCode="General">
                  <c:v>124.73170731707305</c:v>
                </c:pt>
                <c:pt idx="38" formatCode="General">
                  <c:v>129.52032520325199</c:v>
                </c:pt>
                <c:pt idx="39" formatCode="General">
                  <c:v>129.48780487804876</c:v>
                </c:pt>
                <c:pt idx="40" formatCode="General">
                  <c:v>130.08130081300874</c:v>
                </c:pt>
                <c:pt idx="41" formatCode="General">
                  <c:v>129.01626016260158</c:v>
                </c:pt>
                <c:pt idx="42" formatCode="General">
                  <c:v>130.77235772357653</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104.30569664765147</c:v>
                </c:pt>
                <c:pt idx="1">
                  <c:v>104.69641322184918</c:v>
                </c:pt>
                <c:pt idx="2">
                  <c:v>104.82144252559139</c:v>
                </c:pt>
                <c:pt idx="3">
                  <c:v>105.49347503321091</c:v>
                </c:pt>
                <c:pt idx="4">
                  <c:v>106.23583652418525</c:v>
                </c:pt>
                <c:pt idx="5">
                  <c:v>107.91591779323282</c:v>
                </c:pt>
                <c:pt idx="6">
                  <c:v>107.00164100961166</c:v>
                </c:pt>
                <c:pt idx="7">
                  <c:v>108.39259201375268</c:v>
                </c:pt>
                <c:pt idx="8">
                  <c:v>110.3930608736423</c:v>
                </c:pt>
                <c:pt idx="9">
                  <c:v>110.72907712745098</c:v>
                </c:pt>
                <c:pt idx="10">
                  <c:v>110.86973509416271</c:v>
                </c:pt>
                <c:pt idx="11">
                  <c:v>110.81503477377514</c:v>
                </c:pt>
                <c:pt idx="12">
                  <c:v>111.48706728139449</c:v>
                </c:pt>
                <c:pt idx="13">
                  <c:v>106.10299288895807</c:v>
                </c:pt>
                <c:pt idx="14">
                  <c:v>107.05634132999894</c:v>
                </c:pt>
                <c:pt idx="15">
                  <c:v>107.11104165038684</c:v>
                </c:pt>
                <c:pt idx="16">
                  <c:v>105.5403610221146</c:v>
                </c:pt>
                <c:pt idx="17">
                  <c:v>106.32960850199268</c:v>
                </c:pt>
                <c:pt idx="18">
                  <c:v>105.72790497772921</c:v>
                </c:pt>
                <c:pt idx="19">
                  <c:v>107.88466046729761</c:v>
                </c:pt>
                <c:pt idx="20">
                  <c:v>109.14276783621112</c:v>
                </c:pt>
                <c:pt idx="21">
                  <c:v>109.55692740486056</c:v>
                </c:pt>
                <c:pt idx="22">
                  <c:v>107.97843244510435</c:v>
                </c:pt>
                <c:pt idx="23">
                  <c:v>108.74423693053066</c:v>
                </c:pt>
                <c:pt idx="24">
                  <c:v>108.15816206923503</c:v>
                </c:pt>
                <c:pt idx="25">
                  <c:v>108.04876142845954</c:v>
                </c:pt>
                <c:pt idx="26">
                  <c:v>108.88489489724158</c:v>
                </c:pt>
                <c:pt idx="27">
                  <c:v>108.72860826756275</c:v>
                </c:pt>
                <c:pt idx="28">
                  <c:v>108.50980698601242</c:v>
                </c:pt>
                <c:pt idx="29">
                  <c:v>110.8384777682266</c:v>
                </c:pt>
                <c:pt idx="30">
                  <c:v>111.69805423146055</c:v>
                </c:pt>
                <c:pt idx="31">
                  <c:v>110.01797296241311</c:v>
                </c:pt>
                <c:pt idx="32">
                  <c:v>110.93224974603429</c:v>
                </c:pt>
                <c:pt idx="33">
                  <c:v>110.57279049777264</c:v>
                </c:pt>
                <c:pt idx="34">
                  <c:v>109.54129874189302</c:v>
                </c:pt>
                <c:pt idx="35">
                  <c:v>108.58795030085165</c:v>
                </c:pt>
                <c:pt idx="36">
                  <c:v>112.12784246307733</c:v>
                </c:pt>
                <c:pt idx="37" formatCode="General">
                  <c:v>112.24505743533643</c:v>
                </c:pt>
                <c:pt idx="38" formatCode="General">
                  <c:v>112.3310150816598</c:v>
                </c:pt>
                <c:pt idx="39" formatCode="General">
                  <c:v>112.42478705946711</c:v>
                </c:pt>
                <c:pt idx="40" formatCode="General">
                  <c:v>115.66773462530317</c:v>
                </c:pt>
                <c:pt idx="41" formatCode="General">
                  <c:v>114.26115495819367</c:v>
                </c:pt>
                <c:pt idx="42" formatCode="General">
                  <c:v>114.2455262952258</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109.07854471268213</c:v>
                </c:pt>
                <c:pt idx="1">
                  <c:v>106.99591975518562</c:v>
                </c:pt>
                <c:pt idx="2">
                  <c:v>109.22305338320299</c:v>
                </c:pt>
                <c:pt idx="3">
                  <c:v>109.32505950357015</c:v>
                </c:pt>
                <c:pt idx="4">
                  <c:v>111.45868752125128</c:v>
                </c:pt>
                <c:pt idx="5">
                  <c:v>109.07004420265173</c:v>
                </c:pt>
                <c:pt idx="6">
                  <c:v>109.34206052363135</c:v>
                </c:pt>
                <c:pt idx="7">
                  <c:v>111.89221353281197</c:v>
                </c:pt>
                <c:pt idx="8">
                  <c:v>108.99353961237676</c:v>
                </c:pt>
                <c:pt idx="9">
                  <c:v>113.10778646718801</c:v>
                </c:pt>
                <c:pt idx="10">
                  <c:v>112.68276096565791</c:v>
                </c:pt>
                <c:pt idx="11">
                  <c:v>107.94797687861269</c:v>
                </c:pt>
                <c:pt idx="12">
                  <c:v>109.08704522271336</c:v>
                </c:pt>
                <c:pt idx="13">
                  <c:v>108.34750085005098</c:v>
                </c:pt>
                <c:pt idx="14">
                  <c:v>106.64739884393055</c:v>
                </c:pt>
                <c:pt idx="15">
                  <c:v>108.73002380142806</c:v>
                </c:pt>
                <c:pt idx="16">
                  <c:v>104.53077184631044</c:v>
                </c:pt>
                <c:pt idx="17">
                  <c:v>104.97279836790153</c:v>
                </c:pt>
                <c:pt idx="18">
                  <c:v>108.78102686161169</c:v>
                </c:pt>
                <c:pt idx="19">
                  <c:v>106.13736824209418</c:v>
                </c:pt>
                <c:pt idx="20">
                  <c:v>105.15130907854439</c:v>
                </c:pt>
                <c:pt idx="21">
                  <c:v>107.0384223053383</c:v>
                </c:pt>
                <c:pt idx="22">
                  <c:v>112.64025841550485</c:v>
                </c:pt>
                <c:pt idx="23">
                  <c:v>115.41992519551172</c:v>
                </c:pt>
                <c:pt idx="24">
                  <c:v>118.77762665759943</c:v>
                </c:pt>
                <c:pt idx="25">
                  <c:v>118.25059503570213</c:v>
                </c:pt>
                <c:pt idx="26">
                  <c:v>119.71268276096566</c:v>
                </c:pt>
                <c:pt idx="27">
                  <c:v>124.37946276776574</c:v>
                </c:pt>
                <c:pt idx="28">
                  <c:v>126.03706222373344</c:v>
                </c:pt>
                <c:pt idx="29">
                  <c:v>127.32913974838488</c:v>
                </c:pt>
                <c:pt idx="30">
                  <c:v>120.63923835430094</c:v>
                </c:pt>
                <c:pt idx="31">
                  <c:v>120.97925875552535</c:v>
                </c:pt>
                <c:pt idx="32">
                  <c:v>118.31009860591639</c:v>
                </c:pt>
                <c:pt idx="33">
                  <c:v>119.92519551173071</c:v>
                </c:pt>
                <c:pt idx="34">
                  <c:v>121.87181230873824</c:v>
                </c:pt>
                <c:pt idx="35">
                  <c:v>126.54709282556955</c:v>
                </c:pt>
                <c:pt idx="36">
                  <c:v>130.83134988099479</c:v>
                </c:pt>
                <c:pt idx="37" formatCode="General">
                  <c:v>132.4974498469922</c:v>
                </c:pt>
                <c:pt idx="38" formatCode="General">
                  <c:v>139.1193471608297</c:v>
                </c:pt>
                <c:pt idx="39" formatCode="General">
                  <c:v>139.04284257055428</c:v>
                </c:pt>
                <c:pt idx="40" formatCode="General">
                  <c:v>138.685821149269</c:v>
                </c:pt>
                <c:pt idx="41" formatCode="General">
                  <c:v>137.71676300577977</c:v>
                </c:pt>
                <c:pt idx="42" formatCode="General">
                  <c:v>140.17341040462441</c:v>
                </c:pt>
              </c:numCache>
            </c:numRef>
          </c:val>
        </c:ser>
        <c:marker val="1"/>
        <c:axId val="151094784"/>
        <c:axId val="151096320"/>
      </c:lineChart>
      <c:catAx>
        <c:axId val="1510947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1096320"/>
        <c:crosses val="autoZero"/>
        <c:auto val="1"/>
        <c:lblAlgn val="ctr"/>
        <c:lblOffset val="0"/>
        <c:tickLblSkip val="2"/>
        <c:tickMarkSkip val="1"/>
        <c:noMultiLvlLbl val="1"/>
      </c:catAx>
      <c:valAx>
        <c:axId val="151096320"/>
        <c:scaling>
          <c:orientation val="minMax"/>
          <c:max val="140"/>
          <c:min val="104"/>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094784"/>
        <c:crosses val="autoZero"/>
        <c:crossBetween val="between"/>
        <c:majorUnit val="6"/>
      </c:valAx>
      <c:spPr>
        <a:noFill/>
        <a:ln w="6350">
          <a:solidFill>
            <a:sysClr val="window" lastClr="FFFFFF">
              <a:lumMod val="85000"/>
            </a:sysClr>
          </a:solidFill>
        </a:ln>
      </c:spPr>
    </c:plotArea>
    <c:legend>
      <c:legendPos val="b"/>
      <c:layout>
        <c:manualLayout>
          <c:xMode val="edge"/>
          <c:yMode val="edge"/>
          <c:x val="0.15314254329215804"/>
          <c:y val="8.1714699074074068E-2"/>
          <c:w val="0.45080477616355741"/>
          <c:h val="0.18328819444445182"/>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0.92427374599487089</c:v>
                </c:pt>
                <c:pt idx="1">
                  <c:v>-3.6245849495374527</c:v>
                </c:pt>
                <c:pt idx="2">
                  <c:v>-9.2888549524253818</c:v>
                </c:pt>
                <c:pt idx="3">
                  <c:v>-10.100657367178759</c:v>
                </c:pt>
                <c:pt idx="4">
                  <c:v>-10.411363768791485</c:v>
                </c:pt>
                <c:pt idx="5">
                  <c:v>-10.335659676828984</c:v>
                </c:pt>
                <c:pt idx="6">
                  <c:v>-16.304363847669229</c:v>
                </c:pt>
                <c:pt idx="7">
                  <c:v>-18.538481468350291</c:v>
                </c:pt>
                <c:pt idx="8">
                  <c:v>-23.530708164961453</c:v>
                </c:pt>
                <c:pt idx="9">
                  <c:v>-17.701555992316635</c:v>
                </c:pt>
                <c:pt idx="10">
                  <c:v>-20.110655631484835</c:v>
                </c:pt>
                <c:pt idx="11">
                  <c:v>-26.595873969624691</c:v>
                </c:pt>
                <c:pt idx="12">
                  <c:v>-27.430072062797581</c:v>
                </c:pt>
                <c:pt idx="13">
                  <c:v>-30.992617346007489</c:v>
                </c:pt>
                <c:pt idx="14">
                  <c:v>-28.999782802893591</c:v>
                </c:pt>
                <c:pt idx="15">
                  <c:v>-23.589557323121248</c:v>
                </c:pt>
                <c:pt idx="16">
                  <c:v>-23.113484080188691</c:v>
                </c:pt>
                <c:pt idx="17">
                  <c:v>-24.689396017240192</c:v>
                </c:pt>
                <c:pt idx="18">
                  <c:v>-30.16767115678379</c:v>
                </c:pt>
                <c:pt idx="19">
                  <c:v>-28.967695210465141</c:v>
                </c:pt>
                <c:pt idx="20">
                  <c:v>-25.537654040195193</c:v>
                </c:pt>
                <c:pt idx="21">
                  <c:v>-23.741203374513113</c:v>
                </c:pt>
                <c:pt idx="22">
                  <c:v>-26.440500686356319</c:v>
                </c:pt>
                <c:pt idx="23">
                  <c:v>-12.932749157438632</c:v>
                </c:pt>
                <c:pt idx="24">
                  <c:v>-21.413701329459691</c:v>
                </c:pt>
                <c:pt idx="25">
                  <c:v>-17.67978906539409</c:v>
                </c:pt>
                <c:pt idx="26">
                  <c:v>-15.229720031961881</c:v>
                </c:pt>
                <c:pt idx="27">
                  <c:v>-20.706188318690195</c:v>
                </c:pt>
                <c:pt idx="28">
                  <c:v>-8.1223426324426526</c:v>
                </c:pt>
                <c:pt idx="29">
                  <c:v>-12.058834914855288</c:v>
                </c:pt>
                <c:pt idx="30">
                  <c:v>-6.1988158469804668</c:v>
                </c:pt>
                <c:pt idx="31">
                  <c:v>-15.336891097024729</c:v>
                </c:pt>
                <c:pt idx="32">
                  <c:v>-15.01021305528122</c:v>
                </c:pt>
                <c:pt idx="33">
                  <c:v>-17.752242551884489</c:v>
                </c:pt>
                <c:pt idx="34">
                  <c:v>-17.785784935101976</c:v>
                </c:pt>
                <c:pt idx="35">
                  <c:v>-14.613537563552571</c:v>
                </c:pt>
                <c:pt idx="36">
                  <c:v>-18.438881280468902</c:v>
                </c:pt>
                <c:pt idx="37">
                  <c:v>-13.826467126369756</c:v>
                </c:pt>
                <c:pt idx="38">
                  <c:v>-6.0522780916958734</c:v>
                </c:pt>
                <c:pt idx="39">
                  <c:v>-10.493736976104138</c:v>
                </c:pt>
                <c:pt idx="40">
                  <c:v>-9.4204772854148029</c:v>
                </c:pt>
                <c:pt idx="41">
                  <c:v>-15.77313123469902</c:v>
                </c:pt>
                <c:pt idx="42">
                  <c:v>-4.7227795900456284</c:v>
                </c:pt>
              </c:numCache>
            </c:numRef>
          </c:val>
        </c:ser>
        <c:marker val="1"/>
        <c:axId val="151480960"/>
        <c:axId val="151490944"/>
      </c:lineChart>
      <c:catAx>
        <c:axId val="15148096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490944"/>
        <c:crosses val="autoZero"/>
        <c:auto val="1"/>
        <c:lblAlgn val="ctr"/>
        <c:lblOffset val="0"/>
        <c:tickLblSkip val="2"/>
        <c:tickMarkSkip val="1"/>
        <c:noMultiLvlLbl val="1"/>
      </c:catAx>
      <c:valAx>
        <c:axId val="151490944"/>
        <c:scaling>
          <c:orientation val="minMax"/>
          <c:max val="5"/>
          <c:min val="-3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480960"/>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56"/>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68.75</c:v>
                </c:pt>
                <c:pt idx="1">
                  <c:v>77.709999999999994</c:v>
                </c:pt>
                <c:pt idx="2">
                  <c:v>68.33</c:v>
                </c:pt>
                <c:pt idx="3">
                  <c:v>82.95</c:v>
                </c:pt>
                <c:pt idx="4">
                  <c:v>91.06</c:v>
                </c:pt>
                <c:pt idx="5">
                  <c:v>89.64</c:v>
                </c:pt>
                <c:pt idx="6">
                  <c:v>97.6</c:v>
                </c:pt>
                <c:pt idx="7">
                  <c:v>82.14</c:v>
                </c:pt>
                <c:pt idx="8">
                  <c:v>84.39</c:v>
                </c:pt>
                <c:pt idx="9">
                  <c:v>83.92</c:v>
                </c:pt>
                <c:pt idx="10">
                  <c:v>60.7</c:v>
                </c:pt>
                <c:pt idx="11">
                  <c:v>49.47</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38.47</c:v>
                </c:pt>
                <c:pt idx="1">
                  <c:v>35.230000000000011</c:v>
                </c:pt>
                <c:pt idx="2">
                  <c:v>42.660000000000011</c:v>
                </c:pt>
                <c:pt idx="3">
                  <c:v>56.3</c:v>
                </c:pt>
                <c:pt idx="4">
                  <c:v>63.86</c:v>
                </c:pt>
                <c:pt idx="5">
                  <c:v>55.47</c:v>
                </c:pt>
                <c:pt idx="6">
                  <c:v>54.04</c:v>
                </c:pt>
                <c:pt idx="7">
                  <c:v>53.290000000000013</c:v>
                </c:pt>
                <c:pt idx="8">
                  <c:v>50.14</c:v>
                </c:pt>
                <c:pt idx="9">
                  <c:v>41.2</c:v>
                </c:pt>
                <c:pt idx="10">
                  <c:v>37.86</c:v>
                </c:pt>
                <c:pt idx="11">
                  <c:v>32.17</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26.759999999999987</c:v>
                </c:pt>
                <c:pt idx="1">
                  <c:v>24.93</c:v>
                </c:pt>
                <c:pt idx="2">
                  <c:v>38.14</c:v>
                </c:pt>
                <c:pt idx="3" formatCode="General">
                  <c:v>54.17</c:v>
                </c:pt>
                <c:pt idx="4">
                  <c:v>59.82</c:v>
                </c:pt>
                <c:pt idx="5">
                  <c:v>55.690000000000012</c:v>
                </c:pt>
                <c:pt idx="6">
                  <c:v>66.510000000000005</c:v>
                </c:pt>
                <c:pt idx="7">
                  <c:v>69.900000000000006</c:v>
                </c:pt>
                <c:pt idx="8">
                  <c:v>77.02</c:v>
                </c:pt>
                <c:pt idx="9">
                  <c:v>64.3</c:v>
                </c:pt>
                <c:pt idx="10">
                  <c:v>67.709999999999994</c:v>
                </c:pt>
                <c:pt idx="11">
                  <c:v>54.160000000000011</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40.260000000000012</c:v>
                </c:pt>
                <c:pt idx="1">
                  <c:v>37.370000000000005</c:v>
                </c:pt>
                <c:pt idx="2">
                  <c:v>54.620000000000012</c:v>
                </c:pt>
                <c:pt idx="3" formatCode="General">
                  <c:v>63.42</c:v>
                </c:pt>
                <c:pt idx="4" formatCode="General">
                  <c:v>83.6</c:v>
                </c:pt>
                <c:pt idx="5" formatCode="General">
                  <c:v>72.39</c:v>
                </c:pt>
                <c:pt idx="6" formatCode="General">
                  <c:v>76.92</c:v>
                </c:pt>
              </c:numCache>
            </c:numRef>
          </c:val>
        </c:ser>
        <c:marker val="1"/>
        <c:axId val="151438848"/>
        <c:axId val="151440384"/>
      </c:lineChart>
      <c:catAx>
        <c:axId val="1514388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440384"/>
        <c:crosses val="autoZero"/>
        <c:auto val="1"/>
        <c:lblAlgn val="ctr"/>
        <c:lblOffset val="0"/>
        <c:tickMarkSkip val="1"/>
      </c:catAx>
      <c:valAx>
        <c:axId val="151440384"/>
        <c:scaling>
          <c:orientation val="minMax"/>
          <c:max val="100"/>
          <c:min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438848"/>
        <c:crosses val="autoZero"/>
        <c:crossBetween val="between"/>
      </c:valAx>
      <c:spPr>
        <a:noFill/>
        <a:ln w="6350">
          <a:solidFill>
            <a:sysClr val="window" lastClr="FFFFFF">
              <a:lumMod val="85000"/>
            </a:sysClr>
          </a:solidFill>
        </a:ln>
      </c:spPr>
    </c:plotArea>
    <c:legend>
      <c:legendPos val="b"/>
      <c:layout>
        <c:manualLayout>
          <c:xMode val="edge"/>
          <c:yMode val="edge"/>
          <c:x val="0.36448636356200692"/>
          <c:y val="0.64213831018519685"/>
          <c:w val="0.35818544316576961"/>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18257069225573E-2"/>
          <c:y val="4.1334164037576122E-2"/>
          <c:w val="0.92175667635782665"/>
          <c:h val="0.7714221063154606"/>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General</c:formatCode>
                <c:ptCount val="44"/>
                <c:pt idx="0">
                  <c:v>-0.9</c:v>
                </c:pt>
                <c:pt idx="1">
                  <c:v>-0.1</c:v>
                </c:pt>
                <c:pt idx="2">
                  <c:v>0.9</c:v>
                </c:pt>
                <c:pt idx="3">
                  <c:v>-6.1</c:v>
                </c:pt>
                <c:pt idx="4">
                  <c:v>-4.5</c:v>
                </c:pt>
                <c:pt idx="5">
                  <c:v>-7.2</c:v>
                </c:pt>
                <c:pt idx="6">
                  <c:v>-13.4</c:v>
                </c:pt>
                <c:pt idx="7">
                  <c:v>-14</c:v>
                </c:pt>
                <c:pt idx="8">
                  <c:v>-15.2</c:v>
                </c:pt>
                <c:pt idx="9">
                  <c:v>-20</c:v>
                </c:pt>
                <c:pt idx="10">
                  <c:v>-20.7</c:v>
                </c:pt>
                <c:pt idx="11">
                  <c:v>-27.4</c:v>
                </c:pt>
                <c:pt idx="12">
                  <c:v>-27.3</c:v>
                </c:pt>
                <c:pt idx="13">
                  <c:v>-25.7</c:v>
                </c:pt>
                <c:pt idx="14">
                  <c:v>-23.4</c:v>
                </c:pt>
                <c:pt idx="15">
                  <c:v>-23.5</c:v>
                </c:pt>
                <c:pt idx="16">
                  <c:v>-16.100000000000001</c:v>
                </c:pt>
                <c:pt idx="17">
                  <c:v>-15.4</c:v>
                </c:pt>
                <c:pt idx="18">
                  <c:v>-13.4</c:v>
                </c:pt>
                <c:pt idx="19">
                  <c:v>-10.9</c:v>
                </c:pt>
                <c:pt idx="20">
                  <c:v>-7.9</c:v>
                </c:pt>
                <c:pt idx="21">
                  <c:v>-8.7000000000000011</c:v>
                </c:pt>
                <c:pt idx="22">
                  <c:v>-4.5</c:v>
                </c:pt>
                <c:pt idx="23">
                  <c:v>-3.5</c:v>
                </c:pt>
                <c:pt idx="24">
                  <c:v>-3.7</c:v>
                </c:pt>
                <c:pt idx="25">
                  <c:v>-3.8</c:v>
                </c:pt>
                <c:pt idx="26">
                  <c:v>-5.2</c:v>
                </c:pt>
                <c:pt idx="27">
                  <c:v>0.5</c:v>
                </c:pt>
                <c:pt idx="28">
                  <c:v>-4.2</c:v>
                </c:pt>
                <c:pt idx="29">
                  <c:v>-3.6</c:v>
                </c:pt>
                <c:pt idx="30">
                  <c:v>0.2</c:v>
                </c:pt>
                <c:pt idx="31">
                  <c:v>0.8</c:v>
                </c:pt>
                <c:pt idx="32">
                  <c:v>1.2</c:v>
                </c:pt>
                <c:pt idx="33">
                  <c:v>3.2</c:v>
                </c:pt>
                <c:pt idx="34">
                  <c:v>3.5</c:v>
                </c:pt>
                <c:pt idx="35">
                  <c:v>8.1</c:v>
                </c:pt>
                <c:pt idx="36">
                  <c:v>3.6</c:v>
                </c:pt>
                <c:pt idx="37">
                  <c:v>0.8</c:v>
                </c:pt>
                <c:pt idx="38">
                  <c:v>0.60000000000000064</c:v>
                </c:pt>
                <c:pt idx="39">
                  <c:v>-3.5</c:v>
                </c:pt>
                <c:pt idx="40">
                  <c:v>-2.6</c:v>
                </c:pt>
                <c:pt idx="41">
                  <c:v>-2.4</c:v>
                </c:pt>
                <c:pt idx="42">
                  <c:v>-5.0999999999999996</c:v>
                </c:pt>
                <c:pt idx="43">
                  <c:v>-10.9</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General</c:formatCode>
                <c:ptCount val="44"/>
                <c:pt idx="0">
                  <c:v>16.8</c:v>
                </c:pt>
                <c:pt idx="1">
                  <c:v>7.5</c:v>
                </c:pt>
                <c:pt idx="2">
                  <c:v>6.9</c:v>
                </c:pt>
                <c:pt idx="3">
                  <c:v>-3.6</c:v>
                </c:pt>
                <c:pt idx="4">
                  <c:v>-2.5</c:v>
                </c:pt>
                <c:pt idx="5">
                  <c:v>-3.4</c:v>
                </c:pt>
                <c:pt idx="6">
                  <c:v>-9.3000000000000007</c:v>
                </c:pt>
                <c:pt idx="7">
                  <c:v>-8.8000000000000007</c:v>
                </c:pt>
                <c:pt idx="8">
                  <c:v>-15.8</c:v>
                </c:pt>
                <c:pt idx="9">
                  <c:v>-21.8</c:v>
                </c:pt>
                <c:pt idx="10">
                  <c:v>-31.2</c:v>
                </c:pt>
                <c:pt idx="11">
                  <c:v>-32.6</c:v>
                </c:pt>
                <c:pt idx="12">
                  <c:v>-34.300000000000004</c:v>
                </c:pt>
                <c:pt idx="13">
                  <c:v>-41.6</c:v>
                </c:pt>
                <c:pt idx="14">
                  <c:v>-43.6</c:v>
                </c:pt>
                <c:pt idx="15">
                  <c:v>-44.8</c:v>
                </c:pt>
                <c:pt idx="16">
                  <c:v>-41.5</c:v>
                </c:pt>
                <c:pt idx="17">
                  <c:v>-45.6</c:v>
                </c:pt>
                <c:pt idx="18">
                  <c:v>-38.4</c:v>
                </c:pt>
                <c:pt idx="19">
                  <c:v>-34.300000000000004</c:v>
                </c:pt>
                <c:pt idx="20">
                  <c:v>-32.200000000000003</c:v>
                </c:pt>
                <c:pt idx="21">
                  <c:v>-30.3</c:v>
                </c:pt>
                <c:pt idx="22">
                  <c:v>-28.6</c:v>
                </c:pt>
                <c:pt idx="23">
                  <c:v>-24.2</c:v>
                </c:pt>
                <c:pt idx="24">
                  <c:v>-17.7</c:v>
                </c:pt>
                <c:pt idx="25">
                  <c:v>-16</c:v>
                </c:pt>
                <c:pt idx="26">
                  <c:v>-14.4</c:v>
                </c:pt>
                <c:pt idx="27">
                  <c:v>-3.5</c:v>
                </c:pt>
                <c:pt idx="28">
                  <c:v>-3.4</c:v>
                </c:pt>
                <c:pt idx="29">
                  <c:v>2.6</c:v>
                </c:pt>
                <c:pt idx="30">
                  <c:v>8.9</c:v>
                </c:pt>
                <c:pt idx="31">
                  <c:v>7</c:v>
                </c:pt>
                <c:pt idx="32">
                  <c:v>7.1</c:v>
                </c:pt>
                <c:pt idx="33">
                  <c:v>13.3</c:v>
                </c:pt>
                <c:pt idx="34">
                  <c:v>17.899999999999999</c:v>
                </c:pt>
                <c:pt idx="35">
                  <c:v>12.9</c:v>
                </c:pt>
                <c:pt idx="36">
                  <c:v>19</c:v>
                </c:pt>
                <c:pt idx="37">
                  <c:v>23</c:v>
                </c:pt>
                <c:pt idx="38">
                  <c:v>25.1</c:v>
                </c:pt>
                <c:pt idx="39">
                  <c:v>28.8</c:v>
                </c:pt>
                <c:pt idx="40">
                  <c:v>28.8</c:v>
                </c:pt>
                <c:pt idx="41">
                  <c:v>29</c:v>
                </c:pt>
                <c:pt idx="42">
                  <c:v>27.2</c:v>
                </c:pt>
                <c:pt idx="43">
                  <c:v>18.5</c:v>
                </c:pt>
              </c:numCache>
            </c:numRef>
          </c:val>
        </c:ser>
        <c:ser>
          <c:idx val="2"/>
          <c:order val="2"/>
          <c:tx>
            <c:strRef>
              <c:f>Sheet1!$A$5</c:f>
              <c:strCache>
                <c:ptCount val="1"/>
                <c:pt idx="0">
                  <c:v>LV</c:v>
                </c:pt>
              </c:strCache>
            </c:strRef>
          </c:tx>
          <c:spPr>
            <a:ln w="31750">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General</c:formatCode>
                <c:ptCount val="44"/>
                <c:pt idx="0">
                  <c:v>9.1</c:v>
                </c:pt>
                <c:pt idx="1">
                  <c:v>6.9</c:v>
                </c:pt>
                <c:pt idx="2">
                  <c:v>4.5</c:v>
                </c:pt>
                <c:pt idx="3">
                  <c:v>0.30000000000000032</c:v>
                </c:pt>
                <c:pt idx="4">
                  <c:v>1.5</c:v>
                </c:pt>
                <c:pt idx="5">
                  <c:v>-2.5</c:v>
                </c:pt>
                <c:pt idx="6">
                  <c:v>-4.3</c:v>
                </c:pt>
                <c:pt idx="7">
                  <c:v>-5.5</c:v>
                </c:pt>
                <c:pt idx="8">
                  <c:v>-9.4</c:v>
                </c:pt>
                <c:pt idx="9">
                  <c:v>-13</c:v>
                </c:pt>
                <c:pt idx="10">
                  <c:v>-19.5</c:v>
                </c:pt>
                <c:pt idx="11">
                  <c:v>-28.5</c:v>
                </c:pt>
                <c:pt idx="12">
                  <c:v>-31.3</c:v>
                </c:pt>
                <c:pt idx="13">
                  <c:v>-35.200000000000003</c:v>
                </c:pt>
                <c:pt idx="14">
                  <c:v>-32.9</c:v>
                </c:pt>
                <c:pt idx="15">
                  <c:v>-28.6</c:v>
                </c:pt>
                <c:pt idx="16">
                  <c:v>-27.3</c:v>
                </c:pt>
                <c:pt idx="17">
                  <c:v>-28.3</c:v>
                </c:pt>
                <c:pt idx="18">
                  <c:v>-27</c:v>
                </c:pt>
                <c:pt idx="19">
                  <c:v>-26</c:v>
                </c:pt>
                <c:pt idx="20">
                  <c:v>-23.8</c:v>
                </c:pt>
                <c:pt idx="21">
                  <c:v>-20.8</c:v>
                </c:pt>
                <c:pt idx="22">
                  <c:v>-17.7</c:v>
                </c:pt>
                <c:pt idx="23">
                  <c:v>-15.1</c:v>
                </c:pt>
                <c:pt idx="24">
                  <c:v>-16</c:v>
                </c:pt>
                <c:pt idx="25">
                  <c:v>-15.5</c:v>
                </c:pt>
                <c:pt idx="26">
                  <c:v>-5.8</c:v>
                </c:pt>
                <c:pt idx="27">
                  <c:v>1.2</c:v>
                </c:pt>
                <c:pt idx="28">
                  <c:v>4.2</c:v>
                </c:pt>
                <c:pt idx="29">
                  <c:v>8.8000000000000007</c:v>
                </c:pt>
                <c:pt idx="30">
                  <c:v>7.3</c:v>
                </c:pt>
                <c:pt idx="31">
                  <c:v>7.4</c:v>
                </c:pt>
                <c:pt idx="32">
                  <c:v>3.6</c:v>
                </c:pt>
                <c:pt idx="33">
                  <c:v>5</c:v>
                </c:pt>
                <c:pt idx="34">
                  <c:v>6.5</c:v>
                </c:pt>
                <c:pt idx="35">
                  <c:v>3.3</c:v>
                </c:pt>
                <c:pt idx="36">
                  <c:v>5.9</c:v>
                </c:pt>
                <c:pt idx="37">
                  <c:v>7.6</c:v>
                </c:pt>
                <c:pt idx="38">
                  <c:v>6.9</c:v>
                </c:pt>
                <c:pt idx="39">
                  <c:v>6.8</c:v>
                </c:pt>
                <c:pt idx="40">
                  <c:v>7.8</c:v>
                </c:pt>
                <c:pt idx="41">
                  <c:v>9.2000000000000011</c:v>
                </c:pt>
                <c:pt idx="42">
                  <c:v>7.2</c:v>
                </c:pt>
                <c:pt idx="43">
                  <c:v>5.2</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General</c:formatCode>
                <c:ptCount val="44"/>
                <c:pt idx="0">
                  <c:v>26.6</c:v>
                </c:pt>
                <c:pt idx="1">
                  <c:v>23.8</c:v>
                </c:pt>
                <c:pt idx="2">
                  <c:v>20.3</c:v>
                </c:pt>
                <c:pt idx="3">
                  <c:v>14.5</c:v>
                </c:pt>
                <c:pt idx="4">
                  <c:v>21</c:v>
                </c:pt>
                <c:pt idx="5">
                  <c:v>7.4</c:v>
                </c:pt>
                <c:pt idx="6">
                  <c:v>9</c:v>
                </c:pt>
                <c:pt idx="7">
                  <c:v>10.1</c:v>
                </c:pt>
                <c:pt idx="8">
                  <c:v>2.6</c:v>
                </c:pt>
                <c:pt idx="9">
                  <c:v>-10.4</c:v>
                </c:pt>
                <c:pt idx="10">
                  <c:v>-25.7</c:v>
                </c:pt>
                <c:pt idx="11">
                  <c:v>-32.4</c:v>
                </c:pt>
                <c:pt idx="12">
                  <c:v>-47.6</c:v>
                </c:pt>
                <c:pt idx="13">
                  <c:v>-52.9</c:v>
                </c:pt>
                <c:pt idx="14">
                  <c:v>-50.5</c:v>
                </c:pt>
                <c:pt idx="15">
                  <c:v>-57.8</c:v>
                </c:pt>
                <c:pt idx="16">
                  <c:v>-35.4</c:v>
                </c:pt>
                <c:pt idx="17">
                  <c:v>-37</c:v>
                </c:pt>
                <c:pt idx="18">
                  <c:v>-41.5</c:v>
                </c:pt>
                <c:pt idx="19">
                  <c:v>-41.5</c:v>
                </c:pt>
                <c:pt idx="20">
                  <c:v>-45.6</c:v>
                </c:pt>
                <c:pt idx="21">
                  <c:v>-36</c:v>
                </c:pt>
                <c:pt idx="22">
                  <c:v>-41.9</c:v>
                </c:pt>
                <c:pt idx="23">
                  <c:v>-40.200000000000003</c:v>
                </c:pt>
                <c:pt idx="24">
                  <c:v>-28.7</c:v>
                </c:pt>
                <c:pt idx="25">
                  <c:v>-24.8</c:v>
                </c:pt>
                <c:pt idx="26">
                  <c:v>-22.9</c:v>
                </c:pt>
                <c:pt idx="27">
                  <c:v>-17.3</c:v>
                </c:pt>
                <c:pt idx="28">
                  <c:v>-13.1</c:v>
                </c:pt>
                <c:pt idx="29">
                  <c:v>-4.7</c:v>
                </c:pt>
                <c:pt idx="30">
                  <c:v>-2.2000000000000002</c:v>
                </c:pt>
                <c:pt idx="31">
                  <c:v>5</c:v>
                </c:pt>
                <c:pt idx="32">
                  <c:v>8.3000000000000007</c:v>
                </c:pt>
                <c:pt idx="33">
                  <c:v>7.3</c:v>
                </c:pt>
                <c:pt idx="34">
                  <c:v>8</c:v>
                </c:pt>
                <c:pt idx="35">
                  <c:v>15.6</c:v>
                </c:pt>
                <c:pt idx="36">
                  <c:v>-2.1</c:v>
                </c:pt>
                <c:pt idx="37">
                  <c:v>2.4</c:v>
                </c:pt>
                <c:pt idx="38">
                  <c:v>2.6</c:v>
                </c:pt>
                <c:pt idx="39">
                  <c:v>5</c:v>
                </c:pt>
                <c:pt idx="40">
                  <c:v>9.7000000000000011</c:v>
                </c:pt>
                <c:pt idx="41">
                  <c:v>9.3000000000000007</c:v>
                </c:pt>
                <c:pt idx="42">
                  <c:v>3.2</c:v>
                </c:pt>
                <c:pt idx="43">
                  <c:v>2.1</c:v>
                </c:pt>
              </c:numCache>
            </c:numRef>
          </c:val>
        </c:ser>
        <c:marker val="1"/>
        <c:axId val="189634816"/>
        <c:axId val="197624576"/>
      </c:lineChart>
      <c:catAx>
        <c:axId val="189634816"/>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97624576"/>
        <c:crosses val="autoZero"/>
        <c:lblAlgn val="ctr"/>
        <c:lblOffset val="0"/>
        <c:tickLblSkip val="1"/>
        <c:tickMarkSkip val="1"/>
        <c:noMultiLvlLbl val="1"/>
      </c:catAx>
      <c:valAx>
        <c:axId val="197624576"/>
        <c:scaling>
          <c:orientation val="minMax"/>
          <c:max val="3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800" b="0" i="0" u="none" strike="noStrike" baseline="0">
                <a:solidFill>
                  <a:srgbClr val="000000"/>
                </a:solidFill>
                <a:latin typeface="Arial" pitchFamily="34" charset="0"/>
                <a:ea typeface="Times New Roman"/>
                <a:cs typeface="Arial" pitchFamily="34" charset="0"/>
              </a:defRPr>
            </a:pPr>
            <a:endParaRPr lang="lv-LV"/>
          </a:p>
        </c:txPr>
        <c:crossAx val="189634816"/>
        <c:crosses val="autoZero"/>
        <c:crossBetween val="between"/>
        <c:majorUnit val="15"/>
      </c:valAx>
      <c:spPr>
        <a:noFill/>
        <a:ln w="12700">
          <a:solidFill>
            <a:sysClr val="window" lastClr="FFFFFF">
              <a:lumMod val="85000"/>
            </a:sysClr>
          </a:solidFill>
        </a:ln>
      </c:spPr>
    </c:plotArea>
    <c:legend>
      <c:legendPos val="b"/>
      <c:layout>
        <c:manualLayout>
          <c:xMode val="edge"/>
          <c:yMode val="edge"/>
          <c:x val="0.28642640936952279"/>
          <c:y val="9.0215361850173773E-2"/>
          <c:w val="0.29229944902299027"/>
          <c:h val="0.14229394348131719"/>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107.02576112412117</c:v>
                </c:pt>
                <c:pt idx="1">
                  <c:v>111.47540983606523</c:v>
                </c:pt>
                <c:pt idx="2">
                  <c:v>98.126463700234183</c:v>
                </c:pt>
                <c:pt idx="3">
                  <c:v>94.496487119437859</c:v>
                </c:pt>
                <c:pt idx="4">
                  <c:v>91.100702576112027</c:v>
                </c:pt>
                <c:pt idx="5">
                  <c:v>97.189695550351288</c:v>
                </c:pt>
                <c:pt idx="6">
                  <c:v>93.442622950819697</c:v>
                </c:pt>
                <c:pt idx="7">
                  <c:v>84.777517564402814</c:v>
                </c:pt>
                <c:pt idx="8">
                  <c:v>82.903981264636982</c:v>
                </c:pt>
                <c:pt idx="9">
                  <c:v>86.065573770491341</c:v>
                </c:pt>
                <c:pt idx="10">
                  <c:v>75.175644028103051</c:v>
                </c:pt>
                <c:pt idx="11">
                  <c:v>69.437939110070261</c:v>
                </c:pt>
                <c:pt idx="12">
                  <c:v>64.637002341920379</c:v>
                </c:pt>
                <c:pt idx="13">
                  <c:v>62.646370023419209</c:v>
                </c:pt>
                <c:pt idx="14">
                  <c:v>60.187353629976585</c:v>
                </c:pt>
                <c:pt idx="15">
                  <c:v>62.412177985948475</c:v>
                </c:pt>
                <c:pt idx="16">
                  <c:v>64.754098360655718</c:v>
                </c:pt>
                <c:pt idx="17">
                  <c:v>57.728337236534315</c:v>
                </c:pt>
                <c:pt idx="18">
                  <c:v>51.170960187353494</c:v>
                </c:pt>
                <c:pt idx="19">
                  <c:v>53.629976580796246</c:v>
                </c:pt>
                <c:pt idx="20">
                  <c:v>48.360655737704931</c:v>
                </c:pt>
                <c:pt idx="21">
                  <c:v>44.262295081967217</c:v>
                </c:pt>
                <c:pt idx="22">
                  <c:v>45.433255269320853</c:v>
                </c:pt>
                <c:pt idx="23">
                  <c:v>45.901639344262158</c:v>
                </c:pt>
                <c:pt idx="24">
                  <c:v>48.009367681498844</c:v>
                </c:pt>
                <c:pt idx="25">
                  <c:v>46.604215456674495</c:v>
                </c:pt>
                <c:pt idx="26" formatCode="General">
                  <c:v>52.576112412178276</c:v>
                </c:pt>
                <c:pt idx="27" formatCode="General">
                  <c:v>59.601873536299792</c:v>
                </c:pt>
                <c:pt idx="28" formatCode="General">
                  <c:v>57.728337236534344</c:v>
                </c:pt>
                <c:pt idx="29" formatCode="General">
                  <c:v>58.196721311475592</c:v>
                </c:pt>
                <c:pt idx="30" formatCode="General">
                  <c:v>64.402810304449659</c:v>
                </c:pt>
                <c:pt idx="31" formatCode="General">
                  <c:v>67.096018735363032</c:v>
                </c:pt>
                <c:pt idx="32" formatCode="General">
                  <c:v>72.482435597189166</c:v>
                </c:pt>
                <c:pt idx="33" formatCode="General">
                  <c:v>70.843091334894154</c:v>
                </c:pt>
                <c:pt idx="34" formatCode="General">
                  <c:v>76.932084309133515</c:v>
                </c:pt>
                <c:pt idx="35" formatCode="General">
                  <c:v>74.473067915690848</c:v>
                </c:pt>
                <c:pt idx="36" formatCode="General">
                  <c:v>70.843091334894154</c:v>
                </c:pt>
                <c:pt idx="37" formatCode="General">
                  <c:v>71.194379391100711</c:v>
                </c:pt>
                <c:pt idx="38" formatCode="General">
                  <c:v>75.409836065573785</c:v>
                </c:pt>
                <c:pt idx="39" formatCode="General">
                  <c:v>72.482435597189138</c:v>
                </c:pt>
                <c:pt idx="40" formatCode="General">
                  <c:v>77.985948477751208</c:v>
                </c:pt>
                <c:pt idx="41" formatCode="General">
                  <c:v>76.112412177985405</c:v>
                </c:pt>
                <c:pt idx="42" formatCode="General">
                  <c:v>76.814988290398134</c:v>
                </c:pt>
              </c:numCache>
            </c:numRef>
          </c:val>
        </c:ser>
        <c:marker val="1"/>
        <c:axId val="151702144"/>
        <c:axId val="151708032"/>
      </c:lineChart>
      <c:catAx>
        <c:axId val="15170214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708032"/>
        <c:crosses val="autoZero"/>
        <c:auto val="1"/>
        <c:lblAlgn val="ctr"/>
        <c:lblOffset val="0"/>
        <c:tickLblSkip val="2"/>
        <c:tickMarkSkip val="1"/>
        <c:noMultiLvlLbl val="1"/>
      </c:catAx>
      <c:valAx>
        <c:axId val="151708032"/>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70214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12.512100000000002</c:v>
                </c:pt>
                <c:pt idx="1">
                  <c:v>13.929</c:v>
                </c:pt>
                <c:pt idx="2">
                  <c:v>13.564900000000002</c:v>
                </c:pt>
                <c:pt idx="3">
                  <c:v>18.908099999999884</c:v>
                </c:pt>
                <c:pt idx="4">
                  <c:v>20.725699999999868</c:v>
                </c:pt>
                <c:pt idx="5">
                  <c:v>19.552699999999898</c:v>
                </c:pt>
                <c:pt idx="6">
                  <c:v>21.206800000000001</c:v>
                </c:pt>
                <c:pt idx="7">
                  <c:v>19.887799999999906</c:v>
                </c:pt>
                <c:pt idx="8">
                  <c:v>19.741899999999987</c:v>
                </c:pt>
                <c:pt idx="9">
                  <c:v>17.224499999999914</c:v>
                </c:pt>
                <c:pt idx="10">
                  <c:v>11.0161</c:v>
                </c:pt>
                <c:pt idx="11">
                  <c:v>8.9051000000000027</c:v>
                </c:pt>
                <c:pt idx="12">
                  <c:v>4.4159000000000006</c:v>
                </c:pt>
                <c:pt idx="13">
                  <c:v>4.3968000000000007</c:v>
                </c:pt>
                <c:pt idx="14">
                  <c:v>5.3994</c:v>
                </c:pt>
                <c:pt idx="15">
                  <c:v>8.0372000000000003</c:v>
                </c:pt>
                <c:pt idx="16">
                  <c:v>11.074400000000002</c:v>
                </c:pt>
                <c:pt idx="17">
                  <c:v>10.41</c:v>
                </c:pt>
                <c:pt idx="18">
                  <c:v>10.136700000000001</c:v>
                </c:pt>
                <c:pt idx="19">
                  <c:v>8.7214999999999989</c:v>
                </c:pt>
                <c:pt idx="20">
                  <c:v>8.1452000000000009</c:v>
                </c:pt>
                <c:pt idx="21">
                  <c:v>6.9877999999999991</c:v>
                </c:pt>
                <c:pt idx="22">
                  <c:v>4.9131999999999998</c:v>
                </c:pt>
                <c:pt idx="23">
                  <c:v>3.6200000000000006</c:v>
                </c:pt>
                <c:pt idx="24">
                  <c:v>2.1758999999999977</c:v>
                </c:pt>
                <c:pt idx="25">
                  <c:v>2.1173000000000002</c:v>
                </c:pt>
                <c:pt idx="26">
                  <c:v>3.154300000000001</c:v>
                </c:pt>
                <c:pt idx="27">
                  <c:v>5.2418999999999993</c:v>
                </c:pt>
                <c:pt idx="28">
                  <c:v>7.1625999999999763</c:v>
                </c:pt>
                <c:pt idx="29">
                  <c:v>7.6446000000000005</c:v>
                </c:pt>
                <c:pt idx="30">
                  <c:v>9.433600000000002</c:v>
                </c:pt>
                <c:pt idx="31">
                  <c:v>10.661900000000001</c:v>
                </c:pt>
                <c:pt idx="32">
                  <c:v>11.250900000000001</c:v>
                </c:pt>
                <c:pt idx="33">
                  <c:v>10.424200000000001</c:v>
                </c:pt>
                <c:pt idx="34">
                  <c:v>7.8739999999999997</c:v>
                </c:pt>
                <c:pt idx="35">
                  <c:v>4.0221999999999865</c:v>
                </c:pt>
                <c:pt idx="36">
                  <c:v>3.0353999999999997</c:v>
                </c:pt>
                <c:pt idx="37">
                  <c:v>2.6286000000000005</c:v>
                </c:pt>
                <c:pt idx="38">
                  <c:v>4.8281999999999945</c:v>
                </c:pt>
                <c:pt idx="39">
                  <c:v>6.1073999999999975</c:v>
                </c:pt>
                <c:pt idx="40">
                  <c:v>10.5063</c:v>
                </c:pt>
                <c:pt idx="41">
                  <c:v>12.370700000000006</c:v>
                </c:pt>
                <c:pt idx="42">
                  <c:v>15.349500000000004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4.0602</c:v>
                </c:pt>
                <c:pt idx="1">
                  <c:v>4.8381000000000007</c:v>
                </c:pt>
                <c:pt idx="2">
                  <c:v>4.6058999999999966</c:v>
                </c:pt>
                <c:pt idx="3">
                  <c:v>5.0106999999999999</c:v>
                </c:pt>
                <c:pt idx="4">
                  <c:v>5.0658999999999965</c:v>
                </c:pt>
                <c:pt idx="5">
                  <c:v>6.2548999999999975</c:v>
                </c:pt>
                <c:pt idx="6">
                  <c:v>6.4881000000000002</c:v>
                </c:pt>
                <c:pt idx="7">
                  <c:v>5.8620999999999945</c:v>
                </c:pt>
                <c:pt idx="8">
                  <c:v>6.4586999999999994</c:v>
                </c:pt>
                <c:pt idx="9">
                  <c:v>6.0590999999999999</c:v>
                </c:pt>
                <c:pt idx="10">
                  <c:v>4.4153000000000002</c:v>
                </c:pt>
                <c:pt idx="11">
                  <c:v>2.8068999999999904</c:v>
                </c:pt>
                <c:pt idx="12">
                  <c:v>3.3420999999999967</c:v>
                </c:pt>
                <c:pt idx="13">
                  <c:v>3.3017999999999987</c:v>
                </c:pt>
                <c:pt idx="14">
                  <c:v>2.9255999999999998</c:v>
                </c:pt>
                <c:pt idx="15">
                  <c:v>3.6236000000000002</c:v>
                </c:pt>
                <c:pt idx="16">
                  <c:v>3.3639999999999999</c:v>
                </c:pt>
                <c:pt idx="17">
                  <c:v>4.0243999999999955</c:v>
                </c:pt>
                <c:pt idx="18">
                  <c:v>3.7842000000000002</c:v>
                </c:pt>
                <c:pt idx="19">
                  <c:v>3.9565999999999977</c:v>
                </c:pt>
                <c:pt idx="20">
                  <c:v>3.8641999999999999</c:v>
                </c:pt>
                <c:pt idx="21">
                  <c:v>3.7420999999999998</c:v>
                </c:pt>
                <c:pt idx="22">
                  <c:v>3.1579000000000002</c:v>
                </c:pt>
                <c:pt idx="23">
                  <c:v>2.5246</c:v>
                </c:pt>
                <c:pt idx="24">
                  <c:v>2.9563999999999977</c:v>
                </c:pt>
                <c:pt idx="25">
                  <c:v>3.798</c:v>
                </c:pt>
                <c:pt idx="26">
                  <c:v>5.2837000000000014</c:v>
                </c:pt>
                <c:pt idx="27">
                  <c:v>6.6693999999999996</c:v>
                </c:pt>
                <c:pt idx="28">
                  <c:v>7.2765000000000004</c:v>
                </c:pt>
                <c:pt idx="29">
                  <c:v>7.9151000000000007</c:v>
                </c:pt>
                <c:pt idx="30">
                  <c:v>6.9832000000000134</c:v>
                </c:pt>
                <c:pt idx="31">
                  <c:v>7.6836000000000002</c:v>
                </c:pt>
                <c:pt idx="32">
                  <c:v>8.9681000000000015</c:v>
                </c:pt>
                <c:pt idx="33">
                  <c:v>7.5848999999999975</c:v>
                </c:pt>
                <c:pt idx="34">
                  <c:v>7.2944999999999975</c:v>
                </c:pt>
                <c:pt idx="35">
                  <c:v>5.4477000000000002</c:v>
                </c:pt>
                <c:pt idx="36">
                  <c:v>5.2153</c:v>
                </c:pt>
                <c:pt idx="37">
                  <c:v>5.1944999999999855</c:v>
                </c:pt>
                <c:pt idx="38">
                  <c:v>7.7377000000000002</c:v>
                </c:pt>
                <c:pt idx="39">
                  <c:v>9.2717000000000009</c:v>
                </c:pt>
                <c:pt idx="40">
                  <c:v>10.046299999999999</c:v>
                </c:pt>
                <c:pt idx="41">
                  <c:v>9.9898000000000042</c:v>
                </c:pt>
                <c:pt idx="42">
                  <c:v>9.297600000000001</c:v>
                </c:pt>
              </c:numCache>
            </c:numRef>
          </c:val>
        </c:ser>
        <c:gapWidth val="0"/>
        <c:overlap val="100"/>
        <c:axId val="151679744"/>
        <c:axId val="151681280"/>
      </c:barChart>
      <c:catAx>
        <c:axId val="15167974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681280"/>
        <c:crosses val="autoZero"/>
        <c:auto val="1"/>
        <c:lblAlgn val="ctr"/>
        <c:lblOffset val="0"/>
        <c:tickLblSkip val="3"/>
        <c:tickMarkSkip val="1"/>
        <c:noMultiLvlLbl val="1"/>
      </c:catAx>
      <c:valAx>
        <c:axId val="151681280"/>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679744"/>
        <c:crosses val="autoZero"/>
        <c:crossBetween val="between"/>
      </c:valAx>
      <c:spPr>
        <a:noFill/>
        <a:ln w="6350">
          <a:solidFill>
            <a:sysClr val="window" lastClr="FFFFFF">
              <a:lumMod val="85000"/>
            </a:sysClr>
          </a:solidFill>
        </a:ln>
      </c:spPr>
    </c:plotArea>
    <c:legend>
      <c:legendPos val="b"/>
      <c:layout>
        <c:manualLayout>
          <c:xMode val="edge"/>
          <c:yMode val="edge"/>
          <c:x val="0.48768778550407826"/>
          <c:y val="7.3834490740743497E-2"/>
          <c:w val="0.35673227969348681"/>
          <c:h val="0.13589057465377183"/>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7"/>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-11.63615949744495</c:v>
                </c:pt>
                <c:pt idx="1">
                  <c:v>20.793670925934521</c:v>
                </c:pt>
                <c:pt idx="2">
                  <c:v>-10.925442027397853</c:v>
                </c:pt>
                <c:pt idx="3">
                  <c:v>-0.38808882627906283</c:v>
                </c:pt>
                <c:pt idx="4">
                  <c:v>4.5550347611574162</c:v>
                </c:pt>
                <c:pt idx="5">
                  <c:v>6.5273896403553717</c:v>
                </c:pt>
                <c:pt idx="6">
                  <c:v>6.3252047582818909</c:v>
                </c:pt>
                <c:pt idx="7">
                  <c:v>2.3714464020273307</c:v>
                </c:pt>
                <c:pt idx="8">
                  <c:v>4.5370117596184745</c:v>
                </c:pt>
                <c:pt idx="9">
                  <c:v>-5.1935430442152466</c:v>
                </c:pt>
                <c:pt idx="10">
                  <c:v>-26.284170420490629</c:v>
                </c:pt>
                <c:pt idx="11">
                  <c:v>-26.843378156919201</c:v>
                </c:pt>
                <c:pt idx="12">
                  <c:v>-49.292985149263657</c:v>
                </c:pt>
                <c:pt idx="13">
                  <c:v>-54.594690338140531</c:v>
                </c:pt>
                <c:pt idx="14">
                  <c:v>-50.840025721955911</c:v>
                </c:pt>
                <c:pt idx="15">
                  <c:v>-45.206228435137078</c:v>
                </c:pt>
                <c:pt idx="16">
                  <c:v>-37.127752367864183</c:v>
                </c:pt>
                <c:pt idx="17">
                  <c:v>-38.207385679101499</c:v>
                </c:pt>
                <c:pt idx="18">
                  <c:v>-44.737747650864755</c:v>
                </c:pt>
                <c:pt idx="19">
                  <c:v>-43.746691596627294</c:v>
                </c:pt>
                <c:pt idx="20">
                  <c:v>-47.260188936517679</c:v>
                </c:pt>
                <c:pt idx="21">
                  <c:v>-48.05276125255552</c:v>
                </c:pt>
                <c:pt idx="22">
                  <c:v>-41.5244466972608</c:v>
                </c:pt>
                <c:pt idx="23">
                  <c:v>-38.856434912996775</c:v>
                </c:pt>
                <c:pt idx="24">
                  <c:v>-21.808593993233586</c:v>
                </c:pt>
                <c:pt idx="25">
                  <c:v>-10.95786795987212</c:v>
                </c:pt>
                <c:pt idx="26">
                  <c:v>19.9418167258697</c:v>
                </c:pt>
                <c:pt idx="27">
                  <c:v>20.168429289450089</c:v>
                </c:pt>
                <c:pt idx="28">
                  <c:v>13.757267378826569</c:v>
                </c:pt>
                <c:pt idx="29">
                  <c:v>19.031385912624735</c:v>
                </c:pt>
                <c:pt idx="30">
                  <c:v>27.231632611477579</c:v>
                </c:pt>
                <c:pt idx="31">
                  <c:v>51.343589863847718</c:v>
                </c:pt>
                <c:pt idx="32">
                  <c:v>74.248123004941334</c:v>
                </c:pt>
                <c:pt idx="33">
                  <c:v>71.470401502056049</c:v>
                </c:pt>
                <c:pt idx="34">
                  <c:v>95.458922432963988</c:v>
                </c:pt>
                <c:pt idx="35">
                  <c:v>64.297727405438877</c:v>
                </c:pt>
                <c:pt idx="36">
                  <c:v>55.432460596106807</c:v>
                </c:pt>
                <c:pt idx="37">
                  <c:v>26.875489394236286</c:v>
                </c:pt>
                <c:pt idx="38" formatCode="General">
                  <c:v>40.688071928500193</c:v>
                </c:pt>
                <c:pt idx="39" formatCode="General">
                  <c:v>22.203168417176641</c:v>
                </c:pt>
                <c:pt idx="40" formatCode="General">
                  <c:v>32.552632265154443</c:v>
                </c:pt>
                <c:pt idx="41" formatCode="General">
                  <c:v>32.009218293150383</c:v>
                </c:pt>
                <c:pt idx="42" formatCode="General">
                  <c:v>37.832017480391144</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13.245621293420385</c:v>
                </c:pt>
                <c:pt idx="1">
                  <c:v>14.790108523121548</c:v>
                </c:pt>
                <c:pt idx="2">
                  <c:v>6.9011876949465432</c:v>
                </c:pt>
                <c:pt idx="3">
                  <c:v>12.113283374264455</c:v>
                </c:pt>
                <c:pt idx="4">
                  <c:v>-2.6300807016028216</c:v>
                </c:pt>
                <c:pt idx="5">
                  <c:v>-4.4892038036712503</c:v>
                </c:pt>
                <c:pt idx="6">
                  <c:v>-4.3366133806668437</c:v>
                </c:pt>
                <c:pt idx="7">
                  <c:v>-5.9374580640314321</c:v>
                </c:pt>
                <c:pt idx="8">
                  <c:v>-0.20494073579389849</c:v>
                </c:pt>
                <c:pt idx="9">
                  <c:v>-7.8056162271532745</c:v>
                </c:pt>
                <c:pt idx="10">
                  <c:v>-2.8958053477658723</c:v>
                </c:pt>
                <c:pt idx="11">
                  <c:v>4.4293168356844624E-2</c:v>
                </c:pt>
                <c:pt idx="12">
                  <c:v>-3.8939593303800777</c:v>
                </c:pt>
                <c:pt idx="13">
                  <c:v>-4.383521532633317</c:v>
                </c:pt>
                <c:pt idx="14">
                  <c:v>-3.3447102280297898</c:v>
                </c:pt>
                <c:pt idx="15">
                  <c:v>-6.0421619523405568</c:v>
                </c:pt>
                <c:pt idx="16">
                  <c:v>-6.8912305568089645</c:v>
                </c:pt>
                <c:pt idx="17">
                  <c:v>-5.8618032419915096</c:v>
                </c:pt>
                <c:pt idx="18">
                  <c:v>-4.9970410647471324</c:v>
                </c:pt>
                <c:pt idx="19">
                  <c:v>-7.0177773916016903</c:v>
                </c:pt>
                <c:pt idx="20">
                  <c:v>-6.9034561708464395</c:v>
                </c:pt>
                <c:pt idx="21">
                  <c:v>-5.8637293245030122</c:v>
                </c:pt>
                <c:pt idx="22">
                  <c:v>-6.1724570185392755</c:v>
                </c:pt>
                <c:pt idx="23">
                  <c:v>-8.6794257427409178</c:v>
                </c:pt>
                <c:pt idx="24">
                  <c:v>-12.036469167374818</c:v>
                </c:pt>
                <c:pt idx="25">
                  <c:v>-12.20608392748403</c:v>
                </c:pt>
                <c:pt idx="26">
                  <c:v>-18.584459368512313</c:v>
                </c:pt>
                <c:pt idx="27">
                  <c:v>-18.020206182973638</c:v>
                </c:pt>
                <c:pt idx="28">
                  <c:v>-13.752419196202474</c:v>
                </c:pt>
                <c:pt idx="29">
                  <c:v>-11.235426260682132</c:v>
                </c:pt>
                <c:pt idx="30">
                  <c:v>-9.302475732252816</c:v>
                </c:pt>
                <c:pt idx="31">
                  <c:v>-6.6413079761834055</c:v>
                </c:pt>
                <c:pt idx="32">
                  <c:v>-5.8883381697284847</c:v>
                </c:pt>
                <c:pt idx="33">
                  <c:v>-3.6300674821682377</c:v>
                </c:pt>
                <c:pt idx="34">
                  <c:v>-7.5229533581166699</c:v>
                </c:pt>
                <c:pt idx="35">
                  <c:v>-10.180290957175401</c:v>
                </c:pt>
                <c:pt idx="36">
                  <c:v>5.3278223179862634</c:v>
                </c:pt>
                <c:pt idx="37">
                  <c:v>5.3764673957828553</c:v>
                </c:pt>
                <c:pt idx="38" formatCode="General">
                  <c:v>8.2322883464466088</c:v>
                </c:pt>
                <c:pt idx="39" formatCode="General">
                  <c:v>6.9103624316812171</c:v>
                </c:pt>
                <c:pt idx="40" formatCode="General">
                  <c:v>9.7872642657927589</c:v>
                </c:pt>
                <c:pt idx="41" formatCode="General">
                  <c:v>11.698565275941547</c:v>
                </c:pt>
                <c:pt idx="42" formatCode="General">
                  <c:v>12.30138245138602</c:v>
                </c:pt>
              </c:numCache>
            </c:numRef>
          </c:val>
        </c:ser>
        <c:gapWidth val="48"/>
        <c:overlap val="100"/>
        <c:axId val="151891968"/>
        <c:axId val="151894272"/>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1.6094617959754272</c:v>
                </c:pt>
                <c:pt idx="1">
                  <c:v>35.583779449056095</c:v>
                </c:pt>
                <c:pt idx="2">
                  <c:v>-4.0242543324512408</c:v>
                </c:pt>
                <c:pt idx="3">
                  <c:v>11.725194547985422</c:v>
                </c:pt>
                <c:pt idx="4">
                  <c:v>1.9249540595546222</c:v>
                </c:pt>
                <c:pt idx="5">
                  <c:v>2.0381858366841783</c:v>
                </c:pt>
                <c:pt idx="6">
                  <c:v>1.9885913776150939</c:v>
                </c:pt>
                <c:pt idx="7">
                  <c:v>-3.5660116620041009</c:v>
                </c:pt>
                <c:pt idx="8">
                  <c:v>4.3320710238245974</c:v>
                </c:pt>
                <c:pt idx="9">
                  <c:v>-12.999159271368526</c:v>
                </c:pt>
                <c:pt idx="10">
                  <c:v>-29.179975768256678</c:v>
                </c:pt>
                <c:pt idx="11">
                  <c:v>-26.799084988562289</c:v>
                </c:pt>
                <c:pt idx="12">
                  <c:v>-53.186944479643294</c:v>
                </c:pt>
                <c:pt idx="13">
                  <c:v>-58.978211870773862</c:v>
                </c:pt>
                <c:pt idx="14">
                  <c:v>-54.184735949986006</c:v>
                </c:pt>
                <c:pt idx="15">
                  <c:v>-51.248390387477663</c:v>
                </c:pt>
                <c:pt idx="16">
                  <c:v>-44.018982924673153</c:v>
                </c:pt>
                <c:pt idx="17">
                  <c:v>-44.069188921093009</c:v>
                </c:pt>
                <c:pt idx="18">
                  <c:v>-49.734788715611899</c:v>
                </c:pt>
                <c:pt idx="19">
                  <c:v>-50.764468988229083</c:v>
                </c:pt>
                <c:pt idx="20">
                  <c:v>-54.163645107363948</c:v>
                </c:pt>
                <c:pt idx="21">
                  <c:v>-53.916490577058305</c:v>
                </c:pt>
                <c:pt idx="22">
                  <c:v>-47.696903715800261</c:v>
                </c:pt>
                <c:pt idx="23">
                  <c:v>-47.535860655737409</c:v>
                </c:pt>
                <c:pt idx="24">
                  <c:v>-33.84506316060822</c:v>
                </c:pt>
                <c:pt idx="25">
                  <c:v>-23.163951887356191</c:v>
                </c:pt>
                <c:pt idx="26">
                  <c:v>1.3573573573573858</c:v>
                </c:pt>
                <c:pt idx="27">
                  <c:v>2.1482231064764012</c:v>
                </c:pt>
                <c:pt idx="28">
                  <c:v>4.8481826241015824E-3</c:v>
                </c:pt>
                <c:pt idx="29">
                  <c:v>7.7959596519425958</c:v>
                </c:pt>
                <c:pt idx="30">
                  <c:v>17.929156879224674</c:v>
                </c:pt>
                <c:pt idx="31">
                  <c:v>44.702281887664363</c:v>
                </c:pt>
                <c:pt idx="32">
                  <c:v>68.359784835212409</c:v>
                </c:pt>
                <c:pt idx="33">
                  <c:v>67.840334019888289</c:v>
                </c:pt>
                <c:pt idx="34">
                  <c:v>87.935969074847719</c:v>
                </c:pt>
                <c:pt idx="35">
                  <c:v>54.117436448263277</c:v>
                </c:pt>
                <c:pt idx="36">
                  <c:v>60.760282914093111</c:v>
                </c:pt>
                <c:pt idx="37">
                  <c:v>32.251956790019108</c:v>
                </c:pt>
                <c:pt idx="38" formatCode="General">
                  <c:v>48.920360274946624</c:v>
                </c:pt>
                <c:pt idx="39" formatCode="General">
                  <c:v>29.113530848857827</c:v>
                </c:pt>
                <c:pt idx="40" formatCode="General">
                  <c:v>42.339896530947144</c:v>
                </c:pt>
                <c:pt idx="41" formatCode="General">
                  <c:v>43.707783569091895</c:v>
                </c:pt>
                <c:pt idx="42" formatCode="General">
                  <c:v>50.133399931777213</c:v>
                </c:pt>
              </c:numCache>
            </c:numRef>
          </c:val>
        </c:ser>
        <c:marker val="1"/>
        <c:axId val="151891968"/>
        <c:axId val="151894272"/>
      </c:lineChart>
      <c:catAx>
        <c:axId val="15189196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894272"/>
        <c:crosses val="autoZero"/>
        <c:auto val="1"/>
        <c:lblAlgn val="ctr"/>
        <c:lblOffset val="0"/>
        <c:tickLblSkip val="2"/>
        <c:tickMarkSkip val="1"/>
        <c:noMultiLvlLbl val="1"/>
      </c:catAx>
      <c:valAx>
        <c:axId val="151894272"/>
        <c:scaling>
          <c:orientation val="minMax"/>
          <c:max val="100"/>
          <c:min val="-7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891968"/>
        <c:crosses val="autoZero"/>
        <c:crossBetween val="between"/>
        <c:majorUnit val="25"/>
      </c:valAx>
      <c:spPr>
        <a:noFill/>
        <a:ln w="6350">
          <a:solidFill>
            <a:sysClr val="window" lastClr="FFFFFF">
              <a:lumMod val="85000"/>
            </a:sysClr>
          </a:solidFill>
        </a:ln>
      </c:spPr>
    </c:plotArea>
    <c:legend>
      <c:legendPos val="b"/>
      <c:layout>
        <c:manualLayout>
          <c:xMode val="edge"/>
          <c:yMode val="edge"/>
          <c:x val="0.15723358204430693"/>
          <c:y val="0.11872337962963002"/>
          <c:w val="0.5220632183908046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105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104.22734341863421</c:v>
                </c:pt>
                <c:pt idx="1">
                  <c:v>102.17729393468115</c:v>
                </c:pt>
                <c:pt idx="2">
                  <c:v>101.44917291107026</c:v>
                </c:pt>
                <c:pt idx="3">
                  <c:v>105.11805457373077</c:v>
                </c:pt>
                <c:pt idx="4">
                  <c:v>104.12130637636032</c:v>
                </c:pt>
                <c:pt idx="5">
                  <c:v>103.48508412271985</c:v>
                </c:pt>
                <c:pt idx="6">
                  <c:v>102.90541495829241</c:v>
                </c:pt>
                <c:pt idx="7">
                  <c:v>104.77166690230456</c:v>
                </c:pt>
                <c:pt idx="8">
                  <c:v>106.34101512795138</c:v>
                </c:pt>
                <c:pt idx="9">
                  <c:v>101.85211367170936</c:v>
                </c:pt>
                <c:pt idx="10">
                  <c:v>101.58348649794995</c:v>
                </c:pt>
                <c:pt idx="11">
                  <c:v>101.81676799095148</c:v>
                </c:pt>
                <c:pt idx="12">
                  <c:v>105.08977802912428</c:v>
                </c:pt>
                <c:pt idx="13">
                  <c:v>99.901032093878143</c:v>
                </c:pt>
                <c:pt idx="14">
                  <c:v>99.229464159479718</c:v>
                </c:pt>
                <c:pt idx="15">
                  <c:v>97.624770253074544</c:v>
                </c:pt>
                <c:pt idx="16">
                  <c:v>93.524671285168964</c:v>
                </c:pt>
                <c:pt idx="17">
                  <c:v>94.111409585749016</c:v>
                </c:pt>
                <c:pt idx="18">
                  <c:v>94.012441679626718</c:v>
                </c:pt>
                <c:pt idx="19">
                  <c:v>93.687261416654366</c:v>
                </c:pt>
                <c:pt idx="20">
                  <c:v>94.245723172628288</c:v>
                </c:pt>
                <c:pt idx="21">
                  <c:v>93.079315707620069</c:v>
                </c:pt>
                <c:pt idx="22">
                  <c:v>93.878128092747119</c:v>
                </c:pt>
                <c:pt idx="23">
                  <c:v>93.291389792167436</c:v>
                </c:pt>
                <c:pt idx="24">
                  <c:v>91.488760073519018</c:v>
                </c:pt>
                <c:pt idx="25">
                  <c:v>92.308779867099958</c:v>
                </c:pt>
                <c:pt idx="26">
                  <c:v>91.52410575427686</c:v>
                </c:pt>
                <c:pt idx="27">
                  <c:v>89.813374805598457</c:v>
                </c:pt>
                <c:pt idx="28" formatCode="General">
                  <c:v>90.527357556906068</c:v>
                </c:pt>
                <c:pt idx="29" formatCode="General">
                  <c:v>92.287572458645613</c:v>
                </c:pt>
                <c:pt idx="30" formatCode="General">
                  <c:v>91.580658843488848</c:v>
                </c:pt>
                <c:pt idx="31" formatCode="General">
                  <c:v>92.598614449314908</c:v>
                </c:pt>
                <c:pt idx="32" formatCode="General">
                  <c:v>94.040718224233046</c:v>
                </c:pt>
                <c:pt idx="33" formatCode="General">
                  <c:v>91.983599604128727</c:v>
                </c:pt>
                <c:pt idx="34" formatCode="General">
                  <c:v>92.329987275554359</c:v>
                </c:pt>
                <c:pt idx="35" formatCode="General">
                  <c:v>91.997737876430989</c:v>
                </c:pt>
                <c:pt idx="36" formatCode="General">
                  <c:v>93.750883642019005</c:v>
                </c:pt>
                <c:pt idx="37" formatCode="General">
                  <c:v>93.800367595079919</c:v>
                </c:pt>
                <c:pt idx="38" formatCode="General">
                  <c:v>94.959705923936156</c:v>
                </c:pt>
                <c:pt idx="39" formatCode="General">
                  <c:v>95.539375088364253</c:v>
                </c:pt>
                <c:pt idx="40" formatCode="General">
                  <c:v>97.384419623922227</c:v>
                </c:pt>
                <c:pt idx="41" formatCode="General">
                  <c:v>98.911353032659449</c:v>
                </c:pt>
                <c:pt idx="42" formatCode="General">
                  <c:v>98.868938215749566</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105.01553484243225</c:v>
                </c:pt>
                <c:pt idx="1">
                  <c:v>102.26998922072156</c:v>
                </c:pt>
                <c:pt idx="2">
                  <c:v>101.41398769894138</c:v>
                </c:pt>
                <c:pt idx="3">
                  <c:v>105.62424703569835</c:v>
                </c:pt>
                <c:pt idx="4">
                  <c:v>104.55900069748265</c:v>
                </c:pt>
                <c:pt idx="5">
                  <c:v>103.93760700019052</c:v>
                </c:pt>
                <c:pt idx="6">
                  <c:v>103.26548728679221</c:v>
                </c:pt>
                <c:pt idx="7">
                  <c:v>105.33891319510494</c:v>
                </c:pt>
                <c:pt idx="8">
                  <c:v>107.26650180711431</c:v>
                </c:pt>
                <c:pt idx="9">
                  <c:v>101.87052184389036</c:v>
                </c:pt>
                <c:pt idx="10">
                  <c:v>101.49007672309935</c:v>
                </c:pt>
                <c:pt idx="11">
                  <c:v>101.9339293640229</c:v>
                </c:pt>
                <c:pt idx="12">
                  <c:v>105.85251410817321</c:v>
                </c:pt>
                <c:pt idx="13">
                  <c:v>100.13949654429015</c:v>
                </c:pt>
                <c:pt idx="14">
                  <c:v>99.492739838944658</c:v>
                </c:pt>
                <c:pt idx="15">
                  <c:v>97.672944011159146</c:v>
                </c:pt>
                <c:pt idx="16">
                  <c:v>92.758861200938412</c:v>
                </c:pt>
                <c:pt idx="17">
                  <c:v>93.380254898230916</c:v>
                </c:pt>
                <c:pt idx="18">
                  <c:v>93.012491281465969</c:v>
                </c:pt>
                <c:pt idx="19">
                  <c:v>92.708135184832912</c:v>
                </c:pt>
                <c:pt idx="20">
                  <c:v>93.900196563312761</c:v>
                </c:pt>
                <c:pt idx="21">
                  <c:v>92.422801344239389</c:v>
                </c:pt>
                <c:pt idx="22">
                  <c:v>93.006150529452782</c:v>
                </c:pt>
                <c:pt idx="23">
                  <c:v>92.803246465030767</c:v>
                </c:pt>
                <c:pt idx="24">
                  <c:v>90.862976348994437</c:v>
                </c:pt>
                <c:pt idx="25">
                  <c:v>91.921881935197504</c:v>
                </c:pt>
                <c:pt idx="26">
                  <c:v>90.704457548665275</c:v>
                </c:pt>
                <c:pt idx="27">
                  <c:v>88.650053896392109</c:v>
                </c:pt>
                <c:pt idx="28" formatCode="General">
                  <c:v>89.068543529262627</c:v>
                </c:pt>
                <c:pt idx="29" formatCode="General">
                  <c:v>90.837613340942781</c:v>
                </c:pt>
                <c:pt idx="30" formatCode="General">
                  <c:v>89.569462938304483</c:v>
                </c:pt>
                <c:pt idx="31" formatCode="General">
                  <c:v>90.691776044638758</c:v>
                </c:pt>
                <c:pt idx="32" formatCode="General">
                  <c:v>92.302327055988499</c:v>
                </c:pt>
                <c:pt idx="33" formatCode="General">
                  <c:v>89.487033162133045</c:v>
                </c:pt>
                <c:pt idx="34" formatCode="General">
                  <c:v>90.463508972164078</c:v>
                </c:pt>
                <c:pt idx="35" formatCode="General">
                  <c:v>90.793228076849928</c:v>
                </c:pt>
                <c:pt idx="36" formatCode="General">
                  <c:v>91.091243421469827</c:v>
                </c:pt>
                <c:pt idx="37" formatCode="General">
                  <c:v>91.414621774143157</c:v>
                </c:pt>
                <c:pt idx="38" formatCode="General">
                  <c:v>92.987128273413234</c:v>
                </c:pt>
                <c:pt idx="39" formatCode="General">
                  <c:v>93.646566482784849</c:v>
                </c:pt>
                <c:pt idx="40" formatCode="General">
                  <c:v>96.474541880667061</c:v>
                </c:pt>
                <c:pt idx="41" formatCode="General">
                  <c:v>98.040707627924689</c:v>
                </c:pt>
                <c:pt idx="42" formatCode="General">
                  <c:v>97.527106714856359</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100.10568793235913</c:v>
                </c:pt>
                <c:pt idx="1">
                  <c:v>101.67179093005326</c:v>
                </c:pt>
                <c:pt idx="2">
                  <c:v>101.59492697924735</c:v>
                </c:pt>
                <c:pt idx="3">
                  <c:v>102.4500384319754</c:v>
                </c:pt>
                <c:pt idx="4">
                  <c:v>101.81591083781707</c:v>
                </c:pt>
                <c:pt idx="5">
                  <c:v>101.11452728670272</c:v>
                </c:pt>
                <c:pt idx="6">
                  <c:v>101.01844734819365</c:v>
                </c:pt>
                <c:pt idx="7">
                  <c:v>101.80630284396578</c:v>
                </c:pt>
                <c:pt idx="8">
                  <c:v>101.4988470407379</c:v>
                </c:pt>
                <c:pt idx="9">
                  <c:v>101.73904688700998</c:v>
                </c:pt>
                <c:pt idx="10">
                  <c:v>102.06571867794005</c:v>
                </c:pt>
                <c:pt idx="11">
                  <c:v>101.19139123750912</c:v>
                </c:pt>
                <c:pt idx="12">
                  <c:v>101.56610299769405</c:v>
                </c:pt>
                <c:pt idx="13">
                  <c:v>98.731744811683058</c:v>
                </c:pt>
                <c:pt idx="14">
                  <c:v>97.953497309761659</c:v>
                </c:pt>
                <c:pt idx="15">
                  <c:v>97.338585703305156</c:v>
                </c:pt>
                <c:pt idx="16">
                  <c:v>96.838970023058664</c:v>
                </c:pt>
                <c:pt idx="17">
                  <c:v>97.280937740199818</c:v>
                </c:pt>
                <c:pt idx="18">
                  <c:v>98.37624903920063</c:v>
                </c:pt>
                <c:pt idx="19">
                  <c:v>97.943889315910866</c:v>
                </c:pt>
                <c:pt idx="20">
                  <c:v>95.714834742505786</c:v>
                </c:pt>
                <c:pt idx="21">
                  <c:v>95.935818601076107</c:v>
                </c:pt>
                <c:pt idx="22">
                  <c:v>97.703689469639116</c:v>
                </c:pt>
                <c:pt idx="23">
                  <c:v>95.378554957724276</c:v>
                </c:pt>
                <c:pt idx="24">
                  <c:v>93.995003843197566</c:v>
                </c:pt>
                <c:pt idx="25">
                  <c:v>94.06225980015374</c:v>
                </c:pt>
                <c:pt idx="26">
                  <c:v>94.638739431206758</c:v>
                </c:pt>
                <c:pt idx="27">
                  <c:v>93.975787855495042</c:v>
                </c:pt>
                <c:pt idx="28" formatCode="General">
                  <c:v>95.64757878554957</c:v>
                </c:pt>
                <c:pt idx="29" formatCode="General">
                  <c:v>97.386625672559518</c:v>
                </c:pt>
                <c:pt idx="30" formatCode="General">
                  <c:v>98.433897002305912</c:v>
                </c:pt>
                <c:pt idx="31" formatCode="General">
                  <c:v>99.125672559568855</c:v>
                </c:pt>
                <c:pt idx="32" formatCode="General">
                  <c:v>100.02882398155266</c:v>
                </c:pt>
                <c:pt idx="33" formatCode="General">
                  <c:v>100.37471176018417</c:v>
                </c:pt>
                <c:pt idx="34" formatCode="General">
                  <c:v>98.741352805534149</c:v>
                </c:pt>
                <c:pt idx="35" formatCode="General">
                  <c:v>96.339354342813238</c:v>
                </c:pt>
                <c:pt idx="36" formatCode="General">
                  <c:v>101.34511913912378</c:v>
                </c:pt>
                <c:pt idx="37" formatCode="General">
                  <c:v>100.78785549577289</c:v>
                </c:pt>
                <c:pt idx="38" formatCode="General">
                  <c:v>101.0568793235969</c:v>
                </c:pt>
                <c:pt idx="39" formatCode="General">
                  <c:v>101.47002305918529</c:v>
                </c:pt>
                <c:pt idx="40" formatCode="General">
                  <c:v>101.15295926210608</c:v>
                </c:pt>
                <c:pt idx="41" formatCode="General">
                  <c:v>102.63259031514221</c:v>
                </c:pt>
                <c:pt idx="42" formatCode="General">
                  <c:v>103.63182167563417</c:v>
                </c:pt>
              </c:numCache>
            </c:numRef>
          </c:val>
        </c:ser>
        <c:marker val="1"/>
        <c:axId val="151859584"/>
        <c:axId val="151861120"/>
      </c:lineChart>
      <c:catAx>
        <c:axId val="1518595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1861120"/>
        <c:crosses val="autoZero"/>
        <c:auto val="1"/>
        <c:lblAlgn val="ctr"/>
        <c:lblOffset val="0"/>
        <c:tickLblSkip val="2"/>
        <c:tickMarkSkip val="1"/>
        <c:noMultiLvlLbl val="1"/>
      </c:catAx>
      <c:valAx>
        <c:axId val="151861120"/>
        <c:scaling>
          <c:orientation val="minMax"/>
          <c:min val="8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859584"/>
        <c:crosses val="autoZero"/>
        <c:crossBetween val="between"/>
      </c:valAx>
      <c:spPr>
        <a:noFill/>
        <a:ln w="6350">
          <a:solidFill>
            <a:sysClr val="window" lastClr="FFFFFF">
              <a:lumMod val="85000"/>
            </a:sysClr>
          </a:solidFill>
        </a:ln>
      </c:spPr>
    </c:plotArea>
    <c:legend>
      <c:legendPos val="b"/>
      <c:layout>
        <c:manualLayout>
          <c:xMode val="edge"/>
          <c:yMode val="edge"/>
          <c:x val="0.42142453512751538"/>
          <c:y val="7.4365162037037094E-2"/>
          <c:w val="0.45080477616355752"/>
          <c:h val="0.1832881944444519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Sheet1!$A$14:$B$57</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Sheet1!$C$14:$C$57</c:f>
              <c:numCache>
                <c:formatCode>0.0</c:formatCode>
                <c:ptCount val="44"/>
                <c:pt idx="0">
                  <c:v>-9.2000000000000011</c:v>
                </c:pt>
                <c:pt idx="1">
                  <c:v>-11.4</c:v>
                </c:pt>
                <c:pt idx="2">
                  <c:v>-13.3</c:v>
                </c:pt>
                <c:pt idx="3">
                  <c:v>-29.7</c:v>
                </c:pt>
                <c:pt idx="4">
                  <c:v>-38.800000000000004</c:v>
                </c:pt>
                <c:pt idx="5">
                  <c:v>-30.5</c:v>
                </c:pt>
                <c:pt idx="6">
                  <c:v>-37.6</c:v>
                </c:pt>
                <c:pt idx="7">
                  <c:v>-29.8</c:v>
                </c:pt>
                <c:pt idx="8">
                  <c:v>-10.9</c:v>
                </c:pt>
                <c:pt idx="9">
                  <c:v>-35.9</c:v>
                </c:pt>
                <c:pt idx="10">
                  <c:v>-40.200000000000003</c:v>
                </c:pt>
                <c:pt idx="11">
                  <c:v>-39.5</c:v>
                </c:pt>
                <c:pt idx="12">
                  <c:v>-37.200000000000003</c:v>
                </c:pt>
                <c:pt idx="13">
                  <c:v>-36</c:v>
                </c:pt>
                <c:pt idx="14">
                  <c:v>-36.300000000000004</c:v>
                </c:pt>
                <c:pt idx="15">
                  <c:v>-37.4</c:v>
                </c:pt>
                <c:pt idx="16">
                  <c:v>-36.300000000000004</c:v>
                </c:pt>
                <c:pt idx="17">
                  <c:v>-35.1</c:v>
                </c:pt>
                <c:pt idx="18">
                  <c:v>-43.1</c:v>
                </c:pt>
                <c:pt idx="19">
                  <c:v>-47.1</c:v>
                </c:pt>
                <c:pt idx="20">
                  <c:v>-45.7</c:v>
                </c:pt>
                <c:pt idx="21">
                  <c:v>-38.700000000000003</c:v>
                </c:pt>
                <c:pt idx="22">
                  <c:v>-31.6</c:v>
                </c:pt>
                <c:pt idx="23">
                  <c:v>-29.3</c:v>
                </c:pt>
                <c:pt idx="24">
                  <c:v>-29.4</c:v>
                </c:pt>
                <c:pt idx="25">
                  <c:v>-23.3</c:v>
                </c:pt>
                <c:pt idx="26">
                  <c:v>-22.3</c:v>
                </c:pt>
                <c:pt idx="27">
                  <c:v>-20.9</c:v>
                </c:pt>
                <c:pt idx="28">
                  <c:v>-19.2</c:v>
                </c:pt>
                <c:pt idx="29">
                  <c:v>-19.8</c:v>
                </c:pt>
                <c:pt idx="30">
                  <c:v>-15.7</c:v>
                </c:pt>
                <c:pt idx="31">
                  <c:v>-8.1</c:v>
                </c:pt>
                <c:pt idx="32">
                  <c:v>-13.5</c:v>
                </c:pt>
                <c:pt idx="33">
                  <c:v>-8.5</c:v>
                </c:pt>
                <c:pt idx="34">
                  <c:v>-8.7000000000000011</c:v>
                </c:pt>
                <c:pt idx="35">
                  <c:v>-10</c:v>
                </c:pt>
                <c:pt idx="36">
                  <c:v>-21.2</c:v>
                </c:pt>
                <c:pt idx="37" formatCode="General">
                  <c:v>-12.9</c:v>
                </c:pt>
                <c:pt idx="38" formatCode="General">
                  <c:v>-13.8</c:v>
                </c:pt>
                <c:pt idx="39" formatCode="General">
                  <c:v>-7.4</c:v>
                </c:pt>
                <c:pt idx="40" formatCode="General">
                  <c:v>-13.3</c:v>
                </c:pt>
                <c:pt idx="41" formatCode="General">
                  <c:v>-14.7</c:v>
                </c:pt>
                <c:pt idx="42" formatCode="General">
                  <c:v>-8.2000000000000011</c:v>
                </c:pt>
                <c:pt idx="43" formatCode="General">
                  <c:v>-12.8</c:v>
                </c:pt>
              </c:numCache>
            </c:numRef>
          </c:val>
        </c:ser>
        <c:marker val="1"/>
        <c:axId val="152012288"/>
        <c:axId val="152013824"/>
      </c:lineChart>
      <c:catAx>
        <c:axId val="15201228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013824"/>
        <c:crosses val="autoZero"/>
        <c:auto val="1"/>
        <c:lblAlgn val="ctr"/>
        <c:lblOffset val="0"/>
        <c:tickLblSkip val="2"/>
        <c:tickMarkSkip val="1"/>
        <c:noMultiLvlLbl val="1"/>
      </c:catAx>
      <c:valAx>
        <c:axId val="152013824"/>
        <c:scaling>
          <c:orientation val="minMax"/>
          <c:max val="-5"/>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01228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56"/>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130.81</c:v>
                </c:pt>
                <c:pt idx="1">
                  <c:v>134.59</c:v>
                </c:pt>
                <c:pt idx="2">
                  <c:v>118.86999999999999</c:v>
                </c:pt>
                <c:pt idx="3">
                  <c:v>148.44999999999999</c:v>
                </c:pt>
                <c:pt idx="4">
                  <c:v>133.09</c:v>
                </c:pt>
                <c:pt idx="5">
                  <c:v>130.58000000000001</c:v>
                </c:pt>
                <c:pt idx="6">
                  <c:v>125.84</c:v>
                </c:pt>
                <c:pt idx="7">
                  <c:v>123.76</c:v>
                </c:pt>
                <c:pt idx="8">
                  <c:v>130.88000000000062</c:v>
                </c:pt>
                <c:pt idx="9">
                  <c:v>125.28</c:v>
                </c:pt>
                <c:pt idx="10">
                  <c:v>102.32</c:v>
                </c:pt>
                <c:pt idx="11">
                  <c:v>105.14999999999999</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103.85</c:v>
                </c:pt>
                <c:pt idx="1">
                  <c:v>100.3</c:v>
                </c:pt>
                <c:pt idx="2">
                  <c:v>82.88</c:v>
                </c:pt>
                <c:pt idx="3">
                  <c:v>93.23</c:v>
                </c:pt>
                <c:pt idx="4">
                  <c:v>87.57</c:v>
                </c:pt>
                <c:pt idx="5">
                  <c:v>92.649999999999991</c:v>
                </c:pt>
                <c:pt idx="6">
                  <c:v>80.36</c:v>
                </c:pt>
                <c:pt idx="7">
                  <c:v>88.440000000000026</c:v>
                </c:pt>
                <c:pt idx="8">
                  <c:v>89.93</c:v>
                </c:pt>
                <c:pt idx="9">
                  <c:v>98.210000000000022</c:v>
                </c:pt>
                <c:pt idx="10">
                  <c:v>97.490000000000023</c:v>
                </c:pt>
                <c:pt idx="11">
                  <c:v>85.08</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93.740000000000023</c:v>
                </c:pt>
                <c:pt idx="1">
                  <c:v>93.240000000000023</c:v>
                </c:pt>
                <c:pt idx="2">
                  <c:v>86.39</c:v>
                </c:pt>
                <c:pt idx="3">
                  <c:v>108.71000000000002</c:v>
                </c:pt>
                <c:pt idx="4">
                  <c:v>114.63</c:v>
                </c:pt>
                <c:pt idx="5">
                  <c:v>118.61999999999999</c:v>
                </c:pt>
                <c:pt idx="6">
                  <c:v>114.74000000000002</c:v>
                </c:pt>
                <c:pt idx="7">
                  <c:v>124.77</c:v>
                </c:pt>
                <c:pt idx="8">
                  <c:v>130.81</c:v>
                </c:pt>
                <c:pt idx="9">
                  <c:v>134.31</c:v>
                </c:pt>
                <c:pt idx="10">
                  <c:v>128.78</c:v>
                </c:pt>
                <c:pt idx="11">
                  <c:v>117.7</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113.61999999999999</c:v>
                </c:pt>
                <c:pt idx="1">
                  <c:v>118.49000000000002</c:v>
                </c:pt>
                <c:pt idx="2">
                  <c:v>128.16999999999999</c:v>
                </c:pt>
                <c:pt idx="3" formatCode="General">
                  <c:v>137.86000000000001</c:v>
                </c:pt>
                <c:pt idx="4">
                  <c:v>155.31</c:v>
                </c:pt>
                <c:pt idx="5">
                  <c:v>155.51</c:v>
                </c:pt>
                <c:pt idx="6">
                  <c:v>146.94999999999999</c:v>
                </c:pt>
              </c:numCache>
            </c:numRef>
          </c:val>
        </c:ser>
        <c:marker val="1"/>
        <c:axId val="151875968"/>
        <c:axId val="151877504"/>
      </c:lineChart>
      <c:catAx>
        <c:axId val="1518759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877504"/>
        <c:crosses val="autoZero"/>
        <c:auto val="1"/>
        <c:lblAlgn val="ctr"/>
        <c:lblOffset val="0"/>
        <c:tickMarkSkip val="1"/>
      </c:catAx>
      <c:valAx>
        <c:axId val="151877504"/>
        <c:scaling>
          <c:orientation val="minMax"/>
          <c:max val="16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1875968"/>
        <c:crosses val="autoZero"/>
        <c:crossBetween val="between"/>
      </c:valAx>
      <c:spPr>
        <a:noFill/>
        <a:ln w="6350">
          <a:solidFill>
            <a:sysClr val="window" lastClr="FFFFFF">
              <a:lumMod val="85000"/>
            </a:sysClr>
          </a:solidFill>
        </a:ln>
      </c:spPr>
    </c:plotArea>
    <c:legend>
      <c:legendPos val="b"/>
      <c:layout>
        <c:manualLayout>
          <c:xMode val="edge"/>
          <c:yMode val="edge"/>
          <c:x val="0.61504189719668989"/>
          <c:y val="6.8874421296296423E-2"/>
          <c:w val="0.33374122189491062"/>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105.23885229767581</c:v>
                </c:pt>
                <c:pt idx="1">
                  <c:v>104.66348701642788</c:v>
                </c:pt>
                <c:pt idx="2">
                  <c:v>102.43016125369067</c:v>
                </c:pt>
                <c:pt idx="3">
                  <c:v>104.18653948065713</c:v>
                </c:pt>
                <c:pt idx="4">
                  <c:v>95.041259747142391</c:v>
                </c:pt>
                <c:pt idx="5">
                  <c:v>97.683397683397686</c:v>
                </c:pt>
                <c:pt idx="6">
                  <c:v>95.874025285789983</c:v>
                </c:pt>
                <c:pt idx="7">
                  <c:v>91.210538269361805</c:v>
                </c:pt>
                <c:pt idx="8">
                  <c:v>92.982057687940127</c:v>
                </c:pt>
                <c:pt idx="9">
                  <c:v>87.114845938375367</c:v>
                </c:pt>
                <c:pt idx="10">
                  <c:v>79.763797410856114</c:v>
                </c:pt>
                <c:pt idx="11">
                  <c:v>84.767961238549475</c:v>
                </c:pt>
                <c:pt idx="12">
                  <c:v>85.03293209175547</c:v>
                </c:pt>
                <c:pt idx="13">
                  <c:v>82.231811643576364</c:v>
                </c:pt>
                <c:pt idx="14">
                  <c:v>66.076160193807254</c:v>
                </c:pt>
                <c:pt idx="15">
                  <c:v>69.664622605799067</c:v>
                </c:pt>
                <c:pt idx="16">
                  <c:v>63.729275493981383</c:v>
                </c:pt>
                <c:pt idx="17">
                  <c:v>69.013551366492479</c:v>
                </c:pt>
                <c:pt idx="18">
                  <c:v>61.253690665455345</c:v>
                </c:pt>
                <c:pt idx="19">
                  <c:v>65.137406313876696</c:v>
                </c:pt>
                <c:pt idx="20">
                  <c:v>63.895828601710946</c:v>
                </c:pt>
                <c:pt idx="21">
                  <c:v>69.399651752592888</c:v>
                </c:pt>
                <c:pt idx="22">
                  <c:v>74.524945113180195</c:v>
                </c:pt>
                <c:pt idx="23">
                  <c:v>68.748580513286271</c:v>
                </c:pt>
                <c:pt idx="24">
                  <c:v>78.158831100007347</c:v>
                </c:pt>
                <c:pt idx="25">
                  <c:v>76.531153001741416</c:v>
                </c:pt>
                <c:pt idx="26" formatCode="General">
                  <c:v>70.118858354152266</c:v>
                </c:pt>
                <c:pt idx="27" formatCode="General">
                  <c:v>78.688772806419408</c:v>
                </c:pt>
                <c:pt idx="28" formatCode="General">
                  <c:v>81.974411386176101</c:v>
                </c:pt>
                <c:pt idx="29" formatCode="General">
                  <c:v>86.554621848739501</c:v>
                </c:pt>
                <c:pt idx="30" formatCode="General">
                  <c:v>88.939359527594789</c:v>
                </c:pt>
                <c:pt idx="31" formatCode="General">
                  <c:v>90.165796048148948</c:v>
                </c:pt>
                <c:pt idx="32" formatCode="General">
                  <c:v>92.876069346657559</c:v>
                </c:pt>
                <c:pt idx="33" formatCode="General">
                  <c:v>96.472102354455075</c:v>
                </c:pt>
                <c:pt idx="34" formatCode="General">
                  <c:v>96.623514270573068</c:v>
                </c:pt>
                <c:pt idx="35" formatCode="General">
                  <c:v>93.564993564993671</c:v>
                </c:pt>
                <c:pt idx="36" formatCode="General">
                  <c:v>93.201604966311038</c:v>
                </c:pt>
                <c:pt idx="37" formatCode="General">
                  <c:v>97.365432659550066</c:v>
                </c:pt>
                <c:pt idx="38" formatCode="General">
                  <c:v>100.90847149670662</c:v>
                </c:pt>
                <c:pt idx="39" formatCode="General">
                  <c:v>104.9208872738283</c:v>
                </c:pt>
                <c:pt idx="40" formatCode="General">
                  <c:v>107.20720720720735</c:v>
                </c:pt>
                <c:pt idx="41" formatCode="General">
                  <c:v>115.33045650692708</c:v>
                </c:pt>
              </c:numCache>
            </c:numRef>
          </c:val>
        </c:ser>
        <c:marker val="1"/>
        <c:axId val="152155648"/>
        <c:axId val="152157184"/>
      </c:lineChart>
      <c:catAx>
        <c:axId val="15215564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157184"/>
        <c:crosses val="autoZero"/>
        <c:auto val="1"/>
        <c:lblAlgn val="ctr"/>
        <c:lblOffset val="0"/>
        <c:tickLblSkip val="2"/>
        <c:tickMarkSkip val="1"/>
        <c:noMultiLvlLbl val="1"/>
      </c:catAx>
      <c:valAx>
        <c:axId val="152157184"/>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155648"/>
        <c:crossesAt val="1"/>
        <c:crossBetween val="between"/>
        <c:majorUnit val="10"/>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13.765900000000002</c:v>
                </c:pt>
                <c:pt idx="1">
                  <c:v>13.987100000000002</c:v>
                </c:pt>
                <c:pt idx="2">
                  <c:v>12.575700000000024</c:v>
                </c:pt>
                <c:pt idx="3">
                  <c:v>15.589700000000009</c:v>
                </c:pt>
                <c:pt idx="4">
                  <c:v>14.520500000000002</c:v>
                </c:pt>
                <c:pt idx="5">
                  <c:v>15.661800000000001</c:v>
                </c:pt>
                <c:pt idx="6">
                  <c:v>15.613200000000003</c:v>
                </c:pt>
                <c:pt idx="7">
                  <c:v>14.876900000000004</c:v>
                </c:pt>
                <c:pt idx="8">
                  <c:v>16.1997</c:v>
                </c:pt>
                <c:pt idx="9">
                  <c:v>15.325800000000006</c:v>
                </c:pt>
                <c:pt idx="10">
                  <c:v>12.7714</c:v>
                </c:pt>
                <c:pt idx="11">
                  <c:v>11.171600000000002</c:v>
                </c:pt>
                <c:pt idx="12">
                  <c:v>6.9357000000000024</c:v>
                </c:pt>
                <c:pt idx="13">
                  <c:v>7.7620000000000005</c:v>
                </c:pt>
                <c:pt idx="14">
                  <c:v>7.7844000000000015</c:v>
                </c:pt>
                <c:pt idx="15">
                  <c:v>8.0950000000000024</c:v>
                </c:pt>
                <c:pt idx="16">
                  <c:v>7.6247999999999845</c:v>
                </c:pt>
                <c:pt idx="17">
                  <c:v>8.0015000000000001</c:v>
                </c:pt>
                <c:pt idx="18">
                  <c:v>8.2368999999999986</c:v>
                </c:pt>
                <c:pt idx="19">
                  <c:v>8.8257000000000048</c:v>
                </c:pt>
                <c:pt idx="20">
                  <c:v>9.4944000000000006</c:v>
                </c:pt>
                <c:pt idx="21">
                  <c:v>8.8128000000000046</c:v>
                </c:pt>
                <c:pt idx="22">
                  <c:v>7.5413000000000014</c:v>
                </c:pt>
                <c:pt idx="23">
                  <c:v>7.8758999999999979</c:v>
                </c:pt>
                <c:pt idx="24">
                  <c:v>5.8401000000000005</c:v>
                </c:pt>
                <c:pt idx="25">
                  <c:v>6.1843999999999975</c:v>
                </c:pt>
                <c:pt idx="26">
                  <c:v>7.3266999999999989</c:v>
                </c:pt>
                <c:pt idx="27">
                  <c:v>6.7604000000000042</c:v>
                </c:pt>
                <c:pt idx="28">
                  <c:v>8.8687000000000005</c:v>
                </c:pt>
                <c:pt idx="29">
                  <c:v>10.1234</c:v>
                </c:pt>
                <c:pt idx="30">
                  <c:v>9.9356000000000027</c:v>
                </c:pt>
                <c:pt idx="31">
                  <c:v>10.820400000000006</c:v>
                </c:pt>
                <c:pt idx="32">
                  <c:v>11.534199999999998</c:v>
                </c:pt>
                <c:pt idx="33">
                  <c:v>12.5397</c:v>
                </c:pt>
                <c:pt idx="34">
                  <c:v>12.894800000000002</c:v>
                </c:pt>
                <c:pt idx="35">
                  <c:v>14.414900000000001</c:v>
                </c:pt>
                <c:pt idx="36">
                  <c:v>8.2925000000000004</c:v>
                </c:pt>
                <c:pt idx="37">
                  <c:v>8.6822000000000017</c:v>
                </c:pt>
                <c:pt idx="38">
                  <c:v>10.879900000000006</c:v>
                </c:pt>
                <c:pt idx="39">
                  <c:v>10.090200000000003</c:v>
                </c:pt>
                <c:pt idx="40">
                  <c:v>12.4099</c:v>
                </c:pt>
                <c:pt idx="41">
                  <c:v>12.242100000000001</c:v>
                </c:pt>
                <c:pt idx="42">
                  <c:v>14.306000000000004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27.135900000000031</c:v>
                </c:pt>
                <c:pt idx="1">
                  <c:v>26.5991</c:v>
                </c:pt>
                <c:pt idx="2">
                  <c:v>26.285900000000002</c:v>
                </c:pt>
                <c:pt idx="3">
                  <c:v>43.853699999999996</c:v>
                </c:pt>
                <c:pt idx="4">
                  <c:v>41.980499999999999</c:v>
                </c:pt>
                <c:pt idx="5">
                  <c:v>35.054799999999993</c:v>
                </c:pt>
                <c:pt idx="6">
                  <c:v>35.174100000000003</c:v>
                </c:pt>
                <c:pt idx="7">
                  <c:v>48.744300000000003</c:v>
                </c:pt>
                <c:pt idx="8">
                  <c:v>51.176100000000012</c:v>
                </c:pt>
                <c:pt idx="9">
                  <c:v>27.131599999999999</c:v>
                </c:pt>
                <c:pt idx="10">
                  <c:v>21.777999999999999</c:v>
                </c:pt>
                <c:pt idx="11">
                  <c:v>20.286199999999884</c:v>
                </c:pt>
                <c:pt idx="12">
                  <c:v>27.069499999999902</c:v>
                </c:pt>
                <c:pt idx="13">
                  <c:v>21.092200000000002</c:v>
                </c:pt>
                <c:pt idx="14">
                  <c:v>22.09959999999991</c:v>
                </c:pt>
                <c:pt idx="15">
                  <c:v>18.103099999999987</c:v>
                </c:pt>
                <c:pt idx="16">
                  <c:v>20.01590000000003</c:v>
                </c:pt>
                <c:pt idx="17">
                  <c:v>21.546799999999884</c:v>
                </c:pt>
                <c:pt idx="18">
                  <c:v>14.097200000000001</c:v>
                </c:pt>
                <c:pt idx="19">
                  <c:v>13.312600000000026</c:v>
                </c:pt>
                <c:pt idx="20">
                  <c:v>27.838900000000031</c:v>
                </c:pt>
                <c:pt idx="21">
                  <c:v>26.6204</c:v>
                </c:pt>
                <c:pt idx="22">
                  <c:v>16.4559</c:v>
                </c:pt>
                <c:pt idx="23">
                  <c:v>22.5092</c:v>
                </c:pt>
                <c:pt idx="24">
                  <c:v>14.457800000000002</c:v>
                </c:pt>
                <c:pt idx="25">
                  <c:v>23.1829</c:v>
                </c:pt>
                <c:pt idx="26">
                  <c:v>21.980299999999868</c:v>
                </c:pt>
                <c:pt idx="27">
                  <c:v>27.381900000000005</c:v>
                </c:pt>
                <c:pt idx="28">
                  <c:v>26.06219999999988</c:v>
                </c:pt>
                <c:pt idx="29">
                  <c:v>20.440599999999872</c:v>
                </c:pt>
                <c:pt idx="30">
                  <c:v>31.434699999999989</c:v>
                </c:pt>
                <c:pt idx="31">
                  <c:v>34.182400000000001</c:v>
                </c:pt>
                <c:pt idx="32">
                  <c:v>37.920500000000011</c:v>
                </c:pt>
                <c:pt idx="33">
                  <c:v>25.6022</c:v>
                </c:pt>
                <c:pt idx="34">
                  <c:v>20.210799999999914</c:v>
                </c:pt>
                <c:pt idx="35">
                  <c:v>31.096700000000002</c:v>
                </c:pt>
                <c:pt idx="36">
                  <c:v>39.515000000000001</c:v>
                </c:pt>
                <c:pt idx="37">
                  <c:v>41.907300000000006</c:v>
                </c:pt>
                <c:pt idx="38">
                  <c:v>35.059400000000004</c:v>
                </c:pt>
                <c:pt idx="39">
                  <c:v>28.563099999999906</c:v>
                </c:pt>
                <c:pt idx="40">
                  <c:v>30.90809999999988</c:v>
                </c:pt>
                <c:pt idx="41">
                  <c:v>29.126300000000001</c:v>
                </c:pt>
                <c:pt idx="42">
                  <c:v>28.200599999999898</c:v>
                </c:pt>
              </c:numCache>
            </c:numRef>
          </c:val>
        </c:ser>
        <c:gapWidth val="0"/>
        <c:overlap val="100"/>
        <c:axId val="152010112"/>
        <c:axId val="152138880"/>
      </c:barChart>
      <c:catAx>
        <c:axId val="15201011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138880"/>
        <c:crosses val="autoZero"/>
        <c:auto val="1"/>
        <c:lblAlgn val="ctr"/>
        <c:lblOffset val="0"/>
        <c:tickLblSkip val="3"/>
        <c:tickMarkSkip val="1"/>
        <c:noMultiLvlLbl val="1"/>
      </c:catAx>
      <c:valAx>
        <c:axId val="152138880"/>
        <c:scaling>
          <c:orientation val="minMax"/>
          <c:max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010112"/>
        <c:crosses val="autoZero"/>
        <c:crossBetween val="between"/>
      </c:valAx>
      <c:spPr>
        <a:noFill/>
        <a:ln w="6350">
          <a:solidFill>
            <a:sysClr val="window" lastClr="FFFFFF">
              <a:lumMod val="85000"/>
            </a:sysClr>
          </a:solidFill>
        </a:ln>
      </c:spPr>
    </c:plotArea>
    <c:legend>
      <c:legendPos val="b"/>
      <c:layout>
        <c:manualLayout>
          <c:xMode val="edge"/>
          <c:yMode val="edge"/>
          <c:x val="0.48768778550407826"/>
          <c:y val="7.3834490740743497E-2"/>
          <c:w val="0.35673227969348681"/>
          <c:h val="0.15793923611111974"/>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7"/>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4.7583949850929406</c:v>
                </c:pt>
                <c:pt idx="1">
                  <c:v>-3.7393230103719288</c:v>
                </c:pt>
                <c:pt idx="2">
                  <c:v>-21.920490329749452</c:v>
                </c:pt>
                <c:pt idx="3">
                  <c:v>40.653563870114851</c:v>
                </c:pt>
                <c:pt idx="4">
                  <c:v>-6.4255226051104302</c:v>
                </c:pt>
                <c:pt idx="5">
                  <c:v>-3.2207039397449506</c:v>
                </c:pt>
                <c:pt idx="6">
                  <c:v>-4.9225503402115685</c:v>
                </c:pt>
                <c:pt idx="7">
                  <c:v>-2.318799231693319</c:v>
                </c:pt>
                <c:pt idx="8">
                  <c:v>31.587770322481987</c:v>
                </c:pt>
                <c:pt idx="9">
                  <c:v>-14.592624142908022</c:v>
                </c:pt>
                <c:pt idx="10">
                  <c:v>-22.311592621755153</c:v>
                </c:pt>
                <c:pt idx="11">
                  <c:v>-29.056720714851849</c:v>
                </c:pt>
                <c:pt idx="12">
                  <c:v>-12.95026196272471</c:v>
                </c:pt>
                <c:pt idx="13">
                  <c:v>-19.377965670642311</c:v>
                </c:pt>
                <c:pt idx="14">
                  <c:v>-1.8979836171096376</c:v>
                </c:pt>
                <c:pt idx="15">
                  <c:v>-41.915333601558459</c:v>
                </c:pt>
                <c:pt idx="16">
                  <c:v>-35.257876892506594</c:v>
                </c:pt>
                <c:pt idx="17">
                  <c:v>-12.328023474885548</c:v>
                </c:pt>
                <c:pt idx="18">
                  <c:v>-32.814266122735944</c:v>
                </c:pt>
                <c:pt idx="19">
                  <c:v>-41.622306893245963</c:v>
                </c:pt>
                <c:pt idx="20">
                  <c:v>-16.558396418116491</c:v>
                </c:pt>
                <c:pt idx="21">
                  <c:v>2.7712306917618581</c:v>
                </c:pt>
                <c:pt idx="22">
                  <c:v>-17.190158045683631</c:v>
                </c:pt>
                <c:pt idx="23">
                  <c:v>11.994292813169695</c:v>
                </c:pt>
                <c:pt idx="24">
                  <c:v>-35.467278123701107</c:v>
                </c:pt>
                <c:pt idx="25">
                  <c:v>9.0430406062972395</c:v>
                </c:pt>
                <c:pt idx="26">
                  <c:v>-9.9870098671938052</c:v>
                </c:pt>
                <c:pt idx="27">
                  <c:v>17.089750778786492</c:v>
                </c:pt>
                <c:pt idx="28">
                  <c:v>14.144039435271518</c:v>
                </c:pt>
                <c:pt idx="29">
                  <c:v>-11.960506904831124</c:v>
                </c:pt>
                <c:pt idx="30">
                  <c:v>61.17627375417041</c:v>
                </c:pt>
                <c:pt idx="31">
                  <c:v>73.757203867152327</c:v>
                </c:pt>
                <c:pt idx="32">
                  <c:v>14.167138258726522</c:v>
                </c:pt>
                <c:pt idx="33">
                  <c:v>-5.6027950260366879</c:v>
                </c:pt>
                <c:pt idx="34">
                  <c:v>12.996120050928146</c:v>
                </c:pt>
                <c:pt idx="35">
                  <c:v>20.592816655823029</c:v>
                </c:pt>
                <c:pt idx="36">
                  <c:v>94.465158085686198</c:v>
                </c:pt>
                <c:pt idx="37">
                  <c:v>37.916906813091771</c:v>
                </c:pt>
                <c:pt idx="38" formatCode="General">
                  <c:v>31.985433868516111</c:v>
                </c:pt>
                <c:pt idx="39" formatCode="General">
                  <c:v>-3.9991059827568307</c:v>
                </c:pt>
                <c:pt idx="40" formatCode="General">
                  <c:v>12.939474511549916</c:v>
                </c:pt>
                <c:pt idx="41" formatCode="General">
                  <c:v>24.70648753942535</c:v>
                </c:pt>
                <c:pt idx="42" formatCode="General">
                  <c:v>-10.939037692844106</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4.5997357950587912</c:v>
                </c:pt>
                <c:pt idx="1">
                  <c:v>10.432803557164776</c:v>
                </c:pt>
                <c:pt idx="2">
                  <c:v>7.463144332104747</c:v>
                </c:pt>
                <c:pt idx="3">
                  <c:v>6.9537892572984665</c:v>
                </c:pt>
                <c:pt idx="4">
                  <c:v>10.953057260462424</c:v>
                </c:pt>
                <c:pt idx="5">
                  <c:v>20.381850588115515</c:v>
                </c:pt>
                <c:pt idx="6">
                  <c:v>25.200917555686843</c:v>
                </c:pt>
                <c:pt idx="7">
                  <c:v>40.900810920109663</c:v>
                </c:pt>
                <c:pt idx="8">
                  <c:v>49.359725313344327</c:v>
                </c:pt>
                <c:pt idx="9">
                  <c:v>13.146033334052063</c:v>
                </c:pt>
                <c:pt idx="10">
                  <c:v>3.3142138230061882</c:v>
                </c:pt>
                <c:pt idx="11">
                  <c:v>0.94728219060822028</c:v>
                </c:pt>
                <c:pt idx="12">
                  <c:v>-3.9110986619910761</c:v>
                </c:pt>
                <c:pt idx="13">
                  <c:v>-9.5284113737718439</c:v>
                </c:pt>
                <c:pt idx="14">
                  <c:v>-21.203484155704643</c:v>
                </c:pt>
                <c:pt idx="15">
                  <c:v>-14.012321949772698</c:v>
                </c:pt>
                <c:pt idx="16">
                  <c:v>-15.821396040715797</c:v>
                </c:pt>
                <c:pt idx="17">
                  <c:v>-29.410381702117604</c:v>
                </c:pt>
                <c:pt idx="18">
                  <c:v>-23.209976158306535</c:v>
                </c:pt>
                <c:pt idx="19">
                  <c:v>-23.580644324272729</c:v>
                </c:pt>
                <c:pt idx="20">
                  <c:v>-28.031055580969259</c:v>
                </c:pt>
                <c:pt idx="21">
                  <c:v>-19.315343143301519</c:v>
                </c:pt>
                <c:pt idx="22">
                  <c:v>-13.352195801271776</c:v>
                </c:pt>
                <c:pt idx="23">
                  <c:v>-15.404257909266654</c:v>
                </c:pt>
                <c:pt idx="24">
                  <c:v>-4.8421451409760365</c:v>
                </c:pt>
                <c:pt idx="25">
                  <c:v>-7.2647899530128086</c:v>
                </c:pt>
                <c:pt idx="26">
                  <c:v>8.0562107773798601</c:v>
                </c:pt>
                <c:pt idx="27">
                  <c:v>13.233822304757748</c:v>
                </c:pt>
                <c:pt idx="28">
                  <c:v>12.230835296555071</c:v>
                </c:pt>
                <c:pt idx="29">
                  <c:v>15.397929700727985</c:v>
                </c:pt>
                <c:pt idx="30">
                  <c:v>24.057516727648895</c:v>
                </c:pt>
                <c:pt idx="31">
                  <c:v>29.523084140508615</c:v>
                </c:pt>
                <c:pt idx="32">
                  <c:v>18.300926444902675</c:v>
                </c:pt>
                <c:pt idx="33">
                  <c:v>13.247320499321601</c:v>
                </c:pt>
                <c:pt idx="34">
                  <c:v>24.959974826807631</c:v>
                </c:pt>
                <c:pt idx="35">
                  <c:v>29.18980706435563</c:v>
                </c:pt>
                <c:pt idx="36">
                  <c:v>41.064133121778582</c:v>
                </c:pt>
                <c:pt idx="37">
                  <c:v>34.347823005447516</c:v>
                </c:pt>
                <c:pt idx="38" formatCode="General">
                  <c:v>24.766536650472275</c:v>
                </c:pt>
                <c:pt idx="39" formatCode="General">
                  <c:v>17.211455472978631</c:v>
                </c:pt>
                <c:pt idx="40" formatCode="General">
                  <c:v>11.071072024611498</c:v>
                </c:pt>
                <c:pt idx="41" formatCode="General">
                  <c:v>10.643597527974109</c:v>
                </c:pt>
                <c:pt idx="42" formatCode="General">
                  <c:v>13.685694110612404</c:v>
                </c:pt>
              </c:numCache>
            </c:numRef>
          </c:val>
        </c:ser>
        <c:gapWidth val="48"/>
        <c:overlap val="100"/>
        <c:axId val="152304256"/>
        <c:axId val="152306816"/>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9.3581307801517113</c:v>
                </c:pt>
                <c:pt idx="1">
                  <c:v>6.69348054679282</c:v>
                </c:pt>
                <c:pt idx="2">
                  <c:v>-14.457345997644724</c:v>
                </c:pt>
                <c:pt idx="3">
                  <c:v>47.607353127413305</c:v>
                </c:pt>
                <c:pt idx="4">
                  <c:v>4.5275346553519498</c:v>
                </c:pt>
                <c:pt idx="5">
                  <c:v>17.161146648370529</c:v>
                </c:pt>
                <c:pt idx="6">
                  <c:v>20.278367215475189</c:v>
                </c:pt>
                <c:pt idx="7">
                  <c:v>38.582011688416344</c:v>
                </c:pt>
                <c:pt idx="8">
                  <c:v>80.947495635826527</c:v>
                </c:pt>
                <c:pt idx="9">
                  <c:v>-1.4465908088559578</c:v>
                </c:pt>
                <c:pt idx="10">
                  <c:v>-18.997378798748954</c:v>
                </c:pt>
                <c:pt idx="11">
                  <c:v>-28.109438524243632</c:v>
                </c:pt>
                <c:pt idx="12">
                  <c:v>-16.86136062471579</c:v>
                </c:pt>
                <c:pt idx="13">
                  <c:v>-28.9063770444141</c:v>
                </c:pt>
                <c:pt idx="14">
                  <c:v>-23.101467772814331</c:v>
                </c:pt>
                <c:pt idx="15">
                  <c:v>-55.927655551331029</c:v>
                </c:pt>
                <c:pt idx="16">
                  <c:v>-51.079272933222406</c:v>
                </c:pt>
                <c:pt idx="17">
                  <c:v>-41.738405177003187</c:v>
                </c:pt>
                <c:pt idx="18">
                  <c:v>-56.024242281042483</c:v>
                </c:pt>
                <c:pt idx="19">
                  <c:v>-65.202951217518688</c:v>
                </c:pt>
                <c:pt idx="20">
                  <c:v>-44.589451999085718</c:v>
                </c:pt>
                <c:pt idx="21">
                  <c:v>-16.544112451539629</c:v>
                </c:pt>
                <c:pt idx="22">
                  <c:v>-30.542353846955258</c:v>
                </c:pt>
                <c:pt idx="23">
                  <c:v>-3.4099650960969972</c:v>
                </c:pt>
                <c:pt idx="24">
                  <c:v>-40.309423264677044</c:v>
                </c:pt>
                <c:pt idx="25">
                  <c:v>1.7782506532844298</c:v>
                </c:pt>
                <c:pt idx="26">
                  <c:v>-1.9307990898139451</c:v>
                </c:pt>
                <c:pt idx="27">
                  <c:v>30.323573083544229</c:v>
                </c:pt>
                <c:pt idx="28">
                  <c:v>26.374874731826711</c:v>
                </c:pt>
                <c:pt idx="29">
                  <c:v>3.437422795896893</c:v>
                </c:pt>
                <c:pt idx="30">
                  <c:v>85.233790481819327</c:v>
                </c:pt>
                <c:pt idx="31">
                  <c:v>103.2802880076606</c:v>
                </c:pt>
                <c:pt idx="32">
                  <c:v>32.468064703629175</c:v>
                </c:pt>
                <c:pt idx="33">
                  <c:v>7.6445254732849275</c:v>
                </c:pt>
                <c:pt idx="34">
                  <c:v>37.956094877735474</c:v>
                </c:pt>
                <c:pt idx="35">
                  <c:v>49.782623720178663</c:v>
                </c:pt>
                <c:pt idx="36">
                  <c:v>135.52929120746481</c:v>
                </c:pt>
                <c:pt idx="37">
                  <c:v>72.264729818539649</c:v>
                </c:pt>
                <c:pt idx="38" formatCode="General">
                  <c:v>56.751970518988657</c:v>
                </c:pt>
                <c:pt idx="39" formatCode="General">
                  <c:v>13.212349490221783</c:v>
                </c:pt>
                <c:pt idx="40" formatCode="General">
                  <c:v>24.010546536161183</c:v>
                </c:pt>
                <c:pt idx="41" formatCode="General">
                  <c:v>35.350085067399192</c:v>
                </c:pt>
                <c:pt idx="42" formatCode="General">
                  <c:v>2.7466564177683068</c:v>
                </c:pt>
              </c:numCache>
            </c:numRef>
          </c:val>
        </c:ser>
        <c:marker val="1"/>
        <c:axId val="152304256"/>
        <c:axId val="152306816"/>
      </c:lineChart>
      <c:catAx>
        <c:axId val="15230425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306816"/>
        <c:crosses val="autoZero"/>
        <c:auto val="1"/>
        <c:lblAlgn val="ctr"/>
        <c:lblOffset val="0"/>
        <c:tickLblSkip val="2"/>
        <c:tickMarkSkip val="1"/>
        <c:noMultiLvlLbl val="1"/>
      </c:catAx>
      <c:valAx>
        <c:axId val="152306816"/>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304256"/>
        <c:crosses val="autoZero"/>
        <c:crossBetween val="between"/>
      </c:valAx>
      <c:spPr>
        <a:noFill/>
        <a:ln w="6350">
          <a:solidFill>
            <a:sysClr val="window" lastClr="FFFFFF">
              <a:lumMod val="85000"/>
            </a:sysClr>
          </a:solidFill>
        </a:ln>
      </c:spPr>
    </c:plotArea>
    <c:legend>
      <c:legendPos val="b"/>
      <c:layout>
        <c:manualLayout>
          <c:xMode val="edge"/>
          <c:yMode val="edge"/>
          <c:x val="0.31612245703215752"/>
          <c:y val="5.2577546296296303E-2"/>
          <c:w val="0.35706304837593628"/>
          <c:h val="0.34147511574074235"/>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105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102.4652338811634</c:v>
                </c:pt>
                <c:pt idx="1">
                  <c:v>109.71080910240201</c:v>
                </c:pt>
                <c:pt idx="2">
                  <c:v>113.09260429835649</c:v>
                </c:pt>
                <c:pt idx="3">
                  <c:v>115.63685208596712</c:v>
                </c:pt>
                <c:pt idx="4">
                  <c:v>123.90170670037929</c:v>
                </c:pt>
                <c:pt idx="5">
                  <c:v>134.62389380530973</c:v>
                </c:pt>
                <c:pt idx="6">
                  <c:v>136.77307206068176</c:v>
                </c:pt>
                <c:pt idx="7">
                  <c:v>146.27054361567636</c:v>
                </c:pt>
                <c:pt idx="8">
                  <c:v>136.70195954487932</c:v>
                </c:pt>
                <c:pt idx="9">
                  <c:v>117.42256637168111</c:v>
                </c:pt>
                <c:pt idx="10">
                  <c:v>105.4045512010117</c:v>
                </c:pt>
                <c:pt idx="11">
                  <c:v>101.47756005056891</c:v>
                </c:pt>
                <c:pt idx="12">
                  <c:v>98.767383059418464</c:v>
                </c:pt>
                <c:pt idx="13">
                  <c:v>97.542667509481618</c:v>
                </c:pt>
                <c:pt idx="14">
                  <c:v>90.937104930467797</c:v>
                </c:pt>
                <c:pt idx="15">
                  <c:v>90.028445006320567</c:v>
                </c:pt>
                <c:pt idx="16">
                  <c:v>95.82806573957015</c:v>
                </c:pt>
                <c:pt idx="17">
                  <c:v>91.055625790139047</c:v>
                </c:pt>
                <c:pt idx="18">
                  <c:v>90.210176991150433</c:v>
                </c:pt>
                <c:pt idx="19">
                  <c:v>89.791403286978905</c:v>
                </c:pt>
                <c:pt idx="20">
                  <c:v>94.152970922881821</c:v>
                </c:pt>
                <c:pt idx="21">
                  <c:v>96.152022756004371</c:v>
                </c:pt>
                <c:pt idx="22">
                  <c:v>89.372629582806582</c:v>
                </c:pt>
                <c:pt idx="23">
                  <c:v>89.293615676359067</c:v>
                </c:pt>
                <c:pt idx="24">
                  <c:v>91.829962073324367</c:v>
                </c:pt>
                <c:pt idx="25">
                  <c:v>92.272439949431089</c:v>
                </c:pt>
                <c:pt idx="26">
                  <c:v>97.874525916560941</c:v>
                </c:pt>
                <c:pt idx="27">
                  <c:v>100.30815423514542</c:v>
                </c:pt>
                <c:pt idx="28" formatCode="General">
                  <c:v>106.3527180783812</c:v>
                </c:pt>
                <c:pt idx="29" formatCode="General">
                  <c:v>106.45543615676299</c:v>
                </c:pt>
                <c:pt idx="30" formatCode="General">
                  <c:v>104.2035398230089</c:v>
                </c:pt>
                <c:pt idx="31" formatCode="General">
                  <c:v>105.83122629582844</c:v>
                </c:pt>
                <c:pt idx="32" formatCode="General">
                  <c:v>108.73103666245267</c:v>
                </c:pt>
                <c:pt idx="33" formatCode="General">
                  <c:v>109.49747155499377</c:v>
                </c:pt>
                <c:pt idx="34" formatCode="General">
                  <c:v>108.47029077117602</c:v>
                </c:pt>
                <c:pt idx="35" formatCode="General">
                  <c:v>109.19721871049308</c:v>
                </c:pt>
                <c:pt idx="36" formatCode="General">
                  <c:v>110.28761061946912</c:v>
                </c:pt>
                <c:pt idx="37" formatCode="General">
                  <c:v>113.25063211125114</c:v>
                </c:pt>
                <c:pt idx="38" formatCode="General">
                  <c:v>115.76327433628325</c:v>
                </c:pt>
                <c:pt idx="39" formatCode="General">
                  <c:v>117.56479140328706</c:v>
                </c:pt>
                <c:pt idx="40" formatCode="General">
                  <c:v>116.90107458912807</c:v>
                </c:pt>
                <c:pt idx="41" formatCode="General">
                  <c:v>115.43931731984836</c:v>
                </c:pt>
                <c:pt idx="42" formatCode="General">
                  <c:v>120.55151706700384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101.439249363868</c:v>
                </c:pt>
                <c:pt idx="1">
                  <c:v>109.52608142493638</c:v>
                </c:pt>
                <c:pt idx="2">
                  <c:v>106.78276081424904</c:v>
                </c:pt>
                <c:pt idx="3">
                  <c:v>105.55025445292621</c:v>
                </c:pt>
                <c:pt idx="4">
                  <c:v>107.15648854961825</c:v>
                </c:pt>
                <c:pt idx="5">
                  <c:v>113.87563613231502</c:v>
                </c:pt>
                <c:pt idx="6">
                  <c:v>112.7783078880404</c:v>
                </c:pt>
                <c:pt idx="7">
                  <c:v>117.12786259541953</c:v>
                </c:pt>
                <c:pt idx="8">
                  <c:v>113.02480916030532</c:v>
                </c:pt>
                <c:pt idx="9">
                  <c:v>110.59955470737944</c:v>
                </c:pt>
                <c:pt idx="10">
                  <c:v>107.75286259541951</c:v>
                </c:pt>
                <c:pt idx="11">
                  <c:v>103.92016539440202</c:v>
                </c:pt>
                <c:pt idx="12">
                  <c:v>101.67779898218782</c:v>
                </c:pt>
                <c:pt idx="13">
                  <c:v>101.87659033078823</c:v>
                </c:pt>
                <c:pt idx="14">
                  <c:v>100.25445292620864</c:v>
                </c:pt>
                <c:pt idx="15">
                  <c:v>97.662213740458014</c:v>
                </c:pt>
                <c:pt idx="16">
                  <c:v>97.534987277353679</c:v>
                </c:pt>
                <c:pt idx="17">
                  <c:v>96.890903307888038</c:v>
                </c:pt>
                <c:pt idx="18">
                  <c:v>96.779580152671144</c:v>
                </c:pt>
                <c:pt idx="19">
                  <c:v>96.763676844783689</c:v>
                </c:pt>
                <c:pt idx="20">
                  <c:v>98.751590330788758</c:v>
                </c:pt>
                <c:pt idx="21">
                  <c:v>99.626272264630728</c:v>
                </c:pt>
                <c:pt idx="22">
                  <c:v>97.837150127226479</c:v>
                </c:pt>
                <c:pt idx="23">
                  <c:v>98.616412213740418</c:v>
                </c:pt>
                <c:pt idx="24">
                  <c:v>98.703880407124558</c:v>
                </c:pt>
                <c:pt idx="25">
                  <c:v>98.966284987278101</c:v>
                </c:pt>
                <c:pt idx="26">
                  <c:v>99.650127226462772</c:v>
                </c:pt>
                <c:pt idx="27">
                  <c:v>102.87054707379075</c:v>
                </c:pt>
                <c:pt idx="28" formatCode="General">
                  <c:v>105.59796437659033</c:v>
                </c:pt>
                <c:pt idx="29" formatCode="General">
                  <c:v>104.06329516539439</c:v>
                </c:pt>
                <c:pt idx="30" formatCode="General">
                  <c:v>105.16857506361318</c:v>
                </c:pt>
                <c:pt idx="31" formatCode="General">
                  <c:v>106.19433842239148</c:v>
                </c:pt>
                <c:pt idx="32" formatCode="General">
                  <c:v>107.49840966921182</c:v>
                </c:pt>
                <c:pt idx="33" formatCode="General">
                  <c:v>108.56393129770962</c:v>
                </c:pt>
                <c:pt idx="34" formatCode="General">
                  <c:v>108.46851145038168</c:v>
                </c:pt>
                <c:pt idx="35" formatCode="General">
                  <c:v>107.97550890585241</c:v>
                </c:pt>
                <c:pt idx="36" formatCode="General">
                  <c:v>109.54993638676847</c:v>
                </c:pt>
                <c:pt idx="37" formatCode="General">
                  <c:v>111.45833333333302</c:v>
                </c:pt>
                <c:pt idx="38" formatCode="General">
                  <c:v>110.80629770992365</c:v>
                </c:pt>
                <c:pt idx="39" formatCode="General">
                  <c:v>113.49395674300285</c:v>
                </c:pt>
                <c:pt idx="40" formatCode="General">
                  <c:v>113.06456743002546</c:v>
                </c:pt>
                <c:pt idx="41" formatCode="General">
                  <c:v>114.72646310432572</c:v>
                </c:pt>
                <c:pt idx="42" formatCode="General">
                  <c:v>115.16380407124684</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103.12549454027538</c:v>
                </c:pt>
                <c:pt idx="1">
                  <c:v>109.81959170754867</c:v>
                </c:pt>
                <c:pt idx="2">
                  <c:v>117.14670042728281</c:v>
                </c:pt>
                <c:pt idx="3">
                  <c:v>122.13957904731772</c:v>
                </c:pt>
                <c:pt idx="4">
                  <c:v>134.67320778604133</c:v>
                </c:pt>
                <c:pt idx="5">
                  <c:v>147.99018832093753</c:v>
                </c:pt>
                <c:pt idx="6">
                  <c:v>152.21554043361292</c:v>
                </c:pt>
                <c:pt idx="7">
                  <c:v>165.03402437094482</c:v>
                </c:pt>
                <c:pt idx="8">
                  <c:v>151.95442316822286</c:v>
                </c:pt>
                <c:pt idx="9">
                  <c:v>121.81516062668145</c:v>
                </c:pt>
                <c:pt idx="10">
                  <c:v>103.90093369203991</c:v>
                </c:pt>
                <c:pt idx="11">
                  <c:v>99.905048267130908</c:v>
                </c:pt>
                <c:pt idx="12">
                  <c:v>96.945719259376887</c:v>
                </c:pt>
                <c:pt idx="13">
                  <c:v>94.935907580313426</c:v>
                </c:pt>
                <c:pt idx="14">
                  <c:v>85.591074537110316</c:v>
                </c:pt>
                <c:pt idx="15">
                  <c:v>85.606899825921758</c:v>
                </c:pt>
                <c:pt idx="16">
                  <c:v>94.674790314922689</c:v>
                </c:pt>
                <c:pt idx="17">
                  <c:v>87.640449438202296</c:v>
                </c:pt>
                <c:pt idx="18">
                  <c:v>86.382338977685478</c:v>
                </c:pt>
                <c:pt idx="19">
                  <c:v>85.733502136413463</c:v>
                </c:pt>
                <c:pt idx="20">
                  <c:v>91.398955530938409</c:v>
                </c:pt>
                <c:pt idx="21">
                  <c:v>94.025953473650858</c:v>
                </c:pt>
                <c:pt idx="22">
                  <c:v>84.499129609116196</c:v>
                </c:pt>
                <c:pt idx="23">
                  <c:v>83.945244500712519</c:v>
                </c:pt>
                <c:pt idx="24">
                  <c:v>87.640449438202296</c:v>
                </c:pt>
                <c:pt idx="25">
                  <c:v>88.162683968982421</c:v>
                </c:pt>
                <c:pt idx="26">
                  <c:v>96.083241019148602</c:v>
                </c:pt>
                <c:pt idx="27">
                  <c:v>98.108877987022694</c:v>
                </c:pt>
                <c:pt idx="28" formatCode="General">
                  <c:v>105.6891913277414</c:v>
                </c:pt>
                <c:pt idx="29" formatCode="General">
                  <c:v>106.59914543440415</c:v>
                </c:pt>
                <c:pt idx="30" formatCode="General">
                  <c:v>102.74568760879886</c:v>
                </c:pt>
                <c:pt idx="31" formatCode="General">
                  <c:v>104.63680962177591</c:v>
                </c:pt>
                <c:pt idx="32" formatCode="General">
                  <c:v>108.27662604842538</c:v>
                </c:pt>
                <c:pt idx="33" formatCode="General">
                  <c:v>108.90172495648045</c:v>
                </c:pt>
                <c:pt idx="34" formatCode="General">
                  <c:v>107.43788574141479</c:v>
                </c:pt>
                <c:pt idx="35" formatCode="General">
                  <c:v>108.73555942395949</c:v>
                </c:pt>
                <c:pt idx="36" formatCode="General">
                  <c:v>109.65342617502768</c:v>
                </c:pt>
                <c:pt idx="37" formatCode="General">
                  <c:v>112.96091153663555</c:v>
                </c:pt>
                <c:pt idx="38" formatCode="General">
                  <c:v>116.56116474125695</c:v>
                </c:pt>
                <c:pt idx="39" formatCode="General">
                  <c:v>118.03291660072797</c:v>
                </c:pt>
                <c:pt idx="40" formatCode="General">
                  <c:v>117.28912802658617</c:v>
                </c:pt>
                <c:pt idx="41" formatCode="General">
                  <c:v>114.75708181674283</c:v>
                </c:pt>
                <c:pt idx="42" formatCode="General">
                  <c:v>121.45117898401649</c:v>
                </c:pt>
              </c:numCache>
            </c:numRef>
          </c:val>
        </c:ser>
        <c:marker val="1"/>
        <c:axId val="152177664"/>
        <c:axId val="152208128"/>
      </c:lineChart>
      <c:catAx>
        <c:axId val="15217766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2208128"/>
        <c:crosses val="autoZero"/>
        <c:auto val="1"/>
        <c:lblAlgn val="ctr"/>
        <c:lblOffset val="0"/>
        <c:tickLblSkip val="2"/>
        <c:tickMarkSkip val="1"/>
        <c:noMultiLvlLbl val="1"/>
      </c:catAx>
      <c:valAx>
        <c:axId val="152208128"/>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177664"/>
        <c:crosses val="autoZero"/>
        <c:crossBetween val="between"/>
      </c:valAx>
      <c:spPr>
        <a:noFill/>
        <a:ln w="6350">
          <a:solidFill>
            <a:sysClr val="window" lastClr="FFFFFF">
              <a:lumMod val="85000"/>
            </a:sysClr>
          </a:solidFill>
        </a:ln>
      </c:spPr>
    </c:plotArea>
    <c:legend>
      <c:legendPos val="b"/>
      <c:layout>
        <c:manualLayout>
          <c:xMode val="edge"/>
          <c:yMode val="edge"/>
          <c:x val="0.46410576110131985"/>
          <c:y val="0.16255960648148149"/>
          <c:w val="0.45080477616355752"/>
          <c:h val="0.1832881944444519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2.7109111361080001E-2"/>
          <c:w val="0.87282669470876462"/>
          <c:h val="0.8274768803705379"/>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98.3</c:v>
                </c:pt>
                <c:pt idx="1">
                  <c:v>101.15069999999999</c:v>
                </c:pt>
                <c:pt idx="2">
                  <c:v>102.46565910000002</c:v>
                </c:pt>
                <c:pt idx="3">
                  <c:v>105.64209453209941</c:v>
                </c:pt>
                <c:pt idx="4">
                  <c:v>104.2687473031822</c:v>
                </c:pt>
                <c:pt idx="5">
                  <c:v>103.74740356666676</c:v>
                </c:pt>
                <c:pt idx="6">
                  <c:v>103.43616135596676</c:v>
                </c:pt>
                <c:pt idx="7">
                  <c:v>104.47052296952643</c:v>
                </c:pt>
                <c:pt idx="8">
                  <c:v>104.26158192358737</c:v>
                </c:pt>
                <c:pt idx="9">
                  <c:v>101.02947288395559</c:v>
                </c:pt>
                <c:pt idx="10">
                  <c:v>99.210942372044556</c:v>
                </c:pt>
                <c:pt idx="11">
                  <c:v>95.837770331395419</c:v>
                </c:pt>
                <c:pt idx="12">
                  <c:v>93.921014924767888</c:v>
                </c:pt>
                <c:pt idx="13">
                  <c:v>92.042594626272574</c:v>
                </c:pt>
                <c:pt idx="14">
                  <c:v>90.385827922998885</c:v>
                </c:pt>
                <c:pt idx="15">
                  <c:v>89.391583815846261</c:v>
                </c:pt>
                <c:pt idx="16">
                  <c:v>86.799227885186724</c:v>
                </c:pt>
                <c:pt idx="17">
                  <c:v>90.618393912134366</c:v>
                </c:pt>
                <c:pt idx="18">
                  <c:v>87.899842094770889</c:v>
                </c:pt>
                <c:pt idx="19">
                  <c:v>86.053945410780372</c:v>
                </c:pt>
                <c:pt idx="20">
                  <c:v>86.828430919477299</c:v>
                </c:pt>
                <c:pt idx="21">
                  <c:v>87.523058366833069</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102.4</c:v>
                </c:pt>
                <c:pt idx="1">
                  <c:v>115.6096</c:v>
                </c:pt>
                <c:pt idx="2">
                  <c:v>119.42471679999998</c:v>
                </c:pt>
                <c:pt idx="3">
                  <c:v>119.18586736639942</c:v>
                </c:pt>
                <c:pt idx="4">
                  <c:v>126.57539114311622</c:v>
                </c:pt>
                <c:pt idx="5">
                  <c:v>128.60059740140665</c:v>
                </c:pt>
                <c:pt idx="6">
                  <c:v>134.1304230896672</c:v>
                </c:pt>
                <c:pt idx="7">
                  <c:v>130.10651039697692</c:v>
                </c:pt>
                <c:pt idx="8">
                  <c:v>122.95065232514339</c:v>
                </c:pt>
                <c:pt idx="9">
                  <c:v>119.75393536468933</c:v>
                </c:pt>
                <c:pt idx="10">
                  <c:v>107.77854182822037</c:v>
                </c:pt>
                <c:pt idx="11">
                  <c:v>101.52738640218344</c:v>
                </c:pt>
                <c:pt idx="12">
                  <c:v>90.663956057150159</c:v>
                </c:pt>
                <c:pt idx="13">
                  <c:v>82.504200012006649</c:v>
                </c:pt>
                <c:pt idx="14">
                  <c:v>72.191175010505859</c:v>
                </c:pt>
                <c:pt idx="15">
                  <c:v>73.1296602856428</c:v>
                </c:pt>
                <c:pt idx="16">
                  <c:v>66.767379840791548</c:v>
                </c:pt>
                <c:pt idx="17">
                  <c:v>68.303029577129749</c:v>
                </c:pt>
                <c:pt idx="18">
                  <c:v>73.015938617951136</c:v>
                </c:pt>
                <c:pt idx="19">
                  <c:v>71.190540152502336</c:v>
                </c:pt>
                <c:pt idx="20">
                  <c:v>79.092690109430649</c:v>
                </c:pt>
                <c:pt idx="21">
                  <c:v>76.957187476476079</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104.2</c:v>
                </c:pt>
                <c:pt idx="1">
                  <c:v>105.34620000000002</c:v>
                </c:pt>
                <c:pt idx="2">
                  <c:v>109.03331699999998</c:v>
                </c:pt>
                <c:pt idx="3">
                  <c:v>111.10495002299965</c:v>
                </c:pt>
                <c:pt idx="4">
                  <c:v>121.77102522520852</c:v>
                </c:pt>
                <c:pt idx="5">
                  <c:v>121.40571214953235</c:v>
                </c:pt>
                <c:pt idx="6">
                  <c:v>123.83382639252257</c:v>
                </c:pt>
                <c:pt idx="7">
                  <c:v>122.84315578138325</c:v>
                </c:pt>
                <c:pt idx="8">
                  <c:v>136.84727554046046</c:v>
                </c:pt>
                <c:pt idx="9">
                  <c:v>127.26796625262821</c:v>
                </c:pt>
                <c:pt idx="10">
                  <c:v>114.03209776235448</c:v>
                </c:pt>
                <c:pt idx="11">
                  <c:v>107.76033238542503</c:v>
                </c:pt>
                <c:pt idx="12">
                  <c:v>98.92398512982048</c:v>
                </c:pt>
                <c:pt idx="13">
                  <c:v>85.964943077814027</c:v>
                </c:pt>
                <c:pt idx="14">
                  <c:v>70.835113096118732</c:v>
                </c:pt>
                <c:pt idx="15">
                  <c:v>65.239139161525372</c:v>
                </c:pt>
                <c:pt idx="16">
                  <c:v>58.128072992919435</c:v>
                </c:pt>
                <c:pt idx="17">
                  <c:v>55.686693927216233</c:v>
                </c:pt>
                <c:pt idx="18">
                  <c:v>60.364376217102674</c:v>
                </c:pt>
                <c:pt idx="19">
                  <c:v>58.251623049504076</c:v>
                </c:pt>
                <c:pt idx="20">
                  <c:v>50.620660430019051</c:v>
                </c:pt>
                <c:pt idx="21">
                  <c:v>55.176519868720987</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102.69999999999999</c:v>
                </c:pt>
                <c:pt idx="1">
                  <c:v>110.71060000000033</c:v>
                </c:pt>
                <c:pt idx="2">
                  <c:v>119.3460268</c:v>
                </c:pt>
                <c:pt idx="3">
                  <c:v>126.86482648840033</c:v>
                </c:pt>
                <c:pt idx="4">
                  <c:v>134.47671607770465</c:v>
                </c:pt>
                <c:pt idx="5">
                  <c:v>138.3765408439574</c:v>
                </c:pt>
                <c:pt idx="6">
                  <c:v>142.66621361012008</c:v>
                </c:pt>
                <c:pt idx="7">
                  <c:v>147.08886623203469</c:v>
                </c:pt>
                <c:pt idx="8">
                  <c:v>154.00204294494</c:v>
                </c:pt>
                <c:pt idx="9">
                  <c:v>150.45999595720627</c:v>
                </c:pt>
                <c:pt idx="10">
                  <c:v>145.19389609870353</c:v>
                </c:pt>
                <c:pt idx="11">
                  <c:v>136.62745622888002</c:v>
                </c:pt>
                <c:pt idx="12">
                  <c:v>97.005493922504428</c:v>
                </c:pt>
                <c:pt idx="13">
                  <c:v>74.791235814251209</c:v>
                </c:pt>
                <c:pt idx="14">
                  <c:v>67.237320997011835</c:v>
                </c:pt>
                <c:pt idx="15">
                  <c:v>62.665183169215027</c:v>
                </c:pt>
                <c:pt idx="16">
                  <c:v>62.414522436538164</c:v>
                </c:pt>
                <c:pt idx="17">
                  <c:v>65.972150215420427</c:v>
                </c:pt>
                <c:pt idx="18">
                  <c:v>70.920061481577804</c:v>
                </c:pt>
                <c:pt idx="19">
                  <c:v>78.579428121587327</c:v>
                </c:pt>
                <c:pt idx="20">
                  <c:v>75.200512712359114</c:v>
                </c:pt>
                <c:pt idx="21">
                  <c:v>81.592556292910047</c:v>
                </c:pt>
              </c:numCache>
            </c:numRef>
          </c:val>
          <c:smooth val="1"/>
        </c:ser>
        <c:marker val="1"/>
        <c:axId val="119417088"/>
        <c:axId val="119422976"/>
      </c:lineChart>
      <c:catAx>
        <c:axId val="11941708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422976"/>
        <c:crosses val="autoZero"/>
        <c:auto val="1"/>
        <c:lblAlgn val="ctr"/>
        <c:lblOffset val="0"/>
        <c:tickLblSkip val="1"/>
        <c:tickMarkSkip val="1"/>
        <c:noMultiLvlLbl val="1"/>
      </c:catAx>
      <c:valAx>
        <c:axId val="119422976"/>
        <c:scaling>
          <c:orientation val="minMax"/>
          <c:max val="16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417088"/>
        <c:crosses val="autoZero"/>
        <c:crossBetween val="between"/>
        <c:majorUnit val="20"/>
      </c:valAx>
      <c:spPr>
        <a:noFill/>
        <a:ln w="6350">
          <a:solidFill>
            <a:sysClr val="window" lastClr="FFFFFF">
              <a:lumMod val="75000"/>
            </a:sysClr>
          </a:solidFill>
        </a:ln>
      </c:spPr>
    </c:plotArea>
    <c:legend>
      <c:legendPos val="b"/>
      <c:layout>
        <c:manualLayout>
          <c:xMode val="edge"/>
          <c:yMode val="edge"/>
          <c:x val="0.10938613059579883"/>
          <c:y val="0.61429284344151602"/>
          <c:w val="0.47369387614817726"/>
          <c:h val="0.18844564352885193"/>
        </c:manualLayout>
      </c:layout>
      <c:spPr>
        <a:solidFill>
          <a:sysClr val="window" lastClr="FFFFFF"/>
        </a:solidFill>
      </c:spPr>
      <c:txPr>
        <a:bodyPr/>
        <a:lstStyle/>
        <a:p>
          <a:pPr>
            <a:defRPr lang="lv-LV" sz="8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Sheet1!$C$14:$C$56</c:f>
              <c:numCache>
                <c:formatCode>0.0</c:formatCode>
                <c:ptCount val="43"/>
                <c:pt idx="0">
                  <c:v>-2.145673504906128</c:v>
                </c:pt>
                <c:pt idx="1">
                  <c:v>3.1875981107732207</c:v>
                </c:pt>
                <c:pt idx="2">
                  <c:v>2.6493304193942588</c:v>
                </c:pt>
                <c:pt idx="3">
                  <c:v>-0.16421624853802363</c:v>
                </c:pt>
                <c:pt idx="4">
                  <c:v>-0.49630709463714162</c:v>
                </c:pt>
                <c:pt idx="5">
                  <c:v>-0.50365975262193885</c:v>
                </c:pt>
                <c:pt idx="6">
                  <c:v>1.5808977537464459</c:v>
                </c:pt>
                <c:pt idx="7">
                  <c:v>-7.5870110692142489</c:v>
                </c:pt>
                <c:pt idx="8">
                  <c:v>-19.398671608207383</c:v>
                </c:pt>
                <c:pt idx="9">
                  <c:v>-27.890470507529606</c:v>
                </c:pt>
                <c:pt idx="10">
                  <c:v>-22.387395781961629</c:v>
                </c:pt>
                <c:pt idx="11">
                  <c:v>-27.81403248669881</c:v>
                </c:pt>
                <c:pt idx="12">
                  <c:v>-30.518994467725161</c:v>
                </c:pt>
                <c:pt idx="13">
                  <c:v>-29.615725488060555</c:v>
                </c:pt>
                <c:pt idx="14">
                  <c:v>-34.385653082995496</c:v>
                </c:pt>
                <c:pt idx="15">
                  <c:v>-25.892392047828356</c:v>
                </c:pt>
                <c:pt idx="16">
                  <c:v>-35.882112859167066</c:v>
                </c:pt>
                <c:pt idx="17">
                  <c:v>-21.962217100796789</c:v>
                </c:pt>
                <c:pt idx="18">
                  <c:v>-17.226194872303189</c:v>
                </c:pt>
                <c:pt idx="19">
                  <c:v>-32.544715111478119</c:v>
                </c:pt>
                <c:pt idx="20">
                  <c:v>-19.493264521296997</c:v>
                </c:pt>
                <c:pt idx="21">
                  <c:v>-15.974179567528802</c:v>
                </c:pt>
                <c:pt idx="22">
                  <c:v>-16.359960372108731</c:v>
                </c:pt>
                <c:pt idx="23">
                  <c:v>-11.627868762304889</c:v>
                </c:pt>
                <c:pt idx="24">
                  <c:v>-8.6483494781399184</c:v>
                </c:pt>
                <c:pt idx="25">
                  <c:v>-3.0442645881798542</c:v>
                </c:pt>
                <c:pt idx="26">
                  <c:v>-1.046122856667222</c:v>
                </c:pt>
                <c:pt idx="27">
                  <c:v>-9.7992020980279548</c:v>
                </c:pt>
                <c:pt idx="28">
                  <c:v>9.1010278911979192</c:v>
                </c:pt>
                <c:pt idx="29">
                  <c:v>-4.0082695624529094</c:v>
                </c:pt>
                <c:pt idx="30">
                  <c:v>-6.5605938745849945</c:v>
                </c:pt>
                <c:pt idx="31">
                  <c:v>-5.9869015137357495</c:v>
                </c:pt>
                <c:pt idx="32">
                  <c:v>-1.4535552742267861</c:v>
                </c:pt>
                <c:pt idx="33">
                  <c:v>6.7882033613409414</c:v>
                </c:pt>
                <c:pt idx="34">
                  <c:v>10.3009004586354</c:v>
                </c:pt>
                <c:pt idx="35">
                  <c:v>1.6389977375614224</c:v>
                </c:pt>
                <c:pt idx="36">
                  <c:v>-2.3553038402634591E-2</c:v>
                </c:pt>
                <c:pt idx="37">
                  <c:v>0.24730549798570217</c:v>
                </c:pt>
                <c:pt idx="38">
                  <c:v>2.1348721324025384</c:v>
                </c:pt>
                <c:pt idx="39">
                  <c:v>3.8220940689926812</c:v>
                </c:pt>
                <c:pt idx="40">
                  <c:v>7.6092166151161704</c:v>
                </c:pt>
                <c:pt idx="41">
                  <c:v>6.2028580384235292</c:v>
                </c:pt>
                <c:pt idx="42">
                  <c:v>4.8882909268546024</c:v>
                </c:pt>
              </c:numCache>
            </c:numRef>
          </c:val>
        </c:ser>
        <c:marker val="1"/>
        <c:axId val="152433024"/>
        <c:axId val="152434560"/>
      </c:lineChart>
      <c:catAx>
        <c:axId val="15243302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434560"/>
        <c:crosses val="autoZero"/>
        <c:auto val="1"/>
        <c:lblAlgn val="ctr"/>
        <c:lblOffset val="0"/>
        <c:tickLblSkip val="2"/>
        <c:tickMarkSkip val="1"/>
        <c:noMultiLvlLbl val="1"/>
      </c:catAx>
      <c:valAx>
        <c:axId val="152434560"/>
        <c:scaling>
          <c:orientation val="minMax"/>
          <c:max val="15"/>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43302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9"/>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128.25</c:v>
                </c:pt>
                <c:pt idx="1">
                  <c:v>141.31</c:v>
                </c:pt>
                <c:pt idx="2">
                  <c:v>134.4</c:v>
                </c:pt>
                <c:pt idx="3">
                  <c:v>159.09</c:v>
                </c:pt>
                <c:pt idx="4">
                  <c:v>151.46</c:v>
                </c:pt>
                <c:pt idx="5">
                  <c:v>152.08000000000001</c:v>
                </c:pt>
                <c:pt idx="6">
                  <c:v>135.30000000000001</c:v>
                </c:pt>
                <c:pt idx="7">
                  <c:v>125.6</c:v>
                </c:pt>
                <c:pt idx="8">
                  <c:v>144.66</c:v>
                </c:pt>
                <c:pt idx="9">
                  <c:v>142.07</c:v>
                </c:pt>
                <c:pt idx="10">
                  <c:v>135.69</c:v>
                </c:pt>
                <c:pt idx="11">
                  <c:v>104.49000000000002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107.46000000000002</c:v>
                </c:pt>
                <c:pt idx="1">
                  <c:v>92.16</c:v>
                </c:pt>
                <c:pt idx="2">
                  <c:v>102.29</c:v>
                </c:pt>
                <c:pt idx="3">
                  <c:v>103.79</c:v>
                </c:pt>
                <c:pt idx="4">
                  <c:v>70.22</c:v>
                </c:pt>
                <c:pt idx="5">
                  <c:v>72.010000000000005</c:v>
                </c:pt>
                <c:pt idx="6">
                  <c:v>72.410000000000025</c:v>
                </c:pt>
                <c:pt idx="7">
                  <c:v>75.540000000000006</c:v>
                </c:pt>
                <c:pt idx="8">
                  <c:v>98.83</c:v>
                </c:pt>
                <c:pt idx="9">
                  <c:v>100.57</c:v>
                </c:pt>
                <c:pt idx="10">
                  <c:v>95.27</c:v>
                </c:pt>
                <c:pt idx="11">
                  <c:v>88.59</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84.149999999999991</c:v>
                </c:pt>
                <c:pt idx="1">
                  <c:v>92.64</c:v>
                </c:pt>
                <c:pt idx="2">
                  <c:v>122.85</c:v>
                </c:pt>
                <c:pt idx="3">
                  <c:v>137.33000000000001</c:v>
                </c:pt>
                <c:pt idx="4">
                  <c:v>103.86</c:v>
                </c:pt>
                <c:pt idx="5">
                  <c:v>122.49000000000002</c:v>
                </c:pt>
                <c:pt idx="6">
                  <c:v>120.85</c:v>
                </c:pt>
                <c:pt idx="7">
                  <c:v>127.2</c:v>
                </c:pt>
                <c:pt idx="8">
                  <c:v>130.83000000000001</c:v>
                </c:pt>
                <c:pt idx="9">
                  <c:v>132.85000000000062</c:v>
                </c:pt>
                <c:pt idx="10">
                  <c:v>144.22999999999999</c:v>
                </c:pt>
                <c:pt idx="11">
                  <c:v>118.01</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104.8</c:v>
                </c:pt>
                <c:pt idx="1">
                  <c:v>127.56</c:v>
                </c:pt>
                <c:pt idx="2">
                  <c:v>148.6</c:v>
                </c:pt>
                <c:pt idx="3" formatCode="General">
                  <c:v>185.10999999999999</c:v>
                </c:pt>
                <c:pt idx="4">
                  <c:v>137.97999999999999</c:v>
                </c:pt>
                <c:pt idx="5">
                  <c:v>151.20999999999998</c:v>
                </c:pt>
                <c:pt idx="6">
                  <c:v>140.19</c:v>
                </c:pt>
              </c:numCache>
            </c:numRef>
          </c:val>
        </c:ser>
        <c:marker val="1"/>
        <c:axId val="152366080"/>
        <c:axId val="152400640"/>
      </c:lineChart>
      <c:catAx>
        <c:axId val="1523660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400640"/>
        <c:crosses val="autoZero"/>
        <c:auto val="1"/>
        <c:lblAlgn val="ctr"/>
        <c:lblOffset val="0"/>
        <c:tickMarkSkip val="1"/>
      </c:catAx>
      <c:valAx>
        <c:axId val="152400640"/>
        <c:scaling>
          <c:orientation val="minMax"/>
          <c:max val="20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366080"/>
        <c:crosses val="autoZero"/>
        <c:crossBetween val="between"/>
      </c:valAx>
      <c:spPr>
        <a:noFill/>
        <a:ln w="6350">
          <a:solidFill>
            <a:sysClr val="window" lastClr="FFFFFF">
              <a:lumMod val="85000"/>
            </a:sysClr>
          </a:solidFill>
        </a:ln>
      </c:spPr>
    </c:plotArea>
    <c:legend>
      <c:legendPos val="b"/>
      <c:layout>
        <c:manualLayout>
          <c:xMode val="edge"/>
          <c:yMode val="edge"/>
          <c:x val="0.59059745489086057"/>
          <c:y val="6.152488425925931E-2"/>
          <c:w val="0.35818544316576972"/>
          <c:h val="0.2039250581482192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117.93413681887625</c:v>
                </c:pt>
                <c:pt idx="1">
                  <c:v>136.25869971142421</c:v>
                </c:pt>
                <c:pt idx="2">
                  <c:v>107.27380750297053</c:v>
                </c:pt>
                <c:pt idx="3">
                  <c:v>129.97793243931423</c:v>
                </c:pt>
                <c:pt idx="4">
                  <c:v>139.46698353420476</c:v>
                </c:pt>
                <c:pt idx="5">
                  <c:v>130.91156000678998</c:v>
                </c:pt>
                <c:pt idx="6">
                  <c:v>121.99966049906664</c:v>
                </c:pt>
                <c:pt idx="7">
                  <c:v>114.33542692242386</c:v>
                </c:pt>
                <c:pt idx="8">
                  <c:v>113.53759972839943</c:v>
                </c:pt>
                <c:pt idx="9">
                  <c:v>108.41113563062302</c:v>
                </c:pt>
                <c:pt idx="10">
                  <c:v>116.18570701069393</c:v>
                </c:pt>
                <c:pt idx="11">
                  <c:v>84.382957053131705</c:v>
                </c:pt>
                <c:pt idx="12">
                  <c:v>100.50076387710071</c:v>
                </c:pt>
                <c:pt idx="13">
                  <c:v>81.293498557120927</c:v>
                </c:pt>
                <c:pt idx="14">
                  <c:v>80.079782719402274</c:v>
                </c:pt>
                <c:pt idx="15">
                  <c:v>84.11984382957057</c:v>
                </c:pt>
                <c:pt idx="16">
                  <c:v>65.982006450517773</c:v>
                </c:pt>
                <c:pt idx="17">
                  <c:v>62.103208283822823</c:v>
                </c:pt>
                <c:pt idx="18">
                  <c:v>65.33695467662541</c:v>
                </c:pt>
                <c:pt idx="19">
                  <c:v>68.774401629604512</c:v>
                </c:pt>
                <c:pt idx="20">
                  <c:v>77.618400950602648</c:v>
                </c:pt>
                <c:pt idx="21">
                  <c:v>78.161602444406782</c:v>
                </c:pt>
                <c:pt idx="22">
                  <c:v>80.00339500933633</c:v>
                </c:pt>
                <c:pt idx="23">
                  <c:v>71.880835172296514</c:v>
                </c:pt>
                <c:pt idx="24">
                  <c:v>80.249533186216325</c:v>
                </c:pt>
                <c:pt idx="25">
                  <c:v>81.751824817518283</c:v>
                </c:pt>
                <c:pt idx="26" formatCode="General">
                  <c:v>94.355796978441504</c:v>
                </c:pt>
                <c:pt idx="27" formatCode="General">
                  <c:v>110.57545408249862</c:v>
                </c:pt>
                <c:pt idx="28" formatCode="General">
                  <c:v>96.027839076557356</c:v>
                </c:pt>
                <c:pt idx="29" formatCode="General">
                  <c:v>103.78543540994752</c:v>
                </c:pt>
                <c:pt idx="30" formatCode="General">
                  <c:v>110.89797996944496</c:v>
                </c:pt>
                <c:pt idx="31" formatCode="General">
                  <c:v>113.68188762519101</c:v>
                </c:pt>
                <c:pt idx="32" formatCode="General">
                  <c:v>102.79239517908665</c:v>
                </c:pt>
                <c:pt idx="33" formatCode="General">
                  <c:v>105.12646409777631</c:v>
                </c:pt>
                <c:pt idx="34" formatCode="General">
                  <c:v>118.87625190969283</c:v>
                </c:pt>
                <c:pt idx="35" formatCode="General">
                  <c:v>94.406722118485675</c:v>
                </c:pt>
                <c:pt idx="36" formatCode="General">
                  <c:v>98.455270751994618</c:v>
                </c:pt>
                <c:pt idx="37" formatCode="General">
                  <c:v>112.65489730096765</c:v>
                </c:pt>
                <c:pt idx="38" formatCode="General">
                  <c:v>114.15718893226943</c:v>
                </c:pt>
                <c:pt idx="39" formatCode="General">
                  <c:v>151.13732812765244</c:v>
                </c:pt>
                <c:pt idx="40" formatCode="General">
                  <c:v>123.21337633678468</c:v>
                </c:pt>
                <c:pt idx="41" formatCode="General">
                  <c:v>130.32592089628261</c:v>
                </c:pt>
              </c:numCache>
            </c:numRef>
          </c:val>
        </c:ser>
        <c:marker val="1"/>
        <c:axId val="152551808"/>
        <c:axId val="152553344"/>
      </c:lineChart>
      <c:catAx>
        <c:axId val="15255180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553344"/>
        <c:crosses val="autoZero"/>
        <c:auto val="1"/>
        <c:lblAlgn val="ctr"/>
        <c:lblOffset val="0"/>
        <c:tickLblSkip val="2"/>
        <c:tickMarkSkip val="1"/>
        <c:noMultiLvlLbl val="1"/>
      </c:catAx>
      <c:valAx>
        <c:axId val="152553344"/>
        <c:scaling>
          <c:orientation val="minMax"/>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55180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3.0565999999999987</c:v>
                </c:pt>
                <c:pt idx="1">
                  <c:v>3.6187000000000022</c:v>
                </c:pt>
                <c:pt idx="2">
                  <c:v>2.4395000000000007</c:v>
                </c:pt>
                <c:pt idx="3">
                  <c:v>3.0014000000000003</c:v>
                </c:pt>
                <c:pt idx="4">
                  <c:v>3.4745000000000008</c:v>
                </c:pt>
                <c:pt idx="5">
                  <c:v>2.7096</c:v>
                </c:pt>
                <c:pt idx="6">
                  <c:v>3.4120999999999873</c:v>
                </c:pt>
                <c:pt idx="7">
                  <c:v>2.5130999999999997</c:v>
                </c:pt>
                <c:pt idx="8">
                  <c:v>3.5335000000000001</c:v>
                </c:pt>
                <c:pt idx="9">
                  <c:v>3.5124999999999913</c:v>
                </c:pt>
                <c:pt idx="10">
                  <c:v>2.8968999999999889</c:v>
                </c:pt>
                <c:pt idx="11">
                  <c:v>2.9309999999999987</c:v>
                </c:pt>
                <c:pt idx="12">
                  <c:v>1.9623000000000066</c:v>
                </c:pt>
                <c:pt idx="13">
                  <c:v>1.6571000000000007</c:v>
                </c:pt>
                <c:pt idx="14">
                  <c:v>1.6212999999999949</c:v>
                </c:pt>
                <c:pt idx="15">
                  <c:v>1.8996000000000004</c:v>
                </c:pt>
                <c:pt idx="16">
                  <c:v>1.7089999999999947</c:v>
                </c:pt>
                <c:pt idx="17">
                  <c:v>1.1850999999999994</c:v>
                </c:pt>
                <c:pt idx="18">
                  <c:v>1.3997000000000011</c:v>
                </c:pt>
                <c:pt idx="19">
                  <c:v>1.6341000000000001</c:v>
                </c:pt>
                <c:pt idx="20">
                  <c:v>1.5103</c:v>
                </c:pt>
                <c:pt idx="21">
                  <c:v>1.4712999999999921</c:v>
                </c:pt>
                <c:pt idx="22">
                  <c:v>1.7192999999999914</c:v>
                </c:pt>
                <c:pt idx="23">
                  <c:v>1.7847000000000008</c:v>
                </c:pt>
                <c:pt idx="24">
                  <c:v>1.2563000000000004</c:v>
                </c:pt>
                <c:pt idx="25">
                  <c:v>1.6831000000000005</c:v>
                </c:pt>
                <c:pt idx="26">
                  <c:v>1.4601999999999937</c:v>
                </c:pt>
                <c:pt idx="27">
                  <c:v>2.031900000000002</c:v>
                </c:pt>
                <c:pt idx="28">
                  <c:v>1.7482000000000006</c:v>
                </c:pt>
                <c:pt idx="29">
                  <c:v>1.540400000000002</c:v>
                </c:pt>
                <c:pt idx="30">
                  <c:v>1.6978000000000009</c:v>
                </c:pt>
                <c:pt idx="31">
                  <c:v>2.0332999999999988</c:v>
                </c:pt>
                <c:pt idx="32">
                  <c:v>2.0205000000000002</c:v>
                </c:pt>
                <c:pt idx="33">
                  <c:v>2.2211999999999996</c:v>
                </c:pt>
                <c:pt idx="34">
                  <c:v>1.8403999999999978</c:v>
                </c:pt>
                <c:pt idx="35">
                  <c:v>1.7869999999999935</c:v>
                </c:pt>
                <c:pt idx="36">
                  <c:v>1.5502000000000002</c:v>
                </c:pt>
                <c:pt idx="37">
                  <c:v>1.8817999999999928</c:v>
                </c:pt>
                <c:pt idx="38">
                  <c:v>2.1557999999999993</c:v>
                </c:pt>
                <c:pt idx="39">
                  <c:v>3.1585000000000001</c:v>
                </c:pt>
                <c:pt idx="40">
                  <c:v>1.925300000000002</c:v>
                </c:pt>
                <c:pt idx="41">
                  <c:v>1.8608999999999978</c:v>
                </c:pt>
                <c:pt idx="42">
                  <c:v>1.7752999999999934</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7.2065000000000001</c:v>
                </c:pt>
                <c:pt idx="1">
                  <c:v>8.306300000000002</c:v>
                </c:pt>
                <c:pt idx="2">
                  <c:v>8.0589000000000013</c:v>
                </c:pt>
                <c:pt idx="3">
                  <c:v>9.6549000000000014</c:v>
                </c:pt>
                <c:pt idx="4">
                  <c:v>9.9696000000000247</c:v>
                </c:pt>
                <c:pt idx="5">
                  <c:v>9.9544000000000068</c:v>
                </c:pt>
                <c:pt idx="6">
                  <c:v>9.2717000000000009</c:v>
                </c:pt>
                <c:pt idx="7">
                  <c:v>9.0457000000000001</c:v>
                </c:pt>
                <c:pt idx="8">
                  <c:v>9.2277999999999984</c:v>
                </c:pt>
                <c:pt idx="9">
                  <c:v>9.1483999999999988</c:v>
                </c:pt>
                <c:pt idx="10">
                  <c:v>7.1532</c:v>
                </c:pt>
                <c:pt idx="11">
                  <c:v>6.9407000000000014</c:v>
                </c:pt>
                <c:pt idx="12">
                  <c:v>7.5318999999999994</c:v>
                </c:pt>
                <c:pt idx="13">
                  <c:v>7.6283999999999965</c:v>
                </c:pt>
                <c:pt idx="14">
                  <c:v>8.3096000000000068</c:v>
                </c:pt>
                <c:pt idx="15">
                  <c:v>7.6254999999999855</c:v>
                </c:pt>
                <c:pt idx="16">
                  <c:v>6.8488999999999995</c:v>
                </c:pt>
                <c:pt idx="17">
                  <c:v>6.6867999999999999</c:v>
                </c:pt>
                <c:pt idx="18">
                  <c:v>6.1003999999999996</c:v>
                </c:pt>
                <c:pt idx="19">
                  <c:v>5.7389999999999999</c:v>
                </c:pt>
                <c:pt idx="20">
                  <c:v>7.3942999999999985</c:v>
                </c:pt>
                <c:pt idx="21">
                  <c:v>8.4642000000000035</c:v>
                </c:pt>
                <c:pt idx="22">
                  <c:v>7.2880000000000003</c:v>
                </c:pt>
                <c:pt idx="23">
                  <c:v>7.1366999999999994</c:v>
                </c:pt>
                <c:pt idx="24">
                  <c:v>6.4878</c:v>
                </c:pt>
                <c:pt idx="25">
                  <c:v>6.9965000000000002</c:v>
                </c:pt>
                <c:pt idx="26">
                  <c:v>9.001100000000001</c:v>
                </c:pt>
                <c:pt idx="27">
                  <c:v>9.4438000000000013</c:v>
                </c:pt>
                <c:pt idx="28">
                  <c:v>10.035</c:v>
                </c:pt>
                <c:pt idx="29">
                  <c:v>10.197800000000001</c:v>
                </c:pt>
                <c:pt idx="30">
                  <c:v>9.3859000000000048</c:v>
                </c:pt>
                <c:pt idx="31">
                  <c:v>9.3302000000000014</c:v>
                </c:pt>
                <c:pt idx="32">
                  <c:v>11.101299999999998</c:v>
                </c:pt>
                <c:pt idx="33">
                  <c:v>10.602</c:v>
                </c:pt>
                <c:pt idx="34">
                  <c:v>11.7735</c:v>
                </c:pt>
                <c:pt idx="35">
                  <c:v>10.2584</c:v>
                </c:pt>
                <c:pt idx="36">
                  <c:v>10.2475</c:v>
                </c:pt>
                <c:pt idx="37">
                  <c:v>11.023700000000002</c:v>
                </c:pt>
                <c:pt idx="38">
                  <c:v>11.983000000000002</c:v>
                </c:pt>
                <c:pt idx="39">
                  <c:v>10.9833</c:v>
                </c:pt>
                <c:pt idx="40">
                  <c:v>13.010400000000002</c:v>
                </c:pt>
                <c:pt idx="41">
                  <c:v>11.495100000000004</c:v>
                </c:pt>
                <c:pt idx="42">
                  <c:v>10.9238</c:v>
                </c:pt>
              </c:numCache>
            </c:numRef>
          </c:val>
        </c:ser>
        <c:gapWidth val="0"/>
        <c:overlap val="100"/>
        <c:axId val="152426752"/>
        <c:axId val="152539136"/>
      </c:barChart>
      <c:catAx>
        <c:axId val="152426752"/>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539136"/>
        <c:crosses val="autoZero"/>
        <c:auto val="1"/>
        <c:lblAlgn val="ctr"/>
        <c:lblOffset val="0"/>
        <c:tickLblSkip val="3"/>
        <c:tickMarkSkip val="1"/>
        <c:noMultiLvlLbl val="1"/>
      </c:catAx>
      <c:valAx>
        <c:axId val="152539136"/>
        <c:scaling>
          <c:orientation val="minMax"/>
          <c:max val="15"/>
          <c:min val="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426752"/>
        <c:crosses val="autoZero"/>
        <c:crossBetween val="between"/>
        <c:majorUnit val="3"/>
      </c:valAx>
      <c:spPr>
        <a:noFill/>
        <a:ln w="6350">
          <a:solidFill>
            <a:sysClr val="window" lastClr="FFFFFF">
              <a:lumMod val="85000"/>
            </a:sysClr>
          </a:solidFill>
        </a:ln>
      </c:spPr>
    </c:plotArea>
    <c:legend>
      <c:legendPos val="b"/>
      <c:layout>
        <c:manualLayout>
          <c:xMode val="edge"/>
          <c:yMode val="edge"/>
          <c:x val="0.34666213854659123"/>
          <c:y val="7.3834490740741929E-2"/>
          <c:w val="0.35085635603238591"/>
          <c:h val="0.13589057465377177"/>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722"/>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-6.8422637653265435</c:v>
                </c:pt>
                <c:pt idx="1">
                  <c:v>7.0883952384426436</c:v>
                </c:pt>
                <c:pt idx="2">
                  <c:v>-25.008298107671109</c:v>
                </c:pt>
                <c:pt idx="3">
                  <c:v>39.478337066061528</c:v>
                </c:pt>
                <c:pt idx="4">
                  <c:v>23.013038555271152</c:v>
                </c:pt>
                <c:pt idx="5">
                  <c:v>4.7276243369086846</c:v>
                </c:pt>
                <c:pt idx="6">
                  <c:v>35.385758240438413</c:v>
                </c:pt>
                <c:pt idx="7">
                  <c:v>-6.3816153481043054</c:v>
                </c:pt>
                <c:pt idx="8">
                  <c:v>6.4482743527750586</c:v>
                </c:pt>
                <c:pt idx="9">
                  <c:v>1.8997268602649577</c:v>
                </c:pt>
                <c:pt idx="10">
                  <c:v>-2.9697643483092282</c:v>
                </c:pt>
                <c:pt idx="11">
                  <c:v>-19.213545516113189</c:v>
                </c:pt>
                <c:pt idx="12">
                  <c:v>-6.4455425316666322</c:v>
                </c:pt>
                <c:pt idx="13">
                  <c:v>-17.838921240508352</c:v>
                </c:pt>
                <c:pt idx="14">
                  <c:v>-4.1537262423419845</c:v>
                </c:pt>
                <c:pt idx="15">
                  <c:v>-27.064344936106298</c:v>
                </c:pt>
                <c:pt idx="16">
                  <c:v>-35.374399228093495</c:v>
                </c:pt>
                <c:pt idx="17">
                  <c:v>-36.192524579722004</c:v>
                </c:pt>
                <c:pt idx="18">
                  <c:v>-36.904330029235993</c:v>
                </c:pt>
                <c:pt idx="19">
                  <c:v>-33.732934191042496</c:v>
                </c:pt>
                <c:pt idx="20">
                  <c:v>-24.90002345224805</c:v>
                </c:pt>
                <c:pt idx="21">
                  <c:v>-19.8028479308404</c:v>
                </c:pt>
                <c:pt idx="22">
                  <c:v>-8.5443725976576239</c:v>
                </c:pt>
                <c:pt idx="23">
                  <c:v>-5.4038768930451511</c:v>
                </c:pt>
                <c:pt idx="24">
                  <c:v>-20.352169321528727</c:v>
                </c:pt>
                <c:pt idx="25">
                  <c:v>-3.9158213973316265</c:v>
                </c:pt>
                <c:pt idx="26">
                  <c:v>10.716726035442164</c:v>
                </c:pt>
                <c:pt idx="27">
                  <c:v>21.760651198109127</c:v>
                </c:pt>
                <c:pt idx="28">
                  <c:v>34.907986218789205</c:v>
                </c:pt>
                <c:pt idx="29">
                  <c:v>42.64851975423511</c:v>
                </c:pt>
                <c:pt idx="30">
                  <c:v>42.857647094234942</c:v>
                </c:pt>
                <c:pt idx="31">
                  <c:v>47.529637628666428</c:v>
                </c:pt>
                <c:pt idx="32">
                  <c:v>38.401884547738753</c:v>
                </c:pt>
                <c:pt idx="33">
                  <c:v>28.960490469898303</c:v>
                </c:pt>
                <c:pt idx="34">
                  <c:v>50.361338658018298</c:v>
                </c:pt>
                <c:pt idx="35">
                  <c:v>30.393692507744021</c:v>
                </c:pt>
                <c:pt idx="36">
                  <c:v>55.036855351873157</c:v>
                </c:pt>
                <c:pt idx="37">
                  <c:v>44.477951226253907</c:v>
                </c:pt>
                <c:pt idx="38" formatCode="General">
                  <c:v>29.206485614574319</c:v>
                </c:pt>
                <c:pt idx="39" formatCode="General">
                  <c:v>21.930556687746186</c:v>
                </c:pt>
                <c:pt idx="40" formatCode="General">
                  <c:v>28.220635405622602</c:v>
                </c:pt>
                <c:pt idx="41" formatCode="General">
                  <c:v>17.461200940231844</c:v>
                </c:pt>
                <c:pt idx="42" formatCode="General">
                  <c:v>17.406928160513303</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-0.39652871478917279</c:v>
                </c:pt>
                <c:pt idx="1">
                  <c:v>1.7978152475048796</c:v>
                </c:pt>
                <c:pt idx="2">
                  <c:v>0.32935821586298458</c:v>
                </c:pt>
                <c:pt idx="3">
                  <c:v>-8.9956367485227222</c:v>
                </c:pt>
                <c:pt idx="4">
                  <c:v>-3.1669011664783202</c:v>
                </c:pt>
                <c:pt idx="5">
                  <c:v>-1.186593014602096</c:v>
                </c:pt>
                <c:pt idx="6">
                  <c:v>1.9546638357259383</c:v>
                </c:pt>
                <c:pt idx="7">
                  <c:v>2.6864902470820247</c:v>
                </c:pt>
                <c:pt idx="8">
                  <c:v>2.9358597062829261</c:v>
                </c:pt>
                <c:pt idx="9">
                  <c:v>-0.39490051257551917</c:v>
                </c:pt>
                <c:pt idx="10">
                  <c:v>-1.0260707363264321</c:v>
                </c:pt>
                <c:pt idx="11">
                  <c:v>2.6401224885965036</c:v>
                </c:pt>
                <c:pt idx="12">
                  <c:v>-1.0463458841141602</c:v>
                </c:pt>
                <c:pt idx="13">
                  <c:v>-4.2952506672484665</c:v>
                </c:pt>
                <c:pt idx="14">
                  <c:v>-1.2518593707038119</c:v>
                </c:pt>
                <c:pt idx="15">
                  <c:v>2.3240969963451588</c:v>
                </c:pt>
                <c:pt idx="16">
                  <c:v>-0.97016827735499611</c:v>
                </c:pt>
                <c:pt idx="17">
                  <c:v>-1.6478102276058593</c:v>
                </c:pt>
                <c:pt idx="18">
                  <c:v>-3.9643370894508152</c:v>
                </c:pt>
                <c:pt idx="19">
                  <c:v>-2.4793023733067177</c:v>
                </c:pt>
                <c:pt idx="20">
                  <c:v>-5.3218191499946714</c:v>
                </c:pt>
                <c:pt idx="21">
                  <c:v>-1.7232679061064289</c:v>
                </c:pt>
                <c:pt idx="22">
                  <c:v>-1.8316435613855901</c:v>
                </c:pt>
                <c:pt idx="23">
                  <c:v>-4.2226312058638484</c:v>
                </c:pt>
                <c:pt idx="24">
                  <c:v>1.918810007421172</c:v>
                </c:pt>
                <c:pt idx="25">
                  <c:v>-2.6094061079184883</c:v>
                </c:pt>
                <c:pt idx="26">
                  <c:v>-5.3758203773447075</c:v>
                </c:pt>
                <c:pt idx="27">
                  <c:v>-1.282126038268288</c:v>
                </c:pt>
                <c:pt idx="28">
                  <c:v>2.779997982942561</c:v>
                </c:pt>
                <c:pt idx="29">
                  <c:v>6.4666875019546524</c:v>
                </c:pt>
                <c:pt idx="30">
                  <c:v>4.9230491631479083</c:v>
                </c:pt>
                <c:pt idx="31">
                  <c:v>6.5914240685842165</c:v>
                </c:pt>
                <c:pt idx="32">
                  <c:v>8.9579070206637823</c:v>
                </c:pt>
                <c:pt idx="33">
                  <c:v>0.10397533454033692</c:v>
                </c:pt>
                <c:pt idx="34">
                  <c:v>0.78162316183892</c:v>
                </c:pt>
                <c:pt idx="35">
                  <c:v>4.6232330868934906</c:v>
                </c:pt>
                <c:pt idx="36">
                  <c:v>-2.6924899640294977</c:v>
                </c:pt>
                <c:pt idx="37">
                  <c:v>4.2097763187942414</c:v>
                </c:pt>
                <c:pt idx="38" formatCode="General">
                  <c:v>5.9468892049987971</c:v>
                </c:pt>
                <c:pt idx="39" formatCode="General">
                  <c:v>1.3020130029915769</c:v>
                </c:pt>
                <c:pt idx="40" formatCode="General">
                  <c:v>-1.4664429960903931</c:v>
                </c:pt>
                <c:pt idx="41" formatCode="General">
                  <c:v>-3.6788493019910078</c:v>
                </c:pt>
                <c:pt idx="42" formatCode="General">
                  <c:v>-2.8323727322718337</c:v>
                </c:pt>
              </c:numCache>
            </c:numRef>
          </c:val>
        </c:ser>
        <c:gapWidth val="48"/>
        <c:overlap val="100"/>
        <c:axId val="152770048"/>
        <c:axId val="152788992"/>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-7.2387924801157144</c:v>
                </c:pt>
                <c:pt idx="1">
                  <c:v>8.8862104859475259</c:v>
                </c:pt>
                <c:pt idx="2">
                  <c:v>-24.678939891808128</c:v>
                </c:pt>
                <c:pt idx="3">
                  <c:v>30.482700317538725</c:v>
                </c:pt>
                <c:pt idx="4">
                  <c:v>19.846137388792826</c:v>
                </c:pt>
                <c:pt idx="5">
                  <c:v>3.5410313223066092</c:v>
                </c:pt>
                <c:pt idx="6">
                  <c:v>37.340422076164295</c:v>
                </c:pt>
                <c:pt idx="7">
                  <c:v>-3.695125101022299</c:v>
                </c:pt>
                <c:pt idx="8">
                  <c:v>9.3841340590580415</c:v>
                </c:pt>
                <c:pt idx="9">
                  <c:v>1.5048263476894339</c:v>
                </c:pt>
                <c:pt idx="10">
                  <c:v>-3.9958350846356567</c:v>
                </c:pt>
                <c:pt idx="11">
                  <c:v>-16.573423027516725</c:v>
                </c:pt>
                <c:pt idx="12">
                  <c:v>-7.4918884157807923</c:v>
                </c:pt>
                <c:pt idx="13">
                  <c:v>-22.134171907756926</c:v>
                </c:pt>
                <c:pt idx="14">
                  <c:v>-5.405585613045778</c:v>
                </c:pt>
                <c:pt idx="15">
                  <c:v>-24.740247939761034</c:v>
                </c:pt>
                <c:pt idx="16">
                  <c:v>-36.344567505448076</c:v>
                </c:pt>
                <c:pt idx="17">
                  <c:v>-37.840334807327856</c:v>
                </c:pt>
                <c:pt idx="18">
                  <c:v>-40.868667118686794</c:v>
                </c:pt>
                <c:pt idx="19">
                  <c:v>-36.21223656434924</c:v>
                </c:pt>
                <c:pt idx="20">
                  <c:v>-30.221842602242717</c:v>
                </c:pt>
                <c:pt idx="21">
                  <c:v>-21.526115836946829</c:v>
                </c:pt>
                <c:pt idx="22">
                  <c:v>-10.376016159043292</c:v>
                </c:pt>
                <c:pt idx="23">
                  <c:v>-9.6265080989090048</c:v>
                </c:pt>
                <c:pt idx="24">
                  <c:v>-18.433359314107562</c:v>
                </c:pt>
                <c:pt idx="25">
                  <c:v>-6.5252275052501174</c:v>
                </c:pt>
                <c:pt idx="26">
                  <c:v>5.3409056580974168</c:v>
                </c:pt>
                <c:pt idx="27">
                  <c:v>20.478525159840856</c:v>
                </c:pt>
                <c:pt idx="28">
                  <c:v>37.687984201731744</c:v>
                </c:pt>
                <c:pt idx="29">
                  <c:v>49.115207256189763</c:v>
                </c:pt>
                <c:pt idx="30">
                  <c:v>47.780696257383042</c:v>
                </c:pt>
                <c:pt idx="31">
                  <c:v>54.121061697250795</c:v>
                </c:pt>
                <c:pt idx="32">
                  <c:v>47.359791568402564</c:v>
                </c:pt>
                <c:pt idx="33">
                  <c:v>29.06446580443864</c:v>
                </c:pt>
                <c:pt idx="34">
                  <c:v>51.14296181985722</c:v>
                </c:pt>
                <c:pt idx="35">
                  <c:v>35.016925594637421</c:v>
                </c:pt>
                <c:pt idx="36">
                  <c:v>52.344365387843375</c:v>
                </c:pt>
                <c:pt idx="37">
                  <c:v>48.687727545047963</c:v>
                </c:pt>
                <c:pt idx="38" formatCode="General">
                  <c:v>35.153374819573116</c:v>
                </c:pt>
                <c:pt idx="39" formatCode="General">
                  <c:v>23.232569690737677</c:v>
                </c:pt>
                <c:pt idx="40" formatCode="General">
                  <c:v>26.754192409532209</c:v>
                </c:pt>
                <c:pt idx="41" formatCode="General">
                  <c:v>13.782351638240954</c:v>
                </c:pt>
                <c:pt idx="42" formatCode="General">
                  <c:v>14.574555428241467</c:v>
                </c:pt>
              </c:numCache>
            </c:numRef>
          </c:val>
        </c:ser>
        <c:marker val="1"/>
        <c:axId val="152770048"/>
        <c:axId val="152788992"/>
      </c:lineChart>
      <c:catAx>
        <c:axId val="1527700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788992"/>
        <c:crosses val="autoZero"/>
        <c:auto val="1"/>
        <c:lblAlgn val="ctr"/>
        <c:lblOffset val="0"/>
        <c:tickLblSkip val="2"/>
        <c:tickMarkSkip val="1"/>
        <c:noMultiLvlLbl val="1"/>
      </c:catAx>
      <c:valAx>
        <c:axId val="152788992"/>
        <c:scaling>
          <c:orientation val="minMax"/>
          <c:max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770048"/>
        <c:crosses val="autoZero"/>
        <c:crossBetween val="between"/>
      </c:valAx>
      <c:spPr>
        <a:noFill/>
        <a:ln w="6350">
          <a:solidFill>
            <a:sysClr val="window" lastClr="FFFFFF">
              <a:lumMod val="85000"/>
            </a:sysClr>
          </a:solidFill>
        </a:ln>
      </c:spPr>
    </c:plotArea>
    <c:legend>
      <c:legendPos val="b"/>
      <c:layout>
        <c:manualLayout>
          <c:xMode val="edge"/>
          <c:yMode val="edge"/>
          <c:x val="0.17556691377367334"/>
          <c:y val="6.7276620370370382E-2"/>
          <c:w val="0.48539637048150741"/>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115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102.70409477208345</c:v>
                </c:pt>
                <c:pt idx="1">
                  <c:v>107.08215297450394</c:v>
                </c:pt>
                <c:pt idx="2">
                  <c:v>105.35668297707929</c:v>
                </c:pt>
                <c:pt idx="3">
                  <c:v>101.66537900248868</c:v>
                </c:pt>
                <c:pt idx="4">
                  <c:v>104.26646064039883</c:v>
                </c:pt>
                <c:pt idx="5">
                  <c:v>105.13348785303391</c:v>
                </c:pt>
                <c:pt idx="6">
                  <c:v>107.10790625804789</c:v>
                </c:pt>
                <c:pt idx="7">
                  <c:v>106.9533865567854</c:v>
                </c:pt>
                <c:pt idx="8">
                  <c:v>104.89312387329383</c:v>
                </c:pt>
                <c:pt idx="9">
                  <c:v>104.55833118722578</c:v>
                </c:pt>
                <c:pt idx="10">
                  <c:v>102.54957507082148</c:v>
                </c:pt>
                <c:pt idx="11">
                  <c:v>103.59687526826337</c:v>
                </c:pt>
                <c:pt idx="12">
                  <c:v>103.60545969611125</c:v>
                </c:pt>
                <c:pt idx="13">
                  <c:v>104.07760322774487</c:v>
                </c:pt>
                <c:pt idx="14">
                  <c:v>104.46390248089966</c:v>
                </c:pt>
                <c:pt idx="15">
                  <c:v>105.05622800240332</c:v>
                </c:pt>
                <c:pt idx="16">
                  <c:v>104.41239591381233</c:v>
                </c:pt>
                <c:pt idx="17">
                  <c:v>105.45111168340632</c:v>
                </c:pt>
                <c:pt idx="18">
                  <c:v>103.99175894926634</c:v>
                </c:pt>
                <c:pt idx="19">
                  <c:v>101.72546999742436</c:v>
                </c:pt>
                <c:pt idx="20">
                  <c:v>99.064297364580653</c:v>
                </c:pt>
                <c:pt idx="21">
                  <c:v>107.18516610867854</c:v>
                </c:pt>
                <c:pt idx="22">
                  <c:v>102.11176925057944</c:v>
                </c:pt>
                <c:pt idx="23">
                  <c:v>101.00437805820241</c:v>
                </c:pt>
                <c:pt idx="24">
                  <c:v>106.74736028843679</c:v>
                </c:pt>
                <c:pt idx="25">
                  <c:v>101.44218387844451</c:v>
                </c:pt>
                <c:pt idx="26">
                  <c:v>100.48931238732938</c:v>
                </c:pt>
                <c:pt idx="27">
                  <c:v>103.92308352648264</c:v>
                </c:pt>
                <c:pt idx="28" formatCode="General">
                  <c:v>105.67430680745048</c:v>
                </c:pt>
                <c:pt idx="29" formatCode="General">
                  <c:v>107.04781526311326</c:v>
                </c:pt>
                <c:pt idx="30" formatCode="General">
                  <c:v>106.25804790110739</c:v>
                </c:pt>
                <c:pt idx="31" formatCode="General">
                  <c:v>106.66151600995796</c:v>
                </c:pt>
                <c:pt idx="32" formatCode="General">
                  <c:v>104.96179929607692</c:v>
                </c:pt>
                <c:pt idx="33" formatCode="General">
                  <c:v>103.33075800497895</c:v>
                </c:pt>
                <c:pt idx="34" formatCode="General">
                  <c:v>103.18482273156447</c:v>
                </c:pt>
                <c:pt idx="35" formatCode="General">
                  <c:v>104.46390248089966</c:v>
                </c:pt>
                <c:pt idx="36" formatCode="General">
                  <c:v>105.02189029101243</c:v>
                </c:pt>
                <c:pt idx="37" formatCode="General">
                  <c:v>104.5411623315306</c:v>
                </c:pt>
                <c:pt idx="38" formatCode="General">
                  <c:v>104.44673362520429</c:v>
                </c:pt>
                <c:pt idx="39" formatCode="General">
                  <c:v>104.17203193407097</c:v>
                </c:pt>
                <c:pt idx="40" formatCode="General">
                  <c:v>104.9274615846854</c:v>
                </c:pt>
                <c:pt idx="41" formatCode="General">
                  <c:v>103.97459009357028</c:v>
                </c:pt>
                <c:pt idx="42" formatCode="General">
                  <c:v>103.9144990986355</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106.00794066971363</c:v>
                </c:pt>
                <c:pt idx="1">
                  <c:v>109.408944490224</c:v>
                </c:pt>
                <c:pt idx="2">
                  <c:v>109.76103078882316</c:v>
                </c:pt>
                <c:pt idx="3">
                  <c:v>109.371488501011</c:v>
                </c:pt>
                <c:pt idx="4">
                  <c:v>112.03086373511132</c:v>
                </c:pt>
                <c:pt idx="5">
                  <c:v>111.29672634654281</c:v>
                </c:pt>
                <c:pt idx="6">
                  <c:v>109.25162933553079</c:v>
                </c:pt>
                <c:pt idx="7">
                  <c:v>116.47314405573451</c:v>
                </c:pt>
                <c:pt idx="8">
                  <c:v>115.01236047644018</c:v>
                </c:pt>
                <c:pt idx="9">
                  <c:v>115.66409468874113</c:v>
                </c:pt>
                <c:pt idx="10">
                  <c:v>109.86590755861855</c:v>
                </c:pt>
                <c:pt idx="11">
                  <c:v>112.48782680350591</c:v>
                </c:pt>
                <c:pt idx="12">
                  <c:v>102.05258820885403</c:v>
                </c:pt>
                <c:pt idx="13">
                  <c:v>101.03378530226934</c:v>
                </c:pt>
                <c:pt idx="14">
                  <c:v>99.041126676155727</c:v>
                </c:pt>
                <c:pt idx="15">
                  <c:v>106.18023822009111</c:v>
                </c:pt>
                <c:pt idx="16">
                  <c:v>111.60386545808655</c:v>
                </c:pt>
                <c:pt idx="17">
                  <c:v>116.39074087946612</c:v>
                </c:pt>
                <c:pt idx="18">
                  <c:v>112.92231627837296</c:v>
                </c:pt>
                <c:pt idx="19">
                  <c:v>102.77174320173799</c:v>
                </c:pt>
                <c:pt idx="20">
                  <c:v>100.9588733238442</c:v>
                </c:pt>
                <c:pt idx="21">
                  <c:v>122.16645441606086</c:v>
                </c:pt>
                <c:pt idx="22">
                  <c:v>101.42332759008134</c:v>
                </c:pt>
                <c:pt idx="23">
                  <c:v>104.59959547531693</c:v>
                </c:pt>
                <c:pt idx="24">
                  <c:v>102.4496216945094</c:v>
                </c:pt>
                <c:pt idx="25">
                  <c:v>100.81654056483633</c:v>
                </c:pt>
                <c:pt idx="26">
                  <c:v>98.554198816390254</c:v>
                </c:pt>
                <c:pt idx="27">
                  <c:v>100.25470072664618</c:v>
                </c:pt>
                <c:pt idx="28" formatCode="General">
                  <c:v>99.131021050265929</c:v>
                </c:pt>
                <c:pt idx="29" formatCode="General">
                  <c:v>99.168477039478049</c:v>
                </c:pt>
                <c:pt idx="30" formatCode="General">
                  <c:v>102.35223612255527</c:v>
                </c:pt>
                <c:pt idx="31" formatCode="General">
                  <c:v>102.47958648587912</c:v>
                </c:pt>
                <c:pt idx="32" formatCode="General">
                  <c:v>100.83152296052138</c:v>
                </c:pt>
                <c:pt idx="33" formatCode="General">
                  <c:v>101.10869728069518</c:v>
                </c:pt>
                <c:pt idx="34" formatCode="General">
                  <c:v>98.599146003445952</c:v>
                </c:pt>
                <c:pt idx="35" formatCode="General">
                  <c:v>99.468124953180023</c:v>
                </c:pt>
                <c:pt idx="36" formatCode="General">
                  <c:v>96.943591280246267</c:v>
                </c:pt>
                <c:pt idx="37" formatCode="General">
                  <c:v>97.048468050041208</c:v>
                </c:pt>
                <c:pt idx="38" formatCode="General">
                  <c:v>99.131021050265943</c:v>
                </c:pt>
                <c:pt idx="39" formatCode="General">
                  <c:v>101.37088920518357</c:v>
                </c:pt>
                <c:pt idx="40" formatCode="General">
                  <c:v>99.722825679826187</c:v>
                </c:pt>
                <c:pt idx="41" formatCode="General">
                  <c:v>98.636601992658257</c:v>
                </c:pt>
                <c:pt idx="42" formatCode="General">
                  <c:v>101.77541388868075</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101.1389521640088</c:v>
                </c:pt>
                <c:pt idx="1">
                  <c:v>105.97722095671983</c:v>
                </c:pt>
                <c:pt idx="2">
                  <c:v>103.26195899772212</c:v>
                </c:pt>
                <c:pt idx="3">
                  <c:v>98.00455580865605</c:v>
                </c:pt>
                <c:pt idx="4">
                  <c:v>100.58314350797269</c:v>
                </c:pt>
                <c:pt idx="5">
                  <c:v>102.20501138952145</c:v>
                </c:pt>
                <c:pt idx="6">
                  <c:v>106.08656036446465</c:v>
                </c:pt>
                <c:pt idx="7">
                  <c:v>102.4419134396362</c:v>
                </c:pt>
                <c:pt idx="8">
                  <c:v>100.08200455580871</c:v>
                </c:pt>
                <c:pt idx="9">
                  <c:v>99.289293849658364</c:v>
                </c:pt>
                <c:pt idx="10">
                  <c:v>99.079726651480343</c:v>
                </c:pt>
                <c:pt idx="11">
                  <c:v>99.380410022779088</c:v>
                </c:pt>
                <c:pt idx="12">
                  <c:v>103.13439635535308</c:v>
                </c:pt>
                <c:pt idx="13">
                  <c:v>104.13667425968085</c:v>
                </c:pt>
                <c:pt idx="14">
                  <c:v>105.37585421412271</c:v>
                </c:pt>
                <c:pt idx="15">
                  <c:v>103.6082004555806</c:v>
                </c:pt>
                <c:pt idx="16">
                  <c:v>100.80182232346245</c:v>
                </c:pt>
                <c:pt idx="17">
                  <c:v>100.4829157175396</c:v>
                </c:pt>
                <c:pt idx="18">
                  <c:v>99.753986332573518</c:v>
                </c:pt>
                <c:pt idx="19">
                  <c:v>100.33712984054679</c:v>
                </c:pt>
                <c:pt idx="20">
                  <c:v>97.403189066059269</c:v>
                </c:pt>
                <c:pt idx="21">
                  <c:v>100.74715261959012</c:v>
                </c:pt>
                <c:pt idx="22">
                  <c:v>101.33940774487475</c:v>
                </c:pt>
                <c:pt idx="23">
                  <c:v>98.706150341685685</c:v>
                </c:pt>
                <c:pt idx="24">
                  <c:v>106.92482915717549</c:v>
                </c:pt>
                <c:pt idx="25">
                  <c:v>100.50113895216373</c:v>
                </c:pt>
                <c:pt idx="26">
                  <c:v>99.981776765375926</c:v>
                </c:pt>
                <c:pt idx="27">
                  <c:v>103.93621867881603</c:v>
                </c:pt>
                <c:pt idx="28" formatCode="General">
                  <c:v>106.58769931662843</c:v>
                </c:pt>
                <c:pt idx="29" formatCode="General">
                  <c:v>108.37357630979444</c:v>
                </c:pt>
                <c:pt idx="30" formatCode="General">
                  <c:v>106.31435079726656</c:v>
                </c:pt>
                <c:pt idx="31" formatCode="General">
                  <c:v>106.80637813211786</c:v>
                </c:pt>
                <c:pt idx="32" formatCode="General">
                  <c:v>105.11161731207291</c:v>
                </c:pt>
                <c:pt idx="33" formatCode="General">
                  <c:v>102.87927107061505</c:v>
                </c:pt>
                <c:pt idx="34" formatCode="General">
                  <c:v>103.50797266514842</c:v>
                </c:pt>
                <c:pt idx="35" formatCode="General">
                  <c:v>104.89293849658256</c:v>
                </c:pt>
                <c:pt idx="36" formatCode="General">
                  <c:v>106.13211845102511</c:v>
                </c:pt>
                <c:pt idx="37" formatCode="General">
                  <c:v>105.52164009111632</c:v>
                </c:pt>
                <c:pt idx="38" formatCode="General">
                  <c:v>104.94760820045566</c:v>
                </c:pt>
                <c:pt idx="39" formatCode="General">
                  <c:v>104.11845102505701</c:v>
                </c:pt>
                <c:pt idx="40" formatCode="General">
                  <c:v>105.4031890660593</c:v>
                </c:pt>
                <c:pt idx="41" formatCode="General">
                  <c:v>104.4829157175396</c:v>
                </c:pt>
                <c:pt idx="42" formatCode="General">
                  <c:v>103.71753986332592</c:v>
                </c:pt>
              </c:numCache>
            </c:numRef>
          </c:val>
        </c:ser>
        <c:marker val="1"/>
        <c:axId val="152618880"/>
        <c:axId val="152620416"/>
      </c:lineChart>
      <c:catAx>
        <c:axId val="15261888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2620416"/>
        <c:crosses val="autoZero"/>
        <c:auto val="1"/>
        <c:lblAlgn val="ctr"/>
        <c:lblOffset val="0"/>
        <c:tickLblSkip val="2"/>
        <c:tickMarkSkip val="1"/>
        <c:noMultiLvlLbl val="1"/>
      </c:catAx>
      <c:valAx>
        <c:axId val="152620416"/>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618880"/>
        <c:crosses val="autoZero"/>
        <c:crossBetween val="between"/>
      </c:valAx>
      <c:spPr>
        <a:noFill/>
        <a:ln w="6350">
          <a:solidFill>
            <a:sysClr val="window" lastClr="FFFFFF">
              <a:lumMod val="85000"/>
            </a:sysClr>
          </a:solidFill>
        </a:ln>
      </c:spPr>
    </c:plotArea>
    <c:legend>
      <c:legendPos val="b"/>
      <c:layout>
        <c:manualLayout>
          <c:xMode val="edge"/>
          <c:yMode val="edge"/>
          <c:x val="0.57995480303022362"/>
          <c:y val="6.7015625000000134E-2"/>
          <c:w val="0.36544251405383787"/>
          <c:h val="0.33027893518518825"/>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Sheet1!$C$14:$C$56</c:f>
              <c:numCache>
                <c:formatCode>0.0</c:formatCode>
                <c:ptCount val="43"/>
                <c:pt idx="0">
                  <c:v>9.0724811738356141</c:v>
                </c:pt>
                <c:pt idx="1">
                  <c:v>-3.2650215703192411</c:v>
                </c:pt>
                <c:pt idx="2">
                  <c:v>-13.581150203722057</c:v>
                </c:pt>
                <c:pt idx="3">
                  <c:v>-16.65171042742503</c:v>
                </c:pt>
                <c:pt idx="4">
                  <c:v>-15.451074278698586</c:v>
                </c:pt>
                <c:pt idx="5">
                  <c:v>-18.897358467545175</c:v>
                </c:pt>
                <c:pt idx="6">
                  <c:v>-11.980646785654352</c:v>
                </c:pt>
                <c:pt idx="7">
                  <c:v>-13.029225703097165</c:v>
                </c:pt>
                <c:pt idx="8">
                  <c:v>-24.641421729305328</c:v>
                </c:pt>
                <c:pt idx="9">
                  <c:v>-22.786970295099543</c:v>
                </c:pt>
                <c:pt idx="10">
                  <c:v>-29.416496416703726</c:v>
                </c:pt>
                <c:pt idx="11">
                  <c:v>-21.006662801117489</c:v>
                </c:pt>
                <c:pt idx="12">
                  <c:v>-36.194974670719347</c:v>
                </c:pt>
                <c:pt idx="13">
                  <c:v>-27.148287686484078</c:v>
                </c:pt>
                <c:pt idx="14">
                  <c:v>-34.791531796460639</c:v>
                </c:pt>
                <c:pt idx="15">
                  <c:v>-31.97391465323911</c:v>
                </c:pt>
                <c:pt idx="16">
                  <c:v>-25.539397400072897</c:v>
                </c:pt>
                <c:pt idx="17">
                  <c:v>-35.193510470987512</c:v>
                </c:pt>
                <c:pt idx="18">
                  <c:v>-37.023744748679583</c:v>
                </c:pt>
                <c:pt idx="19">
                  <c:v>-35.309066767829997</c:v>
                </c:pt>
                <c:pt idx="20">
                  <c:v>-20.978309110082069</c:v>
                </c:pt>
                <c:pt idx="21">
                  <c:v>-29.97682496990469</c:v>
                </c:pt>
                <c:pt idx="22">
                  <c:v>-26.452652782358729</c:v>
                </c:pt>
                <c:pt idx="23">
                  <c:v>-22.999973435280261</c:v>
                </c:pt>
                <c:pt idx="24">
                  <c:v>-36.823921070153141</c:v>
                </c:pt>
                <c:pt idx="25">
                  <c:v>-17.616370082652125</c:v>
                </c:pt>
                <c:pt idx="26">
                  <c:v>-22.058278852309542</c:v>
                </c:pt>
                <c:pt idx="27">
                  <c:v>-15.932328201872718</c:v>
                </c:pt>
                <c:pt idx="28">
                  <c:v>-15.791337505383972</c:v>
                </c:pt>
                <c:pt idx="29">
                  <c:v>-7.9049331954067004</c:v>
                </c:pt>
                <c:pt idx="30">
                  <c:v>-12.491070328274448</c:v>
                </c:pt>
                <c:pt idx="31">
                  <c:v>-15.885970572716186</c:v>
                </c:pt>
                <c:pt idx="32">
                  <c:v>-3.4371939432989693</c:v>
                </c:pt>
                <c:pt idx="33">
                  <c:v>-6.7910326693227088</c:v>
                </c:pt>
                <c:pt idx="34">
                  <c:v>-19.329772233493003</c:v>
                </c:pt>
                <c:pt idx="35">
                  <c:v>-4.7876519390314485</c:v>
                </c:pt>
                <c:pt idx="36">
                  <c:v>-9.8901055257268702</c:v>
                </c:pt>
                <c:pt idx="37">
                  <c:v>0.32697635583893203</c:v>
                </c:pt>
                <c:pt idx="38">
                  <c:v>-2.7066015280634752</c:v>
                </c:pt>
                <c:pt idx="39">
                  <c:v>-5.2594862328438969</c:v>
                </c:pt>
                <c:pt idx="40">
                  <c:v>-2.385155803556422</c:v>
                </c:pt>
                <c:pt idx="41">
                  <c:v>-2.3897769516728626</c:v>
                </c:pt>
                <c:pt idx="42">
                  <c:v>-2.1843904355635386</c:v>
                </c:pt>
              </c:numCache>
            </c:numRef>
          </c:val>
        </c:ser>
        <c:marker val="1"/>
        <c:axId val="152861696"/>
        <c:axId val="152908544"/>
      </c:lineChart>
      <c:catAx>
        <c:axId val="1528616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908544"/>
        <c:crosses val="autoZero"/>
        <c:auto val="1"/>
        <c:lblAlgn val="ctr"/>
        <c:lblOffset val="0"/>
        <c:tickLblSkip val="2"/>
        <c:tickMarkSkip val="1"/>
        <c:noMultiLvlLbl val="1"/>
      </c:catAx>
      <c:valAx>
        <c:axId val="152908544"/>
        <c:scaling>
          <c:orientation val="minMax"/>
          <c:max val="1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861696"/>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9"/>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80.81</c:v>
                </c:pt>
                <c:pt idx="1">
                  <c:v>134.16999999999999</c:v>
                </c:pt>
                <c:pt idx="2">
                  <c:v>133.54</c:v>
                </c:pt>
                <c:pt idx="3">
                  <c:v>154.80000000000001</c:v>
                </c:pt>
                <c:pt idx="4">
                  <c:v>137.20999999999998</c:v>
                </c:pt>
                <c:pt idx="5">
                  <c:v>169.94</c:v>
                </c:pt>
                <c:pt idx="6">
                  <c:v>163.20999999999998</c:v>
                </c:pt>
                <c:pt idx="7">
                  <c:v>154.69999999999999</c:v>
                </c:pt>
                <c:pt idx="8">
                  <c:v>139.23999999999998</c:v>
                </c:pt>
                <c:pt idx="9">
                  <c:v>149.29</c:v>
                </c:pt>
                <c:pt idx="10">
                  <c:v>90.32</c:v>
                </c:pt>
                <c:pt idx="11">
                  <c:v>107.82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60.49</c:v>
                </c:pt>
                <c:pt idx="1">
                  <c:v>79.03</c:v>
                </c:pt>
                <c:pt idx="2">
                  <c:v>78.08</c:v>
                </c:pt>
                <c:pt idx="3">
                  <c:v>97.34</c:v>
                </c:pt>
                <c:pt idx="4">
                  <c:v>84.23</c:v>
                </c:pt>
                <c:pt idx="5">
                  <c:v>100.21000000000002</c:v>
                </c:pt>
                <c:pt idx="6">
                  <c:v>85.77</c:v>
                </c:pt>
                <c:pt idx="7">
                  <c:v>75.400000000000006</c:v>
                </c:pt>
                <c:pt idx="8">
                  <c:v>77.430000000000007</c:v>
                </c:pt>
                <c:pt idx="9">
                  <c:v>111.06</c:v>
                </c:pt>
                <c:pt idx="10">
                  <c:v>91.990000000000023</c:v>
                </c:pt>
                <c:pt idx="11">
                  <c:v>100.35</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58.52</c:v>
                </c:pt>
                <c:pt idx="1">
                  <c:v>84.48</c:v>
                </c:pt>
                <c:pt idx="2">
                  <c:v>89.14</c:v>
                </c:pt>
                <c:pt idx="3">
                  <c:v>106.8</c:v>
                </c:pt>
                <c:pt idx="4">
                  <c:v>101.47</c:v>
                </c:pt>
                <c:pt idx="5">
                  <c:v>128.70999999999998</c:v>
                </c:pt>
                <c:pt idx="6">
                  <c:v>120.14999999999999</c:v>
                </c:pt>
                <c:pt idx="7">
                  <c:v>97.5</c:v>
                </c:pt>
                <c:pt idx="8">
                  <c:v>92.88</c:v>
                </c:pt>
                <c:pt idx="9">
                  <c:v>112.58</c:v>
                </c:pt>
                <c:pt idx="10">
                  <c:v>94.81</c:v>
                </c:pt>
                <c:pt idx="11">
                  <c:v>140.05000000000001</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84.51</c:v>
                </c:pt>
                <c:pt idx="1">
                  <c:v>123.92</c:v>
                </c:pt>
                <c:pt idx="2">
                  <c:v>133.13</c:v>
                </c:pt>
                <c:pt idx="3" formatCode="General">
                  <c:v>129.01</c:v>
                </c:pt>
                <c:pt idx="4">
                  <c:v>157.57</c:v>
                </c:pt>
                <c:pt idx="5">
                  <c:v>158.16999999999999</c:v>
                </c:pt>
                <c:pt idx="6">
                  <c:v>148.63999999999999</c:v>
                </c:pt>
              </c:numCache>
            </c:numRef>
          </c:val>
        </c:ser>
        <c:marker val="1"/>
        <c:axId val="152991616"/>
        <c:axId val="152993152"/>
      </c:lineChart>
      <c:catAx>
        <c:axId val="152991616"/>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993152"/>
        <c:crosses val="autoZero"/>
        <c:auto val="1"/>
        <c:lblAlgn val="ctr"/>
        <c:lblOffset val="0"/>
        <c:tickMarkSkip val="1"/>
      </c:catAx>
      <c:valAx>
        <c:axId val="152993152"/>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991616"/>
        <c:crosses val="autoZero"/>
        <c:crossBetween val="between"/>
      </c:valAx>
      <c:spPr>
        <a:noFill/>
        <a:ln w="6350">
          <a:solidFill>
            <a:sysClr val="window" lastClr="FFFFFF">
              <a:lumMod val="85000"/>
            </a:sysClr>
          </a:solidFill>
        </a:ln>
      </c:spPr>
    </c:plotArea>
    <c:legend>
      <c:legendPos val="b"/>
      <c:layout>
        <c:manualLayout>
          <c:xMode val="edge"/>
          <c:yMode val="edge"/>
          <c:x val="0.35837525298554646"/>
          <c:y val="0.70093460648149508"/>
          <c:w val="0.5965189766825042"/>
          <c:h val="0.14512905092592596"/>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98.281786941580748</c:v>
                </c:pt>
                <c:pt idx="1">
                  <c:v>125.34364261168385</c:v>
                </c:pt>
                <c:pt idx="2">
                  <c:v>115.37800687285143</c:v>
                </c:pt>
                <c:pt idx="3">
                  <c:v>127.49140893470792</c:v>
                </c:pt>
                <c:pt idx="4">
                  <c:v>115.893470790378</c:v>
                </c:pt>
                <c:pt idx="5">
                  <c:v>129.03780068728582</c:v>
                </c:pt>
                <c:pt idx="6">
                  <c:v>133.84879725085909</c:v>
                </c:pt>
                <c:pt idx="7">
                  <c:v>134.27835051546401</c:v>
                </c:pt>
                <c:pt idx="8">
                  <c:v>124.05498281786883</c:v>
                </c:pt>
                <c:pt idx="9">
                  <c:v>117.353951890034</c:v>
                </c:pt>
                <c:pt idx="10">
                  <c:v>78.264604810996545</c:v>
                </c:pt>
                <c:pt idx="11">
                  <c:v>83.161512027491042</c:v>
                </c:pt>
                <c:pt idx="12">
                  <c:v>74.484536082474179</c:v>
                </c:pt>
                <c:pt idx="13">
                  <c:v>73.281786941580719</c:v>
                </c:pt>
                <c:pt idx="14">
                  <c:v>68.127147766322949</c:v>
                </c:pt>
                <c:pt idx="15">
                  <c:v>79.20962199312747</c:v>
                </c:pt>
                <c:pt idx="16">
                  <c:v>70.446735395188981</c:v>
                </c:pt>
                <c:pt idx="17">
                  <c:v>74.656357388316152</c:v>
                </c:pt>
                <c:pt idx="18">
                  <c:v>69.759450171821058</c:v>
                </c:pt>
                <c:pt idx="19">
                  <c:v>67.010309278350505</c:v>
                </c:pt>
                <c:pt idx="20">
                  <c:v>70.704467353951557</c:v>
                </c:pt>
                <c:pt idx="21">
                  <c:v>86.769759450171833</c:v>
                </c:pt>
                <c:pt idx="22">
                  <c:v>80.927835051546381</c:v>
                </c:pt>
                <c:pt idx="23">
                  <c:v>76.718213058419266</c:v>
                </c:pt>
                <c:pt idx="24">
                  <c:v>72.766323024054984</c:v>
                </c:pt>
                <c:pt idx="25">
                  <c:v>77.749140893470781</c:v>
                </c:pt>
                <c:pt idx="26" formatCode="General">
                  <c:v>77.663230240549808</c:v>
                </c:pt>
                <c:pt idx="27" formatCode="General">
                  <c:v>86.855670103092237</c:v>
                </c:pt>
                <c:pt idx="28" formatCode="General">
                  <c:v>83.419243986254614</c:v>
                </c:pt>
                <c:pt idx="29" formatCode="General">
                  <c:v>94.501718213057998</c:v>
                </c:pt>
                <c:pt idx="30" formatCode="General">
                  <c:v>96.391752577319579</c:v>
                </c:pt>
                <c:pt idx="31" formatCode="General">
                  <c:v>87.457044673539514</c:v>
                </c:pt>
                <c:pt idx="32" formatCode="General">
                  <c:v>86.168384879724442</c:v>
                </c:pt>
                <c:pt idx="33" formatCode="General">
                  <c:v>88.91752577319626</c:v>
                </c:pt>
                <c:pt idx="34" formatCode="General">
                  <c:v>85.309278350515115</c:v>
                </c:pt>
                <c:pt idx="35" formatCode="General">
                  <c:v>106.27147766323021</c:v>
                </c:pt>
                <c:pt idx="36" formatCode="General">
                  <c:v>105.06872852233643</c:v>
                </c:pt>
                <c:pt idx="37" formatCode="General">
                  <c:v>113.14432989690719</c:v>
                </c:pt>
                <c:pt idx="38" formatCode="General">
                  <c:v>115.12027491408888</c:v>
                </c:pt>
                <c:pt idx="39" formatCode="General">
                  <c:v>105.67010309278299</c:v>
                </c:pt>
                <c:pt idx="40" formatCode="General">
                  <c:v>127.31958762886596</c:v>
                </c:pt>
                <c:pt idx="41" formatCode="General">
                  <c:v>115.893470790378</c:v>
                </c:pt>
                <c:pt idx="42" formatCode="General">
                  <c:v>118.90034364261169</c:v>
                </c:pt>
              </c:numCache>
            </c:numRef>
          </c:val>
        </c:ser>
        <c:marker val="1"/>
        <c:axId val="153136128"/>
        <c:axId val="153142016"/>
      </c:lineChart>
      <c:catAx>
        <c:axId val="15313612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142016"/>
        <c:crosses val="autoZero"/>
        <c:auto val="1"/>
        <c:lblAlgn val="ctr"/>
        <c:lblOffset val="0"/>
        <c:tickLblSkip val="2"/>
        <c:tickMarkSkip val="1"/>
        <c:noMultiLvlLbl val="1"/>
      </c:catAx>
      <c:valAx>
        <c:axId val="153142016"/>
        <c:scaling>
          <c:orientation val="minMax"/>
          <c:max val="14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13612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0.78309999999999924</c:v>
                </c:pt>
                <c:pt idx="1">
                  <c:v>0.93990000000000062</c:v>
                </c:pt>
                <c:pt idx="2">
                  <c:v>0.96759999999999913</c:v>
                </c:pt>
                <c:pt idx="3">
                  <c:v>1.6190999999999978</c:v>
                </c:pt>
                <c:pt idx="4">
                  <c:v>1.5250999999999937</c:v>
                </c:pt>
                <c:pt idx="5">
                  <c:v>1.350700000000002</c:v>
                </c:pt>
                <c:pt idx="6">
                  <c:v>1.5965999999999996</c:v>
                </c:pt>
                <c:pt idx="7">
                  <c:v>1.8461999999999978</c:v>
                </c:pt>
                <c:pt idx="8">
                  <c:v>1.641</c:v>
                </c:pt>
                <c:pt idx="9">
                  <c:v>1.5045999999999942</c:v>
                </c:pt>
                <c:pt idx="10">
                  <c:v>1.0444000000000004</c:v>
                </c:pt>
                <c:pt idx="11">
                  <c:v>1.2812999999999946</c:v>
                </c:pt>
                <c:pt idx="12">
                  <c:v>0.61510000000000065</c:v>
                </c:pt>
                <c:pt idx="13">
                  <c:v>0.47990000000000038</c:v>
                </c:pt>
                <c:pt idx="14">
                  <c:v>0.51540000000000008</c:v>
                </c:pt>
                <c:pt idx="15">
                  <c:v>0.62790000000000312</c:v>
                </c:pt>
                <c:pt idx="16">
                  <c:v>0.44300000000000006</c:v>
                </c:pt>
                <c:pt idx="17">
                  <c:v>0.45150000000000035</c:v>
                </c:pt>
                <c:pt idx="18">
                  <c:v>0.4526</c:v>
                </c:pt>
                <c:pt idx="19">
                  <c:v>0.44119999999999981</c:v>
                </c:pt>
                <c:pt idx="20">
                  <c:v>0.47670000000000001</c:v>
                </c:pt>
                <c:pt idx="21">
                  <c:v>1.0746000000000011</c:v>
                </c:pt>
                <c:pt idx="22">
                  <c:v>0.41840000000000038</c:v>
                </c:pt>
                <c:pt idx="23">
                  <c:v>0.58939999999999948</c:v>
                </c:pt>
                <c:pt idx="24">
                  <c:v>0.34300000000000008</c:v>
                </c:pt>
                <c:pt idx="25">
                  <c:v>0.30370000000000008</c:v>
                </c:pt>
                <c:pt idx="26">
                  <c:v>0.61729999999999963</c:v>
                </c:pt>
                <c:pt idx="27">
                  <c:v>0.55650000000000022</c:v>
                </c:pt>
                <c:pt idx="28">
                  <c:v>0.53160000000000063</c:v>
                </c:pt>
                <c:pt idx="29">
                  <c:v>0.69299999999999962</c:v>
                </c:pt>
                <c:pt idx="30">
                  <c:v>0.63020000000000065</c:v>
                </c:pt>
                <c:pt idx="31">
                  <c:v>0.89490000000000025</c:v>
                </c:pt>
                <c:pt idx="32">
                  <c:v>0.77640000000000065</c:v>
                </c:pt>
                <c:pt idx="33">
                  <c:v>0.8523999999999996</c:v>
                </c:pt>
                <c:pt idx="34">
                  <c:v>0.62370000000000358</c:v>
                </c:pt>
                <c:pt idx="35">
                  <c:v>1.4251999999999918</c:v>
                </c:pt>
                <c:pt idx="36">
                  <c:v>0.70200000000000062</c:v>
                </c:pt>
                <c:pt idx="37">
                  <c:v>0.61529999999999963</c:v>
                </c:pt>
                <c:pt idx="38">
                  <c:v>0.87520000000000064</c:v>
                </c:pt>
                <c:pt idx="39">
                  <c:v>0.68560000000000165</c:v>
                </c:pt>
                <c:pt idx="40">
                  <c:v>0.73580000000000301</c:v>
                </c:pt>
                <c:pt idx="41">
                  <c:v>2.2980999999999998</c:v>
                </c:pt>
                <c:pt idx="42">
                  <c:v>0.9881000000000002</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4.2223000000000006</c:v>
                </c:pt>
                <c:pt idx="1">
                  <c:v>6.4103999999999992</c:v>
                </c:pt>
                <c:pt idx="2">
                  <c:v>5.9201000000000006</c:v>
                </c:pt>
                <c:pt idx="3">
                  <c:v>6.7666000000000004</c:v>
                </c:pt>
                <c:pt idx="4">
                  <c:v>6.1225999999999772</c:v>
                </c:pt>
                <c:pt idx="5">
                  <c:v>7.3508999999999975</c:v>
                </c:pt>
                <c:pt idx="6">
                  <c:v>6.4874000000000001</c:v>
                </c:pt>
                <c:pt idx="7">
                  <c:v>6.3126000000000007</c:v>
                </c:pt>
                <c:pt idx="8">
                  <c:v>5.7511000000000001</c:v>
                </c:pt>
                <c:pt idx="9">
                  <c:v>6.6672999999999965</c:v>
                </c:pt>
                <c:pt idx="10">
                  <c:v>4.3731</c:v>
                </c:pt>
                <c:pt idx="11">
                  <c:v>5.5028000000000006</c:v>
                </c:pt>
                <c:pt idx="12">
                  <c:v>2.4103000000000003</c:v>
                </c:pt>
                <c:pt idx="13">
                  <c:v>2.8681000000000001</c:v>
                </c:pt>
                <c:pt idx="14">
                  <c:v>3.2101999999999999</c:v>
                </c:pt>
                <c:pt idx="15">
                  <c:v>3.8925999999999967</c:v>
                </c:pt>
                <c:pt idx="16">
                  <c:v>3.1859999999999999</c:v>
                </c:pt>
                <c:pt idx="17">
                  <c:v>4.3150999999999975</c:v>
                </c:pt>
                <c:pt idx="18">
                  <c:v>3.2915999999999999</c:v>
                </c:pt>
                <c:pt idx="19">
                  <c:v>2.6959</c:v>
                </c:pt>
                <c:pt idx="20">
                  <c:v>3.4358999999999904</c:v>
                </c:pt>
                <c:pt idx="21">
                  <c:v>4.1301999999999985</c:v>
                </c:pt>
                <c:pt idx="22">
                  <c:v>4.7622999999999998</c:v>
                </c:pt>
                <c:pt idx="23">
                  <c:v>4.4315000000000024</c:v>
                </c:pt>
                <c:pt idx="24">
                  <c:v>2.7066999999999997</c:v>
                </c:pt>
                <c:pt idx="25">
                  <c:v>3.1114999999999977</c:v>
                </c:pt>
                <c:pt idx="26">
                  <c:v>4.5716000000000134</c:v>
                </c:pt>
                <c:pt idx="27">
                  <c:v>3.9091</c:v>
                </c:pt>
                <c:pt idx="28">
                  <c:v>3.7591000000000001</c:v>
                </c:pt>
                <c:pt idx="29">
                  <c:v>4.9817000000000133</c:v>
                </c:pt>
                <c:pt idx="30">
                  <c:v>3.6464000000000003</c:v>
                </c:pt>
                <c:pt idx="31">
                  <c:v>2.7584</c:v>
                </c:pt>
                <c:pt idx="32">
                  <c:v>4.1773999999999996</c:v>
                </c:pt>
                <c:pt idx="33">
                  <c:v>4.1152999999999995</c:v>
                </c:pt>
                <c:pt idx="34">
                  <c:v>3.7519</c:v>
                </c:pt>
                <c:pt idx="35">
                  <c:v>4.1819999999999995</c:v>
                </c:pt>
                <c:pt idx="36">
                  <c:v>4.1879999999999855</c:v>
                </c:pt>
                <c:pt idx="37">
                  <c:v>6.4172000000000002</c:v>
                </c:pt>
                <c:pt idx="38">
                  <c:v>6.8826000000000001</c:v>
                </c:pt>
                <c:pt idx="39">
                  <c:v>5.5991999999999997</c:v>
                </c:pt>
                <c:pt idx="40">
                  <c:v>5.7483000000000004</c:v>
                </c:pt>
                <c:pt idx="41">
                  <c:v>5.3128999999999955</c:v>
                </c:pt>
                <c:pt idx="42">
                  <c:v>4.6616999999999997</c:v>
                </c:pt>
              </c:numCache>
            </c:numRef>
          </c:val>
        </c:ser>
        <c:gapWidth val="0"/>
        <c:overlap val="100"/>
        <c:axId val="152933504"/>
        <c:axId val="152935040"/>
      </c:barChart>
      <c:catAx>
        <c:axId val="15293350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935040"/>
        <c:crosses val="autoZero"/>
        <c:auto val="1"/>
        <c:lblAlgn val="ctr"/>
        <c:lblOffset val="0"/>
        <c:tickLblSkip val="3"/>
        <c:tickMarkSkip val="1"/>
        <c:noMultiLvlLbl val="1"/>
      </c:catAx>
      <c:valAx>
        <c:axId val="152935040"/>
        <c:scaling>
          <c:orientation val="minMax"/>
          <c:max val="9"/>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2933504"/>
        <c:crosses val="autoZero"/>
        <c:crossBetween val="between"/>
      </c:valAx>
      <c:spPr>
        <a:noFill/>
        <a:ln w="6350">
          <a:solidFill>
            <a:sysClr val="window" lastClr="FFFFFF">
              <a:lumMod val="85000"/>
            </a:sysClr>
          </a:solidFill>
        </a:ln>
      </c:spPr>
    </c:plotArea>
    <c:legend>
      <c:legendPos val="b"/>
      <c:layout>
        <c:manualLayout>
          <c:xMode val="edge"/>
          <c:yMode val="edge"/>
          <c:x val="0.41717496202532933"/>
          <c:y val="9.5883101851851699E-2"/>
          <c:w val="0.35673227969348681"/>
          <c:h val="0.15793923611111974"/>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6838283828385165"/>
          <c:h val="0.73905131092251275"/>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-0.32600000000000057</c:v>
                </c:pt>
                <c:pt idx="1">
                  <c:v>-0.29800000000000032</c:v>
                </c:pt>
                <c:pt idx="2">
                  <c:v>-0.29900000000000032</c:v>
                </c:pt>
                <c:pt idx="3">
                  <c:v>-0.27200000000000002</c:v>
                </c:pt>
                <c:pt idx="4">
                  <c:v>-0.34300000000000008</c:v>
                </c:pt>
                <c:pt idx="5">
                  <c:v>-0.16900000000000001</c:v>
                </c:pt>
                <c:pt idx="6">
                  <c:v>1.1000000000000024E-2</c:v>
                </c:pt>
                <c:pt idx="7">
                  <c:v>-4.7000000000000014E-2</c:v>
                </c:pt>
                <c:pt idx="8">
                  <c:v>0.34600000000000031</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0.000</c:formatCode>
                <c:ptCount val="10"/>
                <c:pt idx="0">
                  <c:v>-0.29700000000000032</c:v>
                </c:pt>
                <c:pt idx="1">
                  <c:v>-0.32400000000000057</c:v>
                </c:pt>
                <c:pt idx="2">
                  <c:v>-0.36800000000000038</c:v>
                </c:pt>
                <c:pt idx="3">
                  <c:v>-0.38500000000000056</c:v>
                </c:pt>
                <c:pt idx="4">
                  <c:v>-0.4340000000000005</c:v>
                </c:pt>
                <c:pt idx="5">
                  <c:v>-0.35300000000000031</c:v>
                </c:pt>
                <c:pt idx="6">
                  <c:v>-0.13100000000000001</c:v>
                </c:pt>
                <c:pt idx="7">
                  <c:v>-9.6000000000000002E-2</c:v>
                </c:pt>
                <c:pt idx="8" formatCode="General">
                  <c:v>-0.15100000000000025</c:v>
                </c:pt>
                <c:pt idx="9" formatCode="General">
                  <c:v>-9.0000000000000028E-3</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0.000</c:formatCode>
                <c:ptCount val="10"/>
                <c:pt idx="0">
                  <c:v>-0.42800000000000032</c:v>
                </c:pt>
                <c:pt idx="1">
                  <c:v>-0.48000000000000032</c:v>
                </c:pt>
                <c:pt idx="2">
                  <c:v>-0.49300000000000038</c:v>
                </c:pt>
                <c:pt idx="3">
                  <c:v>-0.52300000000000002</c:v>
                </c:pt>
                <c:pt idx="4">
                  <c:v>-0.42900000000000038</c:v>
                </c:pt>
                <c:pt idx="5">
                  <c:v>-0.17</c:v>
                </c:pt>
                <c:pt idx="6">
                  <c:v>6.7000000000000004E-2</c:v>
                </c:pt>
                <c:pt idx="7">
                  <c:v>0.16200000000000001</c:v>
                </c:pt>
                <c:pt idx="8" formatCode="General">
                  <c:v>0.15900000000000028</c:v>
                </c:pt>
                <c:pt idx="9" formatCode="General">
                  <c:v>0.16700000000000001</c:v>
                </c:pt>
              </c:numCache>
            </c:numRef>
          </c:val>
        </c:ser>
        <c:gapWidth val="75"/>
        <c:overlap val="-25"/>
        <c:axId val="119463936"/>
        <c:axId val="11946585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-0.10800000000000012</c:v>
                </c:pt>
                <c:pt idx="1">
                  <c:v>-8.4000000000000047E-2</c:v>
                </c:pt>
                <c:pt idx="2">
                  <c:v>-8.7000000000000022E-2</c:v>
                </c:pt>
                <c:pt idx="3">
                  <c:v>-6.1000000000000013E-2</c:v>
                </c:pt>
                <c:pt idx="4">
                  <c:v>-8.4000000000000047E-2</c:v>
                </c:pt>
                <c:pt idx="5">
                  <c:v>-1.6000000000000021E-2</c:v>
                </c:pt>
                <c:pt idx="6">
                  <c:v>-2.8999999999999998E-2</c:v>
                </c:pt>
                <c:pt idx="7">
                  <c:v>-3.7999999999999999E-2</c:v>
                </c:pt>
                <c:pt idx="8">
                  <c:v>3.0000000000000044E-3</c:v>
                </c:pt>
                <c:pt idx="9">
                  <c:v>-3.2000000000000042E-2</c:v>
                </c:pt>
              </c:numCache>
            </c:numRef>
          </c:val>
        </c:ser>
        <c:marker val="1"/>
        <c:axId val="119463936"/>
        <c:axId val="119465856"/>
      </c:lineChart>
      <c:catAx>
        <c:axId val="119463936"/>
        <c:scaling>
          <c:orientation val="minMax"/>
        </c:scaling>
        <c:axPos val="b"/>
        <c:majorGridlines>
          <c:spPr>
            <a:ln w="3175">
              <a:solidFill>
                <a:sysClr val="window" lastClr="FFFFFF">
                  <a:lumMod val="85000"/>
                </a:sysClr>
              </a:solidFill>
            </a:ln>
          </c:spPr>
        </c:majorGridlines>
        <c:numFmt formatCode="General"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465856"/>
        <c:crosses val="autoZero"/>
        <c:auto val="1"/>
        <c:lblAlgn val="ctr"/>
        <c:lblOffset val="0"/>
        <c:tickLblSkip val="1"/>
        <c:tickMarkSkip val="1"/>
        <c:noMultiLvlLbl val="1"/>
      </c:catAx>
      <c:valAx>
        <c:axId val="119465856"/>
        <c:scaling>
          <c:orientation val="minMax"/>
          <c:max val="0.4"/>
          <c:min val="-0.60000000000000064"/>
        </c:scaling>
        <c:axPos val="l"/>
        <c:majorGridlines>
          <c:spPr>
            <a:ln w="3175">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9463936"/>
        <c:crosses val="autoZero"/>
        <c:crossBetween val="between"/>
        <c:majorUnit val="0.2"/>
      </c:valAx>
      <c:spPr>
        <a:noFill/>
        <a:ln w="6350">
          <a:solidFill>
            <a:sysClr val="window" lastClr="FFFFFF">
              <a:lumMod val="75000"/>
            </a:sysClr>
          </a:solidFill>
        </a:ln>
      </c:spPr>
    </c:plotArea>
    <c:legend>
      <c:legendPos val="b"/>
      <c:layout>
        <c:manualLayout>
          <c:xMode val="edge"/>
          <c:yMode val="edge"/>
          <c:x val="0.33783952161981673"/>
          <c:y val="8.0610701308422947E-2"/>
          <c:w val="0.4241997235201857"/>
          <c:h val="0.16307825065369161"/>
        </c:manualLayout>
      </c:layout>
      <c:spPr>
        <a:solidFill>
          <a:sysClr val="window" lastClr="FFFFFF"/>
        </a:solidFill>
      </c:spPr>
      <c:txPr>
        <a:bodyPr/>
        <a:lstStyle/>
        <a:p>
          <a:pPr>
            <a:defRPr lang="lv-LV"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722"/>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-23.320735355679219</c:v>
                </c:pt>
                <c:pt idx="1">
                  <c:v>10.278075598400818</c:v>
                </c:pt>
                <c:pt idx="2">
                  <c:v>-15.514782879254026</c:v>
                </c:pt>
                <c:pt idx="3">
                  <c:v>20.610798261918365</c:v>
                </c:pt>
                <c:pt idx="4">
                  <c:v>-6.6949035488401654</c:v>
                </c:pt>
                <c:pt idx="5">
                  <c:v>11.876852459333477</c:v>
                </c:pt>
                <c:pt idx="6">
                  <c:v>-8.9213050188617871</c:v>
                </c:pt>
                <c:pt idx="7">
                  <c:v>4.7469775675449855</c:v>
                </c:pt>
                <c:pt idx="8">
                  <c:v>-9.9076340170380153</c:v>
                </c:pt>
                <c:pt idx="9">
                  <c:v>-14.59476561571266</c:v>
                </c:pt>
                <c:pt idx="10">
                  <c:v>-34.439998999434913</c:v>
                </c:pt>
                <c:pt idx="11">
                  <c:v>-8.0464826091554347</c:v>
                </c:pt>
                <c:pt idx="12">
                  <c:v>-46.302287832025243</c:v>
                </c:pt>
                <c:pt idx="13">
                  <c:v>-58.849414320374606</c:v>
                </c:pt>
                <c:pt idx="14">
                  <c:v>-50.802788673148704</c:v>
                </c:pt>
                <c:pt idx="15">
                  <c:v>-48.28976845415005</c:v>
                </c:pt>
                <c:pt idx="16">
                  <c:v>-53.644227271687463</c:v>
                </c:pt>
                <c:pt idx="17">
                  <c:v>-46.571478871850495</c:v>
                </c:pt>
                <c:pt idx="18">
                  <c:v>-55.29356875391003</c:v>
                </c:pt>
                <c:pt idx="19">
                  <c:v>-63.053675736039601</c:v>
                </c:pt>
                <c:pt idx="20">
                  <c:v>-47.006771864786508</c:v>
                </c:pt>
                <c:pt idx="21">
                  <c:v>-33.775899691851123</c:v>
                </c:pt>
                <c:pt idx="22">
                  <c:v>-1.3629892563259598</c:v>
                </c:pt>
                <c:pt idx="23">
                  <c:v>-23.410620028058435</c:v>
                </c:pt>
                <c:pt idx="24">
                  <c:v>7.8653493790798565</c:v>
                </c:pt>
                <c:pt idx="25">
                  <c:v>8.2741478917341009</c:v>
                </c:pt>
                <c:pt idx="26">
                  <c:v>45.740527070514375</c:v>
                </c:pt>
                <c:pt idx="27">
                  <c:v>-2.5830676182959267</c:v>
                </c:pt>
                <c:pt idx="28">
                  <c:v>16.662627051108629</c:v>
                </c:pt>
                <c:pt idx="29">
                  <c:v>18.066335225240987</c:v>
                </c:pt>
                <c:pt idx="30">
                  <c:v>15.106092916925295</c:v>
                </c:pt>
                <c:pt idx="31">
                  <c:v>17.866278129383545</c:v>
                </c:pt>
                <c:pt idx="32">
                  <c:v>21.362848965305602</c:v>
                </c:pt>
                <c:pt idx="33">
                  <c:v>-8.713177294621147</c:v>
                </c:pt>
                <c:pt idx="34">
                  <c:v>-19.437833643347329</c:v>
                </c:pt>
                <c:pt idx="35">
                  <c:v>8.0269642355577204</c:v>
                </c:pt>
                <c:pt idx="36">
                  <c:v>52.426520693653345</c:v>
                </c:pt>
                <c:pt idx="37">
                  <c:v>93.513643747244416</c:v>
                </c:pt>
                <c:pt idx="38" formatCode="General">
                  <c:v>42.491750447637742</c:v>
                </c:pt>
                <c:pt idx="39" formatCode="General">
                  <c:v>34.340890265779294</c:v>
                </c:pt>
                <c:pt idx="40" formatCode="General">
                  <c:v>43.193187353628986</c:v>
                </c:pt>
                <c:pt idx="41" formatCode="General">
                  <c:v>27.231279864705414</c:v>
                </c:pt>
                <c:pt idx="42" formatCode="General">
                  <c:v>24.393805879432321</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8.2458273999962302</c:v>
                </c:pt>
                <c:pt idx="1">
                  <c:v>11.337106651470966</c:v>
                </c:pt>
                <c:pt idx="2">
                  <c:v>9.0265130845325476</c:v>
                </c:pt>
                <c:pt idx="3">
                  <c:v>10.884215223623883</c:v>
                </c:pt>
                <c:pt idx="4">
                  <c:v>8.9040877678073702</c:v>
                </c:pt>
                <c:pt idx="5">
                  <c:v>12.328805709612283</c:v>
                </c:pt>
                <c:pt idx="6">
                  <c:v>10.738754040865118</c:v>
                </c:pt>
                <c:pt idx="7">
                  <c:v>11.842284925488684</c:v>
                </c:pt>
                <c:pt idx="8">
                  <c:v>10.236085814700786</c:v>
                </c:pt>
                <c:pt idx="9">
                  <c:v>11.545731933974821</c:v>
                </c:pt>
                <c:pt idx="10">
                  <c:v>8.0693447277776205</c:v>
                </c:pt>
                <c:pt idx="11">
                  <c:v>10.219740839825086</c:v>
                </c:pt>
                <c:pt idx="12">
                  <c:v>6.7450096924160334</c:v>
                </c:pt>
                <c:pt idx="13">
                  <c:v>4.398575579098706</c:v>
                </c:pt>
                <c:pt idx="14">
                  <c:v>4.8934139907438414</c:v>
                </c:pt>
                <c:pt idx="15">
                  <c:v>2.1970153148772478</c:v>
                </c:pt>
                <c:pt idx="16">
                  <c:v>1.0964024354625161</c:v>
                </c:pt>
                <c:pt idx="17">
                  <c:v>1.3499104246684062</c:v>
                </c:pt>
                <c:pt idx="18">
                  <c:v>1.6097488627670344</c:v>
                </c:pt>
                <c:pt idx="19">
                  <c:v>1.5041831636024701</c:v>
                </c:pt>
                <c:pt idx="20">
                  <c:v>-6.3749367339532639E-2</c:v>
                </c:pt>
                <c:pt idx="21">
                  <c:v>-2.5326699186433577</c:v>
                </c:pt>
                <c:pt idx="22">
                  <c:v>-3.0080305867751211</c:v>
                </c:pt>
                <c:pt idx="23">
                  <c:v>-2.5795628996696527</c:v>
                </c:pt>
                <c:pt idx="24">
                  <c:v>-7.0621498021644271</c:v>
                </c:pt>
                <c:pt idx="25">
                  <c:v>-6.2669794329527404</c:v>
                </c:pt>
                <c:pt idx="26">
                  <c:v>-6.4636320737353694</c:v>
                </c:pt>
                <c:pt idx="27">
                  <c:v>1.3686001921262381</c:v>
                </c:pt>
                <c:pt idx="28">
                  <c:v>1.5710461370974818</c:v>
                </c:pt>
                <c:pt idx="29">
                  <c:v>0.98498017777161495</c:v>
                </c:pt>
                <c:pt idx="30">
                  <c:v>-0.88676702621425818</c:v>
                </c:pt>
                <c:pt idx="31">
                  <c:v>-1.4115906791906594</c:v>
                </c:pt>
                <c:pt idx="32">
                  <c:v>5.2486114446519894</c:v>
                </c:pt>
                <c:pt idx="33">
                  <c:v>4.1577669042122807</c:v>
                </c:pt>
                <c:pt idx="34">
                  <c:v>3.8974626510104429</c:v>
                </c:pt>
                <c:pt idx="35">
                  <c:v>3.6502251129654582</c:v>
                </c:pt>
                <c:pt idx="36">
                  <c:v>7.9171196644146304</c:v>
                </c:pt>
                <c:pt idx="37">
                  <c:v>12.404018468731548</c:v>
                </c:pt>
                <c:pt idx="38" formatCode="General">
                  <c:v>7.0158523198081753</c:v>
                </c:pt>
                <c:pt idx="39" formatCode="General">
                  <c:v>6.3971964414939748</c:v>
                </c:pt>
                <c:pt idx="40" formatCode="General">
                  <c:v>7.9266765380436937</c:v>
                </c:pt>
                <c:pt idx="41" formatCode="General">
                  <c:v>6.890347710320583</c:v>
                </c:pt>
                <c:pt idx="42" formatCode="General">
                  <c:v>7.7158139119907654</c:v>
                </c:pt>
              </c:numCache>
            </c:numRef>
          </c:val>
        </c:ser>
        <c:gapWidth val="48"/>
        <c:overlap val="100"/>
        <c:axId val="153534848"/>
        <c:axId val="153537152"/>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-15.074907955683004</c:v>
                </c:pt>
                <c:pt idx="1">
                  <c:v>21.615182249871779</c:v>
                </c:pt>
                <c:pt idx="2">
                  <c:v>-6.4882697947214707</c:v>
                </c:pt>
                <c:pt idx="3">
                  <c:v>31.495013485542152</c:v>
                </c:pt>
                <c:pt idx="4">
                  <c:v>2.2091842189672022</c:v>
                </c:pt>
                <c:pt idx="5">
                  <c:v>24.20565816894576</c:v>
                </c:pt>
                <c:pt idx="6">
                  <c:v>1.8174490220033306</c:v>
                </c:pt>
                <c:pt idx="7">
                  <c:v>16.589262493033626</c:v>
                </c:pt>
                <c:pt idx="8">
                  <c:v>0.32845179766283894</c:v>
                </c:pt>
                <c:pt idx="9">
                  <c:v>-3.0490336817378392</c:v>
                </c:pt>
                <c:pt idx="10">
                  <c:v>-26.370654271657273</c:v>
                </c:pt>
                <c:pt idx="11">
                  <c:v>2.1732582306696027</c:v>
                </c:pt>
                <c:pt idx="12">
                  <c:v>-39.557278139609195</c:v>
                </c:pt>
                <c:pt idx="13">
                  <c:v>-54.450838741275867</c:v>
                </c:pt>
                <c:pt idx="14">
                  <c:v>-45.909374682404867</c:v>
                </c:pt>
                <c:pt idx="15">
                  <c:v>-46.092753139272972</c:v>
                </c:pt>
                <c:pt idx="16">
                  <c:v>-52.547824836225246</c:v>
                </c:pt>
                <c:pt idx="17">
                  <c:v>-45.221568447182122</c:v>
                </c:pt>
                <c:pt idx="18">
                  <c:v>-53.683819891142996</c:v>
                </c:pt>
                <c:pt idx="19">
                  <c:v>-61.549492572437124</c:v>
                </c:pt>
                <c:pt idx="20">
                  <c:v>-47.070521232126211</c:v>
                </c:pt>
                <c:pt idx="21">
                  <c:v>-36.308569610494445</c:v>
                </c:pt>
                <c:pt idx="22">
                  <c:v>-4.3710198431010809</c:v>
                </c:pt>
                <c:pt idx="23">
                  <c:v>-25.990182927728082</c:v>
                </c:pt>
                <c:pt idx="24">
                  <c:v>0.80319957691543264</c:v>
                </c:pt>
                <c:pt idx="25">
                  <c:v>2.0071684587813787</c:v>
                </c:pt>
                <c:pt idx="26">
                  <c:v>39.276894996779063</c:v>
                </c:pt>
                <c:pt idx="27">
                  <c:v>-1.2144674261696764</c:v>
                </c:pt>
                <c:pt idx="28">
                  <c:v>18.233673188206133</c:v>
                </c:pt>
                <c:pt idx="29">
                  <c:v>19.051315403012719</c:v>
                </c:pt>
                <c:pt idx="30">
                  <c:v>14.219325890710968</c:v>
                </c:pt>
                <c:pt idx="31">
                  <c:v>16.454687450192878</c:v>
                </c:pt>
                <c:pt idx="32">
                  <c:v>26.611460409957694</c:v>
                </c:pt>
                <c:pt idx="33">
                  <c:v>-4.5554103904088663</c:v>
                </c:pt>
                <c:pt idx="34">
                  <c:v>-15.540370992336918</c:v>
                </c:pt>
                <c:pt idx="35">
                  <c:v>11.677189348523171</c:v>
                </c:pt>
                <c:pt idx="36">
                  <c:v>60.343640358067994</c:v>
                </c:pt>
                <c:pt idx="37">
                  <c:v>105.91766221597618</c:v>
                </c:pt>
                <c:pt idx="38" formatCode="General">
                  <c:v>49.507602767445896</c:v>
                </c:pt>
                <c:pt idx="39" formatCode="General">
                  <c:v>40.738086707273396</c:v>
                </c:pt>
                <c:pt idx="40" formatCode="General">
                  <c:v>51.119863891672402</c:v>
                </c:pt>
                <c:pt idx="41" formatCode="General">
                  <c:v>34.121627575025997</c:v>
                </c:pt>
                <c:pt idx="42" formatCode="General">
                  <c:v>32.109619791423086</c:v>
                </c:pt>
              </c:numCache>
            </c:numRef>
          </c:val>
        </c:ser>
        <c:marker val="1"/>
        <c:axId val="153534848"/>
        <c:axId val="153537152"/>
      </c:lineChart>
      <c:catAx>
        <c:axId val="15353484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537152"/>
        <c:crosses val="autoZero"/>
        <c:auto val="1"/>
        <c:lblAlgn val="ctr"/>
        <c:lblOffset val="0"/>
        <c:tickLblSkip val="2"/>
        <c:tickMarkSkip val="1"/>
        <c:noMultiLvlLbl val="1"/>
      </c:catAx>
      <c:valAx>
        <c:axId val="153537152"/>
        <c:scaling>
          <c:orientation val="minMax"/>
          <c:max val="14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534848"/>
        <c:crosses val="autoZero"/>
        <c:crossBetween val="between"/>
        <c:majorUnit val="35"/>
      </c:valAx>
      <c:spPr>
        <a:noFill/>
        <a:ln w="6350">
          <a:solidFill>
            <a:sysClr val="window" lastClr="FFFFFF">
              <a:lumMod val="85000"/>
            </a:sysClr>
          </a:solidFill>
        </a:ln>
      </c:spPr>
    </c:plotArea>
    <c:legend>
      <c:legendPos val="b"/>
      <c:layout>
        <c:manualLayout>
          <c:xMode val="edge"/>
          <c:yMode val="edge"/>
          <c:x val="0.16334469262076179"/>
          <c:y val="7.4626157407407412E-2"/>
          <c:w val="0.49761859163442818"/>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115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103.65094957432875</c:v>
                </c:pt>
                <c:pt idx="1">
                  <c:v>104.47773411918763</c:v>
                </c:pt>
                <c:pt idx="2">
                  <c:v>104.90340537000655</c:v>
                </c:pt>
                <c:pt idx="3">
                  <c:v>104.26489849377866</c:v>
                </c:pt>
                <c:pt idx="4">
                  <c:v>105.73837590045798</c:v>
                </c:pt>
                <c:pt idx="5">
                  <c:v>106.10674525212784</c:v>
                </c:pt>
                <c:pt idx="6">
                  <c:v>107.33464309102847</c:v>
                </c:pt>
                <c:pt idx="7">
                  <c:v>107.35920104780615</c:v>
                </c:pt>
                <c:pt idx="8">
                  <c:v>107.5556647020301</c:v>
                </c:pt>
                <c:pt idx="9">
                  <c:v>111.49312377210268</c:v>
                </c:pt>
                <c:pt idx="10">
                  <c:v>110.37982973149934</c:v>
                </c:pt>
                <c:pt idx="11">
                  <c:v>111.17387033398745</c:v>
                </c:pt>
                <c:pt idx="12">
                  <c:v>116.57662082514764</c:v>
                </c:pt>
                <c:pt idx="13">
                  <c:v>115.77439423706608</c:v>
                </c:pt>
                <c:pt idx="14">
                  <c:v>115.2586771447279</c:v>
                </c:pt>
                <c:pt idx="15">
                  <c:v>109.16011787819251</c:v>
                </c:pt>
                <c:pt idx="16">
                  <c:v>109.10281597904387</c:v>
                </c:pt>
                <c:pt idx="17">
                  <c:v>109.3074656188605</c:v>
                </c:pt>
                <c:pt idx="18">
                  <c:v>111.32940406024886</c:v>
                </c:pt>
                <c:pt idx="19">
                  <c:v>111.56679764243583</c:v>
                </c:pt>
                <c:pt idx="20">
                  <c:v>107.42468893254747</c:v>
                </c:pt>
                <c:pt idx="21">
                  <c:v>106.86804191224593</c:v>
                </c:pt>
                <c:pt idx="22">
                  <c:v>107.03994760969222</c:v>
                </c:pt>
                <c:pt idx="23">
                  <c:v>107.44106090373319</c:v>
                </c:pt>
                <c:pt idx="24">
                  <c:v>108.93909626719059</c:v>
                </c:pt>
                <c:pt idx="25">
                  <c:v>108.74263261296655</c:v>
                </c:pt>
                <c:pt idx="26">
                  <c:v>109.79862475442043</c:v>
                </c:pt>
                <c:pt idx="27">
                  <c:v>109.95415848068106</c:v>
                </c:pt>
                <c:pt idx="28" formatCode="General">
                  <c:v>109.59397511460338</c:v>
                </c:pt>
                <c:pt idx="29" formatCode="General">
                  <c:v>109.27472167648929</c:v>
                </c:pt>
                <c:pt idx="30" formatCode="General">
                  <c:v>110.28978388998031</c:v>
                </c:pt>
                <c:pt idx="31" formatCode="General">
                  <c:v>110.75638506876226</c:v>
                </c:pt>
                <c:pt idx="32" formatCode="General">
                  <c:v>111.68958742632579</c:v>
                </c:pt>
                <c:pt idx="33" formatCode="General">
                  <c:v>111.82056319580876</c:v>
                </c:pt>
                <c:pt idx="34" formatCode="General">
                  <c:v>112.01702685003272</c:v>
                </c:pt>
                <c:pt idx="35" formatCode="General">
                  <c:v>111.53405370006577</c:v>
                </c:pt>
                <c:pt idx="36" formatCode="General">
                  <c:v>114.72658808120495</c:v>
                </c:pt>
                <c:pt idx="37" formatCode="General">
                  <c:v>115.41421087098892</c:v>
                </c:pt>
                <c:pt idx="38" formatCode="General">
                  <c:v>115.27504911591348</c:v>
                </c:pt>
                <c:pt idx="39" formatCode="General">
                  <c:v>115.24230517354285</c:v>
                </c:pt>
                <c:pt idx="40" formatCode="General">
                  <c:v>115.72527832350961</c:v>
                </c:pt>
                <c:pt idx="41" formatCode="General">
                  <c:v>116.18369351669892</c:v>
                </c:pt>
                <c:pt idx="42" formatCode="General">
                  <c:v>117.2233136869682</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102.68065268065268</c:v>
                </c:pt>
                <c:pt idx="1">
                  <c:v>102.63403263403264</c:v>
                </c:pt>
                <c:pt idx="2">
                  <c:v>103.93939393939399</c:v>
                </c:pt>
                <c:pt idx="3">
                  <c:v>104.40559440559441</c:v>
                </c:pt>
                <c:pt idx="4">
                  <c:v>105.11266511266462</c:v>
                </c:pt>
                <c:pt idx="5">
                  <c:v>105.40792540792579</c:v>
                </c:pt>
                <c:pt idx="6">
                  <c:v>107.73892773892774</c:v>
                </c:pt>
                <c:pt idx="7">
                  <c:v>112.26884226884229</c:v>
                </c:pt>
                <c:pt idx="8">
                  <c:v>113.47319347319349</c:v>
                </c:pt>
                <c:pt idx="9">
                  <c:v>114.08702408702409</c:v>
                </c:pt>
                <c:pt idx="10">
                  <c:v>111.25097125097125</c:v>
                </c:pt>
                <c:pt idx="11">
                  <c:v>111.54623154623154</c:v>
                </c:pt>
                <c:pt idx="12">
                  <c:v>112.7195027195027</c:v>
                </c:pt>
                <c:pt idx="13">
                  <c:v>112.43978243978241</c:v>
                </c:pt>
                <c:pt idx="14">
                  <c:v>110.34965034965036</c:v>
                </c:pt>
                <c:pt idx="15">
                  <c:v>109.82905982905955</c:v>
                </c:pt>
                <c:pt idx="16">
                  <c:v>111.11888111888038</c:v>
                </c:pt>
                <c:pt idx="17">
                  <c:v>108.64801864801866</c:v>
                </c:pt>
                <c:pt idx="18">
                  <c:v>106.54234654234654</c:v>
                </c:pt>
                <c:pt idx="19">
                  <c:v>106.02952602952601</c:v>
                </c:pt>
                <c:pt idx="20">
                  <c:v>105.7264957264954</c:v>
                </c:pt>
                <c:pt idx="21">
                  <c:v>101.35975135975073</c:v>
                </c:pt>
                <c:pt idx="22">
                  <c:v>101.93473193473162</c:v>
                </c:pt>
                <c:pt idx="23">
                  <c:v>102.28438228438227</c:v>
                </c:pt>
                <c:pt idx="24">
                  <c:v>102.10567210567159</c:v>
                </c:pt>
                <c:pt idx="25">
                  <c:v>101.00233100233046</c:v>
                </c:pt>
                <c:pt idx="26">
                  <c:v>98.850038850038274</c:v>
                </c:pt>
                <c:pt idx="27">
                  <c:v>97.420357420357405</c:v>
                </c:pt>
                <c:pt idx="28" formatCode="General">
                  <c:v>97.948717948718027</c:v>
                </c:pt>
                <c:pt idx="29" formatCode="General">
                  <c:v>96.767676767676761</c:v>
                </c:pt>
                <c:pt idx="30" formatCode="General">
                  <c:v>98.663558663558618</c:v>
                </c:pt>
                <c:pt idx="31" formatCode="General">
                  <c:v>100</c:v>
                </c:pt>
                <c:pt idx="32" formatCode="General">
                  <c:v>100.35742035742</c:v>
                </c:pt>
                <c:pt idx="33" formatCode="General">
                  <c:v>100.63714063714066</c:v>
                </c:pt>
                <c:pt idx="34" formatCode="General">
                  <c:v>101.08780108780108</c:v>
                </c:pt>
                <c:pt idx="35" formatCode="General">
                  <c:v>101.39083139083102</c:v>
                </c:pt>
                <c:pt idx="36" formatCode="General">
                  <c:v>101.12665112665051</c:v>
                </c:pt>
                <c:pt idx="37" formatCode="General">
                  <c:v>101.51515151515135</c:v>
                </c:pt>
                <c:pt idx="38" formatCode="General">
                  <c:v>100.83916083916085</c:v>
                </c:pt>
                <c:pt idx="39" formatCode="General">
                  <c:v>101.46076146076147</c:v>
                </c:pt>
                <c:pt idx="40" formatCode="General">
                  <c:v>101.89588189588127</c:v>
                </c:pt>
                <c:pt idx="41" formatCode="General">
                  <c:v>106.22377622377593</c:v>
                </c:pt>
                <c:pt idx="42" formatCode="General">
                  <c:v>107.46697746697762</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104.02060142880877</c:v>
                </c:pt>
                <c:pt idx="1">
                  <c:v>105.16697125768337</c:v>
                </c:pt>
                <c:pt idx="2">
                  <c:v>105.25834856288353</c:v>
                </c:pt>
                <c:pt idx="3">
                  <c:v>104.21997009470013</c:v>
                </c:pt>
                <c:pt idx="4">
                  <c:v>105.98105997674062</c:v>
                </c:pt>
                <c:pt idx="5">
                  <c:v>106.37149028077756</c:v>
                </c:pt>
                <c:pt idx="6">
                  <c:v>107.18557899983348</c:v>
                </c:pt>
                <c:pt idx="7">
                  <c:v>105.52417345073934</c:v>
                </c:pt>
                <c:pt idx="8">
                  <c:v>105.34972586808441</c:v>
                </c:pt>
                <c:pt idx="9">
                  <c:v>110.53331118125935</c:v>
                </c:pt>
                <c:pt idx="10">
                  <c:v>110.0598105997674</c:v>
                </c:pt>
                <c:pt idx="11">
                  <c:v>111.03173284598768</c:v>
                </c:pt>
                <c:pt idx="12">
                  <c:v>117.44475826549262</c:v>
                </c:pt>
                <c:pt idx="13">
                  <c:v>116.51437115799912</c:v>
                </c:pt>
                <c:pt idx="14">
                  <c:v>116.37315168632664</c:v>
                </c:pt>
                <c:pt idx="15">
                  <c:v>108.95497590961953</c:v>
                </c:pt>
                <c:pt idx="16">
                  <c:v>108.5811596610739</c:v>
                </c:pt>
                <c:pt idx="17">
                  <c:v>109.41186243562053</c:v>
                </c:pt>
                <c:pt idx="18">
                  <c:v>112.41069945173668</c:v>
                </c:pt>
                <c:pt idx="19">
                  <c:v>112.83435786675496</c:v>
                </c:pt>
                <c:pt idx="20">
                  <c:v>107.77537796976235</c:v>
                </c:pt>
                <c:pt idx="21">
                  <c:v>108.12427313507229</c:v>
                </c:pt>
                <c:pt idx="22">
                  <c:v>108.19903638478108</c:v>
                </c:pt>
                <c:pt idx="23">
                  <c:v>108.62269479980063</c:v>
                </c:pt>
                <c:pt idx="24">
                  <c:v>110.47516198704106</c:v>
                </c:pt>
                <c:pt idx="25">
                  <c:v>110.48346901478651</c:v>
                </c:pt>
                <c:pt idx="26">
                  <c:v>112.24455889682665</c:v>
                </c:pt>
                <c:pt idx="27">
                  <c:v>112.75128758930089</c:v>
                </c:pt>
                <c:pt idx="28" formatCode="General">
                  <c:v>112.19471673035385</c:v>
                </c:pt>
                <c:pt idx="29" formatCode="General">
                  <c:v>112.06180428642634</c:v>
                </c:pt>
                <c:pt idx="30" formatCode="General">
                  <c:v>112.8758930054823</c:v>
                </c:pt>
                <c:pt idx="31" formatCode="General">
                  <c:v>113.15002492108326</c:v>
                </c:pt>
                <c:pt idx="32" formatCode="General">
                  <c:v>114.22163150024922</c:v>
                </c:pt>
                <c:pt idx="33" formatCode="General">
                  <c:v>114.31300880544912</c:v>
                </c:pt>
                <c:pt idx="34" formatCode="General">
                  <c:v>114.45422827712252</c:v>
                </c:pt>
                <c:pt idx="35" formatCode="General">
                  <c:v>113.80628011297527</c:v>
                </c:pt>
                <c:pt idx="36" formatCode="General">
                  <c:v>117.50290745971091</c:v>
                </c:pt>
                <c:pt idx="37" formatCode="General">
                  <c:v>118.24223292905799</c:v>
                </c:pt>
                <c:pt idx="38" formatCode="General">
                  <c:v>118.17577670709335</c:v>
                </c:pt>
                <c:pt idx="39" formatCode="General">
                  <c:v>118.04286426316663</c:v>
                </c:pt>
                <c:pt idx="40" formatCode="General">
                  <c:v>118.54128592789499</c:v>
                </c:pt>
                <c:pt idx="41" formatCode="General">
                  <c:v>118.46652267818592</c:v>
                </c:pt>
                <c:pt idx="42" formatCode="General">
                  <c:v>119.47998006313343</c:v>
                </c:pt>
              </c:numCache>
            </c:numRef>
          </c:val>
        </c:ser>
        <c:marker val="1"/>
        <c:axId val="153494272"/>
        <c:axId val="153495808"/>
      </c:lineChart>
      <c:catAx>
        <c:axId val="153494272"/>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3495808"/>
        <c:crosses val="autoZero"/>
        <c:auto val="1"/>
        <c:lblAlgn val="ctr"/>
        <c:lblOffset val="0"/>
        <c:tickLblSkip val="2"/>
        <c:tickMarkSkip val="1"/>
        <c:noMultiLvlLbl val="1"/>
      </c:catAx>
      <c:valAx>
        <c:axId val="153495808"/>
        <c:scaling>
          <c:orientation val="minMax"/>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494272"/>
        <c:crosses val="autoZero"/>
        <c:crossBetween val="between"/>
      </c:valAx>
      <c:spPr>
        <a:noFill/>
        <a:ln w="6350">
          <a:solidFill>
            <a:sysClr val="window" lastClr="FFFFFF">
              <a:lumMod val="85000"/>
            </a:sysClr>
          </a:solidFill>
        </a:ln>
      </c:spPr>
    </c:plotArea>
    <c:legend>
      <c:legendPos val="b"/>
      <c:layout>
        <c:manualLayout>
          <c:xMode val="edge"/>
          <c:yMode val="edge"/>
          <c:x val="0.14094790729964191"/>
          <c:y val="4.4967013888889122E-2"/>
          <c:w val="0.45080477616355763"/>
          <c:h val="0.183288194444451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Sheet1!$C$14:$C$56</c:f>
              <c:numCache>
                <c:formatCode>0.0</c:formatCode>
                <c:ptCount val="43"/>
                <c:pt idx="0">
                  <c:v>2.8</c:v>
                </c:pt>
                <c:pt idx="1">
                  <c:v>4.2</c:v>
                </c:pt>
                <c:pt idx="2">
                  <c:v>7.5</c:v>
                </c:pt>
                <c:pt idx="3">
                  <c:v>4.2</c:v>
                </c:pt>
                <c:pt idx="4">
                  <c:v>-13.2</c:v>
                </c:pt>
                <c:pt idx="5">
                  <c:v>-11.1</c:v>
                </c:pt>
                <c:pt idx="6">
                  <c:v>-7.8</c:v>
                </c:pt>
                <c:pt idx="7">
                  <c:v>-5.6</c:v>
                </c:pt>
                <c:pt idx="8">
                  <c:v>-4.7</c:v>
                </c:pt>
                <c:pt idx="9">
                  <c:v>-17.5</c:v>
                </c:pt>
                <c:pt idx="10">
                  <c:v>-22.6</c:v>
                </c:pt>
                <c:pt idx="11">
                  <c:v>-26.9</c:v>
                </c:pt>
                <c:pt idx="12">
                  <c:v>-37</c:v>
                </c:pt>
                <c:pt idx="13">
                  <c:v>-35.5</c:v>
                </c:pt>
                <c:pt idx="14">
                  <c:v>-35.5</c:v>
                </c:pt>
                <c:pt idx="15">
                  <c:v>-33.200000000000003</c:v>
                </c:pt>
                <c:pt idx="16">
                  <c:v>-37.800000000000004</c:v>
                </c:pt>
                <c:pt idx="17">
                  <c:v>-38</c:v>
                </c:pt>
                <c:pt idx="18">
                  <c:v>-32.800000000000004</c:v>
                </c:pt>
                <c:pt idx="19">
                  <c:v>-27.4</c:v>
                </c:pt>
                <c:pt idx="20">
                  <c:v>-24.4</c:v>
                </c:pt>
                <c:pt idx="21">
                  <c:v>-29.8</c:v>
                </c:pt>
                <c:pt idx="22">
                  <c:v>-21.5</c:v>
                </c:pt>
                <c:pt idx="23">
                  <c:v>-15.9</c:v>
                </c:pt>
                <c:pt idx="24">
                  <c:v>-24.6</c:v>
                </c:pt>
                <c:pt idx="25">
                  <c:v>-16.600000000000001</c:v>
                </c:pt>
                <c:pt idx="26">
                  <c:v>-8.9</c:v>
                </c:pt>
                <c:pt idx="27">
                  <c:v>-7</c:v>
                </c:pt>
                <c:pt idx="28">
                  <c:v>-10.1</c:v>
                </c:pt>
                <c:pt idx="29">
                  <c:v>-2.1</c:v>
                </c:pt>
                <c:pt idx="30">
                  <c:v>-12.8</c:v>
                </c:pt>
                <c:pt idx="31">
                  <c:v>-6.1</c:v>
                </c:pt>
                <c:pt idx="32">
                  <c:v>-11.3</c:v>
                </c:pt>
                <c:pt idx="33">
                  <c:v>-1.6</c:v>
                </c:pt>
                <c:pt idx="34">
                  <c:v>8.9</c:v>
                </c:pt>
                <c:pt idx="35">
                  <c:v>11.5</c:v>
                </c:pt>
                <c:pt idx="36">
                  <c:v>0.2</c:v>
                </c:pt>
                <c:pt idx="37" formatCode="General">
                  <c:v>-3.6</c:v>
                </c:pt>
                <c:pt idx="38" formatCode="General">
                  <c:v>-2.4</c:v>
                </c:pt>
                <c:pt idx="39" formatCode="General">
                  <c:v>4.3</c:v>
                </c:pt>
                <c:pt idx="40" formatCode="General">
                  <c:v>11.1</c:v>
                </c:pt>
                <c:pt idx="41" formatCode="General">
                  <c:v>7.8</c:v>
                </c:pt>
                <c:pt idx="42" formatCode="General">
                  <c:v>1.8</c:v>
                </c:pt>
              </c:numCache>
            </c:numRef>
          </c:val>
        </c:ser>
        <c:marker val="1"/>
        <c:axId val="153716608"/>
        <c:axId val="153718144"/>
      </c:lineChart>
      <c:catAx>
        <c:axId val="153716608"/>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718144"/>
        <c:crosses val="autoZero"/>
        <c:auto val="1"/>
        <c:lblAlgn val="ctr"/>
        <c:lblOffset val="0"/>
        <c:tickLblSkip val="2"/>
        <c:tickMarkSkip val="1"/>
        <c:noMultiLvlLbl val="1"/>
      </c:catAx>
      <c:valAx>
        <c:axId val="153718144"/>
        <c:scaling>
          <c:orientation val="minMax"/>
          <c:max val="2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71660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3766906130268204"/>
          <c:h val="0.8419917632247429"/>
        </c:manualLayout>
      </c:layout>
      <c:lineChart>
        <c:grouping val="standard"/>
        <c:ser>
          <c:idx val="1"/>
          <c:order val="0"/>
          <c:tx>
            <c:strRef>
              <c:f>Sheet1!$A$2</c:f>
              <c:strCache>
                <c:ptCount val="1"/>
                <c:pt idx="0">
                  <c:v>2008</c:v>
                </c:pt>
              </c:strCache>
            </c:strRef>
          </c:tx>
          <c:spPr>
            <a:ln w="12700">
              <a:solidFill>
                <a:srgbClr val="000000"/>
              </a:solidFill>
              <a:prstDash val="sysDot"/>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formatCode="General">
                  <c:v>108.79</c:v>
                </c:pt>
                <c:pt idx="1">
                  <c:v>132.12</c:v>
                </c:pt>
                <c:pt idx="2">
                  <c:v>152.94999999999999</c:v>
                </c:pt>
                <c:pt idx="3">
                  <c:v>198.76</c:v>
                </c:pt>
                <c:pt idx="4">
                  <c:v>139.99</c:v>
                </c:pt>
                <c:pt idx="5">
                  <c:v>183.83</c:v>
                </c:pt>
                <c:pt idx="6">
                  <c:v>124.81</c:v>
                </c:pt>
                <c:pt idx="7">
                  <c:v>147.63999999999999</c:v>
                </c:pt>
                <c:pt idx="8">
                  <c:v>115.97</c:v>
                </c:pt>
                <c:pt idx="9">
                  <c:v>107.71000000000002</c:v>
                </c:pt>
                <c:pt idx="10">
                  <c:v>115.41000000000012</c:v>
                </c:pt>
                <c:pt idx="11">
                  <c:v>86.32</c:v>
                </c:pt>
              </c:numCache>
            </c:numRef>
          </c:val>
        </c:ser>
        <c:ser>
          <c:idx val="0"/>
          <c:order val="1"/>
          <c:tx>
            <c:strRef>
              <c:f>Sheet1!$A$3</c:f>
              <c:strCache>
                <c:ptCount val="1"/>
                <c:pt idx="0">
                  <c:v>2009</c:v>
                </c:pt>
              </c:strCache>
            </c:strRef>
          </c:tx>
          <c:spPr>
            <a:ln w="12700">
              <a:solidFill>
                <a:srgbClr val="000000"/>
              </a:solidFill>
              <a:prstDash val="dash"/>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formatCode="General">
                  <c:v>63.56</c:v>
                </c:pt>
                <c:pt idx="1">
                  <c:v>68.42</c:v>
                </c:pt>
                <c:pt idx="2">
                  <c:v>79.98</c:v>
                </c:pt>
                <c:pt idx="3">
                  <c:v>74.989999999999995</c:v>
                </c:pt>
                <c:pt idx="4">
                  <c:v>63.75</c:v>
                </c:pt>
                <c:pt idx="5">
                  <c:v>62.45</c:v>
                </c:pt>
                <c:pt idx="6">
                  <c:v>63.02</c:v>
                </c:pt>
                <c:pt idx="7">
                  <c:v>82.679999999999978</c:v>
                </c:pt>
                <c:pt idx="8">
                  <c:v>73.75</c:v>
                </c:pt>
                <c:pt idx="9">
                  <c:v>58.81</c:v>
                </c:pt>
                <c:pt idx="10">
                  <c:v>58.290000000000013</c:v>
                </c:pt>
                <c:pt idx="11">
                  <c:v>61.58</c:v>
                </c:pt>
              </c:numCache>
            </c:numRef>
          </c:val>
        </c:ser>
        <c:ser>
          <c:idx val="2"/>
          <c:order val="2"/>
          <c:tx>
            <c:strRef>
              <c:f>Sheet1!$A$4</c:f>
              <c:strCache>
                <c:ptCount val="1"/>
                <c:pt idx="0">
                  <c:v>2010</c:v>
                </c:pt>
              </c:strCache>
            </c:strRef>
          </c:tx>
          <c:spPr>
            <a:ln w="15875">
              <a:solidFill>
                <a:sysClr val="windowText" lastClr="00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74.2</c:v>
                </c:pt>
                <c:pt idx="1">
                  <c:v>63.260000000000012</c:v>
                </c:pt>
                <c:pt idx="2">
                  <c:v>118.24000000000002</c:v>
                </c:pt>
                <c:pt idx="3">
                  <c:v>124.96000000000002</c:v>
                </c:pt>
                <c:pt idx="4">
                  <c:v>105.64999999999999</c:v>
                </c:pt>
                <c:pt idx="5">
                  <c:v>107.2</c:v>
                </c:pt>
                <c:pt idx="6">
                  <c:v>111.73</c:v>
                </c:pt>
                <c:pt idx="7">
                  <c:v>142.53</c:v>
                </c:pt>
                <c:pt idx="8">
                  <c:v>125.99000000000002</c:v>
                </c:pt>
                <c:pt idx="9">
                  <c:v>127.03</c:v>
                </c:pt>
                <c:pt idx="10">
                  <c:v>95.95</c:v>
                </c:pt>
                <c:pt idx="11">
                  <c:v>93.09</c:v>
                </c:pt>
              </c:numCache>
            </c:numRef>
          </c:val>
        </c:ser>
        <c:ser>
          <c:idx val="3"/>
          <c:order val="3"/>
          <c:tx>
            <c:strRef>
              <c:f>Sheet1!$A$5</c:f>
              <c:strCache>
                <c:ptCount val="1"/>
                <c:pt idx="0">
                  <c:v>2011</c:v>
                </c:pt>
              </c:strCache>
            </c:strRef>
          </c:tx>
          <c:spPr>
            <a:ln w="38100">
              <a:solidFill>
                <a:srgbClr val="FF0000"/>
              </a:solidFill>
            </a:ln>
          </c:spPr>
          <c:marker>
            <c:symbol val="none"/>
          </c:marke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132.20999999999998</c:v>
                </c:pt>
                <c:pt idx="1">
                  <c:v>89.940000000000026</c:v>
                </c:pt>
                <c:pt idx="2">
                  <c:v>117.41000000000012</c:v>
                </c:pt>
                <c:pt idx="3" formatCode="General">
                  <c:v>296.57</c:v>
                </c:pt>
                <c:pt idx="4">
                  <c:v>175.84</c:v>
                </c:pt>
                <c:pt idx="5">
                  <c:v>167.47</c:v>
                </c:pt>
                <c:pt idx="6">
                  <c:v>185.17</c:v>
                </c:pt>
              </c:numCache>
            </c:numRef>
          </c:val>
        </c:ser>
        <c:marker val="1"/>
        <c:axId val="153789184"/>
        <c:axId val="153790720"/>
      </c:lineChart>
      <c:catAx>
        <c:axId val="153789184"/>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790720"/>
        <c:crosses val="autoZero"/>
        <c:auto val="1"/>
        <c:lblAlgn val="ctr"/>
        <c:lblOffset val="0"/>
        <c:tickMarkSkip val="1"/>
      </c:catAx>
      <c:valAx>
        <c:axId val="153790720"/>
        <c:scaling>
          <c:orientation val="minMax"/>
          <c:max val="30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789184"/>
        <c:crosses val="autoZero"/>
        <c:crossBetween val="between"/>
        <c:majorUnit val="50"/>
      </c:valAx>
      <c:spPr>
        <a:noFill/>
        <a:ln w="6350">
          <a:solidFill>
            <a:sysClr val="window" lastClr="FFFFFF">
              <a:lumMod val="85000"/>
            </a:sysClr>
          </a:solidFill>
        </a:ln>
      </c:spPr>
    </c:plotArea>
    <c:legend>
      <c:legendPos val="b"/>
      <c:layout>
        <c:manualLayout>
          <c:xMode val="edge"/>
          <c:yMode val="edge"/>
          <c:x val="0.62115300777314064"/>
          <c:y val="3.9476273148148146E-2"/>
          <c:w val="0.35818544316576972"/>
          <c:h val="0.22597395833333334"/>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Sheet1!$A$2:$B$44</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Sheet1!$C$2:$C$44</c:f>
              <c:numCache>
                <c:formatCode>0.0</c:formatCode>
                <c:ptCount val="43"/>
                <c:pt idx="0">
                  <c:v>111.10138329539485</c:v>
                </c:pt>
                <c:pt idx="1">
                  <c:v>128.82157240413235</c:v>
                </c:pt>
                <c:pt idx="2">
                  <c:v>121.85256522500438</c:v>
                </c:pt>
                <c:pt idx="3">
                  <c:v>156.09350376466429</c:v>
                </c:pt>
                <c:pt idx="4">
                  <c:v>120.03151812292055</c:v>
                </c:pt>
                <c:pt idx="5">
                  <c:v>149.86867448783067</c:v>
                </c:pt>
                <c:pt idx="6">
                  <c:v>107.46804412537223</c:v>
                </c:pt>
                <c:pt idx="7">
                  <c:v>119.38364559621783</c:v>
                </c:pt>
                <c:pt idx="8">
                  <c:v>99.054456312379486</c:v>
                </c:pt>
                <c:pt idx="9">
                  <c:v>91.279985991945367</c:v>
                </c:pt>
                <c:pt idx="10">
                  <c:v>111.76676589038698</c:v>
                </c:pt>
                <c:pt idx="11">
                  <c:v>80.353703379443118</c:v>
                </c:pt>
                <c:pt idx="12">
                  <c:v>66.039222552967956</c:v>
                </c:pt>
                <c:pt idx="13">
                  <c:v>76.30012257047801</c:v>
                </c:pt>
                <c:pt idx="14">
                  <c:v>62.580984065837754</c:v>
                </c:pt>
                <c:pt idx="15">
                  <c:v>58.860094554368693</c:v>
                </c:pt>
                <c:pt idx="16">
                  <c:v>55.690772194011615</c:v>
                </c:pt>
                <c:pt idx="17">
                  <c:v>50.936788653475752</c:v>
                </c:pt>
                <c:pt idx="18">
                  <c:v>54.281211696725606</c:v>
                </c:pt>
                <c:pt idx="19">
                  <c:v>66.809665557695681</c:v>
                </c:pt>
                <c:pt idx="20">
                  <c:v>62.974960602346229</c:v>
                </c:pt>
                <c:pt idx="21">
                  <c:v>50.76168797058309</c:v>
                </c:pt>
                <c:pt idx="22">
                  <c:v>55.471896340395737</c:v>
                </c:pt>
                <c:pt idx="23">
                  <c:v>57.362983715636389</c:v>
                </c:pt>
                <c:pt idx="24">
                  <c:v>78.418840833479038</c:v>
                </c:pt>
                <c:pt idx="25">
                  <c:v>70.548065137453818</c:v>
                </c:pt>
                <c:pt idx="26" formatCode="General">
                  <c:v>90.850989318858197</c:v>
                </c:pt>
                <c:pt idx="27" formatCode="General">
                  <c:v>98.038872351601995</c:v>
                </c:pt>
                <c:pt idx="28" formatCode="General">
                  <c:v>90.675888635965478</c:v>
                </c:pt>
                <c:pt idx="29" formatCode="General">
                  <c:v>85.89563999299601</c:v>
                </c:pt>
                <c:pt idx="30" formatCode="General">
                  <c:v>97.986342146734188</c:v>
                </c:pt>
                <c:pt idx="31" formatCode="General">
                  <c:v>113.08002101208176</c:v>
                </c:pt>
                <c:pt idx="32" formatCode="General">
                  <c:v>107.5643495009631</c:v>
                </c:pt>
                <c:pt idx="33" formatCode="General">
                  <c:v>111.6266853440729</c:v>
                </c:pt>
                <c:pt idx="34" formatCode="General">
                  <c:v>89.704079845911437</c:v>
                </c:pt>
                <c:pt idx="35" formatCode="General">
                  <c:v>85.203992295569989</c:v>
                </c:pt>
                <c:pt idx="36" formatCode="General">
                  <c:v>137.13009980738957</c:v>
                </c:pt>
                <c:pt idx="37" formatCode="General">
                  <c:v>100.3064261950622</c:v>
                </c:pt>
                <c:pt idx="38" formatCode="General">
                  <c:v>90.220626860444781</c:v>
                </c:pt>
                <c:pt idx="39" formatCode="General">
                  <c:v>236.86744878305069</c:v>
                </c:pt>
                <c:pt idx="40" formatCode="General">
                  <c:v>145.6137278935386</c:v>
                </c:pt>
                <c:pt idx="41" formatCode="General">
                  <c:v>136.65732796357949</c:v>
                </c:pt>
              </c:numCache>
            </c:numRef>
          </c:val>
        </c:ser>
        <c:marker val="1"/>
        <c:axId val="153859968"/>
        <c:axId val="153861504"/>
      </c:lineChart>
      <c:catAx>
        <c:axId val="153859968"/>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861504"/>
        <c:crosses val="autoZero"/>
        <c:auto val="1"/>
        <c:lblAlgn val="ctr"/>
        <c:lblOffset val="0"/>
        <c:tickLblSkip val="2"/>
        <c:tickMarkSkip val="1"/>
        <c:noMultiLvlLbl val="1"/>
      </c:catAx>
      <c:valAx>
        <c:axId val="153861504"/>
        <c:scaling>
          <c:orientation val="minMax"/>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859968"/>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4.7330555555555563E-2"/>
          <c:w val="0.80758093869731817"/>
          <c:h val="0.80401084010840163"/>
        </c:manualLayout>
      </c:layout>
      <c:barChart>
        <c:barDir val="col"/>
        <c:grouping val="stacked"/>
        <c:ser>
          <c:idx val="1"/>
          <c:order val="0"/>
          <c:tx>
            <c:strRef>
              <c:f>Sheet1!$C$2</c:f>
              <c:strCache>
                <c:ptCount val="1"/>
                <c:pt idx="0">
                  <c:v>vietējā tirgū</c:v>
                </c:pt>
              </c:strCache>
            </c:strRef>
          </c:tx>
          <c:spPr>
            <a:solidFill>
              <a:srgbClr val="FF0000"/>
            </a:solidFill>
            <a:ln w="0" cap="sq">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Sheet1!$C$3:$C$58</c:f>
              <c:numCache>
                <c:formatCode>0.0</c:formatCode>
                <c:ptCount val="43"/>
                <c:pt idx="0">
                  <c:v>2.206599999999999</c:v>
                </c:pt>
                <c:pt idx="1">
                  <c:v>2.3192999999999921</c:v>
                </c:pt>
                <c:pt idx="2">
                  <c:v>2.0263000000000009</c:v>
                </c:pt>
                <c:pt idx="3">
                  <c:v>7.2534999999999989</c:v>
                </c:pt>
                <c:pt idx="4">
                  <c:v>2.4223999999999997</c:v>
                </c:pt>
                <c:pt idx="5">
                  <c:v>6.2273999999999985</c:v>
                </c:pt>
                <c:pt idx="6">
                  <c:v>2.1130999999999993</c:v>
                </c:pt>
                <c:pt idx="7">
                  <c:v>2.2982000000000014</c:v>
                </c:pt>
                <c:pt idx="8">
                  <c:v>1.1395999999999948</c:v>
                </c:pt>
                <c:pt idx="9">
                  <c:v>2.1132999999999988</c:v>
                </c:pt>
                <c:pt idx="10">
                  <c:v>1.4812000000000012</c:v>
                </c:pt>
                <c:pt idx="11">
                  <c:v>3.2468000000000021</c:v>
                </c:pt>
                <c:pt idx="12">
                  <c:v>0.75339999999999963</c:v>
                </c:pt>
                <c:pt idx="13">
                  <c:v>1.1435000000000004</c:v>
                </c:pt>
                <c:pt idx="14">
                  <c:v>1.2628999999999948</c:v>
                </c:pt>
                <c:pt idx="15">
                  <c:v>1.1289000000000007</c:v>
                </c:pt>
                <c:pt idx="16">
                  <c:v>0.97630000000000061</c:v>
                </c:pt>
                <c:pt idx="17">
                  <c:v>0.76549999999999963</c:v>
                </c:pt>
                <c:pt idx="18">
                  <c:v>0.79689999999999994</c:v>
                </c:pt>
                <c:pt idx="19">
                  <c:v>0.76170000000000349</c:v>
                </c:pt>
                <c:pt idx="20">
                  <c:v>0.68409999999999993</c:v>
                </c:pt>
                <c:pt idx="21">
                  <c:v>0.82070000000000065</c:v>
                </c:pt>
                <c:pt idx="22">
                  <c:v>0.72289999999999965</c:v>
                </c:pt>
                <c:pt idx="23">
                  <c:v>1.0034999999999932</c:v>
                </c:pt>
                <c:pt idx="24">
                  <c:v>0.45110000000000028</c:v>
                </c:pt>
                <c:pt idx="25">
                  <c:v>0.46480000000000032</c:v>
                </c:pt>
                <c:pt idx="26">
                  <c:v>0.75920000000000065</c:v>
                </c:pt>
                <c:pt idx="27">
                  <c:v>0.59430000000000049</c:v>
                </c:pt>
                <c:pt idx="28">
                  <c:v>0.73439999999999905</c:v>
                </c:pt>
                <c:pt idx="29">
                  <c:v>0.99049999999999849</c:v>
                </c:pt>
                <c:pt idx="30">
                  <c:v>1.2379999999999909</c:v>
                </c:pt>
                <c:pt idx="31">
                  <c:v>1.6341999999999999</c:v>
                </c:pt>
                <c:pt idx="32">
                  <c:v>1.4502000000000006</c:v>
                </c:pt>
                <c:pt idx="33">
                  <c:v>1.5884999999999998</c:v>
                </c:pt>
                <c:pt idx="34">
                  <c:v>0.82040000000000113</c:v>
                </c:pt>
                <c:pt idx="35">
                  <c:v>1.2277999999999896</c:v>
                </c:pt>
                <c:pt idx="36">
                  <c:v>0.96470000000000145</c:v>
                </c:pt>
                <c:pt idx="37">
                  <c:v>0.84380000000000233</c:v>
                </c:pt>
                <c:pt idx="38">
                  <c:v>1.21169999999999</c:v>
                </c:pt>
                <c:pt idx="39">
                  <c:v>0.88370000000000104</c:v>
                </c:pt>
                <c:pt idx="40">
                  <c:v>1.0639000000000018</c:v>
                </c:pt>
                <c:pt idx="41">
                  <c:v>1.6712000000000007</c:v>
                </c:pt>
                <c:pt idx="42">
                  <c:v>1.5578999999999938</c:v>
                </c:pt>
              </c:numCache>
            </c:numRef>
          </c:val>
        </c:ser>
        <c:ser>
          <c:idx val="0"/>
          <c:order val="1"/>
          <c:tx>
            <c:strRef>
              <c:f>Sheet1!$D$2</c:f>
              <c:strCache>
                <c:ptCount val="1"/>
                <c:pt idx="0">
                  <c:v>eksports</c:v>
                </c:pt>
              </c:strCache>
            </c:strRef>
          </c:tx>
          <c:spPr>
            <a:solidFill>
              <a:srgbClr val="EEECE1">
                <a:lumMod val="90000"/>
              </a:srgbClr>
            </a:solidFill>
            <a:ln w="0">
              <a:solidFill>
                <a:sysClr val="windowText" lastClr="000000">
                  <a:lumMod val="65000"/>
                  <a:lumOff val="35000"/>
                </a:sysClr>
              </a:solidFill>
              <a:prstDash val="solid"/>
              <a:round/>
            </a:ln>
          </c:spPr>
          <c:cat>
            <c:multiLvlStrRef>
              <c:f>Sheet1!$A$3:$B$58</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Sheet1!$D$3:$D$58</c:f>
              <c:numCache>
                <c:formatCode>0.0</c:formatCode>
                <c:ptCount val="43"/>
                <c:pt idx="0">
                  <c:v>6.1002999999999998</c:v>
                </c:pt>
                <c:pt idx="1">
                  <c:v>8.2322999999999986</c:v>
                </c:pt>
                <c:pt idx="2">
                  <c:v>11.3139</c:v>
                </c:pt>
                <c:pt idx="3">
                  <c:v>12.3371</c:v>
                </c:pt>
                <c:pt idx="4">
                  <c:v>9.1528000000000027</c:v>
                </c:pt>
                <c:pt idx="5">
                  <c:v>10.060700000000002</c:v>
                </c:pt>
                <c:pt idx="6">
                  <c:v>10.1044</c:v>
                </c:pt>
                <c:pt idx="7">
                  <c:v>13.7179</c:v>
                </c:pt>
                <c:pt idx="8">
                  <c:v>11.851600000000024</c:v>
                </c:pt>
                <c:pt idx="9">
                  <c:v>9.5757000000000048</c:v>
                </c:pt>
                <c:pt idx="10">
                  <c:v>13.199300000000001</c:v>
                </c:pt>
                <c:pt idx="11">
                  <c:v>7.2883999999999993</c:v>
                </c:pt>
                <c:pt idx="12">
                  <c:v>5.8344999999999985</c:v>
                </c:pt>
                <c:pt idx="13">
                  <c:v>4.8283999999999985</c:v>
                </c:pt>
                <c:pt idx="14">
                  <c:v>7.4236000000000004</c:v>
                </c:pt>
                <c:pt idx="15">
                  <c:v>5.8333999999999993</c:v>
                </c:pt>
                <c:pt idx="16">
                  <c:v>5.2210000000000001</c:v>
                </c:pt>
                <c:pt idx="17">
                  <c:v>4.1078999999999946</c:v>
                </c:pt>
                <c:pt idx="18">
                  <c:v>4.8273999999999955</c:v>
                </c:pt>
                <c:pt idx="19">
                  <c:v>6.8304999999999998</c:v>
                </c:pt>
                <c:pt idx="20">
                  <c:v>7.5323000000000002</c:v>
                </c:pt>
                <c:pt idx="21">
                  <c:v>4.9617000000000004</c:v>
                </c:pt>
                <c:pt idx="22">
                  <c:v>5.8107999999999995</c:v>
                </c:pt>
                <c:pt idx="23">
                  <c:v>6.2986000000000004</c:v>
                </c:pt>
                <c:pt idx="24">
                  <c:v>5.5343999999999998</c:v>
                </c:pt>
                <c:pt idx="25">
                  <c:v>4.8656999999999995</c:v>
                </c:pt>
                <c:pt idx="26">
                  <c:v>7.6097999999999999</c:v>
                </c:pt>
                <c:pt idx="27">
                  <c:v>7.1136999999999997</c:v>
                </c:pt>
                <c:pt idx="28">
                  <c:v>5.8972999999999995</c:v>
                </c:pt>
                <c:pt idx="29">
                  <c:v>7.0715000000000003</c:v>
                </c:pt>
                <c:pt idx="30">
                  <c:v>6.5116000000000014</c:v>
                </c:pt>
                <c:pt idx="31">
                  <c:v>6.6882999999999999</c:v>
                </c:pt>
                <c:pt idx="32">
                  <c:v>10.307400000000024</c:v>
                </c:pt>
                <c:pt idx="33">
                  <c:v>8.9842000000000013</c:v>
                </c:pt>
                <c:pt idx="34">
                  <c:v>7.6372</c:v>
                </c:pt>
                <c:pt idx="35">
                  <c:v>7.298</c:v>
                </c:pt>
                <c:pt idx="36">
                  <c:v>9.1361000000000008</c:v>
                </c:pt>
                <c:pt idx="37">
                  <c:v>6.6311999999999998</c:v>
                </c:pt>
                <c:pt idx="38">
                  <c:v>8.1280999999999999</c:v>
                </c:pt>
                <c:pt idx="39">
                  <c:v>16.618299999999987</c:v>
                </c:pt>
                <c:pt idx="40">
                  <c:v>11.306800000000004</c:v>
                </c:pt>
                <c:pt idx="41">
                  <c:v>11.124500000000001</c:v>
                </c:pt>
                <c:pt idx="42">
                  <c:v>11.6005</c:v>
                </c:pt>
              </c:numCache>
            </c:numRef>
          </c:val>
        </c:ser>
        <c:gapWidth val="0"/>
        <c:overlap val="100"/>
        <c:axId val="153825280"/>
        <c:axId val="153826816"/>
      </c:barChart>
      <c:catAx>
        <c:axId val="153825280"/>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826816"/>
        <c:crosses val="autoZero"/>
        <c:auto val="1"/>
        <c:lblAlgn val="ctr"/>
        <c:lblOffset val="0"/>
        <c:tickLblSkip val="3"/>
        <c:tickMarkSkip val="1"/>
        <c:noMultiLvlLbl val="1"/>
      </c:catAx>
      <c:valAx>
        <c:axId val="153826816"/>
        <c:scaling>
          <c:orientation val="minMax"/>
          <c:max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825280"/>
        <c:crosses val="autoZero"/>
        <c:crossBetween val="between"/>
        <c:majorUnit val="4"/>
      </c:valAx>
      <c:spPr>
        <a:noFill/>
        <a:ln w="6350">
          <a:solidFill>
            <a:sysClr val="window" lastClr="FFFFFF">
              <a:lumMod val="85000"/>
            </a:sysClr>
          </a:solidFill>
        </a:ln>
      </c:spPr>
    </c:plotArea>
    <c:legend>
      <c:legendPos val="b"/>
      <c:layout>
        <c:manualLayout>
          <c:xMode val="edge"/>
          <c:yMode val="edge"/>
          <c:x val="0.48768778550407843"/>
          <c:y val="7.3834490740743525E-2"/>
          <c:w val="0.35673227969348681"/>
          <c:h val="0.15793923611111974"/>
        </c:manualLayout>
      </c:layout>
      <c:spPr>
        <a:solidFill>
          <a:sysClr val="window" lastClr="FFFFFF"/>
        </a:solidFill>
      </c:spPr>
      <c:txPr>
        <a:bodyPr/>
        <a:lstStyle/>
        <a:p>
          <a:pPr>
            <a:defRPr lang="lv-LV" sz="8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3180076628391"/>
          <c:y val="4.7330555555555563E-2"/>
          <c:w val="0.81998706896551721"/>
          <c:h val="0.83998425196852722"/>
        </c:manualLayout>
      </c:layout>
      <c:barChart>
        <c:barDir val="col"/>
        <c:grouping val="stacked"/>
        <c:ser>
          <c:idx val="1"/>
          <c:order val="0"/>
          <c:tx>
            <c:strRef>
              <c:f>Sheet1!$C$2</c:f>
              <c:strCache>
                <c:ptCount val="1"/>
                <c:pt idx="0">
                  <c:v>uz apjomu rēķina</c:v>
                </c:pt>
              </c:strCache>
            </c:strRef>
          </c:tx>
          <c:spPr>
            <a:solidFill>
              <a:sysClr val="window" lastClr="FFFFFF">
                <a:lumMod val="85000"/>
              </a:sys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Sheet1!$C$3:$C$45</c:f>
              <c:numCache>
                <c:formatCode>0.0</c:formatCode>
                <c:ptCount val="43"/>
                <c:pt idx="0">
                  <c:v>-8.4960332042726208</c:v>
                </c:pt>
                <c:pt idx="1">
                  <c:v>35.276476446226098</c:v>
                </c:pt>
                <c:pt idx="2">
                  <c:v>1.3629035566613101</c:v>
                </c:pt>
                <c:pt idx="3">
                  <c:v>99.820153288787367</c:v>
                </c:pt>
                <c:pt idx="4">
                  <c:v>-6.0195614989920134</c:v>
                </c:pt>
                <c:pt idx="5">
                  <c:v>31.151485905954395</c:v>
                </c:pt>
                <c:pt idx="6">
                  <c:v>-0.97163248707841166</c:v>
                </c:pt>
                <c:pt idx="7">
                  <c:v>5.0359600470529475</c:v>
                </c:pt>
                <c:pt idx="8">
                  <c:v>14.651879204845002</c:v>
                </c:pt>
                <c:pt idx="9">
                  <c:v>-26.22793154580674</c:v>
                </c:pt>
                <c:pt idx="10">
                  <c:v>12.591919022095968</c:v>
                </c:pt>
                <c:pt idx="11">
                  <c:v>1.4608295694833231</c:v>
                </c:pt>
                <c:pt idx="12">
                  <c:v>-27.144342590791705</c:v>
                </c:pt>
                <c:pt idx="13">
                  <c:v>-48.285518822536829</c:v>
                </c:pt>
                <c:pt idx="14">
                  <c:v>-37.452879039318347</c:v>
                </c:pt>
                <c:pt idx="15">
                  <c:v>-64.668098856235716</c:v>
                </c:pt>
                <c:pt idx="16">
                  <c:v>-46.418549582860344</c:v>
                </c:pt>
                <c:pt idx="17">
                  <c:v>-68.764589728618134</c:v>
                </c:pt>
                <c:pt idx="18">
                  <c:v>-51.308308663817165</c:v>
                </c:pt>
                <c:pt idx="19">
                  <c:v>-49.375492652000176</c:v>
                </c:pt>
                <c:pt idx="20">
                  <c:v>-32.681137953843745</c:v>
                </c:pt>
                <c:pt idx="21">
                  <c:v>-47.594665504102345</c:v>
                </c:pt>
                <c:pt idx="22">
                  <c:v>-52.721088852215104</c:v>
                </c:pt>
                <c:pt idx="23">
                  <c:v>-25.295392818097589</c:v>
                </c:pt>
                <c:pt idx="24">
                  <c:v>-9.1318860131380727E-2</c:v>
                </c:pt>
                <c:pt idx="25">
                  <c:v>-2.4315302178945482</c:v>
                </c:pt>
                <c:pt idx="26">
                  <c:v>5.1221445510209778</c:v>
                </c:pt>
                <c:pt idx="27">
                  <c:v>20.461723380540747</c:v>
                </c:pt>
                <c:pt idx="28">
                  <c:v>13.36528292876158</c:v>
                </c:pt>
                <c:pt idx="29">
                  <c:v>69.379462481436448</c:v>
                </c:pt>
                <c:pt idx="30">
                  <c:v>39.191486514238413</c:v>
                </c:pt>
                <c:pt idx="31">
                  <c:v>10.558010655028626</c:v>
                </c:pt>
                <c:pt idx="32">
                  <c:v>43.200318471816757</c:v>
                </c:pt>
                <c:pt idx="33">
                  <c:v>84.355462315979537</c:v>
                </c:pt>
                <c:pt idx="34">
                  <c:v>29.745166406584229</c:v>
                </c:pt>
                <c:pt idx="35">
                  <c:v>17.386189278102837</c:v>
                </c:pt>
                <c:pt idx="36">
                  <c:v>68.799906643464411</c:v>
                </c:pt>
                <c:pt idx="37">
                  <c:v>36.348505298399289</c:v>
                </c:pt>
                <c:pt idx="38" formatCode="General">
                  <c:v>8.6483878628978168</c:v>
                </c:pt>
                <c:pt idx="39" formatCode="General">
                  <c:v>122.01995191353268</c:v>
                </c:pt>
                <c:pt idx="40" formatCode="General">
                  <c:v>83.828959502753776</c:v>
                </c:pt>
                <c:pt idx="41" formatCode="General">
                  <c:v>56.514792736301388</c:v>
                </c:pt>
                <c:pt idx="42" formatCode="General">
                  <c:v>67.175119778844078</c:v>
                </c:pt>
              </c:numCache>
            </c:numRef>
          </c:val>
        </c:ser>
        <c:ser>
          <c:idx val="0"/>
          <c:order val="1"/>
          <c:tx>
            <c:strRef>
              <c:f>Sheet1!$D$2</c:f>
              <c:strCache>
                <c:ptCount val="1"/>
                <c:pt idx="0">
                  <c:v>uz cenu rēķina</c:v>
                </c:pt>
              </c:strCache>
            </c:strRef>
          </c:tx>
          <c:spPr>
            <a:solidFill>
              <a:srgbClr val="EEECE1">
                <a:lumMod val="50000"/>
              </a:srgbClr>
            </a:solidFill>
            <a:ln w="6350">
              <a:solidFill>
                <a:sysClr val="windowText" lastClr="000000">
                  <a:lumMod val="65000"/>
                  <a:lumOff val="35000"/>
                </a:sysClr>
              </a:solidFill>
              <a:prstDash val="solid"/>
              <a:round/>
            </a:ln>
          </c:spP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Sheet1!$D$3:$D$45</c:f>
              <c:numCache>
                <c:formatCode>0.0</c:formatCode>
                <c:ptCount val="43"/>
                <c:pt idx="0">
                  <c:v>8.7579460126537896</c:v>
                </c:pt>
                <c:pt idx="1">
                  <c:v>12.573370121515293</c:v>
                </c:pt>
                <c:pt idx="2">
                  <c:v>13.365845282308108</c:v>
                </c:pt>
                <c:pt idx="3">
                  <c:v>34.744436804484863</c:v>
                </c:pt>
                <c:pt idx="4">
                  <c:v>15.229864357752264</c:v>
                </c:pt>
                <c:pt idx="5">
                  <c:v>20.833696376235427</c:v>
                </c:pt>
                <c:pt idx="6">
                  <c:v>15.33557519979955</c:v>
                </c:pt>
                <c:pt idx="7">
                  <c:v>15.789200639751115</c:v>
                </c:pt>
                <c:pt idx="8">
                  <c:v>16.802075686024892</c:v>
                </c:pt>
                <c:pt idx="9">
                  <c:v>11.31309678092102</c:v>
                </c:pt>
                <c:pt idx="10">
                  <c:v>15.08347647115086</c:v>
                </c:pt>
                <c:pt idx="11">
                  <c:v>13.791331025637509</c:v>
                </c:pt>
                <c:pt idx="12">
                  <c:v>6.4507023639924084</c:v>
                </c:pt>
                <c:pt idx="13">
                  <c:v>4.8826225793128089</c:v>
                </c:pt>
                <c:pt idx="14">
                  <c:v>2.5680947032516612</c:v>
                </c:pt>
                <c:pt idx="15">
                  <c:v>0.20708183787040568</c:v>
                </c:pt>
                <c:pt idx="16">
                  <c:v>-4.1986736166492726E-2</c:v>
                </c:pt>
                <c:pt idx="17">
                  <c:v>-1.3154073244455502</c:v>
                </c:pt>
                <c:pt idx="18">
                  <c:v>-2.6569051687998178</c:v>
                </c:pt>
                <c:pt idx="19">
                  <c:v>-3.2209571703660802</c:v>
                </c:pt>
                <c:pt idx="20">
                  <c:v>-4.0729725209391461</c:v>
                </c:pt>
                <c:pt idx="21">
                  <c:v>-2.9366032100733377</c:v>
                </c:pt>
                <c:pt idx="22">
                  <c:v>-2.7729338309360116</c:v>
                </c:pt>
                <c:pt idx="23">
                  <c:v>-5.3931560466605255</c:v>
                </c:pt>
                <c:pt idx="24">
                  <c:v>-9.0527179345983768</c:v>
                </c:pt>
                <c:pt idx="25">
                  <c:v>-8.3087701890110939</c:v>
                </c:pt>
                <c:pt idx="26">
                  <c:v>-8.7772415406025459</c:v>
                </c:pt>
                <c:pt idx="27">
                  <c:v>-9.7511823237062227</c:v>
                </c:pt>
                <c:pt idx="28">
                  <c:v>-6.3557787898623594</c:v>
                </c:pt>
                <c:pt idx="29">
                  <c:v>-3.9508089746444583</c:v>
                </c:pt>
                <c:pt idx="30">
                  <c:v>-1.4036729196579358</c:v>
                </c:pt>
                <c:pt idx="31">
                  <c:v>-0.93892791221361771</c:v>
                </c:pt>
                <c:pt idx="32">
                  <c:v>-0.10115095319548555</c:v>
                </c:pt>
                <c:pt idx="33">
                  <c:v>-1.5126980658417088</c:v>
                </c:pt>
                <c:pt idx="34">
                  <c:v>-0.29936999719905449</c:v>
                </c:pt>
                <c:pt idx="35">
                  <c:v>-0.62799642947041712</c:v>
                </c:pt>
                <c:pt idx="36">
                  <c:v>-4.5416625922030635E-2</c:v>
                </c:pt>
                <c:pt idx="37">
                  <c:v>3.8822422862550567</c:v>
                </c:pt>
                <c:pt idx="38" formatCode="General">
                  <c:v>2.9515643416665682</c:v>
                </c:pt>
                <c:pt idx="39" formatCode="General">
                  <c:v>5.0428399909820882</c:v>
                </c:pt>
                <c:pt idx="40" formatCode="General">
                  <c:v>2.7099370094522612</c:v>
                </c:pt>
                <c:pt idx="41" formatCode="General">
                  <c:v>2.2014067179283412</c:v>
                </c:pt>
                <c:pt idx="42" formatCode="General">
                  <c:v>2.6194502634806427</c:v>
                </c:pt>
              </c:numCache>
            </c:numRef>
          </c:val>
        </c:ser>
        <c:gapWidth val="48"/>
        <c:overlap val="100"/>
        <c:axId val="153988096"/>
        <c:axId val="153998848"/>
      </c:barChart>
      <c:lineChart>
        <c:grouping val="standard"/>
        <c:ser>
          <c:idx val="2"/>
          <c:order val="2"/>
          <c:tx>
            <c:strRef>
              <c:f>Sheet1!$E$2</c:f>
              <c:strCache>
                <c:ptCount val="1"/>
                <c:pt idx="0">
                  <c:v>kopā</c:v>
                </c:pt>
              </c:strCache>
            </c:strRef>
          </c:tx>
          <c:spPr>
            <a:ln w="31750">
              <a:solidFill>
                <a:srgbClr val="FF0000"/>
              </a:solidFill>
            </a:ln>
          </c:spPr>
          <c:marker>
            <c:symbol val="diamond"/>
            <c:size val="7"/>
            <c:spPr>
              <a:solidFill>
                <a:sysClr val="window" lastClr="FFFFFF"/>
              </a:solidFill>
              <a:ln w="6350">
                <a:solidFill>
                  <a:sysClr val="windowText" lastClr="000000"/>
                </a:solidFill>
              </a:ln>
            </c:spPr>
          </c:marker>
          <c:cat>
            <c:multiLvlStrRef>
              <c:f>Sheet1!$A$3:$B$45</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Sheet1!$E$3:$E$45</c:f>
              <c:numCache>
                <c:formatCode>0.0</c:formatCode>
                <c:ptCount val="43"/>
                <c:pt idx="0">
                  <c:v>0.26191280838116882</c:v>
                </c:pt>
                <c:pt idx="1">
                  <c:v>47.849846567740961</c:v>
                </c:pt>
                <c:pt idx="2">
                  <c:v>14.728748838969352</c:v>
                </c:pt>
                <c:pt idx="3">
                  <c:v>134.56459009327151</c:v>
                </c:pt>
                <c:pt idx="4">
                  <c:v>9.2103028587602598</c:v>
                </c:pt>
                <c:pt idx="5">
                  <c:v>51.98518228219001</c:v>
                </c:pt>
                <c:pt idx="6">
                  <c:v>14.363942712721174</c:v>
                </c:pt>
                <c:pt idx="7">
                  <c:v>20.825160686804068</c:v>
                </c:pt>
                <c:pt idx="8">
                  <c:v>31.453954890869881</c:v>
                </c:pt>
                <c:pt idx="9">
                  <c:v>-14.914834764885725</c:v>
                </c:pt>
                <c:pt idx="10">
                  <c:v>27.675395493246924</c:v>
                </c:pt>
                <c:pt idx="11">
                  <c:v>15.252160595120884</c:v>
                </c:pt>
                <c:pt idx="12">
                  <c:v>-20.693640226799403</c:v>
                </c:pt>
                <c:pt idx="13">
                  <c:v>-43.402896243223779</c:v>
                </c:pt>
                <c:pt idx="14">
                  <c:v>-34.884784336066794</c:v>
                </c:pt>
                <c:pt idx="15">
                  <c:v>-64.461017018365936</c:v>
                </c:pt>
                <c:pt idx="16">
                  <c:v>-46.46053631902705</c:v>
                </c:pt>
                <c:pt idx="17">
                  <c:v>-70.079997053062797</c:v>
                </c:pt>
                <c:pt idx="18">
                  <c:v>-53.965213832617152</c:v>
                </c:pt>
                <c:pt idx="19">
                  <c:v>-52.596449822366246</c:v>
                </c:pt>
                <c:pt idx="20">
                  <c:v>-36.754110474782934</c:v>
                </c:pt>
                <c:pt idx="21">
                  <c:v>-50.531268714175908</c:v>
                </c:pt>
                <c:pt idx="22">
                  <c:v>-55.494022683151123</c:v>
                </c:pt>
                <c:pt idx="23">
                  <c:v>-30.688548864758129</c:v>
                </c:pt>
                <c:pt idx="24">
                  <c:v>-9.144036794729729</c:v>
                </c:pt>
                <c:pt idx="25">
                  <c:v>-10.740300406905668</c:v>
                </c:pt>
                <c:pt idx="26">
                  <c:v>-3.6550969895815371</c:v>
                </c:pt>
                <c:pt idx="27">
                  <c:v>10.710541056834671</c:v>
                </c:pt>
                <c:pt idx="28">
                  <c:v>7.0095041388991763</c:v>
                </c:pt>
                <c:pt idx="29">
                  <c:v>65.428653506791989</c:v>
                </c:pt>
                <c:pt idx="30">
                  <c:v>37.787813594580655</c:v>
                </c:pt>
                <c:pt idx="31">
                  <c:v>9.6190827428149976</c:v>
                </c:pt>
                <c:pt idx="32">
                  <c:v>43.099167518621272</c:v>
                </c:pt>
                <c:pt idx="33">
                  <c:v>82.842764250138373</c:v>
                </c:pt>
                <c:pt idx="34">
                  <c:v>29.445796409385043</c:v>
                </c:pt>
                <c:pt idx="35">
                  <c:v>16.758192848632529</c:v>
                </c:pt>
                <c:pt idx="36">
                  <c:v>68.754490017542381</c:v>
                </c:pt>
                <c:pt idx="37">
                  <c:v>40.230747584654345</c:v>
                </c:pt>
                <c:pt idx="38" formatCode="General">
                  <c:v>11.599952204564454</c:v>
                </c:pt>
                <c:pt idx="39" formatCode="General">
                  <c:v>127.06279190451446</c:v>
                </c:pt>
                <c:pt idx="40" formatCode="General">
                  <c:v>86.538896512206037</c:v>
                </c:pt>
                <c:pt idx="41" formatCode="General">
                  <c:v>58.716199454229731</c:v>
                </c:pt>
                <c:pt idx="42" formatCode="General">
                  <c:v>69.794570042324779</c:v>
                </c:pt>
              </c:numCache>
            </c:numRef>
          </c:val>
        </c:ser>
        <c:marker val="1"/>
        <c:axId val="153988096"/>
        <c:axId val="153998848"/>
      </c:lineChart>
      <c:catAx>
        <c:axId val="153988096"/>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998848"/>
        <c:crosses val="autoZero"/>
        <c:auto val="1"/>
        <c:lblAlgn val="ctr"/>
        <c:lblOffset val="0"/>
        <c:tickLblSkip val="2"/>
        <c:tickMarkSkip val="1"/>
        <c:noMultiLvlLbl val="1"/>
      </c:catAx>
      <c:valAx>
        <c:axId val="153998848"/>
        <c:scaling>
          <c:orientation val="minMax"/>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988096"/>
        <c:crosses val="autoZero"/>
        <c:crossBetween val="between"/>
      </c:valAx>
      <c:spPr>
        <a:noFill/>
        <a:ln w="6350">
          <a:solidFill>
            <a:sysClr val="window" lastClr="FFFFFF">
              <a:lumMod val="85000"/>
            </a:sysClr>
          </a:solidFill>
        </a:ln>
      </c:spPr>
    </c:plotArea>
    <c:legend>
      <c:legendPos val="b"/>
      <c:layout>
        <c:manualLayout>
          <c:xMode val="edge"/>
          <c:yMode val="edge"/>
          <c:x val="0.23056690896177526"/>
          <c:y val="6.7276620370370382E-2"/>
          <c:w val="0.50984081278733062"/>
          <c:h val="0.194484374999999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4728997290229"/>
          <c:y val="2.2536324786326115E-2"/>
          <c:w val="0.87337771002710063"/>
          <c:h val="0.84297606837606842"/>
        </c:manualLayout>
      </c:layout>
      <c:lineChart>
        <c:grouping val="standard"/>
        <c:ser>
          <c:idx val="1"/>
          <c:order val="0"/>
          <c:tx>
            <c:strRef>
              <c:f>Sheet1!$C$3</c:f>
              <c:strCache>
                <c:ptCount val="1"/>
                <c:pt idx="0">
                  <c:v>Kopā</c:v>
                </c:pt>
              </c:strCache>
            </c:strRef>
          </c:tx>
          <c:spPr>
            <a:ln w="31750">
              <a:solidFill>
                <a:srgbClr val="FF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Sheet1!$C$4:$C$46</c:f>
              <c:numCache>
                <c:formatCode>0.0</c:formatCode>
                <c:ptCount val="43"/>
                <c:pt idx="0">
                  <c:v>102.50390015600593</c:v>
                </c:pt>
                <c:pt idx="1">
                  <c:v>102.47269890795603</c:v>
                </c:pt>
                <c:pt idx="2">
                  <c:v>107.66770670826834</c:v>
                </c:pt>
                <c:pt idx="3">
                  <c:v>111.34945397815913</c:v>
                </c:pt>
                <c:pt idx="4">
                  <c:v>111.48205928237132</c:v>
                </c:pt>
                <c:pt idx="5">
                  <c:v>111.63026521060844</c:v>
                </c:pt>
                <c:pt idx="6">
                  <c:v>112.0826833073323</c:v>
                </c:pt>
                <c:pt idx="7">
                  <c:v>113.63494539781594</c:v>
                </c:pt>
                <c:pt idx="8">
                  <c:v>114.07956318252731</c:v>
                </c:pt>
                <c:pt idx="9">
                  <c:v>113.75975039001563</c:v>
                </c:pt>
                <c:pt idx="10">
                  <c:v>112.95631825272962</c:v>
                </c:pt>
                <c:pt idx="11">
                  <c:v>113.46333853354081</c:v>
                </c:pt>
                <c:pt idx="12">
                  <c:v>112.3088923556936</c:v>
                </c:pt>
                <c:pt idx="13">
                  <c:v>112.77691107644277</c:v>
                </c:pt>
                <c:pt idx="14">
                  <c:v>113.1045241809676</c:v>
                </c:pt>
                <c:pt idx="15">
                  <c:v>113.13572542901748</c:v>
                </c:pt>
                <c:pt idx="16">
                  <c:v>111.36505460218405</c:v>
                </c:pt>
                <c:pt idx="17">
                  <c:v>107.89391575663025</c:v>
                </c:pt>
                <c:pt idx="18">
                  <c:v>106.33385335413415</c:v>
                </c:pt>
                <c:pt idx="19">
                  <c:v>106.54446177847116</c:v>
                </c:pt>
                <c:pt idx="20">
                  <c:v>107.19968798751951</c:v>
                </c:pt>
                <c:pt idx="21">
                  <c:v>107.65990639625535</c:v>
                </c:pt>
                <c:pt idx="22">
                  <c:v>106.85647425897038</c:v>
                </c:pt>
                <c:pt idx="23">
                  <c:v>106.11544461778416</c:v>
                </c:pt>
                <c:pt idx="24">
                  <c:v>102.97971918876756</c:v>
                </c:pt>
                <c:pt idx="25">
                  <c:v>103.97815912636506</c:v>
                </c:pt>
                <c:pt idx="26">
                  <c:v>104.09516380655225</c:v>
                </c:pt>
                <c:pt idx="27">
                  <c:v>104.52418096723869</c:v>
                </c:pt>
                <c:pt idx="28" formatCode="General">
                  <c:v>105.56942277691108</c:v>
                </c:pt>
                <c:pt idx="29" formatCode="General">
                  <c:v>105.561622464899</c:v>
                </c:pt>
                <c:pt idx="30" formatCode="General">
                  <c:v>105.12480499219939</c:v>
                </c:pt>
                <c:pt idx="31" formatCode="General">
                  <c:v>104.92199687987519</c:v>
                </c:pt>
                <c:pt idx="32" formatCode="General">
                  <c:v>106.65366614664585</c:v>
                </c:pt>
                <c:pt idx="33" formatCode="General">
                  <c:v>106.60686427457098</c:v>
                </c:pt>
                <c:pt idx="34" formatCode="General">
                  <c:v>106.39625585023403</c:v>
                </c:pt>
                <c:pt idx="35" formatCode="General">
                  <c:v>105.38221528861156</c:v>
                </c:pt>
                <c:pt idx="36" formatCode="General">
                  <c:v>102.31669266770672</c:v>
                </c:pt>
                <c:pt idx="37" formatCode="General">
                  <c:v>106.39625585023403</c:v>
                </c:pt>
                <c:pt idx="38" formatCode="General">
                  <c:v>106.48205928237132</c:v>
                </c:pt>
                <c:pt idx="39" formatCode="General">
                  <c:v>106.3728549141962</c:v>
                </c:pt>
                <c:pt idx="40" formatCode="General">
                  <c:v>106.80187207488258</c:v>
                </c:pt>
                <c:pt idx="41" formatCode="General">
                  <c:v>106.92667706708268</c:v>
                </c:pt>
                <c:pt idx="42" formatCode="General">
                  <c:v>106.89547581903244</c:v>
                </c:pt>
              </c:numCache>
            </c:numRef>
          </c:val>
        </c:ser>
        <c:ser>
          <c:idx val="0"/>
          <c:order val="1"/>
          <c:tx>
            <c:strRef>
              <c:f>Sheet1!$D$3</c:f>
              <c:strCache>
                <c:ptCount val="1"/>
                <c:pt idx="0">
                  <c:v>vietējā tirgū</c:v>
                </c:pt>
              </c:strCache>
            </c:strRef>
          </c:tx>
          <c:spPr>
            <a:ln w="12700">
              <a:solidFill>
                <a:srgbClr val="000000"/>
              </a:solidFill>
              <a:prstDash val="solid"/>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Sheet1!$D$4:$D$46</c:f>
              <c:numCache>
                <c:formatCode>0.0</c:formatCode>
                <c:ptCount val="43"/>
                <c:pt idx="0">
                  <c:v>99.032112845138073</c:v>
                </c:pt>
                <c:pt idx="1">
                  <c:v>96.946278511404458</c:v>
                </c:pt>
                <c:pt idx="2">
                  <c:v>103.15876350540215</c:v>
                </c:pt>
                <c:pt idx="3">
                  <c:v>113.03271308523409</c:v>
                </c:pt>
                <c:pt idx="4">
                  <c:v>113.44537815126016</c:v>
                </c:pt>
                <c:pt idx="5">
                  <c:v>111.32202881152385</c:v>
                </c:pt>
                <c:pt idx="6">
                  <c:v>111.32202881152385</c:v>
                </c:pt>
                <c:pt idx="7">
                  <c:v>115.68877551020341</c:v>
                </c:pt>
                <c:pt idx="8">
                  <c:v>115.15606242496995</c:v>
                </c:pt>
                <c:pt idx="9">
                  <c:v>113.40786314525849</c:v>
                </c:pt>
                <c:pt idx="10">
                  <c:v>111.71968787515004</c:v>
                </c:pt>
                <c:pt idx="11">
                  <c:v>111.71218487394955</c:v>
                </c:pt>
                <c:pt idx="12">
                  <c:v>113.44537815126017</c:v>
                </c:pt>
                <c:pt idx="13">
                  <c:v>115.46368547418966</c:v>
                </c:pt>
                <c:pt idx="14">
                  <c:v>115.46368547418966</c:v>
                </c:pt>
                <c:pt idx="15">
                  <c:v>115.59873949579831</c:v>
                </c:pt>
                <c:pt idx="16">
                  <c:v>112.687575030012</c:v>
                </c:pt>
                <c:pt idx="17">
                  <c:v>110.27911164465786</c:v>
                </c:pt>
                <c:pt idx="18">
                  <c:v>108.51590636254501</c:v>
                </c:pt>
                <c:pt idx="19">
                  <c:v>109.41626650660272</c:v>
                </c:pt>
                <c:pt idx="20">
                  <c:v>109.3937575030009</c:v>
                </c:pt>
                <c:pt idx="21">
                  <c:v>109.3937575030009</c:v>
                </c:pt>
                <c:pt idx="22">
                  <c:v>109.3937575030009</c:v>
                </c:pt>
                <c:pt idx="23">
                  <c:v>108.98859543817532</c:v>
                </c:pt>
                <c:pt idx="24">
                  <c:v>107.17286914765845</c:v>
                </c:pt>
                <c:pt idx="25">
                  <c:v>107.01530612244842</c:v>
                </c:pt>
                <c:pt idx="26">
                  <c:v>106.76770708283313</c:v>
                </c:pt>
                <c:pt idx="27">
                  <c:v>106.78271308523409</c:v>
                </c:pt>
                <c:pt idx="28" formatCode="General">
                  <c:v>108.05072028811554</c:v>
                </c:pt>
                <c:pt idx="29" formatCode="General">
                  <c:v>107.58553421368492</c:v>
                </c:pt>
                <c:pt idx="30" formatCode="General">
                  <c:v>107.0453181272505</c:v>
                </c:pt>
                <c:pt idx="31" formatCode="General">
                  <c:v>107.29291716686645</c:v>
                </c:pt>
                <c:pt idx="32" formatCode="General">
                  <c:v>107.34543817527008</c:v>
                </c:pt>
                <c:pt idx="33" formatCode="General">
                  <c:v>107.16536614645796</c:v>
                </c:pt>
                <c:pt idx="34" formatCode="General">
                  <c:v>107.16536614645796</c:v>
                </c:pt>
                <c:pt idx="35" formatCode="General">
                  <c:v>107.16536614645796</c:v>
                </c:pt>
                <c:pt idx="36" formatCode="General">
                  <c:v>103.78901560624283</c:v>
                </c:pt>
                <c:pt idx="37" formatCode="General">
                  <c:v>102.8136254501804</c:v>
                </c:pt>
                <c:pt idx="38" formatCode="General">
                  <c:v>102.20588235294063</c:v>
                </c:pt>
                <c:pt idx="39" formatCode="General">
                  <c:v>102.20588235294063</c:v>
                </c:pt>
                <c:pt idx="40" formatCode="General">
                  <c:v>102.20588235294063</c:v>
                </c:pt>
                <c:pt idx="41" formatCode="General">
                  <c:v>103.36134453781513</c:v>
                </c:pt>
                <c:pt idx="42" formatCode="General">
                  <c:v>102.8811524609844</c:v>
                </c:pt>
              </c:numCache>
            </c:numRef>
          </c:val>
        </c:ser>
        <c:ser>
          <c:idx val="2"/>
          <c:order val="2"/>
          <c:tx>
            <c:strRef>
              <c:f>Sheet1!$E$3</c:f>
              <c:strCache>
                <c:ptCount val="1"/>
                <c:pt idx="0">
                  <c:v>eksports</c:v>
                </c:pt>
              </c:strCache>
            </c:strRef>
          </c:tx>
          <c:spPr>
            <a:ln w="12700">
              <a:solidFill>
                <a:sysClr val="windowText" lastClr="000000"/>
              </a:solidFill>
              <a:prstDash val="dash"/>
            </a:ln>
          </c:spPr>
          <c:marker>
            <c:symbol val="none"/>
          </c:marker>
          <c:cat>
            <c:multiLvlStrRef>
              <c:f>Sheet1!$A$4:$B$46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Sheet1!$E$4:$E$46</c:f>
              <c:numCache>
                <c:formatCode>0.0</c:formatCode>
                <c:ptCount val="43"/>
                <c:pt idx="0">
                  <c:v>103.87699493966525</c:v>
                </c:pt>
                <c:pt idx="1">
                  <c:v>104.65550797975834</c:v>
                </c:pt>
                <c:pt idx="2">
                  <c:v>109.45893343713507</c:v>
                </c:pt>
                <c:pt idx="3">
                  <c:v>110.68119891008119</c:v>
                </c:pt>
                <c:pt idx="4">
                  <c:v>110.69676917088329</c:v>
                </c:pt>
                <c:pt idx="5">
                  <c:v>111.75554690541067</c:v>
                </c:pt>
                <c:pt idx="6">
                  <c:v>112.3783573374843</c:v>
                </c:pt>
                <c:pt idx="7">
                  <c:v>112.82210977033863</c:v>
                </c:pt>
                <c:pt idx="8">
                  <c:v>113.64733359283767</c:v>
                </c:pt>
                <c:pt idx="9">
                  <c:v>113.89645776566759</c:v>
                </c:pt>
                <c:pt idx="10">
                  <c:v>113.43713507201252</c:v>
                </c:pt>
                <c:pt idx="11">
                  <c:v>114.15336706889838</c:v>
                </c:pt>
                <c:pt idx="12">
                  <c:v>112.13701829505641</c:v>
                </c:pt>
                <c:pt idx="13">
                  <c:v>112.13701829505641</c:v>
                </c:pt>
                <c:pt idx="14">
                  <c:v>112.56520046710811</c:v>
                </c:pt>
                <c:pt idx="15">
                  <c:v>112.56520046710811</c:v>
                </c:pt>
                <c:pt idx="16">
                  <c:v>111.1327364733356</c:v>
                </c:pt>
                <c:pt idx="17">
                  <c:v>107.34137796808095</c:v>
                </c:pt>
                <c:pt idx="18">
                  <c:v>105.83884780070012</c:v>
                </c:pt>
                <c:pt idx="19">
                  <c:v>105.83884780070012</c:v>
                </c:pt>
                <c:pt idx="20">
                  <c:v>106.69521214480341</c:v>
                </c:pt>
                <c:pt idx="21">
                  <c:v>107.30245231607567</c:v>
                </c:pt>
                <c:pt idx="22">
                  <c:v>106.25924484235111</c:v>
                </c:pt>
                <c:pt idx="23">
                  <c:v>105.41845075905022</c:v>
                </c:pt>
                <c:pt idx="24">
                  <c:v>101.88400155702575</c:v>
                </c:pt>
                <c:pt idx="25">
                  <c:v>103.22304398598676</c:v>
                </c:pt>
                <c:pt idx="26">
                  <c:v>103.45659789801478</c:v>
                </c:pt>
                <c:pt idx="27">
                  <c:v>104.00155702608018</c:v>
                </c:pt>
                <c:pt idx="28" formatCode="General">
                  <c:v>104.98248345659788</c:v>
                </c:pt>
                <c:pt idx="29" formatCode="General">
                  <c:v>105.10704554301283</c:v>
                </c:pt>
                <c:pt idx="30" formatCode="General">
                  <c:v>104.70221876216425</c:v>
                </c:pt>
                <c:pt idx="31" formatCode="General">
                  <c:v>104.35967302452315</c:v>
                </c:pt>
                <c:pt idx="32" formatCode="General">
                  <c:v>106.58622031919033</c:v>
                </c:pt>
                <c:pt idx="33" formatCode="General">
                  <c:v>106.58622031919033</c:v>
                </c:pt>
                <c:pt idx="34" formatCode="General">
                  <c:v>106.31374075515764</c:v>
                </c:pt>
                <c:pt idx="35" formatCode="General">
                  <c:v>104.99026858699882</c:v>
                </c:pt>
                <c:pt idx="36" formatCode="General">
                  <c:v>101.98520825223821</c:v>
                </c:pt>
                <c:pt idx="37" formatCode="General">
                  <c:v>106.83534449201991</c:v>
                </c:pt>
                <c:pt idx="38" formatCode="General">
                  <c:v>107.03775788244417</c:v>
                </c:pt>
                <c:pt idx="39" formatCode="General">
                  <c:v>106.91319579602958</c:v>
                </c:pt>
                <c:pt idx="40" formatCode="General">
                  <c:v>107.40365901128852</c:v>
                </c:pt>
                <c:pt idx="41" formatCode="General">
                  <c:v>107.37251848968428</c:v>
                </c:pt>
                <c:pt idx="42" formatCode="General">
                  <c:v>107.40365901128852</c:v>
                </c:pt>
              </c:numCache>
            </c:numRef>
          </c:val>
        </c:ser>
        <c:marker val="1"/>
        <c:axId val="153845120"/>
        <c:axId val="154023040"/>
      </c:lineChart>
      <c:catAx>
        <c:axId val="153845120"/>
        <c:scaling>
          <c:orientation val="minMax"/>
        </c:scaling>
        <c:axPos val="b"/>
        <c:majorGridlines>
          <c:spPr>
            <a:ln>
              <a:solidFill>
                <a:sysClr val="window" lastClr="FFFFFF">
                  <a:lumMod val="85000"/>
                </a:sysClr>
              </a:solidFill>
            </a:ln>
          </c:spPr>
        </c:majorGridlines>
        <c:numFmt formatCode="General" sourceLinked="1"/>
        <c:majorTickMark val="none"/>
        <c:tickLblPos val="nextTo"/>
        <c:spPr>
          <a:solidFill>
            <a:sysClr val="window" lastClr="FFFFFF"/>
          </a:solidFill>
          <a:ln w="6350">
            <a:solidFill>
              <a:sysClr val="windowText" lastClr="000000"/>
            </a:solidFill>
            <a:prstDash val="solid"/>
          </a:ln>
        </c:spPr>
        <c:txPr>
          <a:bodyPr rot="0" vert="horz"/>
          <a:lstStyle/>
          <a:p>
            <a:pPr>
              <a:defRPr lang="lv-LV" sz="550" b="0" i="0" u="none" strike="noStrike" baseline="0">
                <a:solidFill>
                  <a:srgbClr val="000000"/>
                </a:solidFill>
                <a:latin typeface="Arial" pitchFamily="34" charset="0"/>
                <a:ea typeface="Times New Roman"/>
                <a:cs typeface="Arial" pitchFamily="34" charset="0"/>
              </a:defRPr>
            </a:pPr>
            <a:endParaRPr lang="lv-LV"/>
          </a:p>
        </c:txPr>
        <c:crossAx val="154023040"/>
        <c:crosses val="autoZero"/>
        <c:auto val="1"/>
        <c:lblAlgn val="ctr"/>
        <c:lblOffset val="0"/>
        <c:tickLblSkip val="2"/>
        <c:tickMarkSkip val="1"/>
        <c:noMultiLvlLbl val="1"/>
      </c:catAx>
      <c:valAx>
        <c:axId val="154023040"/>
        <c:scaling>
          <c:orientation val="minMax"/>
          <c:max val="116"/>
          <c:min val="95"/>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3845120"/>
        <c:crosses val="autoZero"/>
        <c:crossBetween val="between"/>
        <c:majorUnit val="3"/>
      </c:valAx>
      <c:spPr>
        <a:noFill/>
        <a:ln w="6350">
          <a:solidFill>
            <a:sysClr val="window" lastClr="FFFFFF">
              <a:lumMod val="85000"/>
            </a:sysClr>
          </a:solidFill>
        </a:ln>
      </c:spPr>
    </c:plotArea>
    <c:legend>
      <c:legendPos val="b"/>
      <c:layout>
        <c:manualLayout>
          <c:xMode val="edge"/>
          <c:yMode val="edge"/>
          <c:x val="0.25069963123228722"/>
          <c:y val="0.61823090277777781"/>
          <c:w val="0.45080477616355763"/>
          <c:h val="0.18328819444445199"/>
        </c:manualLayout>
      </c:layout>
      <c:spPr>
        <a:solidFill>
          <a:sysClr val="window" lastClr="FFFFFF"/>
        </a:solidFill>
      </c:spPr>
      <c:txPr>
        <a:bodyPr/>
        <a:lstStyle/>
        <a:p>
          <a:pPr>
            <a:defRPr lang="lv-LV" sz="700" b="0">
              <a:latin typeface="Arial" pitchFamily="34" charset="0"/>
              <a:cs typeface="Arial" pitchFamily="34"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85153256704991"/>
          <c:y val="2.7980535279805412E-2"/>
          <c:w val="0.81271072796934851"/>
          <c:h val="0.83373364914751513"/>
        </c:manualLayout>
      </c:layout>
      <c:lineChart>
        <c:grouping val="standard"/>
        <c:ser>
          <c:idx val="1"/>
          <c:order val="0"/>
          <c:spPr>
            <a:ln w="31750">
              <a:solidFill>
                <a:srgbClr val="FF0000"/>
              </a:solidFill>
              <a:prstDash val="solid"/>
            </a:ln>
          </c:spPr>
          <c:marker>
            <c:symbol val="none"/>
          </c:marker>
          <c:cat>
            <c:multiLvlStrRef>
              <c:f>Sheet1!$A$14:$B$56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2008</c:v>
                  </c:pt>
                  <c:pt idx="12">
                    <c:v>2009</c:v>
                  </c:pt>
                  <c:pt idx="24">
                    <c:v>2010</c:v>
                  </c:pt>
                  <c:pt idx="36">
                    <c:v>2011</c:v>
                  </c:pt>
                </c:lvl>
              </c:multiLvlStrCache>
            </c:multiLvlStrRef>
          </c:cat>
          <c:val>
            <c:numRef>
              <c:f>Sheet1!$C$14:$C$56</c:f>
              <c:numCache>
                <c:formatCode>0.0</c:formatCode>
                <c:ptCount val="43"/>
                <c:pt idx="0">
                  <c:v>-5.7710126261792327</c:v>
                </c:pt>
                <c:pt idx="1">
                  <c:v>-2.1037485972818439</c:v>
                </c:pt>
                <c:pt idx="2">
                  <c:v>-22.387413349519584</c:v>
                </c:pt>
                <c:pt idx="3">
                  <c:v>9.2952912537304186</c:v>
                </c:pt>
                <c:pt idx="4">
                  <c:v>-11.152080178590976</c:v>
                </c:pt>
                <c:pt idx="5">
                  <c:v>-8.7504316703721408</c:v>
                </c:pt>
                <c:pt idx="6">
                  <c:v>-12.350759762892517</c:v>
                </c:pt>
                <c:pt idx="7">
                  <c:v>-10.810747192228011</c:v>
                </c:pt>
                <c:pt idx="8">
                  <c:v>1.757628915662645</c:v>
                </c:pt>
                <c:pt idx="9">
                  <c:v>-21.745277933836519</c:v>
                </c:pt>
                <c:pt idx="10">
                  <c:v>-19.493753187149416</c:v>
                </c:pt>
                <c:pt idx="11">
                  <c:v>-25.127722233882189</c:v>
                </c:pt>
                <c:pt idx="12">
                  <c:v>-40.416447939334844</c:v>
                </c:pt>
                <c:pt idx="13">
                  <c:v>-42.777993050091801</c:v>
                </c:pt>
                <c:pt idx="14">
                  <c:v>-41.372703751616818</c:v>
                </c:pt>
                <c:pt idx="15">
                  <c:v>-31.685748336478202</c:v>
                </c:pt>
                <c:pt idx="16">
                  <c:v>-26.39312390659466</c:v>
                </c:pt>
                <c:pt idx="17">
                  <c:v>-23.781818678019761</c:v>
                </c:pt>
                <c:pt idx="18">
                  <c:v>-25.840005877934882</c:v>
                </c:pt>
                <c:pt idx="19">
                  <c:v>-35.695951066095461</c:v>
                </c:pt>
                <c:pt idx="20">
                  <c:v>-35.530209001153992</c:v>
                </c:pt>
                <c:pt idx="21">
                  <c:v>-34.916209630975061</c:v>
                </c:pt>
                <c:pt idx="22">
                  <c:v>-9.4230967426194354</c:v>
                </c:pt>
                <c:pt idx="23">
                  <c:v>-13.698070083537752</c:v>
                </c:pt>
                <c:pt idx="24">
                  <c:v>-13.688495301882497</c:v>
                </c:pt>
                <c:pt idx="25">
                  <c:v>-7.1033192750886727</c:v>
                </c:pt>
                <c:pt idx="26">
                  <c:v>-0.7802812379607037</c:v>
                </c:pt>
                <c:pt idx="27">
                  <c:v>3.3804023802776988</c:v>
                </c:pt>
                <c:pt idx="28">
                  <c:v>1.9772232809274204</c:v>
                </c:pt>
                <c:pt idx="29">
                  <c:v>0.9347195346352466</c:v>
                </c:pt>
                <c:pt idx="30">
                  <c:v>6.9040367995539444</c:v>
                </c:pt>
                <c:pt idx="31">
                  <c:v>-1.1333357162643978</c:v>
                </c:pt>
                <c:pt idx="32">
                  <c:v>-5.9583359170837555</c:v>
                </c:pt>
                <c:pt idx="33">
                  <c:v>-18.712322592536619</c:v>
                </c:pt>
                <c:pt idx="34">
                  <c:v>-20.822978847336227</c:v>
                </c:pt>
                <c:pt idx="35">
                  <c:v>-7.2427115419459778</c:v>
                </c:pt>
                <c:pt idx="36">
                  <c:v>-16.81678310300294</c:v>
                </c:pt>
                <c:pt idx="37" formatCode="General">
                  <c:v>-4.7594389317652785</c:v>
                </c:pt>
                <c:pt idx="38" formatCode="General">
                  <c:v>6.6405985287561275</c:v>
                </c:pt>
                <c:pt idx="39" formatCode="General">
                  <c:v>-14.19028475195876</c:v>
                </c:pt>
                <c:pt idx="40" formatCode="General">
                  <c:v>-7.2283299827571401</c:v>
                </c:pt>
                <c:pt idx="41" formatCode="General">
                  <c:v>-2.2345095738760281</c:v>
                </c:pt>
                <c:pt idx="42" formatCode="General">
                  <c:v>2.7868737185304808</c:v>
                </c:pt>
              </c:numCache>
            </c:numRef>
          </c:val>
        </c:ser>
        <c:marker val="1"/>
        <c:axId val="154198784"/>
        <c:axId val="154200320"/>
      </c:lineChart>
      <c:catAx>
        <c:axId val="154198784"/>
        <c:scaling>
          <c:orientation val="minMax"/>
        </c:scaling>
        <c:axPos val="b"/>
        <c:majorGridlines>
          <c:spPr>
            <a:ln>
              <a:solidFill>
                <a:sysClr val="window" lastClr="FFFFFF">
                  <a:lumMod val="85000"/>
                </a:sysClr>
              </a:solidFill>
            </a:ln>
          </c:spPr>
        </c:majorGridlines>
        <c:numFmt formatCode="General" sourceLinked="1"/>
        <c:majorTickMark val="none"/>
        <c:tickLblPos val="low"/>
        <c:spPr>
          <a:solidFill>
            <a:sysClr val="window" lastClr="FFFFFF"/>
          </a:solidFill>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4200320"/>
        <c:crosses val="autoZero"/>
        <c:auto val="1"/>
        <c:lblAlgn val="ctr"/>
        <c:lblOffset val="0"/>
        <c:tickLblSkip val="2"/>
        <c:tickMarkSkip val="1"/>
        <c:noMultiLvlLbl val="1"/>
      </c:catAx>
      <c:valAx>
        <c:axId val="154200320"/>
        <c:scaling>
          <c:orientation val="minMax"/>
          <c:max val="10"/>
          <c:min val="-5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4198784"/>
        <c:crossesAt val="1"/>
        <c:crossBetween val="between"/>
      </c:valAx>
      <c:spPr>
        <a:noFill/>
        <a:ln w="6350">
          <a:solidFill>
            <a:sysClr val="window" lastClr="FFFFFF">
              <a:lumMod val="85000"/>
            </a:sysClr>
          </a:solid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3337"/>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100.8</c:v>
                </c:pt>
                <c:pt idx="1">
                  <c:v>101.80799999999999</c:v>
                </c:pt>
                <c:pt idx="2">
                  <c:v>102.62246399999998</c:v>
                </c:pt>
                <c:pt idx="3">
                  <c:v>103.44344371199999</c:v>
                </c:pt>
                <c:pt idx="4">
                  <c:v>104.47787814911995</c:v>
                </c:pt>
                <c:pt idx="5">
                  <c:v>104.89578966171646</c:v>
                </c:pt>
                <c:pt idx="6">
                  <c:v>105.73495597901041</c:v>
                </c:pt>
                <c:pt idx="7">
                  <c:v>106.26363075890526</c:v>
                </c:pt>
                <c:pt idx="8">
                  <c:v>106.58242165118195</c:v>
                </c:pt>
                <c:pt idx="9">
                  <c:v>106.2626743862284</c:v>
                </c:pt>
                <c:pt idx="10">
                  <c:v>105.94388636306971</c:v>
                </c:pt>
                <c:pt idx="11">
                  <c:v>104.14284029489751</c:v>
                </c:pt>
                <c:pt idx="12">
                  <c:v>101.95584064870468</c:v>
                </c:pt>
                <c:pt idx="13">
                  <c:v>100.93628224221776</c:v>
                </c:pt>
                <c:pt idx="14">
                  <c:v>101.03721852445975</c:v>
                </c:pt>
                <c:pt idx="15">
                  <c:v>101.13825574298416</c:v>
                </c:pt>
                <c:pt idx="16">
                  <c:v>101.84622353318522</c:v>
                </c:pt>
                <c:pt idx="17">
                  <c:v>102.66099332145065</c:v>
                </c:pt>
                <c:pt idx="18">
                  <c:v>103.07163729473645</c:v>
                </c:pt>
                <c:pt idx="19" formatCode="General">
                  <c:v>103.27778056932593</c:v>
                </c:pt>
                <c:pt idx="20" formatCode="General">
                  <c:v>103.69089169160323</c:v>
                </c:pt>
                <c:pt idx="21" formatCode="General">
                  <c:v>103.79458258329481</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105.80000000000001</c:v>
                </c:pt>
                <c:pt idx="1">
                  <c:v>107.70440000000002</c:v>
                </c:pt>
                <c:pt idx="2">
                  <c:v>112.22798480000002</c:v>
                </c:pt>
                <c:pt idx="3">
                  <c:v>116.49264822240001</c:v>
                </c:pt>
                <c:pt idx="4">
                  <c:v>121.03586150307358</c:v>
                </c:pt>
                <c:pt idx="5">
                  <c:v>120.9148256415708</c:v>
                </c:pt>
                <c:pt idx="6">
                  <c:v>120.31025151336269</c:v>
                </c:pt>
                <c:pt idx="7">
                  <c:v>120.31025151336269</c:v>
                </c:pt>
                <c:pt idx="8">
                  <c:v>117.42280547704198</c:v>
                </c:pt>
                <c:pt idx="9">
                  <c:v>114.36981253463875</c:v>
                </c:pt>
                <c:pt idx="10">
                  <c:v>107.96510303269908</c:v>
                </c:pt>
                <c:pt idx="11">
                  <c:v>97.708418244592679</c:v>
                </c:pt>
                <c:pt idx="12">
                  <c:v>91.357371058693914</c:v>
                </c:pt>
                <c:pt idx="13">
                  <c:v>80.394486531650728</c:v>
                </c:pt>
                <c:pt idx="14">
                  <c:v>81.520009343093989</c:v>
                </c:pt>
                <c:pt idx="15">
                  <c:v>84.454729679445549</c:v>
                </c:pt>
                <c:pt idx="16">
                  <c:v>81.752178329703</c:v>
                </c:pt>
                <c:pt idx="17">
                  <c:v>84.20474367959423</c:v>
                </c:pt>
                <c:pt idx="18">
                  <c:v>85.552019578467679</c:v>
                </c:pt>
                <c:pt idx="19" formatCode="General">
                  <c:v>87.434164009194177</c:v>
                </c:pt>
                <c:pt idx="20" formatCode="General">
                  <c:v>93.467121325828543</c:v>
                </c:pt>
                <c:pt idx="21" formatCode="General">
                  <c:v>91.410844656660174</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103.1</c:v>
                </c:pt>
                <c:pt idx="1">
                  <c:v>107.73949999999999</c:v>
                </c:pt>
                <c:pt idx="2">
                  <c:v>112.37229849999986</c:v>
                </c:pt>
                <c:pt idx="3">
                  <c:v>121.24971008149998</c:v>
                </c:pt>
                <c:pt idx="4">
                  <c:v>124.52345225370034</c:v>
                </c:pt>
                <c:pt idx="5">
                  <c:v>126.39130403750595</c:v>
                </c:pt>
                <c:pt idx="6">
                  <c:v>126.01213012539344</c:v>
                </c:pt>
                <c:pt idx="7">
                  <c:v>125.38206947476647</c:v>
                </c:pt>
                <c:pt idx="8">
                  <c:v>122.74904601579637</c:v>
                </c:pt>
                <c:pt idx="9">
                  <c:v>118.33008035922768</c:v>
                </c:pt>
                <c:pt idx="10">
                  <c:v>112.17691618054785</c:v>
                </c:pt>
                <c:pt idx="11">
                  <c:v>106.00718579061784</c:v>
                </c:pt>
                <c:pt idx="12">
                  <c:v>88.091971392003288</c:v>
                </c:pt>
                <c:pt idx="13">
                  <c:v>83.775464793795152</c:v>
                </c:pt>
                <c:pt idx="14">
                  <c:v>80.759548061218524</c:v>
                </c:pt>
                <c:pt idx="15">
                  <c:v>80.032712128667399</c:v>
                </c:pt>
                <c:pt idx="16">
                  <c:v>80.592941113567989</c:v>
                </c:pt>
                <c:pt idx="17">
                  <c:v>81.801835230271678</c:v>
                </c:pt>
                <c:pt idx="18">
                  <c:v>83.437871934877165</c:v>
                </c:pt>
                <c:pt idx="19" formatCode="General">
                  <c:v>85.356942989379334</c:v>
                </c:pt>
                <c:pt idx="20" formatCode="General">
                  <c:v>87.576223507103194</c:v>
                </c:pt>
                <c:pt idx="21" formatCode="General">
                  <c:v>89.59047664776655</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98.5</c:v>
                </c:pt>
                <c:pt idx="1">
                  <c:v>98.5</c:v>
                </c:pt>
                <c:pt idx="2">
                  <c:v>107.956</c:v>
                </c:pt>
                <c:pt idx="3">
                  <c:v>111.30263599999998</c:v>
                </c:pt>
                <c:pt idx="4">
                  <c:v>112.41566236000013</c:v>
                </c:pt>
                <c:pt idx="5">
                  <c:v>118.26127680271998</c:v>
                </c:pt>
                <c:pt idx="6">
                  <c:v>119.91693467795812</c:v>
                </c:pt>
                <c:pt idx="7">
                  <c:v>122.19535643683906</c:v>
                </c:pt>
                <c:pt idx="8">
                  <c:v>127.32756140718654</c:v>
                </c:pt>
                <c:pt idx="9">
                  <c:v>123.76238968778532</c:v>
                </c:pt>
                <c:pt idx="10">
                  <c:v>121.90595384246851</c:v>
                </c:pt>
                <c:pt idx="11">
                  <c:v>114.71350256576289</c:v>
                </c:pt>
                <c:pt idx="12">
                  <c:v>95.326920632148955</c:v>
                </c:pt>
                <c:pt idx="13">
                  <c:v>92.753093775080913</c:v>
                </c:pt>
                <c:pt idx="14">
                  <c:v>91.45455046222979</c:v>
                </c:pt>
                <c:pt idx="15">
                  <c:v>87.79636844374059</c:v>
                </c:pt>
                <c:pt idx="16">
                  <c:v>93.239743287252523</c:v>
                </c:pt>
                <c:pt idx="17">
                  <c:v>93.332983030539538</c:v>
                </c:pt>
                <c:pt idx="18">
                  <c:v>95.759640589333827</c:v>
                </c:pt>
                <c:pt idx="19" formatCode="General">
                  <c:v>98.536670166424216</c:v>
                </c:pt>
                <c:pt idx="20" formatCode="General">
                  <c:v>102.08399029241571</c:v>
                </c:pt>
                <c:pt idx="21" formatCode="General">
                  <c:v>100.96106639919928</c:v>
                </c:pt>
              </c:numCache>
            </c:numRef>
          </c:val>
          <c:smooth val="1"/>
        </c:ser>
        <c:marker val="1"/>
        <c:axId val="154329856"/>
        <c:axId val="154331392"/>
      </c:lineChart>
      <c:catAx>
        <c:axId val="15432985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4331392"/>
        <c:crosses val="autoZero"/>
        <c:auto val="1"/>
        <c:lblAlgn val="ctr"/>
        <c:lblOffset val="0"/>
        <c:tickLblSkip val="1"/>
        <c:tickMarkSkip val="1"/>
        <c:noMultiLvlLbl val="1"/>
      </c:catAx>
      <c:valAx>
        <c:axId val="154331392"/>
        <c:scaling>
          <c:orientation val="minMax"/>
          <c:max val="140"/>
          <c:min val="7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4329856"/>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3544845982200376"/>
          <c:y val="0.60721064814814862"/>
          <c:w val="0.43457282823362375"/>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65128475909663E-2"/>
          <c:y val="4.1334164037576122E-2"/>
          <c:w val="0.91929101270531965"/>
          <c:h val="0.76762330126103095"/>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0.0</c:formatCode>
                <c:ptCount val="44"/>
                <c:pt idx="0">
                  <c:v>-3.4</c:v>
                </c:pt>
                <c:pt idx="1">
                  <c:v>-3.8</c:v>
                </c:pt>
                <c:pt idx="2">
                  <c:v>-5.3</c:v>
                </c:pt>
                <c:pt idx="3" formatCode="General">
                  <c:v>-8.3000000000000007</c:v>
                </c:pt>
                <c:pt idx="4" formatCode="General">
                  <c:v>-10.6</c:v>
                </c:pt>
                <c:pt idx="5" formatCode="General">
                  <c:v>-13.5</c:v>
                </c:pt>
                <c:pt idx="6" formatCode="General">
                  <c:v>-17.3</c:v>
                </c:pt>
                <c:pt idx="7" formatCode="General">
                  <c:v>-16.7</c:v>
                </c:pt>
                <c:pt idx="8">
                  <c:v>-20.5</c:v>
                </c:pt>
                <c:pt idx="9">
                  <c:v>-24.2</c:v>
                </c:pt>
                <c:pt idx="10">
                  <c:v>-28.5</c:v>
                </c:pt>
                <c:pt idx="11" formatCode="General">
                  <c:v>-32.700000000000003</c:v>
                </c:pt>
                <c:pt idx="12" formatCode="General">
                  <c:v>-35.9</c:v>
                </c:pt>
                <c:pt idx="13" formatCode="General">
                  <c:v>-38.1</c:v>
                </c:pt>
                <c:pt idx="14" formatCode="General">
                  <c:v>-37.6</c:v>
                </c:pt>
                <c:pt idx="15" formatCode="General">
                  <c:v>-39.6</c:v>
                </c:pt>
                <c:pt idx="16" formatCode="General">
                  <c:v>-40.4</c:v>
                </c:pt>
                <c:pt idx="17" formatCode="General">
                  <c:v>-39.200000000000003</c:v>
                </c:pt>
                <c:pt idx="18" formatCode="General">
                  <c:v>-39</c:v>
                </c:pt>
                <c:pt idx="19" formatCode="General">
                  <c:v>-37</c:v>
                </c:pt>
                <c:pt idx="20" formatCode="General">
                  <c:v>-36.200000000000003</c:v>
                </c:pt>
                <c:pt idx="21" formatCode="General">
                  <c:v>-35.700000000000003</c:v>
                </c:pt>
                <c:pt idx="22">
                  <c:v>-34.4</c:v>
                </c:pt>
                <c:pt idx="23">
                  <c:v>-34.800000000000004</c:v>
                </c:pt>
                <c:pt idx="24">
                  <c:v>-35.300000000000004</c:v>
                </c:pt>
                <c:pt idx="25">
                  <c:v>-34.700000000000003</c:v>
                </c:pt>
                <c:pt idx="26">
                  <c:v>-32.6</c:v>
                </c:pt>
                <c:pt idx="27">
                  <c:v>-30.2</c:v>
                </c:pt>
                <c:pt idx="28" formatCode="General">
                  <c:v>-30.4</c:v>
                </c:pt>
                <c:pt idx="29" formatCode="General">
                  <c:v>-32.300000000000004</c:v>
                </c:pt>
                <c:pt idx="30" formatCode="General">
                  <c:v>-31.5</c:v>
                </c:pt>
                <c:pt idx="31" formatCode="General">
                  <c:v>-30.6</c:v>
                </c:pt>
                <c:pt idx="32" formatCode="General">
                  <c:v>-28.7</c:v>
                </c:pt>
                <c:pt idx="33" formatCode="General">
                  <c:v>-27.2</c:v>
                </c:pt>
                <c:pt idx="34" formatCode="General">
                  <c:v>-28.1</c:v>
                </c:pt>
                <c:pt idx="35" formatCode="General">
                  <c:v>-28.4</c:v>
                </c:pt>
                <c:pt idx="36" formatCode="General">
                  <c:v>-27.8</c:v>
                </c:pt>
                <c:pt idx="37" formatCode="General">
                  <c:v>-25.6</c:v>
                </c:pt>
                <c:pt idx="38" formatCode="General">
                  <c:v>-27.4</c:v>
                </c:pt>
                <c:pt idx="39" formatCode="General">
                  <c:v>-26.2</c:v>
                </c:pt>
                <c:pt idx="40" formatCode="General">
                  <c:v>-25.9</c:v>
                </c:pt>
                <c:pt idx="41" formatCode="General">
                  <c:v>-26.1</c:v>
                </c:pt>
                <c:pt idx="42" formatCode="General">
                  <c:v>-25</c:v>
                </c:pt>
                <c:pt idx="43" formatCode="General">
                  <c:v>-26</c:v>
                </c:pt>
              </c:numCache>
            </c:numRef>
          </c:val>
        </c:ser>
        <c:ser>
          <c:idx val="0"/>
          <c:order val="1"/>
          <c:tx>
            <c:strRef>
              <c:f>Sheet1!$A$4</c:f>
              <c:strCache>
                <c:ptCount val="1"/>
                <c:pt idx="0">
                  <c:v>EE</c:v>
                </c:pt>
              </c:strCache>
            </c:strRef>
          </c:tx>
          <c:spPr>
            <a:ln w="12700">
              <a:solidFill>
                <a:srgbClr val="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0.0</c:formatCode>
                <c:ptCount val="44"/>
                <c:pt idx="0">
                  <c:v>-3.1</c:v>
                </c:pt>
                <c:pt idx="1">
                  <c:v>-2.2999999999999998</c:v>
                </c:pt>
                <c:pt idx="2">
                  <c:v>-11.6</c:v>
                </c:pt>
                <c:pt idx="3" formatCode="General">
                  <c:v>-19</c:v>
                </c:pt>
                <c:pt idx="4" formatCode="General">
                  <c:v>-36.300000000000004</c:v>
                </c:pt>
                <c:pt idx="5" formatCode="General">
                  <c:v>-35.5</c:v>
                </c:pt>
                <c:pt idx="6" formatCode="General">
                  <c:v>-29.5</c:v>
                </c:pt>
                <c:pt idx="7" formatCode="General">
                  <c:v>-30.5</c:v>
                </c:pt>
                <c:pt idx="8">
                  <c:v>-35.200000000000003</c:v>
                </c:pt>
                <c:pt idx="9">
                  <c:v>-42.1</c:v>
                </c:pt>
                <c:pt idx="10">
                  <c:v>-54</c:v>
                </c:pt>
                <c:pt idx="11" formatCode="General">
                  <c:v>-58.2</c:v>
                </c:pt>
                <c:pt idx="12" formatCode="General">
                  <c:v>-64.7</c:v>
                </c:pt>
                <c:pt idx="13" formatCode="General">
                  <c:v>-69.5</c:v>
                </c:pt>
                <c:pt idx="14" formatCode="General">
                  <c:v>-75</c:v>
                </c:pt>
                <c:pt idx="15" formatCode="General">
                  <c:v>-76</c:v>
                </c:pt>
                <c:pt idx="16" formatCode="General">
                  <c:v>-69.5</c:v>
                </c:pt>
                <c:pt idx="17" formatCode="General">
                  <c:v>-70.7</c:v>
                </c:pt>
                <c:pt idx="18" formatCode="General">
                  <c:v>-70.3</c:v>
                </c:pt>
                <c:pt idx="19" formatCode="General">
                  <c:v>-68</c:v>
                </c:pt>
                <c:pt idx="20" formatCode="General">
                  <c:v>-63.7</c:v>
                </c:pt>
                <c:pt idx="21" formatCode="General">
                  <c:v>-56.5</c:v>
                </c:pt>
                <c:pt idx="22">
                  <c:v>-53.7</c:v>
                </c:pt>
                <c:pt idx="23">
                  <c:v>-54.4</c:v>
                </c:pt>
                <c:pt idx="24">
                  <c:v>-49.5</c:v>
                </c:pt>
                <c:pt idx="25">
                  <c:v>-45.9</c:v>
                </c:pt>
                <c:pt idx="26">
                  <c:v>-39.6</c:v>
                </c:pt>
                <c:pt idx="27">
                  <c:v>-30.6</c:v>
                </c:pt>
                <c:pt idx="28" formatCode="General">
                  <c:v>-25.2</c:v>
                </c:pt>
                <c:pt idx="29" formatCode="General">
                  <c:v>-11.5</c:v>
                </c:pt>
                <c:pt idx="30" formatCode="General">
                  <c:v>-19.5</c:v>
                </c:pt>
                <c:pt idx="31" formatCode="General">
                  <c:v>-17.600000000000001</c:v>
                </c:pt>
                <c:pt idx="32" formatCode="General">
                  <c:v>-18.8</c:v>
                </c:pt>
                <c:pt idx="33" formatCode="General">
                  <c:v>-24.1</c:v>
                </c:pt>
                <c:pt idx="34" formatCode="General">
                  <c:v>-17.100000000000001</c:v>
                </c:pt>
                <c:pt idx="35" formatCode="General">
                  <c:v>-16.7</c:v>
                </c:pt>
                <c:pt idx="36" formatCode="General">
                  <c:v>-13.4</c:v>
                </c:pt>
                <c:pt idx="37" formatCode="General">
                  <c:v>-4.5</c:v>
                </c:pt>
                <c:pt idx="38" formatCode="General">
                  <c:v>-3.4</c:v>
                </c:pt>
                <c:pt idx="39" formatCode="General">
                  <c:v>-1.4</c:v>
                </c:pt>
                <c:pt idx="40" formatCode="General">
                  <c:v>9.1</c:v>
                </c:pt>
                <c:pt idx="41" formatCode="General">
                  <c:v>16</c:v>
                </c:pt>
                <c:pt idx="42" formatCode="General">
                  <c:v>10.6</c:v>
                </c:pt>
                <c:pt idx="43" formatCode="General">
                  <c:v>10</c:v>
                </c:pt>
              </c:numCache>
            </c:numRef>
          </c:val>
        </c:ser>
        <c:ser>
          <c:idx val="2"/>
          <c:order val="2"/>
          <c:tx>
            <c:strRef>
              <c:f>Sheet1!$A$5</c:f>
              <c:strCache>
                <c:ptCount val="1"/>
                <c:pt idx="0">
                  <c:v>LV</c:v>
                </c:pt>
              </c:strCache>
            </c:strRef>
          </c:tx>
          <c:spPr>
            <a:ln w="28575">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0.0</c:formatCode>
                <c:ptCount val="44"/>
                <c:pt idx="0">
                  <c:v>-5.4</c:v>
                </c:pt>
                <c:pt idx="1">
                  <c:v>-6.7</c:v>
                </c:pt>
                <c:pt idx="2">
                  <c:v>-13.4</c:v>
                </c:pt>
                <c:pt idx="3" formatCode="General">
                  <c:v>-24</c:v>
                </c:pt>
                <c:pt idx="4" formatCode="General">
                  <c:v>-27.9</c:v>
                </c:pt>
                <c:pt idx="5" formatCode="General">
                  <c:v>-30.5</c:v>
                </c:pt>
                <c:pt idx="6" formatCode="General">
                  <c:v>-36.300000000000004</c:v>
                </c:pt>
                <c:pt idx="7" formatCode="General">
                  <c:v>-42.9</c:v>
                </c:pt>
                <c:pt idx="8">
                  <c:v>-47</c:v>
                </c:pt>
                <c:pt idx="9">
                  <c:v>-47.2</c:v>
                </c:pt>
                <c:pt idx="10">
                  <c:v>-52.3</c:v>
                </c:pt>
                <c:pt idx="11" formatCode="General">
                  <c:v>-58.6</c:v>
                </c:pt>
                <c:pt idx="12" formatCode="General">
                  <c:v>-62.4</c:v>
                </c:pt>
                <c:pt idx="13" formatCode="General">
                  <c:v>-67.8</c:v>
                </c:pt>
                <c:pt idx="14" formatCode="General">
                  <c:v>-75.400000000000006</c:v>
                </c:pt>
                <c:pt idx="15" formatCode="General">
                  <c:v>-74.400000000000006</c:v>
                </c:pt>
                <c:pt idx="16" formatCode="General">
                  <c:v>-78.7</c:v>
                </c:pt>
                <c:pt idx="17" formatCode="General">
                  <c:v>-76.900000000000006</c:v>
                </c:pt>
                <c:pt idx="18" formatCode="General">
                  <c:v>-79.400000000000006</c:v>
                </c:pt>
                <c:pt idx="19" formatCode="General">
                  <c:v>-76.599999999999994</c:v>
                </c:pt>
                <c:pt idx="20" formatCode="General">
                  <c:v>-72.400000000000006</c:v>
                </c:pt>
                <c:pt idx="21" formatCode="General">
                  <c:v>-70.2</c:v>
                </c:pt>
                <c:pt idx="22">
                  <c:v>-69.2</c:v>
                </c:pt>
                <c:pt idx="23">
                  <c:v>-66.2</c:v>
                </c:pt>
                <c:pt idx="24">
                  <c:v>-65.900000000000006</c:v>
                </c:pt>
                <c:pt idx="25">
                  <c:v>-61.9</c:v>
                </c:pt>
                <c:pt idx="26">
                  <c:v>-61.2</c:v>
                </c:pt>
                <c:pt idx="27">
                  <c:v>-55.9</c:v>
                </c:pt>
                <c:pt idx="28" formatCode="General">
                  <c:v>-51.2</c:v>
                </c:pt>
                <c:pt idx="29" formatCode="General">
                  <c:v>-51.2</c:v>
                </c:pt>
                <c:pt idx="30" formatCode="General">
                  <c:v>-45.5</c:v>
                </c:pt>
                <c:pt idx="31" formatCode="General">
                  <c:v>-43.9</c:v>
                </c:pt>
                <c:pt idx="32" formatCode="General">
                  <c:v>-44.9</c:v>
                </c:pt>
                <c:pt idx="33" formatCode="General">
                  <c:v>-32.1</c:v>
                </c:pt>
                <c:pt idx="34" formatCode="General">
                  <c:v>-42</c:v>
                </c:pt>
                <c:pt idx="35" formatCode="General">
                  <c:v>-39.5</c:v>
                </c:pt>
                <c:pt idx="36" formatCode="General">
                  <c:v>-39.300000000000004</c:v>
                </c:pt>
                <c:pt idx="37" formatCode="General">
                  <c:v>-35</c:v>
                </c:pt>
                <c:pt idx="38" formatCode="General">
                  <c:v>-27.2</c:v>
                </c:pt>
                <c:pt idx="39" formatCode="General">
                  <c:v>-28.2</c:v>
                </c:pt>
                <c:pt idx="40" formatCode="General">
                  <c:v>-24.9</c:v>
                </c:pt>
                <c:pt idx="41" formatCode="General">
                  <c:v>-21.9</c:v>
                </c:pt>
                <c:pt idx="42" formatCode="General">
                  <c:v>-17.100000000000001</c:v>
                </c:pt>
                <c:pt idx="43" formatCode="General">
                  <c:v>-19.100000000000001</c:v>
                </c:pt>
              </c:numCache>
            </c:numRef>
          </c:val>
        </c:ser>
        <c:ser>
          <c:idx val="3"/>
          <c:order val="3"/>
          <c:tx>
            <c:strRef>
              <c:f>Sheet1!$A$6</c:f>
              <c:strCache>
                <c:ptCount val="1"/>
                <c:pt idx="0">
                  <c:v>LT</c:v>
                </c:pt>
              </c:strCache>
            </c:strRef>
          </c:tx>
          <c:spPr>
            <a:ln w="12700">
              <a:solidFill>
                <a:srgbClr val="000000"/>
              </a:solidFill>
              <a:prstDash val="sys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0.0</c:formatCode>
                <c:ptCount val="44"/>
                <c:pt idx="0">
                  <c:v>11.2</c:v>
                </c:pt>
                <c:pt idx="1">
                  <c:v>7.3</c:v>
                </c:pt>
                <c:pt idx="2">
                  <c:v>-4.5999999999999996</c:v>
                </c:pt>
                <c:pt idx="3" formatCode="General">
                  <c:v>-6.7</c:v>
                </c:pt>
                <c:pt idx="4" formatCode="General">
                  <c:v>-19.100000000000001</c:v>
                </c:pt>
                <c:pt idx="5" formatCode="General">
                  <c:v>-24.5</c:v>
                </c:pt>
                <c:pt idx="6" formatCode="General">
                  <c:v>-27.8</c:v>
                </c:pt>
                <c:pt idx="7" formatCode="General">
                  <c:v>-35.6</c:v>
                </c:pt>
                <c:pt idx="8">
                  <c:v>-33.5</c:v>
                </c:pt>
                <c:pt idx="9">
                  <c:v>-42.9</c:v>
                </c:pt>
                <c:pt idx="10">
                  <c:v>-49.2</c:v>
                </c:pt>
                <c:pt idx="11" formatCode="General">
                  <c:v>-56.3</c:v>
                </c:pt>
                <c:pt idx="12" formatCode="General">
                  <c:v>-64.099999999999994</c:v>
                </c:pt>
                <c:pt idx="13" formatCode="General">
                  <c:v>-69.3</c:v>
                </c:pt>
                <c:pt idx="14" formatCode="General">
                  <c:v>-85.2</c:v>
                </c:pt>
                <c:pt idx="15" formatCode="General">
                  <c:v>-89</c:v>
                </c:pt>
                <c:pt idx="16" formatCode="General">
                  <c:v>-92.9</c:v>
                </c:pt>
                <c:pt idx="17" formatCode="General">
                  <c:v>-91.9</c:v>
                </c:pt>
                <c:pt idx="18" formatCode="General">
                  <c:v>-86.2</c:v>
                </c:pt>
                <c:pt idx="19" formatCode="General">
                  <c:v>-85.7</c:v>
                </c:pt>
                <c:pt idx="20" formatCode="General">
                  <c:v>-80.5</c:v>
                </c:pt>
                <c:pt idx="21" formatCode="General">
                  <c:v>-81.099999999999994</c:v>
                </c:pt>
                <c:pt idx="22">
                  <c:v>-76.099999999999994</c:v>
                </c:pt>
                <c:pt idx="23">
                  <c:v>-72.7</c:v>
                </c:pt>
                <c:pt idx="24">
                  <c:v>-66.099999999999994</c:v>
                </c:pt>
                <c:pt idx="25">
                  <c:v>-63.8</c:v>
                </c:pt>
                <c:pt idx="26">
                  <c:v>-56.6</c:v>
                </c:pt>
                <c:pt idx="27">
                  <c:v>-47.2</c:v>
                </c:pt>
                <c:pt idx="28" formatCode="General">
                  <c:v>-40.4</c:v>
                </c:pt>
                <c:pt idx="29" formatCode="General">
                  <c:v>-34.200000000000003</c:v>
                </c:pt>
                <c:pt idx="30" formatCode="General">
                  <c:v>-33</c:v>
                </c:pt>
                <c:pt idx="31" formatCode="General">
                  <c:v>-28.8</c:v>
                </c:pt>
                <c:pt idx="32" formatCode="General">
                  <c:v>-29</c:v>
                </c:pt>
                <c:pt idx="33" formatCode="General">
                  <c:v>-29.4</c:v>
                </c:pt>
                <c:pt idx="34" formatCode="General">
                  <c:v>-33.1</c:v>
                </c:pt>
                <c:pt idx="35" formatCode="General">
                  <c:v>-38.6</c:v>
                </c:pt>
                <c:pt idx="36" formatCode="General">
                  <c:v>-36.5</c:v>
                </c:pt>
                <c:pt idx="37" formatCode="General">
                  <c:v>-31.1</c:v>
                </c:pt>
                <c:pt idx="38" formatCode="General">
                  <c:v>-22</c:v>
                </c:pt>
                <c:pt idx="39" formatCode="General">
                  <c:v>-21.1</c:v>
                </c:pt>
                <c:pt idx="40" formatCode="General">
                  <c:v>-19.3</c:v>
                </c:pt>
                <c:pt idx="41" formatCode="General">
                  <c:v>-17.2</c:v>
                </c:pt>
                <c:pt idx="42" formatCode="General">
                  <c:v>-23.8</c:v>
                </c:pt>
                <c:pt idx="43" formatCode="General">
                  <c:v>-22.6</c:v>
                </c:pt>
              </c:numCache>
            </c:numRef>
          </c:val>
        </c:ser>
        <c:marker val="1"/>
        <c:axId val="118936704"/>
        <c:axId val="118938240"/>
      </c:lineChart>
      <c:catAx>
        <c:axId val="118936704"/>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8938240"/>
        <c:crosses val="autoZero"/>
        <c:lblAlgn val="ctr"/>
        <c:lblOffset val="0"/>
        <c:tickLblSkip val="1"/>
        <c:tickMarkSkip val="1"/>
        <c:noMultiLvlLbl val="1"/>
      </c:catAx>
      <c:valAx>
        <c:axId val="118938240"/>
        <c:scaling>
          <c:orientation val="minMax"/>
          <c:max val="2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18936704"/>
        <c:crosses val="autoZero"/>
        <c:crossBetween val="midCat"/>
      </c:valAx>
      <c:spPr>
        <a:noFill/>
        <a:ln w="12700">
          <a:solidFill>
            <a:sysClr val="window" lastClr="FFFFFF">
              <a:lumMod val="85000"/>
            </a:sysClr>
          </a:solidFill>
        </a:ln>
      </c:spPr>
    </c:plotArea>
    <c:legend>
      <c:legendPos val="b"/>
      <c:layout>
        <c:manualLayout>
          <c:xMode val="edge"/>
          <c:yMode val="edge"/>
          <c:x val="0.72079438346069735"/>
          <c:y val="0.57779299326714595"/>
          <c:w val="0.24342639590848344"/>
          <c:h val="0.19977828302227726"/>
        </c:manualLayout>
      </c:layout>
      <c:spPr>
        <a:solidFill>
          <a:sysClr val="window" lastClr="FFFFFF"/>
        </a:solidFill>
      </c:spPr>
      <c:txPr>
        <a:bodyPr/>
        <a:lstStyle/>
        <a:p>
          <a:pPr>
            <a:defRPr lang="lv-LV" sz="8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-0.21300000000000024</c:v>
                </c:pt>
                <c:pt idx="1">
                  <c:v>-0.29400000000000032</c:v>
                </c:pt>
                <c:pt idx="2">
                  <c:v>-0.26500000000000001</c:v>
                </c:pt>
                <c:pt idx="3">
                  <c:v>-0.13500000000000001</c:v>
                </c:pt>
                <c:pt idx="4">
                  <c:v>-9.0000000000000024E-2</c:v>
                </c:pt>
                <c:pt idx="5">
                  <c:v>4.0000000000000022E-2</c:v>
                </c:pt>
                <c:pt idx="6">
                  <c:v>4.2000000000000023E-2</c:v>
                </c:pt>
                <c:pt idx="7">
                  <c:v>2.8000000000000001E-2</c:v>
                </c:pt>
                <c:pt idx="8">
                  <c:v>0.14200000000000004</c:v>
                </c:pt>
                <c:pt idx="9">
                  <c:v>8.2000000000000017E-2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General</c:formatCode>
                <c:ptCount val="10"/>
                <c:pt idx="0">
                  <c:v>-0.26900000000000002</c:v>
                </c:pt>
                <c:pt idx="1">
                  <c:v>-0.29300000000000032</c:v>
                </c:pt>
                <c:pt idx="2">
                  <c:v>-0.27900000000000008</c:v>
                </c:pt>
                <c:pt idx="3">
                  <c:v>-0.255</c:v>
                </c:pt>
                <c:pt idx="4">
                  <c:v>-8.2000000000000017E-2</c:v>
                </c:pt>
                <c:pt idx="5">
                  <c:v>-2.3E-2</c:v>
                </c:pt>
                <c:pt idx="6">
                  <c:v>4.0000000000000022E-2</c:v>
                </c:pt>
                <c:pt idx="7">
                  <c:v>6.3E-2</c:v>
                </c:pt>
                <c:pt idx="8">
                  <c:v>8.2000000000000017E-2</c:v>
                </c:pt>
                <c:pt idx="9">
                  <c:v>9.6000000000000002E-2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General</c:formatCode>
                <c:ptCount val="10"/>
                <c:pt idx="0">
                  <c:v>-0.27300000000000002</c:v>
                </c:pt>
                <c:pt idx="1">
                  <c:v>-0.24800000000000025</c:v>
                </c:pt>
                <c:pt idx="2">
                  <c:v>-0.23300000000000001</c:v>
                </c:pt>
                <c:pt idx="3">
                  <c:v>-0.23800000000000004</c:v>
                </c:pt>
                <c:pt idx="4">
                  <c:v>-2.6000000000000002E-2</c:v>
                </c:pt>
                <c:pt idx="5">
                  <c:v>5.0000000000000079E-3</c:v>
                </c:pt>
                <c:pt idx="6">
                  <c:v>4.3000000000000003E-2</c:v>
                </c:pt>
                <c:pt idx="7">
                  <c:v>0.12200000000000009</c:v>
                </c:pt>
                <c:pt idx="8">
                  <c:v>0.10300000000000002</c:v>
                </c:pt>
                <c:pt idx="9">
                  <c:v>8.1000000000000003E-2</c:v>
                </c:pt>
              </c:numCache>
            </c:numRef>
          </c:val>
        </c:ser>
        <c:gapWidth val="75"/>
        <c:overlap val="-25"/>
        <c:axId val="154491136"/>
        <c:axId val="154505600"/>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-4.7000000000000014E-2</c:v>
                </c:pt>
                <c:pt idx="1">
                  <c:v>-5.5000000000000014E-2</c:v>
                </c:pt>
                <c:pt idx="2">
                  <c:v>-4.3000000000000003E-2</c:v>
                </c:pt>
                <c:pt idx="3">
                  <c:v>-2.6000000000000002E-2</c:v>
                </c:pt>
                <c:pt idx="4">
                  <c:v>1.0000000000000022E-3</c:v>
                </c:pt>
                <c:pt idx="5">
                  <c:v>2.0000000000000011E-2</c:v>
                </c:pt>
                <c:pt idx="6">
                  <c:v>1.9000000000000031E-2</c:v>
                </c:pt>
                <c:pt idx="7">
                  <c:v>1.9000000000000031E-2</c:v>
                </c:pt>
                <c:pt idx="8">
                  <c:v>1.6000000000000021E-2</c:v>
                </c:pt>
                <c:pt idx="9">
                  <c:v>1.3000000000000001E-2</c:v>
                </c:pt>
              </c:numCache>
            </c:numRef>
          </c:val>
        </c:ser>
        <c:marker val="1"/>
        <c:axId val="154491136"/>
        <c:axId val="154505600"/>
      </c:lineChart>
      <c:catAx>
        <c:axId val="15449113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4505600"/>
        <c:crosses val="autoZero"/>
        <c:auto val="1"/>
        <c:lblAlgn val="ctr"/>
        <c:lblOffset val="0"/>
        <c:tickLblSkip val="1"/>
        <c:tickMarkSkip val="1"/>
        <c:noMultiLvlLbl val="1"/>
      </c:catAx>
      <c:valAx>
        <c:axId val="154505600"/>
        <c:scaling>
          <c:orientation val="minMax"/>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4491136"/>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400975373127864"/>
          <c:y val="6.0781828703703702E-2"/>
          <c:w val="0.38465493793477962"/>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3775423837492"/>
          <c:y val="5.4794520547950934E-2"/>
          <c:w val="0.87018389802251961"/>
          <c:h val="0.74484490740743314"/>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100.6</c:v>
                </c:pt>
                <c:pt idx="1">
                  <c:v>101.40479999999999</c:v>
                </c:pt>
                <c:pt idx="2">
                  <c:v>101.70901439999999</c:v>
                </c:pt>
                <c:pt idx="3">
                  <c:v>102.52268651519979</c:v>
                </c:pt>
                <c:pt idx="4">
                  <c:v>102.72773188823038</c:v>
                </c:pt>
                <c:pt idx="5">
                  <c:v>103.54955374333642</c:v>
                </c:pt>
                <c:pt idx="6">
                  <c:v>104.17085106579613</c:v>
                </c:pt>
                <c:pt idx="7">
                  <c:v>104.69170532112523</c:v>
                </c:pt>
                <c:pt idx="8">
                  <c:v>105.11047214240942</c:v>
                </c:pt>
                <c:pt idx="9">
                  <c:v>104.79514072598252</c:v>
                </c:pt>
                <c:pt idx="10">
                  <c:v>104.48075530380443</c:v>
                </c:pt>
                <c:pt idx="11">
                  <c:v>103.54042850607031</c:v>
                </c:pt>
                <c:pt idx="12">
                  <c:v>102.81564550652769</c:v>
                </c:pt>
                <c:pt idx="13">
                  <c:v>102.61001421551475</c:v>
                </c:pt>
                <c:pt idx="14">
                  <c:v>102.61001421551475</c:v>
                </c:pt>
                <c:pt idx="15">
                  <c:v>102.91784425816132</c:v>
                </c:pt>
                <c:pt idx="16">
                  <c:v>103.32951563519393</c:v>
                </c:pt>
                <c:pt idx="17">
                  <c:v>103.53617466646431</c:v>
                </c:pt>
                <c:pt idx="18">
                  <c:v>103.74324701579729</c:v>
                </c:pt>
                <c:pt idx="19" formatCode="General">
                  <c:v>103.95073350982885</c:v>
                </c:pt>
                <c:pt idx="20" formatCode="General">
                  <c:v>103.95073350982885</c:v>
                </c:pt>
                <c:pt idx="21" formatCode="General">
                  <c:v>103.84678277631895</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102.4</c:v>
                </c:pt>
                <c:pt idx="1">
                  <c:v>105.7792</c:v>
                </c:pt>
                <c:pt idx="2">
                  <c:v>110.01036800000001</c:v>
                </c:pt>
                <c:pt idx="3">
                  <c:v>111.44050278400015</c:v>
                </c:pt>
                <c:pt idx="4">
                  <c:v>116.56676591206389</c:v>
                </c:pt>
                <c:pt idx="5">
                  <c:v>116.68333267797594</c:v>
                </c:pt>
                <c:pt idx="6">
                  <c:v>116.44996601262011</c:v>
                </c:pt>
                <c:pt idx="7">
                  <c:v>117.84736560477162</c:v>
                </c:pt>
                <c:pt idx="8">
                  <c:v>114.19409727102364</c:v>
                </c:pt>
                <c:pt idx="9">
                  <c:v>112.13860352014522</c:v>
                </c:pt>
                <c:pt idx="10">
                  <c:v>108.99872262158114</c:v>
                </c:pt>
                <c:pt idx="11">
                  <c:v>103.54878649050208</c:v>
                </c:pt>
                <c:pt idx="12">
                  <c:v>97.335859301071949</c:v>
                </c:pt>
                <c:pt idx="13">
                  <c:v>93.831768366233348</c:v>
                </c:pt>
                <c:pt idx="14">
                  <c:v>90.078497631583787</c:v>
                </c:pt>
                <c:pt idx="15">
                  <c:v>88.907477162373439</c:v>
                </c:pt>
                <c:pt idx="16">
                  <c:v>90.418904274133794</c:v>
                </c:pt>
                <c:pt idx="17">
                  <c:v>90.328485369859436</c:v>
                </c:pt>
                <c:pt idx="18">
                  <c:v>91.231770223558158</c:v>
                </c:pt>
                <c:pt idx="19" formatCode="General">
                  <c:v>91.68792907467602</c:v>
                </c:pt>
                <c:pt idx="20" formatCode="General">
                  <c:v>93.338311798020158</c:v>
                </c:pt>
                <c:pt idx="21" formatCode="General">
                  <c:v>93.431650109818349</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102.60000000000001</c:v>
                </c:pt>
                <c:pt idx="1">
                  <c:v>109.88460000000002</c:v>
                </c:pt>
                <c:pt idx="2">
                  <c:v>114.27998400000001</c:v>
                </c:pt>
                <c:pt idx="3">
                  <c:v>129.93634180800032</c:v>
                </c:pt>
                <c:pt idx="4">
                  <c:v>131.36564156788799</c:v>
                </c:pt>
                <c:pt idx="5">
                  <c:v>131.23427592631973</c:v>
                </c:pt>
                <c:pt idx="6">
                  <c:v>130.97180737446746</c:v>
                </c:pt>
                <c:pt idx="7">
                  <c:v>130.97180737446746</c:v>
                </c:pt>
                <c:pt idx="8">
                  <c:v>131.62666641133981</c:v>
                </c:pt>
                <c:pt idx="9">
                  <c:v>127.1513597533541</c:v>
                </c:pt>
                <c:pt idx="10">
                  <c:v>122.31960808272675</c:v>
                </c:pt>
                <c:pt idx="11">
                  <c:v>113.87955512501861</c:v>
                </c:pt>
                <c:pt idx="12">
                  <c:v>101.12504495101651</c:v>
                </c:pt>
                <c:pt idx="13">
                  <c:v>95.563167478710625</c:v>
                </c:pt>
                <c:pt idx="14">
                  <c:v>92.887398789306729</c:v>
                </c:pt>
                <c:pt idx="15">
                  <c:v>93.166060985674633</c:v>
                </c:pt>
                <c:pt idx="16">
                  <c:v>94.843050083416784</c:v>
                </c:pt>
                <c:pt idx="17">
                  <c:v>94.084305682749445</c:v>
                </c:pt>
                <c:pt idx="18">
                  <c:v>96.154160407769908</c:v>
                </c:pt>
                <c:pt idx="19" formatCode="General">
                  <c:v>98.077243615925397</c:v>
                </c:pt>
                <c:pt idx="20" formatCode="General">
                  <c:v>98.175320859541046</c:v>
                </c:pt>
                <c:pt idx="21" formatCode="General">
                  <c:v>98.568022142979359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100.69999999999999</c:v>
                </c:pt>
                <c:pt idx="1">
                  <c:v>103.9224</c:v>
                </c:pt>
                <c:pt idx="2">
                  <c:v>108.39106319999999</c:v>
                </c:pt>
                <c:pt idx="3">
                  <c:v>110.12532021119976</c:v>
                </c:pt>
                <c:pt idx="4">
                  <c:v>114.19995705901438</c:v>
                </c:pt>
                <c:pt idx="5">
                  <c:v>117.28335589960776</c:v>
                </c:pt>
                <c:pt idx="6">
                  <c:v>119.15988959400136</c:v>
                </c:pt>
                <c:pt idx="7">
                  <c:v>123.33048572979148</c:v>
                </c:pt>
                <c:pt idx="8">
                  <c:v>124.19379912990006</c:v>
                </c:pt>
                <c:pt idx="9">
                  <c:v>123.69702393338046</c:v>
                </c:pt>
                <c:pt idx="10">
                  <c:v>122.70744774191353</c:v>
                </c:pt>
                <c:pt idx="11">
                  <c:v>120.98954347352661</c:v>
                </c:pt>
                <c:pt idx="12">
                  <c:v>103.80902830028575</c:v>
                </c:pt>
                <c:pt idx="13">
                  <c:v>102.45951093238212</c:v>
                </c:pt>
                <c:pt idx="14">
                  <c:v>100.41032071373448</c:v>
                </c:pt>
                <c:pt idx="15">
                  <c:v>97.79965237517753</c:v>
                </c:pt>
                <c:pt idx="16">
                  <c:v>96.821655851425589</c:v>
                </c:pt>
                <c:pt idx="17">
                  <c:v>96.337547572168418</c:v>
                </c:pt>
                <c:pt idx="18">
                  <c:v>96.915572857601276</c:v>
                </c:pt>
                <c:pt idx="19" formatCode="General">
                  <c:v>96.140248274740671</c:v>
                </c:pt>
                <c:pt idx="20" formatCode="General">
                  <c:v>102.00480341949985</c:v>
                </c:pt>
                <c:pt idx="21" formatCode="General">
                  <c:v>103.33086586395331</c:v>
                </c:pt>
              </c:numCache>
            </c:numRef>
          </c:val>
          <c:smooth val="1"/>
        </c:ser>
        <c:marker val="1"/>
        <c:axId val="154471808"/>
        <c:axId val="154891392"/>
      </c:lineChart>
      <c:catAx>
        <c:axId val="154471808"/>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4891392"/>
        <c:crosses val="autoZero"/>
        <c:auto val="1"/>
        <c:lblAlgn val="ctr"/>
        <c:lblOffset val="0"/>
        <c:tickLblSkip val="1"/>
        <c:tickMarkSkip val="1"/>
        <c:noMultiLvlLbl val="1"/>
      </c:catAx>
      <c:valAx>
        <c:axId val="154891392"/>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4471808"/>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354484598220036"/>
          <c:y val="0.60721064814814862"/>
          <c:w val="0.43457282823362353"/>
          <c:h val="0.16507754629629628"/>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-0.14100000000000001</c:v>
                </c:pt>
                <c:pt idx="1">
                  <c:v>-0.15900000000000028</c:v>
                </c:pt>
                <c:pt idx="2">
                  <c:v>-0.17700000000000021</c:v>
                </c:pt>
                <c:pt idx="3">
                  <c:v>-0.14700000000000021</c:v>
                </c:pt>
                <c:pt idx="4">
                  <c:v>-6.3E-2</c:v>
                </c:pt>
                <c:pt idx="5">
                  <c:v>-3.500000000000001E-2</c:v>
                </c:pt>
                <c:pt idx="6">
                  <c:v>9.0000000000000028E-3</c:v>
                </c:pt>
                <c:pt idx="7">
                  <c:v>2.4E-2</c:v>
                </c:pt>
                <c:pt idx="8">
                  <c:v>3.6000000000000011E-2</c:v>
                </c:pt>
                <c:pt idx="9">
                  <c:v>3.500000000000001E-2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General</c:formatCode>
                <c:ptCount val="10"/>
                <c:pt idx="0">
                  <c:v>-0.22800000000000001</c:v>
                </c:pt>
                <c:pt idx="1">
                  <c:v>-0.25</c:v>
                </c:pt>
                <c:pt idx="2">
                  <c:v>-0.24500000000000025</c:v>
                </c:pt>
                <c:pt idx="3">
                  <c:v>-0.18100000000000024</c:v>
                </c:pt>
                <c:pt idx="4">
                  <c:v>-5.7000000000000023E-2</c:v>
                </c:pt>
                <c:pt idx="5">
                  <c:v>-1.9000000000000031E-2</c:v>
                </c:pt>
                <c:pt idx="6">
                  <c:v>3.4000000000000002E-2</c:v>
                </c:pt>
                <c:pt idx="7">
                  <c:v>5.7000000000000023E-2</c:v>
                </c:pt>
                <c:pt idx="8">
                  <c:v>3.6000000000000011E-2</c:v>
                </c:pt>
                <c:pt idx="9">
                  <c:v>4.4000000000000032E-2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General</c:formatCode>
                <c:ptCount val="10"/>
                <c:pt idx="0">
                  <c:v>-0.17</c:v>
                </c:pt>
                <c:pt idx="1">
                  <c:v>-0.17600000000000021</c:v>
                </c:pt>
                <c:pt idx="2">
                  <c:v>-0.16900000000000001</c:v>
                </c:pt>
                <c:pt idx="3">
                  <c:v>-0.19400000000000001</c:v>
                </c:pt>
                <c:pt idx="4">
                  <c:v>-8.9000000000000065E-2</c:v>
                </c:pt>
                <c:pt idx="5">
                  <c:v>-8.1000000000000003E-2</c:v>
                </c:pt>
                <c:pt idx="6">
                  <c:v>-2.6000000000000002E-2</c:v>
                </c:pt>
                <c:pt idx="7">
                  <c:v>1.7000000000000001E-2</c:v>
                </c:pt>
                <c:pt idx="8">
                  <c:v>5.5000000000000014E-2</c:v>
                </c:pt>
                <c:pt idx="9">
                  <c:v>6.7000000000000004E-2</c:v>
                </c:pt>
              </c:numCache>
            </c:numRef>
          </c:val>
        </c:ser>
        <c:gapWidth val="75"/>
        <c:overlap val="-25"/>
        <c:axId val="154989696"/>
        <c:axId val="15499161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-2.4E-2</c:v>
                </c:pt>
                <c:pt idx="1">
                  <c:v>-2.4E-2</c:v>
                </c:pt>
                <c:pt idx="2">
                  <c:v>-1.8000000000000023E-2</c:v>
                </c:pt>
                <c:pt idx="3">
                  <c:v>-5.0000000000000079E-3</c:v>
                </c:pt>
                <c:pt idx="4">
                  <c:v>5.0000000000000079E-3</c:v>
                </c:pt>
                <c:pt idx="5">
                  <c:v>8.0000000000000175E-3</c:v>
                </c:pt>
                <c:pt idx="6">
                  <c:v>1.2E-2</c:v>
                </c:pt>
                <c:pt idx="7">
                  <c:v>1.0000000000000005E-2</c:v>
                </c:pt>
                <c:pt idx="8">
                  <c:v>5.0000000000000079E-3</c:v>
                </c:pt>
                <c:pt idx="9">
                  <c:v>7.000000000000008E-3</c:v>
                </c:pt>
              </c:numCache>
            </c:numRef>
          </c:val>
        </c:ser>
        <c:marker val="1"/>
        <c:axId val="154989696"/>
        <c:axId val="154991616"/>
      </c:lineChart>
      <c:catAx>
        <c:axId val="15498969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4991616"/>
        <c:crosses val="autoZero"/>
        <c:auto val="1"/>
        <c:lblAlgn val="ctr"/>
        <c:lblOffset val="0"/>
        <c:tickLblSkip val="1"/>
        <c:tickMarkSkip val="1"/>
        <c:noMultiLvlLbl val="1"/>
      </c:catAx>
      <c:valAx>
        <c:axId val="154991616"/>
        <c:scaling>
          <c:orientation val="minMax"/>
          <c:max val="0.15000000000000024"/>
          <c:min val="-0.30000000000000032"/>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4989696"/>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31611513907296385"/>
          <c:y val="6.813136574074076E-2"/>
          <c:w val="0.3846549379347794"/>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9624072964913E-2"/>
          <c:y val="2.7951115485565312E-2"/>
          <c:w val="0.92686384962113655"/>
          <c:h val="0.86401192038495189"/>
        </c:manualLayout>
      </c:layout>
      <c:lineChart>
        <c:grouping val="standard"/>
        <c:ser>
          <c:idx val="1"/>
          <c:order val="0"/>
          <c:tx>
            <c:strRef>
              <c:f>Sheet1!$A$3</c:f>
              <c:strCache>
                <c:ptCount val="1"/>
                <c:pt idx="0">
                  <c:v>EU27</c:v>
                </c:pt>
              </c:strCache>
            </c:strRef>
          </c:tx>
          <c:spPr>
            <a:ln w="12700">
              <a:solidFill>
                <a:srgbClr val="00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Sheet1!$B$3:$AS$3</c:f>
              <c:numCache>
                <c:formatCode>General</c:formatCode>
                <c:ptCount val="44"/>
                <c:pt idx="0">
                  <c:v>-9.6</c:v>
                </c:pt>
                <c:pt idx="1">
                  <c:v>-10.8</c:v>
                </c:pt>
                <c:pt idx="2">
                  <c:v>-11.2</c:v>
                </c:pt>
                <c:pt idx="3">
                  <c:v>-11.7</c:v>
                </c:pt>
                <c:pt idx="4">
                  <c:v>-13.1</c:v>
                </c:pt>
                <c:pt idx="5">
                  <c:v>-16.100000000000001</c:v>
                </c:pt>
                <c:pt idx="6">
                  <c:v>-19.8</c:v>
                </c:pt>
                <c:pt idx="7">
                  <c:v>-19.399999999999999</c:v>
                </c:pt>
                <c:pt idx="8">
                  <c:v>-18.899999999999999</c:v>
                </c:pt>
                <c:pt idx="9">
                  <c:v>-24</c:v>
                </c:pt>
                <c:pt idx="10">
                  <c:v>-25.8</c:v>
                </c:pt>
                <c:pt idx="11">
                  <c:v>-29.4</c:v>
                </c:pt>
                <c:pt idx="12" formatCode="0.0">
                  <c:v>-30.6</c:v>
                </c:pt>
                <c:pt idx="13" formatCode="0.0">
                  <c:v>-31.8</c:v>
                </c:pt>
                <c:pt idx="14" formatCode="0.0">
                  <c:v>-31.9</c:v>
                </c:pt>
                <c:pt idx="15" formatCode="0.0">
                  <c:v>-27.9</c:v>
                </c:pt>
                <c:pt idx="16" formatCode="0.0">
                  <c:v>-25.9</c:v>
                </c:pt>
                <c:pt idx="17" formatCode="0.0">
                  <c:v>-22.9</c:v>
                </c:pt>
                <c:pt idx="18" formatCode="0.0">
                  <c:v>-21</c:v>
                </c:pt>
                <c:pt idx="19" formatCode="0.0">
                  <c:v>-20.100000000000001</c:v>
                </c:pt>
                <c:pt idx="20" formatCode="0.0">
                  <c:v>-16.7</c:v>
                </c:pt>
                <c:pt idx="21" formatCode="0.0">
                  <c:v>-15.3</c:v>
                </c:pt>
                <c:pt idx="22" formatCode="0.0">
                  <c:v>-15.1</c:v>
                </c:pt>
                <c:pt idx="23" formatCode="0.0">
                  <c:v>-14.3</c:v>
                </c:pt>
                <c:pt idx="24" formatCode="0.0">
                  <c:v>-13</c:v>
                </c:pt>
                <c:pt idx="25">
                  <c:v>-13.4</c:v>
                </c:pt>
                <c:pt idx="26">
                  <c:v>-13.8</c:v>
                </c:pt>
                <c:pt idx="27">
                  <c:v>-12.2</c:v>
                </c:pt>
                <c:pt idx="28">
                  <c:v>-14.9</c:v>
                </c:pt>
                <c:pt idx="29">
                  <c:v>-14.9</c:v>
                </c:pt>
                <c:pt idx="30">
                  <c:v>-13.8</c:v>
                </c:pt>
                <c:pt idx="31">
                  <c:v>-11.2</c:v>
                </c:pt>
                <c:pt idx="32">
                  <c:v>-11.6</c:v>
                </c:pt>
                <c:pt idx="33">
                  <c:v>-11.5</c:v>
                </c:pt>
                <c:pt idx="34">
                  <c:v>-11</c:v>
                </c:pt>
                <c:pt idx="35">
                  <c:v>-12.1</c:v>
                </c:pt>
                <c:pt idx="36">
                  <c:v>-12.6</c:v>
                </c:pt>
                <c:pt idx="37">
                  <c:v>-12.4</c:v>
                </c:pt>
                <c:pt idx="38">
                  <c:v>-12.8</c:v>
                </c:pt>
                <c:pt idx="39">
                  <c:v>-13.9</c:v>
                </c:pt>
                <c:pt idx="40">
                  <c:v>-10.7</c:v>
                </c:pt>
                <c:pt idx="41">
                  <c:v>-10.9</c:v>
                </c:pt>
                <c:pt idx="42">
                  <c:v>-12.4</c:v>
                </c:pt>
                <c:pt idx="43">
                  <c:v>-16.8</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Sheet1!$B$4:$AS$4</c:f>
              <c:numCache>
                <c:formatCode>General</c:formatCode>
                <c:ptCount val="44"/>
                <c:pt idx="0">
                  <c:v>-12.5</c:v>
                </c:pt>
                <c:pt idx="1">
                  <c:v>-16</c:v>
                </c:pt>
                <c:pt idx="2">
                  <c:v>-13.6</c:v>
                </c:pt>
                <c:pt idx="3">
                  <c:v>-16.5</c:v>
                </c:pt>
                <c:pt idx="4">
                  <c:v>-19.5</c:v>
                </c:pt>
                <c:pt idx="5">
                  <c:v>-17.899999999999999</c:v>
                </c:pt>
                <c:pt idx="6">
                  <c:v>-20.9</c:v>
                </c:pt>
                <c:pt idx="7">
                  <c:v>-19.899999999999999</c:v>
                </c:pt>
                <c:pt idx="8">
                  <c:v>-20.9</c:v>
                </c:pt>
                <c:pt idx="9">
                  <c:v>-27.3</c:v>
                </c:pt>
                <c:pt idx="10">
                  <c:v>-30.6</c:v>
                </c:pt>
                <c:pt idx="11">
                  <c:v>-31</c:v>
                </c:pt>
                <c:pt idx="12" formatCode="0.0">
                  <c:v>-32.300000000000004</c:v>
                </c:pt>
                <c:pt idx="13" formatCode="0.0">
                  <c:v>-34.700000000000003</c:v>
                </c:pt>
                <c:pt idx="14" formatCode="0.0">
                  <c:v>-38</c:v>
                </c:pt>
                <c:pt idx="15" formatCode="0.0">
                  <c:v>-32</c:v>
                </c:pt>
                <c:pt idx="16" formatCode="0.0">
                  <c:v>-28.1</c:v>
                </c:pt>
                <c:pt idx="17" formatCode="0.0">
                  <c:v>-29.8</c:v>
                </c:pt>
                <c:pt idx="18" formatCode="0.0">
                  <c:v>-29.4</c:v>
                </c:pt>
                <c:pt idx="19" formatCode="0.0">
                  <c:v>-25.1</c:v>
                </c:pt>
                <c:pt idx="20" formatCode="0.0">
                  <c:v>-18.399999999999999</c:v>
                </c:pt>
                <c:pt idx="21" formatCode="0.0">
                  <c:v>-15</c:v>
                </c:pt>
                <c:pt idx="22" formatCode="0.0">
                  <c:v>-14.2</c:v>
                </c:pt>
                <c:pt idx="23" formatCode="0.0">
                  <c:v>-18.2</c:v>
                </c:pt>
                <c:pt idx="24" formatCode="0.0">
                  <c:v>-15.8</c:v>
                </c:pt>
                <c:pt idx="25">
                  <c:v>-13.5</c:v>
                </c:pt>
                <c:pt idx="26">
                  <c:v>-12.9</c:v>
                </c:pt>
                <c:pt idx="27">
                  <c:v>-10.5</c:v>
                </c:pt>
                <c:pt idx="28">
                  <c:v>-5.4</c:v>
                </c:pt>
                <c:pt idx="29">
                  <c:v>-3.3</c:v>
                </c:pt>
                <c:pt idx="30">
                  <c:v>-2.7</c:v>
                </c:pt>
                <c:pt idx="31">
                  <c:v>-0.70000000000000062</c:v>
                </c:pt>
                <c:pt idx="32">
                  <c:v>-1.6</c:v>
                </c:pt>
                <c:pt idx="33">
                  <c:v>-4.5</c:v>
                </c:pt>
                <c:pt idx="34">
                  <c:v>-6.2</c:v>
                </c:pt>
                <c:pt idx="35">
                  <c:v>-3.7</c:v>
                </c:pt>
                <c:pt idx="36">
                  <c:v>0.70000000000000062</c:v>
                </c:pt>
                <c:pt idx="37">
                  <c:v>-0.70000000000000062</c:v>
                </c:pt>
                <c:pt idx="38">
                  <c:v>0.30000000000000032</c:v>
                </c:pt>
                <c:pt idx="39">
                  <c:v>-1.6</c:v>
                </c:pt>
                <c:pt idx="40">
                  <c:v>-2.5</c:v>
                </c:pt>
                <c:pt idx="41">
                  <c:v>-2.1</c:v>
                </c:pt>
                <c:pt idx="42">
                  <c:v>0.4</c:v>
                </c:pt>
                <c:pt idx="43">
                  <c:v>-3.6</c:v>
                </c:pt>
              </c:numCache>
            </c:numRef>
          </c:val>
          <c:smooth val="1"/>
        </c:ser>
        <c:ser>
          <c:idx val="2"/>
          <c:order val="2"/>
          <c:tx>
            <c:strRef>
              <c:f>Sheet1!$A$5</c:f>
              <c:strCache>
                <c:ptCount val="1"/>
                <c:pt idx="0">
                  <c:v>LV</c:v>
                </c:pt>
              </c:strCache>
            </c:strRef>
          </c:tx>
          <c:spPr>
            <a:ln w="28575">
              <a:solidFill>
                <a:srgbClr val="FF0000"/>
              </a:solidFill>
              <a:prstDash val="solid"/>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Sheet1!$B$5:$AS$5</c:f>
              <c:numCache>
                <c:formatCode>General</c:formatCode>
                <c:ptCount val="44"/>
                <c:pt idx="0">
                  <c:v>-18.2</c:v>
                </c:pt>
                <c:pt idx="1">
                  <c:v>-18.3</c:v>
                </c:pt>
                <c:pt idx="2">
                  <c:v>-18.600000000000001</c:v>
                </c:pt>
                <c:pt idx="3">
                  <c:v>-23.1</c:v>
                </c:pt>
                <c:pt idx="4">
                  <c:v>-23.5</c:v>
                </c:pt>
                <c:pt idx="5">
                  <c:v>-26.6</c:v>
                </c:pt>
                <c:pt idx="6">
                  <c:v>-24.9</c:v>
                </c:pt>
                <c:pt idx="7">
                  <c:v>-26.1</c:v>
                </c:pt>
                <c:pt idx="8">
                  <c:v>-30.8</c:v>
                </c:pt>
                <c:pt idx="9">
                  <c:v>-32.800000000000004</c:v>
                </c:pt>
                <c:pt idx="10">
                  <c:v>-36.4</c:v>
                </c:pt>
                <c:pt idx="11">
                  <c:v>-47.4</c:v>
                </c:pt>
                <c:pt idx="12" formatCode="0.0">
                  <c:v>-52.9</c:v>
                </c:pt>
                <c:pt idx="13" formatCode="0.0">
                  <c:v>-53.8</c:v>
                </c:pt>
                <c:pt idx="14" formatCode="0.0">
                  <c:v>-51.4</c:v>
                </c:pt>
                <c:pt idx="15" formatCode="0.0">
                  <c:v>-40.9</c:v>
                </c:pt>
                <c:pt idx="16" formatCode="0.0">
                  <c:v>-38.700000000000003</c:v>
                </c:pt>
                <c:pt idx="17" formatCode="0.0">
                  <c:v>-50.3</c:v>
                </c:pt>
                <c:pt idx="18" formatCode="0.0">
                  <c:v>-54.9</c:v>
                </c:pt>
                <c:pt idx="19" formatCode="0.0">
                  <c:v>-53.8</c:v>
                </c:pt>
                <c:pt idx="20" formatCode="0.0">
                  <c:v>-51.1</c:v>
                </c:pt>
                <c:pt idx="21" formatCode="0.0">
                  <c:v>-52.6</c:v>
                </c:pt>
                <c:pt idx="22" formatCode="0.0">
                  <c:v>-49.2</c:v>
                </c:pt>
                <c:pt idx="23" formatCode="0.0">
                  <c:v>-51.8</c:v>
                </c:pt>
                <c:pt idx="24" formatCode="0.0">
                  <c:v>-40</c:v>
                </c:pt>
                <c:pt idx="25">
                  <c:v>-37.800000000000004</c:v>
                </c:pt>
                <c:pt idx="26">
                  <c:v>-31.9</c:v>
                </c:pt>
                <c:pt idx="27">
                  <c:v>-33.700000000000003</c:v>
                </c:pt>
                <c:pt idx="28">
                  <c:v>-29.1</c:v>
                </c:pt>
                <c:pt idx="29">
                  <c:v>-27.3</c:v>
                </c:pt>
                <c:pt idx="30">
                  <c:v>-29.3</c:v>
                </c:pt>
                <c:pt idx="31">
                  <c:v>-26.6</c:v>
                </c:pt>
                <c:pt idx="32">
                  <c:v>-27.5</c:v>
                </c:pt>
                <c:pt idx="33">
                  <c:v>-23.1</c:v>
                </c:pt>
                <c:pt idx="34">
                  <c:v>-24</c:v>
                </c:pt>
                <c:pt idx="35">
                  <c:v>-26.4</c:v>
                </c:pt>
                <c:pt idx="36">
                  <c:v>-23.2</c:v>
                </c:pt>
                <c:pt idx="37">
                  <c:v>-24.4</c:v>
                </c:pt>
                <c:pt idx="38">
                  <c:v>-25.3</c:v>
                </c:pt>
                <c:pt idx="39">
                  <c:v>-29.7</c:v>
                </c:pt>
                <c:pt idx="40">
                  <c:v>-26.2</c:v>
                </c:pt>
                <c:pt idx="41">
                  <c:v>-21.2</c:v>
                </c:pt>
                <c:pt idx="42">
                  <c:v>-20.9</c:v>
                </c:pt>
                <c:pt idx="43">
                  <c:v>-17.600000000000001</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Sheet1!$B$1:$AS$2</c:f>
              <c:multiLvlStrCache>
                <c:ptCount val="4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lvl>
                <c:lvl>
                  <c:pt idx="0">
                    <c:v>2008</c:v>
                  </c:pt>
                  <c:pt idx="12">
                    <c:v>2009</c:v>
                  </c:pt>
                  <c:pt idx="24">
                    <c:v>2010</c:v>
                  </c:pt>
                  <c:pt idx="36">
                    <c:v>2011</c:v>
                  </c:pt>
                </c:lvl>
              </c:multiLvlStrCache>
            </c:multiLvlStrRef>
          </c:cat>
          <c:val>
            <c:numRef>
              <c:f>Sheet1!$B$6:$AS$6</c:f>
              <c:numCache>
                <c:formatCode>General</c:formatCode>
                <c:ptCount val="44"/>
                <c:pt idx="0">
                  <c:v>-4.7</c:v>
                </c:pt>
                <c:pt idx="1">
                  <c:v>-4.5</c:v>
                </c:pt>
                <c:pt idx="2">
                  <c:v>-6.6</c:v>
                </c:pt>
                <c:pt idx="3">
                  <c:v>-11.1</c:v>
                </c:pt>
                <c:pt idx="4">
                  <c:v>-15.3</c:v>
                </c:pt>
                <c:pt idx="5">
                  <c:v>-21.6</c:v>
                </c:pt>
                <c:pt idx="6">
                  <c:v>-24.2</c:v>
                </c:pt>
                <c:pt idx="7">
                  <c:v>-26.7</c:v>
                </c:pt>
                <c:pt idx="8">
                  <c:v>-26.7</c:v>
                </c:pt>
                <c:pt idx="9">
                  <c:v>-33.5</c:v>
                </c:pt>
                <c:pt idx="10">
                  <c:v>-39.9</c:v>
                </c:pt>
                <c:pt idx="11">
                  <c:v>-50</c:v>
                </c:pt>
                <c:pt idx="12" formatCode="0.0">
                  <c:v>-56.1</c:v>
                </c:pt>
                <c:pt idx="13" formatCode="0.0">
                  <c:v>-53.5</c:v>
                </c:pt>
                <c:pt idx="14" formatCode="0.0">
                  <c:v>-53.4</c:v>
                </c:pt>
                <c:pt idx="15" formatCode="0.0">
                  <c:v>-53</c:v>
                </c:pt>
                <c:pt idx="16" formatCode="0.0">
                  <c:v>-49.6</c:v>
                </c:pt>
                <c:pt idx="17" formatCode="0.0">
                  <c:v>-44.5</c:v>
                </c:pt>
                <c:pt idx="18" formatCode="0.0">
                  <c:v>-45.3</c:v>
                </c:pt>
                <c:pt idx="19" formatCode="0.0">
                  <c:v>-48.4</c:v>
                </c:pt>
                <c:pt idx="20" formatCode="0.0">
                  <c:v>-42.1</c:v>
                </c:pt>
                <c:pt idx="21" formatCode="0.0">
                  <c:v>-46.4</c:v>
                </c:pt>
                <c:pt idx="22" formatCode="0.0">
                  <c:v>-48.6</c:v>
                </c:pt>
                <c:pt idx="23" formatCode="0.0">
                  <c:v>-47.7</c:v>
                </c:pt>
                <c:pt idx="24" formatCode="0.0">
                  <c:v>-44.2</c:v>
                </c:pt>
                <c:pt idx="25">
                  <c:v>-41.2</c:v>
                </c:pt>
                <c:pt idx="26">
                  <c:v>-38.9</c:v>
                </c:pt>
                <c:pt idx="27">
                  <c:v>-38.700000000000003</c:v>
                </c:pt>
                <c:pt idx="28">
                  <c:v>-37.700000000000003</c:v>
                </c:pt>
                <c:pt idx="29">
                  <c:v>-36.6</c:v>
                </c:pt>
                <c:pt idx="30">
                  <c:v>-31</c:v>
                </c:pt>
                <c:pt idx="31">
                  <c:v>-25.7</c:v>
                </c:pt>
                <c:pt idx="32">
                  <c:v>-27.3</c:v>
                </c:pt>
                <c:pt idx="33">
                  <c:v>-23.5</c:v>
                </c:pt>
                <c:pt idx="34">
                  <c:v>-22</c:v>
                </c:pt>
                <c:pt idx="35">
                  <c:v>-21.8</c:v>
                </c:pt>
                <c:pt idx="36">
                  <c:v>-20.9</c:v>
                </c:pt>
                <c:pt idx="37">
                  <c:v>-22.7</c:v>
                </c:pt>
                <c:pt idx="38">
                  <c:v>-21</c:v>
                </c:pt>
                <c:pt idx="39">
                  <c:v>-18.3</c:v>
                </c:pt>
                <c:pt idx="40">
                  <c:v>-15.6</c:v>
                </c:pt>
                <c:pt idx="41">
                  <c:v>-16</c:v>
                </c:pt>
                <c:pt idx="42">
                  <c:v>-15.3</c:v>
                </c:pt>
                <c:pt idx="43">
                  <c:v>-17.100000000000001</c:v>
                </c:pt>
              </c:numCache>
            </c:numRef>
          </c:val>
          <c:smooth val="1"/>
        </c:ser>
        <c:marker val="1"/>
        <c:axId val="155044096"/>
        <c:axId val="155078656"/>
      </c:lineChart>
      <c:catAx>
        <c:axId val="155044096"/>
        <c:scaling>
          <c:orientation val="minMax"/>
        </c:scaling>
        <c:axPos val="b"/>
        <c:majorGridlines>
          <c:spPr>
            <a:ln w="6350">
              <a:solidFill>
                <a:sysClr val="window" lastClr="FFFFFF">
                  <a:lumMod val="85000"/>
                </a:sysClr>
              </a:solidFill>
            </a:ln>
          </c:spPr>
        </c:majorGridlines>
        <c:numFmt formatCode="0.0" sourceLinked="1"/>
        <c:majorTickMark val="none"/>
        <c:tickLblPos val="low"/>
        <c:spPr>
          <a:ln w="6350">
            <a:solidFill>
              <a:sysClr val="windowText" lastClr="000000"/>
            </a:solidFill>
            <a:prstDash val="solid"/>
          </a:ln>
        </c:spPr>
        <c:txPr>
          <a:bodyPr rot="0" vert="horz"/>
          <a:lstStyle/>
          <a:p>
            <a:pPr>
              <a:defRPr lang="lv-LV" sz="600" b="0" i="0" u="none" strike="noStrike" baseline="0">
                <a:solidFill>
                  <a:srgbClr val="000000"/>
                </a:solidFill>
                <a:latin typeface="Arial" pitchFamily="34" charset="0"/>
                <a:ea typeface="Times New Roman"/>
                <a:cs typeface="Arial" pitchFamily="34" charset="0"/>
              </a:defRPr>
            </a:pPr>
            <a:endParaRPr lang="lv-LV"/>
          </a:p>
        </c:txPr>
        <c:crossAx val="155078656"/>
        <c:crosses val="autoZero"/>
        <c:lblAlgn val="ctr"/>
        <c:lblOffset val="0"/>
        <c:tickLblSkip val="1"/>
        <c:tickMarkSkip val="1"/>
        <c:noMultiLvlLbl val="1"/>
      </c:catAx>
      <c:valAx>
        <c:axId val="155078656"/>
        <c:scaling>
          <c:orientation val="minMax"/>
          <c:max val="10"/>
          <c:min val="-6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044096"/>
        <c:crosses val="autoZero"/>
        <c:crossBetween val="midCat"/>
        <c:majorUnit val="10"/>
      </c:valAx>
      <c:spPr>
        <a:noFill/>
        <a:ln w="12700">
          <a:solidFill>
            <a:sysClr val="window" lastClr="FFFFFF">
              <a:lumMod val="85000"/>
            </a:sysClr>
          </a:solidFill>
        </a:ln>
      </c:spPr>
    </c:plotArea>
    <c:legend>
      <c:legendPos val="b"/>
      <c:layout>
        <c:manualLayout>
          <c:xMode val="edge"/>
          <c:yMode val="edge"/>
          <c:x val="0.68716520824507465"/>
          <c:y val="0.65586395450569523"/>
          <c:w val="0.28507793668648562"/>
          <c:h val="0.21227307524059497"/>
        </c:manualLayout>
      </c:layout>
      <c:spPr>
        <a:solidFill>
          <a:sysClr val="window" lastClr="FFFFFF"/>
        </a:solidFill>
      </c:spPr>
      <c:txPr>
        <a:bodyPr/>
        <a:lstStyle/>
        <a:p>
          <a:pPr>
            <a:defRPr lang="lv-LV" sz="900" b="0" baseline="0">
              <a:latin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6576273148148388"/>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101.2</c:v>
                </c:pt>
                <c:pt idx="1">
                  <c:v>101.2</c:v>
                </c:pt>
                <c:pt idx="2">
                  <c:v>101.70599999999999</c:v>
                </c:pt>
                <c:pt idx="3">
                  <c:v>102.31623599999999</c:v>
                </c:pt>
                <c:pt idx="4">
                  <c:v>102.72550094399998</c:v>
                </c:pt>
                <c:pt idx="5">
                  <c:v>103.13640294777598</c:v>
                </c:pt>
                <c:pt idx="6">
                  <c:v>103.44581215661918</c:v>
                </c:pt>
                <c:pt idx="7">
                  <c:v>104.37682446602888</c:v>
                </c:pt>
                <c:pt idx="8">
                  <c:v>104.58557811496067</c:v>
                </c:pt>
                <c:pt idx="9">
                  <c:v>105.63143389611055</c:v>
                </c:pt>
                <c:pt idx="10">
                  <c:v>106.05395963169498</c:v>
                </c:pt>
                <c:pt idx="11">
                  <c:v>106.90239130874855</c:v>
                </c:pt>
                <c:pt idx="12">
                  <c:v>107.43690326529253</c:v>
                </c:pt>
                <c:pt idx="13">
                  <c:v>107.97408778161872</c:v>
                </c:pt>
                <c:pt idx="14">
                  <c:v>108.29801004496356</c:v>
                </c:pt>
                <c:pt idx="15">
                  <c:v>108.83950009518837</c:v>
                </c:pt>
                <c:pt idx="16">
                  <c:v>108.51298159490281</c:v>
                </c:pt>
                <c:pt idx="17">
                  <c:v>108.83852053968751</c:v>
                </c:pt>
                <c:pt idx="18">
                  <c:v>108.94735906022744</c:v>
                </c:pt>
                <c:pt idx="19">
                  <c:v>108.94735906022744</c:v>
                </c:pt>
                <c:pt idx="20">
                  <c:v>109.27420113740773</c:v>
                </c:pt>
                <c:pt idx="21">
                  <c:v>109.16492693627046</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100.4</c:v>
                </c:pt>
                <c:pt idx="1">
                  <c:v>101.10279999999995</c:v>
                </c:pt>
                <c:pt idx="2">
                  <c:v>101.81051959999999</c:v>
                </c:pt>
                <c:pt idx="3">
                  <c:v>102.21776167840002</c:v>
                </c:pt>
                <c:pt idx="4">
                  <c:v>104.67098795868128</c:v>
                </c:pt>
                <c:pt idx="5">
                  <c:v>108.43914352519427</c:v>
                </c:pt>
                <c:pt idx="6">
                  <c:v>109.19821752987049</c:v>
                </c:pt>
                <c:pt idx="7">
                  <c:v>110.07180327010946</c:v>
                </c:pt>
                <c:pt idx="8">
                  <c:v>112.38331113878145</c:v>
                </c:pt>
                <c:pt idx="9">
                  <c:v>112.72046107219808</c:v>
                </c:pt>
                <c:pt idx="10">
                  <c:v>114.97487029364204</c:v>
                </c:pt>
                <c:pt idx="11">
                  <c:v>113.4801969798247</c:v>
                </c:pt>
                <c:pt idx="12">
                  <c:v>112.23191481304663</c:v>
                </c:pt>
                <c:pt idx="13">
                  <c:v>112.23191481304663</c:v>
                </c:pt>
                <c:pt idx="14">
                  <c:v>110.43620417603789</c:v>
                </c:pt>
                <c:pt idx="15">
                  <c:v>111.76143862615034</c:v>
                </c:pt>
                <c:pt idx="16">
                  <c:v>111.64967718752396</c:v>
                </c:pt>
                <c:pt idx="17">
                  <c:v>109.86328235252354</c:v>
                </c:pt>
                <c:pt idx="18">
                  <c:v>109.75341907017129</c:v>
                </c:pt>
                <c:pt idx="19">
                  <c:v>110.74119984180304</c:v>
                </c:pt>
                <c:pt idx="20">
                  <c:v>111.18416464117028</c:v>
                </c:pt>
                <c:pt idx="21">
                  <c:v>111.85126962901742</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100.8</c:v>
                </c:pt>
                <c:pt idx="1">
                  <c:v>101.60639999999998</c:v>
                </c:pt>
                <c:pt idx="2">
                  <c:v>103.0288896</c:v>
                </c:pt>
                <c:pt idx="3">
                  <c:v>103.6470629376</c:v>
                </c:pt>
                <c:pt idx="4">
                  <c:v>104.78718062991381</c:v>
                </c:pt>
                <c:pt idx="5">
                  <c:v>105.93983961684263</c:v>
                </c:pt>
                <c:pt idx="6">
                  <c:v>107.10517785262758</c:v>
                </c:pt>
                <c:pt idx="7">
                  <c:v>107.74780891974366</c:v>
                </c:pt>
                <c:pt idx="8">
                  <c:v>107.96330453758303</c:v>
                </c:pt>
                <c:pt idx="9">
                  <c:v>108.39515775573348</c:v>
                </c:pt>
                <c:pt idx="10">
                  <c:v>108.06997228246615</c:v>
                </c:pt>
                <c:pt idx="11">
                  <c:v>108.06997228246615</c:v>
                </c:pt>
                <c:pt idx="12">
                  <c:v>105.2601530031223</c:v>
                </c:pt>
                <c:pt idx="13">
                  <c:v>102.10234841302822</c:v>
                </c:pt>
                <c:pt idx="14">
                  <c:v>94.342569933638345</c:v>
                </c:pt>
                <c:pt idx="15">
                  <c:v>91.417950265695779</c:v>
                </c:pt>
                <c:pt idx="16">
                  <c:v>90.960860514367127</c:v>
                </c:pt>
                <c:pt idx="17">
                  <c:v>90.233173630252196</c:v>
                </c:pt>
                <c:pt idx="18">
                  <c:v>89.872240935731</c:v>
                </c:pt>
                <c:pt idx="19">
                  <c:v>83.401439588358613</c:v>
                </c:pt>
                <c:pt idx="20">
                  <c:v>91.824984986782681</c:v>
                </c:pt>
                <c:pt idx="21">
                  <c:v>91.365860061848792</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101.6</c:v>
                </c:pt>
                <c:pt idx="1">
                  <c:v>100.58399999999999</c:v>
                </c:pt>
                <c:pt idx="2">
                  <c:v>102.89743199999998</c:v>
                </c:pt>
                <c:pt idx="3">
                  <c:v>103.00032943199997</c:v>
                </c:pt>
                <c:pt idx="4">
                  <c:v>104.44233404404802</c:v>
                </c:pt>
                <c:pt idx="5">
                  <c:v>104.44233404404802</c:v>
                </c:pt>
                <c:pt idx="6">
                  <c:v>105.69564205257633</c:v>
                </c:pt>
                <c:pt idx="7">
                  <c:v>106.75259847310231</c:v>
                </c:pt>
                <c:pt idx="8">
                  <c:v>110.59569201813395</c:v>
                </c:pt>
                <c:pt idx="9">
                  <c:v>112.58641447446041</c:v>
                </c:pt>
                <c:pt idx="10">
                  <c:v>114.16262427710286</c:v>
                </c:pt>
                <c:pt idx="11">
                  <c:v>114.84760002276549</c:v>
                </c:pt>
                <c:pt idx="12">
                  <c:v>112.09125762221925</c:v>
                </c:pt>
                <c:pt idx="13">
                  <c:v>111.30661881886344</c:v>
                </c:pt>
                <c:pt idx="14">
                  <c:v>110.63877910595016</c:v>
                </c:pt>
                <c:pt idx="15">
                  <c:v>109.31111375667899</c:v>
                </c:pt>
                <c:pt idx="16">
                  <c:v>107.78075816408536</c:v>
                </c:pt>
                <c:pt idx="17">
                  <c:v>107.78075816408536</c:v>
                </c:pt>
                <c:pt idx="18">
                  <c:v>106.7029505824445</c:v>
                </c:pt>
                <c:pt idx="19">
                  <c:v>105.95602992836777</c:v>
                </c:pt>
                <c:pt idx="20">
                  <c:v>108.39301861671983</c:v>
                </c:pt>
                <c:pt idx="21">
                  <c:v>108.39301861671983</c:v>
                </c:pt>
              </c:numCache>
            </c:numRef>
          </c:val>
          <c:smooth val="1"/>
        </c:ser>
        <c:marker val="1"/>
        <c:axId val="154950656"/>
        <c:axId val="155222784"/>
      </c:lineChart>
      <c:catAx>
        <c:axId val="154950656"/>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5222784"/>
        <c:crosses val="autoZero"/>
        <c:auto val="1"/>
        <c:lblAlgn val="ctr"/>
        <c:lblOffset val="0"/>
        <c:tickLblSkip val="1"/>
        <c:tickMarkSkip val="1"/>
        <c:noMultiLvlLbl val="1"/>
      </c:catAx>
      <c:valAx>
        <c:axId val="155222784"/>
        <c:scaling>
          <c:orientation val="minMax"/>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4950656"/>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7019330238443386"/>
          <c:y val="0.5484143518518485"/>
          <c:w val="0.44760214419451633"/>
          <c:h val="0.16507754629629634"/>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4.0000000000000079E-3</c:v>
                </c:pt>
                <c:pt idx="1">
                  <c:v>-1.1000000000000024E-2</c:v>
                </c:pt>
                <c:pt idx="2">
                  <c:v>-5.2000000000000032E-2</c:v>
                </c:pt>
                <c:pt idx="3">
                  <c:v>-1.1000000000000024E-2</c:v>
                </c:pt>
                <c:pt idx="4">
                  <c:v>2.0000000000000039E-3</c:v>
                </c:pt>
                <c:pt idx="5">
                  <c:v>-2.3E-2</c:v>
                </c:pt>
                <c:pt idx="6">
                  <c:v>-1.4999999999999998E-2</c:v>
                </c:pt>
                <c:pt idx="7">
                  <c:v>-8.0000000000000175E-3</c:v>
                </c:pt>
                <c:pt idx="8">
                  <c:v>-2.0000000000000039E-3</c:v>
                </c:pt>
                <c:pt idx="9">
                  <c:v>1.9000000000000031E-2</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General</c:formatCode>
                <c:ptCount val="10"/>
                <c:pt idx="0">
                  <c:v>-1.6000000000000021E-2</c:v>
                </c:pt>
                <c:pt idx="1">
                  <c:v>-7.2000000000000022E-2</c:v>
                </c:pt>
                <c:pt idx="2">
                  <c:v>-0.127</c:v>
                </c:pt>
                <c:pt idx="3">
                  <c:v>-0.14500000000000021</c:v>
                </c:pt>
                <c:pt idx="4">
                  <c:v>-0.13300000000000001</c:v>
                </c:pt>
                <c:pt idx="5">
                  <c:v>-0.126</c:v>
                </c:pt>
                <c:pt idx="6">
                  <c:v>-4.7000000000000014E-2</c:v>
                </c:pt>
                <c:pt idx="7">
                  <c:v>-7.9000000000000126E-2</c:v>
                </c:pt>
                <c:pt idx="8">
                  <c:v>6.0000000000000088E-3</c:v>
                </c:pt>
                <c:pt idx="9">
                  <c:v>1.3000000000000001E-2</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General</c:formatCode>
                <c:ptCount val="10"/>
                <c:pt idx="0">
                  <c:v>1.8000000000000023E-2</c:v>
                </c:pt>
                <c:pt idx="1">
                  <c:v>-7.000000000000008E-3</c:v>
                </c:pt>
                <c:pt idx="2">
                  <c:v>-3.4000000000000002E-2</c:v>
                </c:pt>
                <c:pt idx="3">
                  <c:v>-4.7000000000000014E-2</c:v>
                </c:pt>
                <c:pt idx="4">
                  <c:v>-2.4E-2</c:v>
                </c:pt>
                <c:pt idx="5">
                  <c:v>-2.1000000000000012E-2</c:v>
                </c:pt>
                <c:pt idx="6">
                  <c:v>-5.3000000000000012E-2</c:v>
                </c:pt>
                <c:pt idx="7">
                  <c:v>-4.0000000000000022E-2</c:v>
                </c:pt>
                <c:pt idx="8">
                  <c:v>1.1000000000000024E-2</c:v>
                </c:pt>
                <c:pt idx="9">
                  <c:v>8.0000000000000175E-3</c:v>
                </c:pt>
              </c:numCache>
            </c:numRef>
          </c:val>
        </c:ser>
        <c:gapWidth val="75"/>
        <c:overlap val="-25"/>
        <c:axId val="155521792"/>
        <c:axId val="155523712"/>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6"/>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2.3E-2</c:v>
                </c:pt>
                <c:pt idx="1">
                  <c:v>2.1000000000000012E-2</c:v>
                </c:pt>
                <c:pt idx="2">
                  <c:v>1.8000000000000023E-2</c:v>
                </c:pt>
                <c:pt idx="3">
                  <c:v>2.5000000000000001E-2</c:v>
                </c:pt>
                <c:pt idx="4">
                  <c:v>7.000000000000008E-3</c:v>
                </c:pt>
                <c:pt idx="5">
                  <c:v>1.0000000000000005E-2</c:v>
                </c:pt>
                <c:pt idx="6">
                  <c:v>7.000000000000008E-3</c:v>
                </c:pt>
                <c:pt idx="7">
                  <c:v>2.0000000000000039E-3</c:v>
                </c:pt>
                <c:pt idx="8">
                  <c:v>8.0000000000000175E-3</c:v>
                </c:pt>
                <c:pt idx="9">
                  <c:v>9.0000000000000028E-3</c:v>
                </c:pt>
              </c:numCache>
            </c:numRef>
          </c:val>
        </c:ser>
        <c:marker val="1"/>
        <c:axId val="155521792"/>
        <c:axId val="155523712"/>
      </c:lineChart>
      <c:catAx>
        <c:axId val="155521792"/>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523712"/>
        <c:crosses val="autoZero"/>
        <c:auto val="1"/>
        <c:lblAlgn val="ctr"/>
        <c:lblOffset val="0"/>
        <c:tickLblSkip val="1"/>
        <c:tickMarkSkip val="1"/>
        <c:noMultiLvlLbl val="1"/>
      </c:catAx>
      <c:valAx>
        <c:axId val="155523712"/>
        <c:scaling>
          <c:orientation val="minMax"/>
          <c:min val="-0.15000000000000024"/>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521792"/>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66374990254931288"/>
          <c:y val="0.56055034722222108"/>
          <c:w val="0.28344481692264745"/>
          <c:h val="0.24846122685185218"/>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3019997093222"/>
          <c:y val="5.4794520547950934E-2"/>
          <c:w val="0.85980595199041165"/>
          <c:h val="0.74165611111111163"/>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100.69999999999999</c:v>
                </c:pt>
                <c:pt idx="1">
                  <c:v>103.82169999999999</c:v>
                </c:pt>
                <c:pt idx="2">
                  <c:v>105.48284719999984</c:v>
                </c:pt>
                <c:pt idx="3">
                  <c:v>107.80346983839998</c:v>
                </c:pt>
                <c:pt idx="4">
                  <c:v>109.52832535581435</c:v>
                </c:pt>
                <c:pt idx="5">
                  <c:v>109.63785368117043</c:v>
                </c:pt>
                <c:pt idx="6">
                  <c:v>110.51495651061953</c:v>
                </c:pt>
                <c:pt idx="7">
                  <c:v>112.5042257278109</c:v>
                </c:pt>
                <c:pt idx="8">
                  <c:v>112.16671305062725</c:v>
                </c:pt>
                <c:pt idx="9">
                  <c:v>111.15721263317161</c:v>
                </c:pt>
                <c:pt idx="10">
                  <c:v>108.93406838050819</c:v>
                </c:pt>
                <c:pt idx="11">
                  <c:v>105.12137598719038</c:v>
                </c:pt>
                <c:pt idx="12">
                  <c:v>98.919214803946289</c:v>
                </c:pt>
                <c:pt idx="13">
                  <c:v>95.555961500611858</c:v>
                </c:pt>
                <c:pt idx="14">
                  <c:v>94.504845924105297</c:v>
                </c:pt>
                <c:pt idx="15">
                  <c:v>93.748807156712388</c:v>
                </c:pt>
                <c:pt idx="16">
                  <c:v>93.561309542398973</c:v>
                </c:pt>
                <c:pt idx="17">
                  <c:v>95.245413114162162</c:v>
                </c:pt>
                <c:pt idx="18">
                  <c:v>95.721640179732972</c:v>
                </c:pt>
                <c:pt idx="19">
                  <c:v>95.625918539552927</c:v>
                </c:pt>
                <c:pt idx="20" formatCode="General">
                  <c:v>96.773429562027871</c:v>
                </c:pt>
                <c:pt idx="21" formatCode="General">
                  <c:v>97.160523280276209</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110.60000000000001</c:v>
                </c:pt>
                <c:pt idx="1">
                  <c:v>109.27279999999998</c:v>
                </c:pt>
                <c:pt idx="2">
                  <c:v>124.02462800000002</c:v>
                </c:pt>
                <c:pt idx="3">
                  <c:v>126.13304667599998</c:v>
                </c:pt>
                <c:pt idx="4">
                  <c:v>132.43969900979999</c:v>
                </c:pt>
                <c:pt idx="5">
                  <c:v>131.5126211167314</c:v>
                </c:pt>
                <c:pt idx="6">
                  <c:v>125.85757840871182</c:v>
                </c:pt>
                <c:pt idx="7">
                  <c:v>124.09557231098968</c:v>
                </c:pt>
                <c:pt idx="8">
                  <c:v>119.87632285241602</c:v>
                </c:pt>
                <c:pt idx="9">
                  <c:v>116.99929110395833</c:v>
                </c:pt>
                <c:pt idx="10">
                  <c:v>105.65035986687424</c:v>
                </c:pt>
                <c:pt idx="11">
                  <c:v>94.134470641385064</c:v>
                </c:pt>
                <c:pt idx="12">
                  <c:v>78.319879573632349</c:v>
                </c:pt>
                <c:pt idx="13">
                  <c:v>65.867018721424685</c:v>
                </c:pt>
                <c:pt idx="14">
                  <c:v>65.208348534210558</c:v>
                </c:pt>
                <c:pt idx="15">
                  <c:v>62.013139456034224</c:v>
                </c:pt>
                <c:pt idx="16">
                  <c:v>58.478390507040274</c:v>
                </c:pt>
                <c:pt idx="17">
                  <c:v>61.460788422899334</c:v>
                </c:pt>
                <c:pt idx="18">
                  <c:v>59.186739251251993</c:v>
                </c:pt>
                <c:pt idx="19">
                  <c:v>67.591256224929836</c:v>
                </c:pt>
                <c:pt idx="20" formatCode="General">
                  <c:v>70.430088986376887</c:v>
                </c:pt>
                <c:pt idx="21" formatCode="General">
                  <c:v>70.5005190753634</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102.2</c:v>
                </c:pt>
                <c:pt idx="1">
                  <c:v>107.61659999999999</c:v>
                </c:pt>
                <c:pt idx="2">
                  <c:v>114.61167899999998</c:v>
                </c:pt>
                <c:pt idx="3">
                  <c:v>115.98701914799999</c:v>
                </c:pt>
                <c:pt idx="4">
                  <c:v>122.36630520113998</c:v>
                </c:pt>
                <c:pt idx="5">
                  <c:v>121.02027584392744</c:v>
                </c:pt>
                <c:pt idx="6">
                  <c:v>118.96293115458043</c:v>
                </c:pt>
                <c:pt idx="7">
                  <c:v>116.3457466691799</c:v>
                </c:pt>
                <c:pt idx="8">
                  <c:v>114.71690621581139</c:v>
                </c:pt>
                <c:pt idx="9">
                  <c:v>106.5720058744885</c:v>
                </c:pt>
                <c:pt idx="10">
                  <c:v>99.325109475023538</c:v>
                </c:pt>
                <c:pt idx="11">
                  <c:v>91.08112538859659</c:v>
                </c:pt>
                <c:pt idx="12">
                  <c:v>81.062201595850951</c:v>
                </c:pt>
                <c:pt idx="13">
                  <c:v>66.714191913385335</c:v>
                </c:pt>
                <c:pt idx="14">
                  <c:v>59.842630146306647</c:v>
                </c:pt>
                <c:pt idx="15">
                  <c:v>53.858367131675976</c:v>
                </c:pt>
                <c:pt idx="16">
                  <c:v>47.126071240216476</c:v>
                </c:pt>
                <c:pt idx="17">
                  <c:v>41.895077332552461</c:v>
                </c:pt>
                <c:pt idx="18">
                  <c:v>60.287016281542975</c:v>
                </c:pt>
                <c:pt idx="19">
                  <c:v>53.233435376602451</c:v>
                </c:pt>
                <c:pt idx="20" formatCode="General">
                  <c:v>61.697551601482225</c:v>
                </c:pt>
                <c:pt idx="21" formatCode="General">
                  <c:v>50.653689864816833</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94.7</c:v>
                </c:pt>
                <c:pt idx="1">
                  <c:v>102.18129999999999</c:v>
                </c:pt>
                <c:pt idx="2">
                  <c:v>113.93214949999999</c:v>
                </c:pt>
                <c:pt idx="3">
                  <c:v>122.81885716099985</c:v>
                </c:pt>
                <c:pt idx="4">
                  <c:v>127.60879259027882</c:v>
                </c:pt>
                <c:pt idx="5">
                  <c:v>133.09597067166095</c:v>
                </c:pt>
                <c:pt idx="6">
                  <c:v>138.95219338121444</c:v>
                </c:pt>
                <c:pt idx="7">
                  <c:v>123.94535649604293</c:v>
                </c:pt>
                <c:pt idx="8">
                  <c:v>131.13418717281343</c:v>
                </c:pt>
                <c:pt idx="9">
                  <c:v>134.01913929061533</c:v>
                </c:pt>
                <c:pt idx="10">
                  <c:v>118.33889999361334</c:v>
                </c:pt>
                <c:pt idx="11">
                  <c:v>104.25657089437335</c:v>
                </c:pt>
                <c:pt idx="12">
                  <c:v>89.556394398266619</c:v>
                </c:pt>
                <c:pt idx="13">
                  <c:v>72.540679462596032</c:v>
                </c:pt>
                <c:pt idx="14">
                  <c:v>67.172669182363919</c:v>
                </c:pt>
                <c:pt idx="15">
                  <c:v>67.239841851546259</c:v>
                </c:pt>
                <c:pt idx="16">
                  <c:v>64.214048968226692</c:v>
                </c:pt>
                <c:pt idx="17">
                  <c:v>71.662878648540826</c:v>
                </c:pt>
                <c:pt idx="18">
                  <c:v>80.764064236905696</c:v>
                </c:pt>
                <c:pt idx="19">
                  <c:v>78.906490759456858</c:v>
                </c:pt>
                <c:pt idx="20" formatCode="General">
                  <c:v>88.848708595148409</c:v>
                </c:pt>
                <c:pt idx="21" formatCode="General">
                  <c:v>86.094398628698812</c:v>
                </c:pt>
              </c:numCache>
            </c:numRef>
          </c:val>
          <c:smooth val="1"/>
        </c:ser>
        <c:marker val="1"/>
        <c:axId val="155359104"/>
        <c:axId val="155360640"/>
      </c:lineChart>
      <c:catAx>
        <c:axId val="155359104"/>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5360640"/>
        <c:crosses val="autoZero"/>
        <c:auto val="1"/>
        <c:lblAlgn val="ctr"/>
        <c:lblOffset val="0"/>
        <c:tickLblSkip val="1"/>
        <c:tickMarkSkip val="1"/>
        <c:noMultiLvlLbl val="1"/>
      </c:catAx>
      <c:valAx>
        <c:axId val="155360640"/>
        <c:scaling>
          <c:orientation val="minMax"/>
          <c:max val="140"/>
          <c:min val="4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5359104"/>
        <c:crosses val="autoZero"/>
        <c:crossBetween val="between"/>
        <c:majorUnit val="20"/>
      </c:valAx>
      <c:spPr>
        <a:solidFill>
          <a:sysClr val="window" lastClr="FFFFFF"/>
        </a:solidFill>
        <a:ln w="6350">
          <a:solidFill>
            <a:sysClr val="window" lastClr="FFFFFF">
              <a:lumMod val="75000"/>
            </a:sysClr>
          </a:solidFill>
        </a:ln>
      </c:spPr>
    </c:plotArea>
    <c:legend>
      <c:legendPos val="b"/>
      <c:layout>
        <c:manualLayout>
          <c:xMode val="edge"/>
          <c:yMode val="edge"/>
          <c:x val="0.18322261834534526"/>
          <c:y val="0.57781249999999951"/>
          <c:w val="0.43878598237110794"/>
          <c:h val="0.16654687500000001"/>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5900262467191602"/>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Sheet1!$B$4:$O$4</c:f>
              <c:numCache>
                <c:formatCode>0.000</c:formatCode>
                <c:ptCount val="10"/>
                <c:pt idx="0">
                  <c:v>-0.34500000000000008</c:v>
                </c:pt>
                <c:pt idx="1">
                  <c:v>-0.4380000000000005</c:v>
                </c:pt>
                <c:pt idx="2">
                  <c:v>-0.38900000000000057</c:v>
                </c:pt>
                <c:pt idx="3">
                  <c:v>-0.33700000000000063</c:v>
                </c:pt>
                <c:pt idx="4">
                  <c:v>-0.25800000000000001</c:v>
                </c:pt>
                <c:pt idx="5">
                  <c:v>-7.6999999999999999E-2</c:v>
                </c:pt>
                <c:pt idx="6">
                  <c:v>-0.113</c:v>
                </c:pt>
                <c:pt idx="7">
                  <c:v>8.5000000000000006E-2</c:v>
                </c:pt>
                <c:pt idx="8">
                  <c:v>0.20600000000000004</c:v>
                </c:pt>
                <c:pt idx="9">
                  <c:v>0.15100000000000025</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Sheet1!$B$5:$O$5</c:f>
              <c:numCache>
                <c:formatCode>General</c:formatCode>
                <c:ptCount val="10"/>
                <c:pt idx="0">
                  <c:v>-0.34300000000000008</c:v>
                </c:pt>
                <c:pt idx="1">
                  <c:v>-0.36700000000000038</c:v>
                </c:pt>
                <c:pt idx="2">
                  <c:v>-0.39500000000000063</c:v>
                </c:pt>
                <c:pt idx="3">
                  <c:v>-0.38400000000000056</c:v>
                </c:pt>
                <c:pt idx="4">
                  <c:v>-0.441</c:v>
                </c:pt>
                <c:pt idx="5">
                  <c:v>-0.36100000000000032</c:v>
                </c:pt>
                <c:pt idx="6">
                  <c:v>7.000000000000008E-3</c:v>
                </c:pt>
                <c:pt idx="7">
                  <c:v>-8.0000000000000175E-3</c:v>
                </c:pt>
                <c:pt idx="8">
                  <c:v>0.28600000000000031</c:v>
                </c:pt>
                <c:pt idx="9">
                  <c:v>0.21700000000000025</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Sheet1!$B$6:$O$6</c:f>
              <c:numCache>
                <c:formatCode>General</c:formatCode>
                <c:ptCount val="10"/>
                <c:pt idx="0">
                  <c:v>-0.40200000000000002</c:v>
                </c:pt>
                <c:pt idx="1">
                  <c:v>-0.44400000000000001</c:v>
                </c:pt>
                <c:pt idx="2">
                  <c:v>-0.41000000000000031</c:v>
                </c:pt>
                <c:pt idx="3">
                  <c:v>-0.34100000000000008</c:v>
                </c:pt>
                <c:pt idx="4">
                  <c:v>-0.30000000000000032</c:v>
                </c:pt>
                <c:pt idx="5">
                  <c:v>-5.5000000000000014E-2</c:v>
                </c:pt>
                <c:pt idx="6">
                  <c:v>0.15000000000000024</c:v>
                </c:pt>
                <c:pt idx="7">
                  <c:v>0.13900000000000001</c:v>
                </c:pt>
                <c:pt idx="8">
                  <c:v>0.41000000000000031</c:v>
                </c:pt>
                <c:pt idx="9">
                  <c:v>0.23100000000000001</c:v>
                </c:pt>
              </c:numCache>
            </c:numRef>
          </c:val>
        </c:ser>
        <c:gapWidth val="75"/>
        <c:overlap val="-25"/>
        <c:axId val="155639168"/>
        <c:axId val="155719168"/>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0"/>
                <c:lvl>
                  <c:pt idx="0">
                    <c:v>I</c:v>
                  </c:pt>
                  <c:pt idx="1">
                    <c:v>II</c:v>
                  </c:pt>
                  <c:pt idx="2">
                    <c:v>III</c:v>
                  </c:pt>
                  <c:pt idx="3">
                    <c:v>IV</c:v>
                  </c:pt>
                  <c:pt idx="4">
                    <c:v>I</c:v>
                  </c:pt>
                  <c:pt idx="5">
                    <c:v>II</c:v>
                  </c:pt>
                  <c:pt idx="6">
                    <c:v>III</c:v>
                  </c:pt>
                  <c:pt idx="7">
                    <c:v>IV</c:v>
                  </c:pt>
                  <c:pt idx="8">
                    <c:v>I</c:v>
                  </c:pt>
                  <c:pt idx="9">
                    <c:v>II</c:v>
                  </c:pt>
                </c:lvl>
                <c:lvl>
                  <c:pt idx="0">
                    <c:v>2009</c:v>
                  </c:pt>
                  <c:pt idx="4">
                    <c:v>2010</c:v>
                  </c:pt>
                  <c:pt idx="8">
                    <c:v>2011</c:v>
                  </c:pt>
                </c:lvl>
              </c:multiLvlStrCache>
            </c:multiLvlStrRef>
          </c:cat>
          <c:val>
            <c:numRef>
              <c:f>Sheet1!$B$3:$O$3</c:f>
              <c:numCache>
                <c:formatCode>0.000</c:formatCode>
                <c:ptCount val="10"/>
                <c:pt idx="0">
                  <c:v>-0.12300000000000012</c:v>
                </c:pt>
                <c:pt idx="1">
                  <c:v>-0.14800000000000021</c:v>
                </c:pt>
                <c:pt idx="2">
                  <c:v>-0.128</c:v>
                </c:pt>
                <c:pt idx="3">
                  <c:v>-0.10300000000000002</c:v>
                </c:pt>
                <c:pt idx="4">
                  <c:v>-5.4000000000000034E-2</c:v>
                </c:pt>
                <c:pt idx="5">
                  <c:v>2.0000000000000039E-3</c:v>
                </c:pt>
                <c:pt idx="6">
                  <c:v>9.0000000000000028E-3</c:v>
                </c:pt>
                <c:pt idx="7">
                  <c:v>1.7000000000000001E-2</c:v>
                </c:pt>
                <c:pt idx="8">
                  <c:v>3.3000000000000002E-2</c:v>
                </c:pt>
                <c:pt idx="9">
                  <c:v>2.4E-2</c:v>
                </c:pt>
              </c:numCache>
            </c:numRef>
          </c:val>
        </c:ser>
        <c:marker val="1"/>
        <c:axId val="155639168"/>
        <c:axId val="155719168"/>
      </c:lineChart>
      <c:catAx>
        <c:axId val="155639168"/>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719168"/>
        <c:crosses val="autoZero"/>
        <c:auto val="1"/>
        <c:lblAlgn val="ctr"/>
        <c:lblOffset val="0"/>
        <c:tickLblSkip val="1"/>
        <c:tickMarkSkip val="1"/>
        <c:noMultiLvlLbl val="1"/>
      </c:catAx>
      <c:valAx>
        <c:axId val="155719168"/>
        <c:scaling>
          <c:orientation val="minMax"/>
          <c:min val="-0.5"/>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639168"/>
        <c:crosses val="autoZero"/>
        <c:crossBetween val="between"/>
      </c:valAx>
      <c:spPr>
        <a:solidFill>
          <a:sysClr val="window" lastClr="FFFFFF"/>
        </a:solidFill>
        <a:ln w="6350">
          <a:solidFill>
            <a:sysClr val="window" lastClr="FFFFFF">
              <a:lumMod val="75000"/>
            </a:sysClr>
          </a:solidFill>
        </a:ln>
      </c:spPr>
    </c:plotArea>
    <c:legend>
      <c:legendPos val="b"/>
      <c:layout>
        <c:manualLayout>
          <c:xMode val="edge"/>
          <c:yMode val="edge"/>
          <c:x val="0.14889841740079551"/>
          <c:y val="5.3432291666666805E-2"/>
          <c:w val="0.40665713815476034"/>
          <c:h val="0.14556770833333341"/>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1568049107928E-2"/>
          <c:y val="5.4794520547950934E-2"/>
          <c:w val="0.88586456008959791"/>
          <c:h val="0.78046180555555555"/>
        </c:manualLayout>
      </c:layout>
      <c:lineChart>
        <c:grouping val="standard"/>
        <c:ser>
          <c:idx val="1"/>
          <c:order val="0"/>
          <c:tx>
            <c:strRef>
              <c:f>Sheet1!$A$3</c:f>
              <c:strCache>
                <c:ptCount val="1"/>
                <c:pt idx="0">
                  <c:v>EU27</c:v>
                </c:pt>
              </c:strCache>
            </c:strRef>
          </c:tx>
          <c:spPr>
            <a:ln w="9525">
              <a:solidFill>
                <a:srgbClr val="000000"/>
              </a:solidFill>
              <a:prstDash val="solid"/>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Sheet1!$B$3:$W$3</c:f>
              <c:numCache>
                <c:formatCode>0.0</c:formatCode>
                <c:ptCount val="22"/>
                <c:pt idx="0">
                  <c:v>103.8</c:v>
                </c:pt>
                <c:pt idx="1">
                  <c:v>105.77219999999998</c:v>
                </c:pt>
                <c:pt idx="2">
                  <c:v>105.24333899999998</c:v>
                </c:pt>
                <c:pt idx="3">
                  <c:v>108.61112584799999</c:v>
                </c:pt>
                <c:pt idx="4">
                  <c:v>110.02307048402398</c:v>
                </c:pt>
                <c:pt idx="5">
                  <c:v>110.68320890692799</c:v>
                </c:pt>
                <c:pt idx="6">
                  <c:v>112.56482345834614</c:v>
                </c:pt>
                <c:pt idx="7">
                  <c:v>113.57790686947098</c:v>
                </c:pt>
                <c:pt idx="8">
                  <c:v>116.19019872746867</c:v>
                </c:pt>
                <c:pt idx="9">
                  <c:v>115.49305753510399</c:v>
                </c:pt>
                <c:pt idx="10">
                  <c:v>113.87615472961252</c:v>
                </c:pt>
                <c:pt idx="11">
                  <c:v>107.27133775529482</c:v>
                </c:pt>
                <c:pt idx="12">
                  <c:v>98.475088059360758</c:v>
                </c:pt>
                <c:pt idx="13">
                  <c:v>97.293387002648458</c:v>
                </c:pt>
                <c:pt idx="14">
                  <c:v>99.725721677714688</c:v>
                </c:pt>
                <c:pt idx="15">
                  <c:v>101.81996183294665</c:v>
                </c:pt>
                <c:pt idx="16">
                  <c:v>104.772740726102</c:v>
                </c:pt>
                <c:pt idx="17">
                  <c:v>108.96365035514634</c:v>
                </c:pt>
                <c:pt idx="18">
                  <c:v>110.81603241118356</c:v>
                </c:pt>
                <c:pt idx="19">
                  <c:v>112.58908892976261</c:v>
                </c:pt>
                <c:pt idx="20" formatCode="General">
                  <c:v>115.0660488862174</c:v>
                </c:pt>
                <c:pt idx="21" formatCode="General">
                  <c:v>115.75644517953454</c:v>
                </c:pt>
              </c:numCache>
            </c:numRef>
          </c:val>
          <c:smooth val="1"/>
        </c:ser>
        <c:ser>
          <c:idx val="0"/>
          <c:order val="1"/>
          <c:tx>
            <c:strRef>
              <c:f>Sheet1!$A$4</c:f>
              <c:strCache>
                <c:ptCount val="1"/>
                <c:pt idx="0">
                  <c:v>EE</c:v>
                </c:pt>
              </c:strCache>
            </c:strRef>
          </c:tx>
          <c:spPr>
            <a:ln w="12700">
              <a:solidFill>
                <a:srgbClr val="000000"/>
              </a:solidFill>
              <a:prstDash val="sysDot"/>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Sheet1!$B$4:$W$4</c:f>
              <c:numCache>
                <c:formatCode>0.0</c:formatCode>
                <c:ptCount val="22"/>
                <c:pt idx="0">
                  <c:v>97.899999999999991</c:v>
                </c:pt>
                <c:pt idx="1">
                  <c:v>101.03279999999998</c:v>
                </c:pt>
                <c:pt idx="2">
                  <c:v>100.527636</c:v>
                </c:pt>
                <c:pt idx="3">
                  <c:v>100.326580728</c:v>
                </c:pt>
                <c:pt idx="4">
                  <c:v>103.33637814983977</c:v>
                </c:pt>
                <c:pt idx="5">
                  <c:v>105.40310571283678</c:v>
                </c:pt>
                <c:pt idx="6">
                  <c:v>100.87077216718443</c:v>
                </c:pt>
                <c:pt idx="7">
                  <c:v>104.80473228170503</c:v>
                </c:pt>
                <c:pt idx="8">
                  <c:v>106.69121746277582</c:v>
                </c:pt>
                <c:pt idx="9">
                  <c:v>105.30423163575961</c:v>
                </c:pt>
                <c:pt idx="10">
                  <c:v>106.14666548884597</c:v>
                </c:pt>
                <c:pt idx="11">
                  <c:v>98.716398904626459</c:v>
                </c:pt>
                <c:pt idx="12">
                  <c:v>86.672998238261826</c:v>
                </c:pt>
                <c:pt idx="13">
                  <c:v>82.859386315778309</c:v>
                </c:pt>
                <c:pt idx="14">
                  <c:v>84.682292814725415</c:v>
                </c:pt>
                <c:pt idx="15">
                  <c:v>85.105704278799067</c:v>
                </c:pt>
                <c:pt idx="16">
                  <c:v>91.403526395430447</c:v>
                </c:pt>
                <c:pt idx="17">
                  <c:v>98.807212033460289</c:v>
                </c:pt>
                <c:pt idx="18">
                  <c:v>107.69986111647145</c:v>
                </c:pt>
                <c:pt idx="19">
                  <c:v>117.93134792253655</c:v>
                </c:pt>
                <c:pt idx="20" formatCode="General">
                  <c:v>124.0637780145082</c:v>
                </c:pt>
                <c:pt idx="21" formatCode="General">
                  <c:v>130.88728580530668</c:v>
                </c:pt>
              </c:numCache>
            </c:numRef>
          </c:val>
          <c:smooth val="1"/>
        </c:ser>
        <c:ser>
          <c:idx val="2"/>
          <c:order val="2"/>
          <c:tx>
            <c:strRef>
              <c:f>Sheet1!$A$5</c:f>
              <c:strCache>
                <c:ptCount val="1"/>
                <c:pt idx="0">
                  <c:v>LV</c:v>
                </c:pt>
              </c:strCache>
            </c:strRef>
          </c:tx>
          <c:spPr>
            <a:ln>
              <a:solidFill>
                <a:srgbClr val="FF0000"/>
              </a:solidFill>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Sheet1!$B$5:$W$5</c:f>
              <c:numCache>
                <c:formatCode>0.0</c:formatCode>
                <c:ptCount val="22"/>
                <c:pt idx="0">
                  <c:v>94.8</c:v>
                </c:pt>
                <c:pt idx="1">
                  <c:v>98.307599999999994</c:v>
                </c:pt>
                <c:pt idx="2">
                  <c:v>100.56867479999998</c:v>
                </c:pt>
                <c:pt idx="3">
                  <c:v>101.67493022279972</c:v>
                </c:pt>
                <c:pt idx="4">
                  <c:v>104.52182826903839</c:v>
                </c:pt>
                <c:pt idx="5">
                  <c:v>106.71678666268818</c:v>
                </c:pt>
                <c:pt idx="6">
                  <c:v>109.38470632925538</c:v>
                </c:pt>
                <c:pt idx="7">
                  <c:v>113.43194046343795</c:v>
                </c:pt>
                <c:pt idx="8">
                  <c:v>112.41105299926703</c:v>
                </c:pt>
                <c:pt idx="9">
                  <c:v>111.51176457527298</c:v>
                </c:pt>
                <c:pt idx="10">
                  <c:v>109.95059987121905</c:v>
                </c:pt>
                <c:pt idx="11">
                  <c:v>106.87198307482467</c:v>
                </c:pt>
                <c:pt idx="12">
                  <c:v>92.016777427423918</c:v>
                </c:pt>
                <c:pt idx="13">
                  <c:v>93.028961979125782</c:v>
                </c:pt>
                <c:pt idx="14">
                  <c:v>94.424396408812697</c:v>
                </c:pt>
                <c:pt idx="15">
                  <c:v>97.634825886712306</c:v>
                </c:pt>
                <c:pt idx="16">
                  <c:v>99.489887578559603</c:v>
                </c:pt>
                <c:pt idx="17">
                  <c:v>103.07152353138802</c:v>
                </c:pt>
                <c:pt idx="18">
                  <c:v>107.50359904323778</c:v>
                </c:pt>
                <c:pt idx="19">
                  <c:v>111.15872141070761</c:v>
                </c:pt>
                <c:pt idx="20" formatCode="General">
                  <c:v>115.27159410290388</c:v>
                </c:pt>
                <c:pt idx="21" formatCode="General">
                  <c:v>119.53664308471149</c:v>
                </c:pt>
              </c:numCache>
            </c:numRef>
          </c:val>
          <c:smooth val="1"/>
        </c:ser>
        <c:ser>
          <c:idx val="3"/>
          <c:order val="3"/>
          <c:tx>
            <c:strRef>
              <c:f>Sheet1!$A$6</c:f>
              <c:strCache>
                <c:ptCount val="1"/>
                <c:pt idx="0">
                  <c:v>LT</c:v>
                </c:pt>
              </c:strCache>
            </c:strRef>
          </c:tx>
          <c:spPr>
            <a:ln w="12700">
              <a:solidFill>
                <a:srgbClr val="000000"/>
              </a:solidFill>
              <a:prstDash val="sysDash"/>
            </a:ln>
          </c:spPr>
          <c:marker>
            <c:symbol val="none"/>
          </c:marker>
          <c:cat>
            <c:multiLvlStrRef>
              <c:f>Sheet1!$B$1:$W$2</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2006</c:v>
                  </c:pt>
                  <c:pt idx="4">
                    <c:v>2007</c:v>
                  </c:pt>
                  <c:pt idx="8">
                    <c:v>2008</c:v>
                  </c:pt>
                  <c:pt idx="12">
                    <c:v>2009</c:v>
                  </c:pt>
                  <c:pt idx="16">
                    <c:v>2010</c:v>
                  </c:pt>
                  <c:pt idx="20">
                    <c:v>2011</c:v>
                  </c:pt>
                </c:lvl>
              </c:multiLvlStrCache>
            </c:multiLvlStrRef>
          </c:cat>
          <c:val>
            <c:numRef>
              <c:f>Sheet1!$B$6:$W$6</c:f>
              <c:numCache>
                <c:formatCode>0.0</c:formatCode>
                <c:ptCount val="22"/>
                <c:pt idx="0">
                  <c:v>102.3</c:v>
                </c:pt>
                <c:pt idx="1">
                  <c:v>105.1644</c:v>
                </c:pt>
                <c:pt idx="2">
                  <c:v>103.3766052</c:v>
                </c:pt>
                <c:pt idx="3">
                  <c:v>105.85764372480013</c:v>
                </c:pt>
                <c:pt idx="4">
                  <c:v>103.95220613775336</c:v>
                </c:pt>
                <c:pt idx="5">
                  <c:v>105.30358481754416</c:v>
                </c:pt>
                <c:pt idx="6">
                  <c:v>110.88467481287407</c:v>
                </c:pt>
                <c:pt idx="7">
                  <c:v>108.88875066624249</c:v>
                </c:pt>
                <c:pt idx="8">
                  <c:v>118.7976269768707</c:v>
                </c:pt>
                <c:pt idx="9">
                  <c:v>123.90592493687599</c:v>
                </c:pt>
                <c:pt idx="10">
                  <c:v>120.31265311370655</c:v>
                </c:pt>
                <c:pt idx="11">
                  <c:v>115.62045964227202</c:v>
                </c:pt>
                <c:pt idx="12">
                  <c:v>105.79272057267885</c:v>
                </c:pt>
                <c:pt idx="13">
                  <c:v>100.50308454404494</c:v>
                </c:pt>
                <c:pt idx="14">
                  <c:v>103.31717091127832</c:v>
                </c:pt>
                <c:pt idx="15">
                  <c:v>107.96644360228572</c:v>
                </c:pt>
                <c:pt idx="16">
                  <c:v>109.04610803830856</c:v>
                </c:pt>
                <c:pt idx="17">
                  <c:v>120.38690327429266</c:v>
                </c:pt>
                <c:pt idx="18">
                  <c:v>125.56354011508724</c:v>
                </c:pt>
                <c:pt idx="19">
                  <c:v>135.35749624406438</c:v>
                </c:pt>
                <c:pt idx="20" formatCode="General">
                  <c:v>134.00392128162341</c:v>
                </c:pt>
                <c:pt idx="21" formatCode="General">
                  <c:v>137.75603107750885</c:v>
                </c:pt>
              </c:numCache>
            </c:numRef>
          </c:val>
          <c:smooth val="1"/>
        </c:ser>
        <c:marker val="1"/>
        <c:axId val="155616000"/>
        <c:axId val="155617536"/>
      </c:lineChart>
      <c:catAx>
        <c:axId val="155616000"/>
        <c:scaling>
          <c:orientation val="minMax"/>
        </c:scaling>
        <c:axPos val="b"/>
        <c:majorGridlines>
          <c:spPr>
            <a:ln w="6350">
              <a:solidFill>
                <a:sysClr val="window" lastClr="FFFFFF">
                  <a:lumMod val="85000"/>
                </a:sysClr>
              </a:solidFill>
            </a:ln>
          </c:spPr>
        </c:majorGridlines>
        <c:numFmt formatCode="General" sourceLinked="1"/>
        <c:majorTickMark val="none"/>
        <c:tickLblPos val="nextTo"/>
        <c:spPr>
          <a:ln w="6350">
            <a:solidFill>
              <a:srgbClr val="000000"/>
            </a:solidFill>
            <a:prstDash val="solid"/>
          </a:ln>
        </c:spPr>
        <c:txPr>
          <a:bodyPr rot="0" vert="horz"/>
          <a:lstStyle/>
          <a:p>
            <a:pPr>
              <a:defRPr lang="lv-LV" sz="700">
                <a:latin typeface="Arial" pitchFamily="34" charset="0"/>
                <a:cs typeface="Arial" pitchFamily="34" charset="0"/>
              </a:defRPr>
            </a:pPr>
            <a:endParaRPr lang="lv-LV"/>
          </a:p>
        </c:txPr>
        <c:crossAx val="155617536"/>
        <c:crosses val="autoZero"/>
        <c:auto val="1"/>
        <c:lblAlgn val="ctr"/>
        <c:lblOffset val="0"/>
        <c:tickLblSkip val="1"/>
        <c:tickMarkSkip val="1"/>
        <c:noMultiLvlLbl val="1"/>
      </c:catAx>
      <c:valAx>
        <c:axId val="155617536"/>
        <c:scaling>
          <c:orientation val="minMax"/>
          <c:max val="140"/>
          <c:min val="80"/>
        </c:scaling>
        <c:axPos val="l"/>
        <c:majorGridlines>
          <c:spPr>
            <a:ln w="6350">
              <a:solidFill>
                <a:sysClr val="window" lastClr="FFFFFF">
                  <a:lumMod val="85000"/>
                </a:sysClr>
              </a:solidFill>
              <a:prstDash val="solid"/>
            </a:ln>
          </c:spPr>
        </c:majorGridlines>
        <c:numFmt formatCode="0" sourceLinked="0"/>
        <c:tickLblPos val="nextTo"/>
        <c:spPr>
          <a:ln w="6350">
            <a:solidFill>
              <a:sysClr val="windowText" lastClr="000000"/>
            </a:solidFill>
          </a:ln>
        </c:spPr>
        <c:txPr>
          <a:bodyPr rot="0" vert="horz"/>
          <a:lstStyle/>
          <a:p>
            <a:pPr>
              <a:defRPr lang="lv-LV" sz="700">
                <a:latin typeface="Arial" pitchFamily="34" charset="0"/>
                <a:cs typeface="Arial" pitchFamily="34" charset="0"/>
              </a:defRPr>
            </a:pPr>
            <a:endParaRPr lang="lv-LV"/>
          </a:p>
        </c:txPr>
        <c:crossAx val="155616000"/>
        <c:crosses val="autoZero"/>
        <c:crossBetween val="between"/>
        <c:majorUnit val="10"/>
      </c:valAx>
      <c:spPr>
        <a:solidFill>
          <a:sysClr val="window" lastClr="FFFFFF"/>
        </a:solidFill>
        <a:ln w="6350">
          <a:solidFill>
            <a:sysClr val="window" lastClr="FFFFFF">
              <a:lumMod val="75000"/>
            </a:sysClr>
          </a:solidFill>
        </a:ln>
      </c:spPr>
    </c:plotArea>
    <c:legend>
      <c:legendPos val="b"/>
      <c:layout>
        <c:manualLayout>
          <c:xMode val="edge"/>
          <c:yMode val="edge"/>
          <c:x val="0.10070361725956894"/>
          <c:y val="7.0694444444444421E-2"/>
          <c:w val="0.44325903887421225"/>
          <c:h val="0.17242708333333406"/>
        </c:manualLayout>
      </c:layout>
      <c:spPr>
        <a:solidFill>
          <a:sysClr val="window" lastClr="FFFFFF"/>
        </a:solidFill>
      </c:spPr>
      <c:txPr>
        <a:bodyPr/>
        <a:lstStyle/>
        <a:p>
          <a:pPr>
            <a:defRPr lang="lv-LV" sz="700"/>
          </a:pPr>
          <a:endParaRPr lang="lv-LV"/>
        </a:p>
      </c:txPr>
    </c:legend>
    <c:plotVisOnly val="1"/>
    <c:dispBlanksAs val="gap"/>
  </c:chart>
  <c:spPr>
    <a:no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lv-LV"/>
    </a:p>
  </c:tx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lv-LV"/>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5018060861379"/>
          <c:y val="3.6529680365296795E-2"/>
          <c:w val="0.87799000372480995"/>
          <c:h val="0.78978846822229409"/>
        </c:manualLayout>
      </c:layout>
      <c:barChart>
        <c:barDir val="col"/>
        <c:grouping val="clustered"/>
        <c:ser>
          <c:idx val="0"/>
          <c:order val="1"/>
          <c:tx>
            <c:strRef>
              <c:f>Sheet1!$A$4</c:f>
              <c:strCache>
                <c:ptCount val="1"/>
                <c:pt idx="0">
                  <c:v>EE</c:v>
                </c:pt>
              </c:strCache>
            </c:strRef>
          </c:tx>
          <c:spPr>
            <a:solidFill>
              <a:sysClr val="window" lastClr="FFFFFF"/>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Sheet1!$B$4:$O$4</c:f>
              <c:numCache>
                <c:formatCode>0.000</c:formatCode>
                <c:ptCount val="14"/>
                <c:pt idx="0">
                  <c:v>3.3000000000000002E-2</c:v>
                </c:pt>
                <c:pt idx="1">
                  <c:v>-3.0000000000000092E-3</c:v>
                </c:pt>
                <c:pt idx="2">
                  <c:v>5.4000000000000034E-2</c:v>
                </c:pt>
                <c:pt idx="3">
                  <c:v>-5.4000000000000034E-2</c:v>
                </c:pt>
                <c:pt idx="4">
                  <c:v>-0.20600000000000004</c:v>
                </c:pt>
                <c:pt idx="5">
                  <c:v>-0.21000000000000021</c:v>
                </c:pt>
                <c:pt idx="6">
                  <c:v>-0.19500000000000001</c:v>
                </c:pt>
                <c:pt idx="7">
                  <c:v>-0.13300000000000001</c:v>
                </c:pt>
                <c:pt idx="8">
                  <c:v>6.0000000000000032E-2</c:v>
                </c:pt>
                <c:pt idx="9">
                  <c:v>0.18700000000000044</c:v>
                </c:pt>
                <c:pt idx="10">
                  <c:v>0.26200000000000001</c:v>
                </c:pt>
                <c:pt idx="11">
                  <c:v>0.37200000000000127</c:v>
                </c:pt>
                <c:pt idx="12">
                  <c:v>0.39400000000000157</c:v>
                </c:pt>
                <c:pt idx="13">
                  <c:v>0.31700000000000139</c:v>
                </c:pt>
              </c:numCache>
            </c:numRef>
          </c:val>
        </c:ser>
        <c:ser>
          <c:idx val="2"/>
          <c:order val="2"/>
          <c:tx>
            <c:strRef>
              <c:f>Sheet1!$A$5</c:f>
              <c:strCache>
                <c:ptCount val="1"/>
                <c:pt idx="0">
                  <c:v>LV</c:v>
                </c:pt>
              </c:strCache>
            </c:strRef>
          </c:tx>
          <c:spPr>
            <a:solidFill>
              <a:srgbClr val="FF0000"/>
            </a:solidFill>
            <a:ln w="3175">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Sheet1!$B$5:$O$5</c:f>
              <c:numCache>
                <c:formatCode>0.000</c:formatCode>
                <c:ptCount val="14"/>
                <c:pt idx="0">
                  <c:v>7.5000000000000011E-2</c:v>
                </c:pt>
                <c:pt idx="1">
                  <c:v>3.2000000000000042E-2</c:v>
                </c:pt>
                <c:pt idx="2">
                  <c:v>1.6000000000000021E-2</c:v>
                </c:pt>
                <c:pt idx="3" formatCode="General">
                  <c:v>-3.7999999999999999E-2</c:v>
                </c:pt>
                <c:pt idx="4" formatCode="General">
                  <c:v>-0.19</c:v>
                </c:pt>
                <c:pt idx="5" formatCode="General">
                  <c:v>-0.18900000000000064</c:v>
                </c:pt>
                <c:pt idx="6" formatCode="General">
                  <c:v>-0.13800000000000001</c:v>
                </c:pt>
                <c:pt idx="7" formatCode="General">
                  <c:v>-3.9000000000000014E-2</c:v>
                </c:pt>
                <c:pt idx="8" formatCode="General">
                  <c:v>4.5000000000000012E-2</c:v>
                </c:pt>
                <c:pt idx="9" formatCode="General">
                  <c:v>8.0000000000000043E-2</c:v>
                </c:pt>
                <c:pt idx="10" formatCode="General">
                  <c:v>0.17</c:v>
                </c:pt>
                <c:pt idx="11" formatCode="General">
                  <c:v>0.15600000000000044</c:v>
                </c:pt>
                <c:pt idx="12" formatCode="General">
                  <c:v>0.14700000000000021</c:v>
                </c:pt>
                <c:pt idx="13" formatCode="General">
                  <c:v>0.15000000000000024</c:v>
                </c:pt>
              </c:numCache>
            </c:numRef>
          </c:val>
        </c:ser>
        <c:ser>
          <c:idx val="3"/>
          <c:order val="3"/>
          <c:tx>
            <c:strRef>
              <c:f>Sheet1!$A$6</c:f>
              <c:strCache>
                <c:ptCount val="1"/>
                <c:pt idx="0">
                  <c:v>LT</c:v>
                </c:pt>
              </c:strCache>
            </c:strRef>
          </c:tx>
          <c:spPr>
            <a:solidFill>
              <a:sysClr val="window" lastClr="FFFFFF">
                <a:lumMod val="75000"/>
              </a:sysClr>
            </a:solidFill>
            <a:ln>
              <a:solidFill>
                <a:sysClr val="windowText" lastClr="000000"/>
              </a:solidFill>
            </a:ln>
          </c:spP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Sheet1!$B$6:$O$6</c:f>
              <c:numCache>
                <c:formatCode>General</c:formatCode>
                <c:ptCount val="14"/>
                <c:pt idx="0" formatCode="0.000">
                  <c:v>0.10099999999999998</c:v>
                </c:pt>
                <c:pt idx="1">
                  <c:v>0.15400000000000041</c:v>
                </c:pt>
                <c:pt idx="2">
                  <c:v>0.10500000000000002</c:v>
                </c:pt>
                <c:pt idx="3">
                  <c:v>0.10099999999999998</c:v>
                </c:pt>
                <c:pt idx="4">
                  <c:v>-0.12400000000000012</c:v>
                </c:pt>
                <c:pt idx="5">
                  <c:v>-0.21100000000000024</c:v>
                </c:pt>
                <c:pt idx="6">
                  <c:v>-0.14300000000000004</c:v>
                </c:pt>
                <c:pt idx="7">
                  <c:v>-2.1000000000000012E-2</c:v>
                </c:pt>
                <c:pt idx="8">
                  <c:v>4.9000000000000113E-2</c:v>
                </c:pt>
                <c:pt idx="9">
                  <c:v>0.21100000000000024</c:v>
                </c:pt>
                <c:pt idx="10">
                  <c:v>0.19400000000000001</c:v>
                </c:pt>
                <c:pt idx="11">
                  <c:v>0.22900000000000001</c:v>
                </c:pt>
                <c:pt idx="12">
                  <c:v>0.252</c:v>
                </c:pt>
                <c:pt idx="13">
                  <c:v>0.14600000000000021</c:v>
                </c:pt>
              </c:numCache>
            </c:numRef>
          </c:val>
        </c:ser>
        <c:gapWidth val="75"/>
        <c:overlap val="-25"/>
        <c:axId val="155897856"/>
        <c:axId val="155899776"/>
      </c:barChart>
      <c:lineChart>
        <c:grouping val="standard"/>
        <c:ser>
          <c:idx val="1"/>
          <c:order val="0"/>
          <c:tx>
            <c:strRef>
              <c:f>Sheet1!$A$3</c:f>
              <c:strCache>
                <c:ptCount val="1"/>
                <c:pt idx="0">
                  <c:v>EU27</c:v>
                </c:pt>
              </c:strCache>
            </c:strRef>
          </c:tx>
          <c:spPr>
            <a:ln w="41275">
              <a:solidFill>
                <a:srgbClr val="000000"/>
              </a:solidFill>
              <a:prstDash val="solid"/>
            </a:ln>
          </c:spPr>
          <c:marker>
            <c:symbol val="diamond"/>
            <c:size val="8"/>
            <c:spPr>
              <a:solidFill>
                <a:sysClr val="window" lastClr="FFFFFF">
                  <a:lumMod val="95000"/>
                </a:sysClr>
              </a:solidFill>
              <a:ln>
                <a:solidFill>
                  <a:sysClr val="windowText" lastClr="000000"/>
                </a:solidFill>
              </a:ln>
            </c:spPr>
          </c:marker>
          <c:cat>
            <c:multiLvlStrRef>
              <c:f>Sheet1!$B$1:$O$2</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2008</c:v>
                  </c:pt>
                  <c:pt idx="4">
                    <c:v>2009</c:v>
                  </c:pt>
                  <c:pt idx="8">
                    <c:v>2010</c:v>
                  </c:pt>
                  <c:pt idx="12">
                    <c:v>2011</c:v>
                  </c:pt>
                </c:lvl>
              </c:multiLvlStrCache>
            </c:multiLvlStrRef>
          </c:cat>
          <c:val>
            <c:numRef>
              <c:f>Sheet1!$B$3:$O$3</c:f>
              <c:numCache>
                <c:formatCode>0.000</c:formatCode>
                <c:ptCount val="14"/>
                <c:pt idx="0">
                  <c:v>4.5999999999999999E-2</c:v>
                </c:pt>
                <c:pt idx="1">
                  <c:v>0.05</c:v>
                </c:pt>
                <c:pt idx="2">
                  <c:v>1.9000000000000083E-2</c:v>
                </c:pt>
                <c:pt idx="3">
                  <c:v>-5.3000000000000012E-2</c:v>
                </c:pt>
                <c:pt idx="4">
                  <c:v>-0.15500000000000044</c:v>
                </c:pt>
                <c:pt idx="5">
                  <c:v>-0.16600000000000001</c:v>
                </c:pt>
                <c:pt idx="6">
                  <c:v>-0.11900000000000002</c:v>
                </c:pt>
                <c:pt idx="7">
                  <c:v>-4.5999999999999999E-2</c:v>
                </c:pt>
                <c:pt idx="8">
                  <c:v>6.8000000000000019E-2</c:v>
                </c:pt>
                <c:pt idx="9">
                  <c:v>0.127</c:v>
                </c:pt>
                <c:pt idx="10">
                  <c:v>0.10900000000000012</c:v>
                </c:pt>
                <c:pt idx="11">
                  <c:v>0.10600000000000002</c:v>
                </c:pt>
                <c:pt idx="12">
                  <c:v>0.10400000000000002</c:v>
                </c:pt>
                <c:pt idx="13">
                  <c:v>6.2000000000000034E-2</c:v>
                </c:pt>
              </c:numCache>
            </c:numRef>
          </c:val>
        </c:ser>
        <c:marker val="1"/>
        <c:axId val="155897856"/>
        <c:axId val="155899776"/>
      </c:lineChart>
      <c:catAx>
        <c:axId val="155897856"/>
        <c:scaling>
          <c:orientation val="minMax"/>
        </c:scaling>
        <c:axPos val="b"/>
        <c:majorGridlines>
          <c:spPr>
            <a:ln w="6350">
              <a:solidFill>
                <a:sysClr val="window" lastClr="FFFFFF">
                  <a:lumMod val="85000"/>
                </a:sysClr>
              </a:solidFill>
            </a:ln>
          </c:spPr>
        </c:majorGridlines>
        <c:numFmt formatCode="General" sourceLinked="1"/>
        <c:majorTickMark val="none"/>
        <c:tickLblPos val="low"/>
        <c:spPr>
          <a:ln w="6350">
            <a:solidFill>
              <a:srgbClr val="000000"/>
            </a:solidFill>
            <a:prstDash val="solid"/>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899776"/>
        <c:crosses val="autoZero"/>
        <c:auto val="1"/>
        <c:lblAlgn val="ctr"/>
        <c:lblOffset val="0"/>
        <c:tickLblSkip val="1"/>
        <c:tickMarkSkip val="1"/>
        <c:noMultiLvlLbl val="1"/>
      </c:catAx>
      <c:valAx>
        <c:axId val="155899776"/>
        <c:scaling>
          <c:orientation val="minMax"/>
          <c:max val="0.4"/>
          <c:min val="-0.24000000000000021"/>
        </c:scaling>
        <c:axPos val="l"/>
        <c:majorGridlines>
          <c:spPr>
            <a:ln w="6350">
              <a:solidFill>
                <a:sysClr val="window" lastClr="FFFFFF">
                  <a:lumMod val="85000"/>
                </a:sysClr>
              </a:solidFill>
              <a:prstDash val="solid"/>
            </a:ln>
          </c:spPr>
        </c:majorGridlines>
        <c:numFmt formatCode="0%" sourceLinked="0"/>
        <c:tickLblPos val="nextTo"/>
        <c:spPr>
          <a:ln w="6350">
            <a:solidFill>
              <a:srgbClr val="000000"/>
            </a:solidFill>
          </a:ln>
        </c:spPr>
        <c:txPr>
          <a:bodyPr rot="0" vert="horz"/>
          <a:lstStyle/>
          <a:p>
            <a:pPr>
              <a:defRPr lang="lv-LV" sz="700" b="0" i="0" u="none" strike="noStrike" baseline="0">
                <a:solidFill>
                  <a:srgbClr val="000000"/>
                </a:solidFill>
                <a:latin typeface="Arial" pitchFamily="34" charset="0"/>
                <a:ea typeface="Times New Roman"/>
                <a:cs typeface="Arial" pitchFamily="34" charset="0"/>
              </a:defRPr>
            </a:pPr>
            <a:endParaRPr lang="lv-LV"/>
          </a:p>
        </c:txPr>
        <c:crossAx val="155897856"/>
        <c:crosses val="autoZero"/>
        <c:crossBetween val="between"/>
        <c:majorUnit val="8.0000000000000043E-2"/>
      </c:valAx>
      <c:spPr>
        <a:solidFill>
          <a:sysClr val="window" lastClr="FFFFFF"/>
        </a:solidFill>
        <a:ln w="6350">
          <a:solidFill>
            <a:sysClr val="window" lastClr="FFFFFF">
              <a:lumMod val="75000"/>
            </a:sysClr>
          </a:solidFill>
        </a:ln>
      </c:spPr>
    </c:plotArea>
    <c:legend>
      <c:legendPos val="b"/>
      <c:layout>
        <c:manualLayout>
          <c:xMode val="edge"/>
          <c:yMode val="edge"/>
          <c:x val="0.18850237779683562"/>
          <c:y val="9.0179976851851834E-2"/>
          <c:w val="0.39785625806676139"/>
          <c:h val="0.16026678240741338"/>
        </c:manualLayout>
      </c:layout>
      <c:spPr>
        <a:solidFill>
          <a:sysClr val="window" lastClr="FFFFFF"/>
        </a:solidFill>
      </c:spPr>
      <c:txPr>
        <a:bodyPr/>
        <a:lstStyle/>
        <a:p>
          <a:pPr>
            <a:defRPr lang="lv-LV" sz="700" b="0">
              <a:latin typeface="Times New Roman" pitchFamily="18" charset="0"/>
              <a:cs typeface="Times New Roman" pitchFamily="18" charset="0"/>
            </a:defRPr>
          </a:pPr>
          <a:endParaRPr lang="lv-LV"/>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chartSpace>
</file>

<file path=word/drawings/drawing1.xml><?xml version="1.0" encoding="utf-8"?>
<c:userShapes xmlns:c="http://schemas.openxmlformats.org/drawingml/2006/chart">
  <cdr:relSizeAnchor xmlns:cdr="http://schemas.openxmlformats.org/drawingml/2006/chartDrawing">
    <cdr:from>
      <cdr:x>0.85614</cdr:x>
      <cdr:y>0.09794</cdr:y>
    </cdr:from>
    <cdr:to>
      <cdr:x>0.97752</cdr:x>
      <cdr:y>0.78375</cdr:y>
    </cdr:to>
    <cdr:sp macro="" textlink="">
      <cdr:nvSpPr>
        <cdr:cNvPr id="1025" name="Text Box 1"/>
        <cdr:cNvSpPr txBox="1">
          <a:spLocks xmlns:a="http://schemas.openxmlformats.org/drawingml/2006/main" noChangeArrowheads="1"/>
        </cdr:cNvSpPr>
      </cdr:nvSpPr>
      <cdr:spPr bwMode="auto">
        <a:xfrm xmlns:a="http://schemas.openxmlformats.org/drawingml/2006/main">
          <a:off x="4032611" y="214519"/>
          <a:ext cx="571727" cy="15021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2008</a:t>
          </a: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0.45436</cdr:x>
      <cdr:y>0.42739</cdr:y>
    </cdr:from>
    <cdr:to>
      <cdr:x>0.57574</cdr:x>
      <cdr:y>0.53983</cdr:y>
    </cdr:to>
    <cdr:sp macro="" textlink="">
      <cdr:nvSpPr>
        <cdr:cNvPr id="6" name="Text Box 1"/>
        <cdr:cNvSpPr txBox="1">
          <a:spLocks xmlns:a="http://schemas.openxmlformats.org/drawingml/2006/main" noChangeArrowheads="1"/>
        </cdr:cNvSpPr>
      </cdr:nvSpPr>
      <cdr:spPr bwMode="auto">
        <a:xfrm xmlns:a="http://schemas.openxmlformats.org/drawingml/2006/main">
          <a:off x="2140137" y="936114"/>
          <a:ext cx="571727" cy="2462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2.xml><?xml version="1.0" encoding="utf-8"?>
<c:userShapes xmlns:c="http://schemas.openxmlformats.org/drawingml/2006/chart">
  <cdr:relSizeAnchor xmlns:cdr="http://schemas.openxmlformats.org/drawingml/2006/chartDrawing">
    <cdr:from>
      <cdr:x>0.81273</cdr:x>
      <cdr:y>0.06434</cdr:y>
    </cdr:from>
    <cdr:to>
      <cdr:x>0.92923</cdr:x>
      <cdr:y>0.16938</cdr:y>
    </cdr:to>
    <cdr:sp macro="" textlink="">
      <cdr:nvSpPr>
        <cdr:cNvPr id="1028" name="Text Box 4"/>
        <cdr:cNvSpPr txBox="1">
          <a:spLocks xmlns:a="http://schemas.openxmlformats.org/drawingml/2006/main" noChangeArrowheads="1"/>
        </cdr:cNvSpPr>
      </cdr:nvSpPr>
      <cdr:spPr bwMode="auto">
        <a:xfrm xmlns:a="http://schemas.openxmlformats.org/drawingml/2006/main">
          <a:off x="2341821" y="10262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0.85809</cdr:x>
      <cdr:y>0.58995</cdr:y>
    </cdr:from>
    <cdr:to>
      <cdr:x>0.95428</cdr:x>
      <cdr:y>0.71871</cdr:y>
    </cdr:to>
    <cdr:sp macro="" textlink="">
      <cdr:nvSpPr>
        <cdr:cNvPr id="3" name="Text Box 2"/>
        <cdr:cNvSpPr txBox="1">
          <a:spLocks xmlns:a="http://schemas.openxmlformats.org/drawingml/2006/main" noChangeArrowheads="1"/>
        </cdr:cNvSpPr>
      </cdr:nvSpPr>
      <cdr:spPr bwMode="auto">
        <a:xfrm xmlns:a="http://schemas.openxmlformats.org/drawingml/2006/main">
          <a:off x="2472532" y="940895"/>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0.82671</cdr:x>
      <cdr:y>0.35617</cdr:y>
    </cdr:from>
    <cdr:to>
      <cdr:x>0.94321</cdr:x>
      <cdr:y>0.46121</cdr:y>
    </cdr:to>
    <cdr:sp macro="" textlink="">
      <cdr:nvSpPr>
        <cdr:cNvPr id="5" name="Text Box 4"/>
        <cdr:cNvSpPr txBox="1">
          <a:spLocks xmlns:a="http://schemas.openxmlformats.org/drawingml/2006/main" noChangeArrowheads="1"/>
        </cdr:cNvSpPr>
      </cdr:nvSpPr>
      <cdr:spPr bwMode="auto">
        <a:xfrm xmlns:a="http://schemas.openxmlformats.org/drawingml/2006/main">
          <a:off x="2382091" y="568053"/>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0.54042</cdr:x>
      <cdr:y>0.22443</cdr:y>
    </cdr:from>
    <cdr:to>
      <cdr:x>0.65692</cdr:x>
      <cdr:y>0.32947</cdr:y>
    </cdr:to>
    <cdr:sp macro="" textlink="">
      <cdr:nvSpPr>
        <cdr:cNvPr id="6" name="Text Box 4"/>
        <cdr:cNvSpPr txBox="1">
          <a:spLocks xmlns:a="http://schemas.openxmlformats.org/drawingml/2006/main" noChangeArrowheads="1"/>
        </cdr:cNvSpPr>
      </cdr:nvSpPr>
      <cdr:spPr bwMode="auto">
        <a:xfrm xmlns:a="http://schemas.openxmlformats.org/drawingml/2006/main">
          <a:off x="1557183" y="357933"/>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3.xml><?xml version="1.0" encoding="utf-8"?>
<c:userShapes xmlns:c="http://schemas.openxmlformats.org/drawingml/2006/chart">
  <cdr:relSizeAnchor xmlns:cdr="http://schemas.openxmlformats.org/drawingml/2006/chartDrawing">
    <cdr:from>
      <cdr:x>0.86562</cdr:x>
      <cdr:y>0.17184</cdr:y>
    </cdr:from>
    <cdr:to>
      <cdr:x>0.98212</cdr:x>
      <cdr:y>0.27688</cdr:y>
    </cdr:to>
    <cdr:sp macro="" textlink="">
      <cdr:nvSpPr>
        <cdr:cNvPr id="1028" name="Text Box 4"/>
        <cdr:cNvSpPr txBox="1">
          <a:spLocks xmlns:a="http://schemas.openxmlformats.org/drawingml/2006/main" noChangeArrowheads="1"/>
        </cdr:cNvSpPr>
      </cdr:nvSpPr>
      <cdr:spPr bwMode="auto">
        <a:xfrm xmlns:a="http://schemas.openxmlformats.org/drawingml/2006/main">
          <a:off x="2494221" y="27407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0.86194</cdr:x>
      <cdr:y>0.68582</cdr:y>
    </cdr:from>
    <cdr:to>
      <cdr:x>0.95813</cdr:x>
      <cdr:y>0.81458</cdr:y>
    </cdr:to>
    <cdr:sp macro="" textlink="">
      <cdr:nvSpPr>
        <cdr:cNvPr id="3" name="Text Box 2"/>
        <cdr:cNvSpPr txBox="1">
          <a:spLocks xmlns:a="http://schemas.openxmlformats.org/drawingml/2006/main" noChangeArrowheads="1"/>
        </cdr:cNvSpPr>
      </cdr:nvSpPr>
      <cdr:spPr bwMode="auto">
        <a:xfrm xmlns:a="http://schemas.openxmlformats.org/drawingml/2006/main">
          <a:off x="2483615" y="1093801"/>
          <a:ext cx="277165"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0.83746</cdr:x>
      <cdr:y>0.47905</cdr:y>
    </cdr:from>
    <cdr:to>
      <cdr:x>0.95396</cdr:x>
      <cdr:y>0.5841</cdr:y>
    </cdr:to>
    <cdr:sp macro="" textlink="">
      <cdr:nvSpPr>
        <cdr:cNvPr id="5" name="Text Box 4"/>
        <cdr:cNvSpPr txBox="1">
          <a:spLocks xmlns:a="http://schemas.openxmlformats.org/drawingml/2006/main" noChangeArrowheads="1"/>
        </cdr:cNvSpPr>
      </cdr:nvSpPr>
      <cdr:spPr bwMode="auto">
        <a:xfrm xmlns:a="http://schemas.openxmlformats.org/drawingml/2006/main">
          <a:off x="2413076" y="76403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0.42077</cdr:x>
      <cdr:y>0.65853</cdr:y>
    </cdr:from>
    <cdr:to>
      <cdr:x>0.53727</cdr:x>
      <cdr:y>0.76358</cdr:y>
    </cdr:to>
    <cdr:sp macro="" textlink="">
      <cdr:nvSpPr>
        <cdr:cNvPr id="6" name="Text Box 4"/>
        <cdr:cNvSpPr txBox="1">
          <a:spLocks xmlns:a="http://schemas.openxmlformats.org/drawingml/2006/main" noChangeArrowheads="1"/>
        </cdr:cNvSpPr>
      </cdr:nvSpPr>
      <cdr:spPr bwMode="auto">
        <a:xfrm xmlns:a="http://schemas.openxmlformats.org/drawingml/2006/main">
          <a:off x="1212429" y="1050282"/>
          <a:ext cx="335685" cy="167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4.xml><?xml version="1.0" encoding="utf-8"?>
<c:userShapes xmlns:c="http://schemas.openxmlformats.org/drawingml/2006/chart">
  <cdr:relSizeAnchor xmlns:cdr="http://schemas.openxmlformats.org/drawingml/2006/chartDrawing">
    <cdr:from>
      <cdr:x>0.77126</cdr:x>
      <cdr:y>0.08724</cdr:y>
    </cdr:from>
    <cdr:to>
      <cdr:x>0.88776</cdr:x>
      <cdr:y>0.77774</cdr:y>
    </cdr:to>
    <cdr:sp macro="" textlink="">
      <cdr:nvSpPr>
        <cdr:cNvPr id="1028" name="Text Box 4"/>
        <cdr:cNvSpPr txBox="1">
          <a:spLocks xmlns:a="http://schemas.openxmlformats.org/drawingml/2006/main" noChangeArrowheads="1"/>
        </cdr:cNvSpPr>
      </cdr:nvSpPr>
      <cdr:spPr bwMode="auto">
        <a:xfrm xmlns:a="http://schemas.openxmlformats.org/drawingml/2006/main">
          <a:off x="2222316" y="139145"/>
          <a:ext cx="335685" cy="11012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0.41733</cdr:x>
      <cdr:y>0.16941</cdr:y>
    </cdr:from>
    <cdr:to>
      <cdr:x>0.53383</cdr:x>
      <cdr:y>0.27445</cdr:y>
    </cdr:to>
    <cdr:sp macro="" textlink="">
      <cdr:nvSpPr>
        <cdr:cNvPr id="6" name="Text Box 4"/>
        <cdr:cNvSpPr txBox="1">
          <a:spLocks xmlns:a="http://schemas.openxmlformats.org/drawingml/2006/main" noChangeArrowheads="1"/>
        </cdr:cNvSpPr>
      </cdr:nvSpPr>
      <cdr:spPr bwMode="auto">
        <a:xfrm xmlns:a="http://schemas.openxmlformats.org/drawingml/2006/main">
          <a:off x="1202497" y="270184"/>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5.xml><?xml version="1.0" encoding="utf-8"?>
<c:userShapes xmlns:c="http://schemas.openxmlformats.org/drawingml/2006/chart">
  <cdr:relSizeAnchor xmlns:cdr="http://schemas.openxmlformats.org/drawingml/2006/chartDrawing">
    <cdr:from>
      <cdr:x>0.84909</cdr:x>
      <cdr:y>0.10615</cdr:y>
    </cdr:from>
    <cdr:to>
      <cdr:x>0.96559</cdr:x>
      <cdr:y>0.21119</cdr:y>
    </cdr:to>
    <cdr:sp macro="" textlink="">
      <cdr:nvSpPr>
        <cdr:cNvPr id="1028" name="Text Box 4"/>
        <cdr:cNvSpPr txBox="1">
          <a:spLocks xmlns:a="http://schemas.openxmlformats.org/drawingml/2006/main" noChangeArrowheads="1"/>
        </cdr:cNvSpPr>
      </cdr:nvSpPr>
      <cdr:spPr bwMode="auto">
        <a:xfrm xmlns:a="http://schemas.openxmlformats.org/drawingml/2006/main">
          <a:off x="2446596" y="16929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0.84817</cdr:x>
      <cdr:y>0.33319</cdr:y>
    </cdr:from>
    <cdr:to>
      <cdr:x>0.94436</cdr:x>
      <cdr:y>0.46195</cdr:y>
    </cdr:to>
    <cdr:sp macro="" textlink="">
      <cdr:nvSpPr>
        <cdr:cNvPr id="3" name="Text Box 2"/>
        <cdr:cNvSpPr txBox="1">
          <a:spLocks xmlns:a="http://schemas.openxmlformats.org/drawingml/2006/main" noChangeArrowheads="1"/>
        </cdr:cNvSpPr>
      </cdr:nvSpPr>
      <cdr:spPr bwMode="auto">
        <a:xfrm xmlns:a="http://schemas.openxmlformats.org/drawingml/2006/main">
          <a:off x="2443937" y="531404"/>
          <a:ext cx="277164" cy="2053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0.84306</cdr:x>
      <cdr:y>0.70153</cdr:y>
    </cdr:from>
    <cdr:to>
      <cdr:x>0.95956</cdr:x>
      <cdr:y>0.80657</cdr:y>
    </cdr:to>
    <cdr:sp macro="" textlink="">
      <cdr:nvSpPr>
        <cdr:cNvPr id="5" name="Text Box 4"/>
        <cdr:cNvSpPr txBox="1">
          <a:spLocks xmlns:a="http://schemas.openxmlformats.org/drawingml/2006/main" noChangeArrowheads="1"/>
        </cdr:cNvSpPr>
      </cdr:nvSpPr>
      <cdr:spPr bwMode="auto">
        <a:xfrm xmlns:a="http://schemas.openxmlformats.org/drawingml/2006/main">
          <a:off x="2429207" y="1118862"/>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0.45949</cdr:x>
      <cdr:y>0.65666</cdr:y>
    </cdr:from>
    <cdr:to>
      <cdr:x>0.57599</cdr:x>
      <cdr:y>0.7617</cdr:y>
    </cdr:to>
    <cdr:sp macro="" textlink="">
      <cdr:nvSpPr>
        <cdr:cNvPr id="6" name="Text Box 4"/>
        <cdr:cNvSpPr txBox="1">
          <a:spLocks xmlns:a="http://schemas.openxmlformats.org/drawingml/2006/main" noChangeArrowheads="1"/>
        </cdr:cNvSpPr>
      </cdr:nvSpPr>
      <cdr:spPr bwMode="auto">
        <a:xfrm xmlns:a="http://schemas.openxmlformats.org/drawingml/2006/main">
          <a:off x="1323975" y="1047297"/>
          <a:ext cx="335685"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6.xml><?xml version="1.0" encoding="utf-8"?>
<c:userShapes xmlns:c="http://schemas.openxmlformats.org/drawingml/2006/chart">
  <cdr:relSizeAnchor xmlns:cdr="http://schemas.openxmlformats.org/drawingml/2006/chartDrawing">
    <cdr:from>
      <cdr:x>0.88244</cdr:x>
      <cdr:y>0.57291</cdr:y>
    </cdr:from>
    <cdr:to>
      <cdr:x>0.99894</cdr:x>
      <cdr:y>0.67795</cdr:y>
    </cdr:to>
    <cdr:sp macro="" textlink="">
      <cdr:nvSpPr>
        <cdr:cNvPr id="1028" name="Text Box 4"/>
        <cdr:cNvSpPr txBox="1">
          <a:spLocks xmlns:a="http://schemas.openxmlformats.org/drawingml/2006/main" noChangeArrowheads="1"/>
        </cdr:cNvSpPr>
      </cdr:nvSpPr>
      <cdr:spPr bwMode="auto">
        <a:xfrm xmlns:a="http://schemas.openxmlformats.org/drawingml/2006/main">
          <a:off x="2542686" y="913727"/>
          <a:ext cx="335686" cy="1675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cdr:txBody>
    </cdr:sp>
  </cdr:relSizeAnchor>
  <cdr:relSizeAnchor xmlns:cdr="http://schemas.openxmlformats.org/drawingml/2006/chartDrawing">
    <cdr:from>
      <cdr:x>0.81181</cdr:x>
      <cdr:y>0.0405</cdr:y>
    </cdr:from>
    <cdr:to>
      <cdr:x>0.908</cdr:x>
      <cdr:y>0.16926</cdr:y>
    </cdr:to>
    <cdr:sp macro="" textlink="">
      <cdr:nvSpPr>
        <cdr:cNvPr id="3" name="Text Box 2"/>
        <cdr:cNvSpPr txBox="1">
          <a:spLocks xmlns:a="http://schemas.openxmlformats.org/drawingml/2006/main" noChangeArrowheads="1"/>
        </cdr:cNvSpPr>
      </cdr:nvSpPr>
      <cdr:spPr bwMode="auto">
        <a:xfrm xmlns:a="http://schemas.openxmlformats.org/drawingml/2006/main">
          <a:off x="2339175" y="64600"/>
          <a:ext cx="277164" cy="2053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0.88244</cdr:x>
      <cdr:y>0.33185</cdr:y>
    </cdr:from>
    <cdr:to>
      <cdr:x>0.99894</cdr:x>
      <cdr:y>0.43689</cdr:y>
    </cdr:to>
    <cdr:sp macro="" textlink="">
      <cdr:nvSpPr>
        <cdr:cNvPr id="5" name="Text Box 4"/>
        <cdr:cNvSpPr txBox="1">
          <a:spLocks xmlns:a="http://schemas.openxmlformats.org/drawingml/2006/main" noChangeArrowheads="1"/>
        </cdr:cNvSpPr>
      </cdr:nvSpPr>
      <cdr:spPr bwMode="auto">
        <a:xfrm xmlns:a="http://schemas.openxmlformats.org/drawingml/2006/main">
          <a:off x="2542686" y="529265"/>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cdr:txBody>
    </cdr:sp>
  </cdr:relSizeAnchor>
  <cdr:relSizeAnchor xmlns:cdr="http://schemas.openxmlformats.org/drawingml/2006/chartDrawing">
    <cdr:from>
      <cdr:x>0.28087</cdr:x>
      <cdr:y>0.20222</cdr:y>
    </cdr:from>
    <cdr:to>
      <cdr:x>0.39737</cdr:x>
      <cdr:y>0.30726</cdr:y>
    </cdr:to>
    <cdr:sp macro="" textlink="">
      <cdr:nvSpPr>
        <cdr:cNvPr id="6" name="Text Box 4"/>
        <cdr:cNvSpPr txBox="1">
          <a:spLocks xmlns:a="http://schemas.openxmlformats.org/drawingml/2006/main" noChangeArrowheads="1"/>
        </cdr:cNvSpPr>
      </cdr:nvSpPr>
      <cdr:spPr bwMode="auto">
        <a:xfrm xmlns:a="http://schemas.openxmlformats.org/drawingml/2006/main">
          <a:off x="809293" y="322525"/>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drawings/drawing7.xml><?xml version="1.0" encoding="utf-8"?>
<c:userShapes xmlns:c="http://schemas.openxmlformats.org/drawingml/2006/chart">
  <cdr:relSizeAnchor xmlns:cdr="http://schemas.openxmlformats.org/drawingml/2006/chartDrawing">
    <cdr:from>
      <cdr:x>0.88244</cdr:x>
      <cdr:y>0.14957</cdr:y>
    </cdr:from>
    <cdr:to>
      <cdr:x>0.99894</cdr:x>
      <cdr:y>0.80267</cdr:y>
    </cdr:to>
    <cdr:sp macro="" textlink="">
      <cdr:nvSpPr>
        <cdr:cNvPr id="1028" name="Text Box 4"/>
        <cdr:cNvSpPr txBox="1">
          <a:spLocks xmlns:a="http://schemas.openxmlformats.org/drawingml/2006/main" noChangeArrowheads="1"/>
        </cdr:cNvSpPr>
      </cdr:nvSpPr>
      <cdr:spPr bwMode="auto">
        <a:xfrm xmlns:a="http://schemas.openxmlformats.org/drawingml/2006/main">
          <a:off x="2542687" y="238539"/>
          <a:ext cx="335686" cy="10416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2008</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2010</a:t>
          </a:r>
        </a:p>
        <a:p xmlns:a="http://schemas.openxmlformats.org/drawingml/2006/main">
          <a:pPr algn="l" rtl="0">
            <a:defRPr sz="1000"/>
          </a:pPr>
          <a:endParaRPr lang="lv-LV" sz="800" b="1" i="0" strike="noStrike">
            <a:solidFill>
              <a:srgbClr val="000000"/>
            </a:solidFill>
            <a:latin typeface="Times New Roman" pitchFamily="18" charset="0"/>
            <a:cs typeface="Times New Roman" pitchFamily="18" charset="0"/>
          </a:endParaRPr>
        </a:p>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2009</a:t>
          </a:r>
        </a:p>
      </cdr:txBody>
    </cdr:sp>
  </cdr:relSizeAnchor>
  <cdr:relSizeAnchor xmlns:cdr="http://schemas.openxmlformats.org/drawingml/2006/chartDrawing">
    <cdr:from>
      <cdr:x>0.41834</cdr:x>
      <cdr:y>0.61394</cdr:y>
    </cdr:from>
    <cdr:to>
      <cdr:x>0.53484</cdr:x>
      <cdr:y>0.71898</cdr:y>
    </cdr:to>
    <cdr:sp macro="" textlink="">
      <cdr:nvSpPr>
        <cdr:cNvPr id="6" name="Text Box 4"/>
        <cdr:cNvSpPr txBox="1">
          <a:spLocks xmlns:a="http://schemas.openxmlformats.org/drawingml/2006/main" noChangeArrowheads="1"/>
        </cdr:cNvSpPr>
      </cdr:nvSpPr>
      <cdr:spPr bwMode="auto">
        <a:xfrm xmlns:a="http://schemas.openxmlformats.org/drawingml/2006/main">
          <a:off x="1205404" y="979165"/>
          <a:ext cx="335686" cy="1675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lv-LV" sz="800" b="1" i="0" strike="noStrike">
              <a:solidFill>
                <a:srgbClr val="000000"/>
              </a:solidFill>
              <a:latin typeface="Times New Roman" pitchFamily="18" charset="0"/>
              <a:cs typeface="Times New Roman" pitchFamily="18" charset="0"/>
            </a:rPr>
            <a:t>2011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29241-BB8C-4114-9EC8-B852574E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11627</Words>
  <Characters>76857</Characters>
  <Application>Microsoft Office Word</Application>
  <DocSecurity>0</DocSecurity>
  <Lines>3493</Lines>
  <Paragraphs>2328</Paragraphs>
  <ScaleCrop>false</ScaleCrop>
  <HeadingPairs>
    <vt:vector size="2" baseType="variant">
      <vt:variant>
        <vt:lpstr>Title</vt:lpstr>
      </vt:variant>
      <vt:variant>
        <vt:i4>1</vt:i4>
      </vt:variant>
    </vt:vector>
  </HeadingPairs>
  <TitlesOfParts>
    <vt:vector size="1" baseType="lpstr">
      <vt:lpstr/>
    </vt:vector>
  </TitlesOfParts>
  <Company>LR Ekonomikas ministrija</Company>
  <LinksUpToDate>false</LinksUpToDate>
  <CharactersWithSpaces>86156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SalminsJ</dc:creator>
  <cp:keywords/>
  <dc:description/>
  <cp:lastModifiedBy>SalminsJ</cp:lastModifiedBy>
  <cp:revision>3</cp:revision>
  <cp:lastPrinted>2011-10-03T13:10:00Z</cp:lastPrinted>
  <dcterms:created xsi:type="dcterms:W3CDTF">2011-10-03T13:17:00Z</dcterms:created>
  <dcterms:modified xsi:type="dcterms:W3CDTF">2011-10-03T13:17:00Z</dcterms:modified>
</cp:coreProperties>
</file>