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638" w:rsidRPr="00024CC3" w:rsidRDefault="00FE11BD" w:rsidP="00024CC3">
      <w:pPr>
        <w:spacing w:after="0" w:line="240" w:lineRule="auto"/>
        <w:jc w:val="center"/>
        <w:rPr>
          <w:rFonts w:ascii="Times New Roman" w:hAnsi="Times New Roman"/>
          <w:b/>
          <w:sz w:val="28"/>
          <w:szCs w:val="28"/>
        </w:rPr>
      </w:pPr>
      <w:r w:rsidRPr="00FE11BD">
        <w:rPr>
          <w:rFonts w:ascii="Times New Roman" w:hAnsi="Times New Roman"/>
          <w:b/>
          <w:sz w:val="28"/>
          <w:szCs w:val="28"/>
        </w:rPr>
        <w:t>Informatīvais ziņojums par energoresursu krājumiem,</w:t>
      </w:r>
      <w:r w:rsidRPr="00FE11BD">
        <w:rPr>
          <w:rFonts w:ascii="Times New Roman" w:hAnsi="Times New Roman"/>
          <w:b/>
          <w:sz w:val="28"/>
          <w:szCs w:val="28"/>
        </w:rPr>
        <w:br/>
      </w:r>
      <w:bookmarkStart w:id="0" w:name="OLE_LINK1"/>
      <w:bookmarkStart w:id="1" w:name="OLE_LINK2"/>
      <w:r w:rsidR="00721356">
        <w:rPr>
          <w:rFonts w:ascii="Times New Roman" w:hAnsi="Times New Roman"/>
          <w:b/>
          <w:sz w:val="28"/>
          <w:szCs w:val="28"/>
        </w:rPr>
        <w:t>uzsākot</w:t>
      </w:r>
      <w:r w:rsidRPr="00FE11BD">
        <w:rPr>
          <w:rFonts w:ascii="Times New Roman" w:hAnsi="Times New Roman"/>
          <w:b/>
          <w:sz w:val="28"/>
          <w:szCs w:val="28"/>
        </w:rPr>
        <w:t xml:space="preserve"> apkures sezonu</w:t>
      </w:r>
      <w:bookmarkEnd w:id="0"/>
      <w:bookmarkEnd w:id="1"/>
    </w:p>
    <w:p w:rsidR="00612E73" w:rsidRDefault="00612E73" w:rsidP="00612E73">
      <w:pPr>
        <w:spacing w:after="0" w:line="240" w:lineRule="auto"/>
        <w:rPr>
          <w:rFonts w:ascii="Times New Roman" w:hAnsi="Times New Roman"/>
          <w:sz w:val="28"/>
        </w:rPr>
      </w:pPr>
    </w:p>
    <w:p w:rsidR="00404C2B" w:rsidRDefault="00EF4D42" w:rsidP="00AB6248">
      <w:pPr>
        <w:spacing w:after="0" w:line="240" w:lineRule="auto"/>
        <w:jc w:val="both"/>
        <w:rPr>
          <w:rFonts w:ascii="Times New Roman" w:hAnsi="Times New Roman"/>
          <w:b/>
          <w:sz w:val="28"/>
        </w:rPr>
      </w:pPr>
      <w:r>
        <w:rPr>
          <w:rFonts w:ascii="Times New Roman" w:hAnsi="Times New Roman"/>
          <w:b/>
          <w:sz w:val="28"/>
        </w:rPr>
        <w:t>I Informācija par energoresursu krājumiem uzsākot 2012./2013.gada apkures sezonu</w:t>
      </w:r>
    </w:p>
    <w:p w:rsidR="00EF4D42" w:rsidRPr="00EF4D42" w:rsidRDefault="00EF4D42" w:rsidP="00612E73">
      <w:pPr>
        <w:spacing w:after="0" w:line="240" w:lineRule="auto"/>
        <w:rPr>
          <w:rFonts w:ascii="Times New Roman" w:hAnsi="Times New Roman"/>
          <w:b/>
          <w:sz w:val="28"/>
        </w:rPr>
      </w:pPr>
    </w:p>
    <w:p w:rsidR="00527E18" w:rsidRDefault="00037429" w:rsidP="00037429">
      <w:pPr>
        <w:spacing w:after="0" w:line="240" w:lineRule="auto"/>
        <w:ind w:firstLine="709"/>
        <w:jc w:val="both"/>
        <w:rPr>
          <w:rFonts w:ascii="Times New Roman" w:hAnsi="Times New Roman"/>
          <w:sz w:val="28"/>
          <w:szCs w:val="28"/>
        </w:rPr>
      </w:pPr>
      <w:r>
        <w:rPr>
          <w:rFonts w:ascii="Times New Roman" w:hAnsi="Times New Roman"/>
          <w:sz w:val="28"/>
          <w:szCs w:val="28"/>
        </w:rPr>
        <w:t xml:space="preserve">Informatīvais ziņojums sagatavots saskaņā ar </w:t>
      </w:r>
      <w:r w:rsidR="00527E18">
        <w:rPr>
          <w:rFonts w:ascii="Times New Roman" w:hAnsi="Times New Roman"/>
          <w:sz w:val="28"/>
          <w:szCs w:val="28"/>
        </w:rPr>
        <w:t>Ministru kabineta 1999.gada 16. novembra s</w:t>
      </w:r>
      <w:r>
        <w:rPr>
          <w:rFonts w:ascii="Times New Roman" w:hAnsi="Times New Roman"/>
          <w:sz w:val="28"/>
          <w:szCs w:val="28"/>
        </w:rPr>
        <w:t>ēdes protokola Nr</w:t>
      </w:r>
      <w:r w:rsidR="00581C70">
        <w:rPr>
          <w:rFonts w:ascii="Times New Roman" w:hAnsi="Times New Roman"/>
          <w:sz w:val="28"/>
          <w:szCs w:val="28"/>
        </w:rPr>
        <w:t xml:space="preserve">.63 </w:t>
      </w:r>
      <w:r>
        <w:rPr>
          <w:rFonts w:ascii="Times New Roman" w:hAnsi="Times New Roman"/>
          <w:sz w:val="28"/>
          <w:szCs w:val="28"/>
        </w:rPr>
        <w:t>29</w:t>
      </w:r>
      <w:r w:rsidRPr="00527E18">
        <w:rPr>
          <w:rFonts w:ascii="Times New Roman" w:hAnsi="Times New Roman"/>
          <w:sz w:val="28"/>
          <w:szCs w:val="28"/>
        </w:rPr>
        <w:t>.§ 2.</w:t>
      </w:r>
      <w:r>
        <w:rPr>
          <w:rFonts w:ascii="Times New Roman" w:hAnsi="Times New Roman"/>
          <w:sz w:val="28"/>
          <w:szCs w:val="28"/>
        </w:rPr>
        <w:t xml:space="preserve">punktā doto uzdevumu </w:t>
      </w:r>
      <w:r w:rsidR="00527E18" w:rsidRPr="00527E18">
        <w:rPr>
          <w:rFonts w:ascii="Times New Roman" w:hAnsi="Times New Roman"/>
          <w:sz w:val="28"/>
          <w:szCs w:val="28"/>
        </w:rPr>
        <w:t>Ekonomikas ministrijai (Centrālajai statistikas pārvaldei)</w:t>
      </w:r>
      <w:r w:rsidR="00527E18">
        <w:rPr>
          <w:rFonts w:ascii="Times New Roman" w:hAnsi="Times New Roman"/>
          <w:sz w:val="28"/>
          <w:szCs w:val="28"/>
        </w:rPr>
        <w:t xml:space="preserve"> </w:t>
      </w:r>
      <w:r w:rsidR="00527E18" w:rsidRPr="00527E18">
        <w:rPr>
          <w:rFonts w:ascii="Times New Roman" w:hAnsi="Times New Roman"/>
          <w:sz w:val="28"/>
          <w:szCs w:val="28"/>
        </w:rPr>
        <w:t>katru gadu līdz 1.novembrim sagatavot un iesniegt Ministru kabinetā informāciju par situāciju valstī, uzsākot apkures sezonu.</w:t>
      </w:r>
      <w:r>
        <w:rPr>
          <w:rFonts w:ascii="Times New Roman" w:hAnsi="Times New Roman"/>
          <w:sz w:val="28"/>
          <w:szCs w:val="28"/>
        </w:rPr>
        <w:t xml:space="preserve"> </w:t>
      </w:r>
    </w:p>
    <w:p w:rsidR="00612E73" w:rsidRPr="00FE11BD" w:rsidRDefault="002610C1" w:rsidP="00FE11BD">
      <w:pPr>
        <w:spacing w:after="0" w:line="240" w:lineRule="auto"/>
        <w:ind w:firstLine="709"/>
        <w:jc w:val="both"/>
        <w:rPr>
          <w:rFonts w:ascii="Times New Roman" w:hAnsi="Times New Roman"/>
          <w:sz w:val="28"/>
        </w:rPr>
      </w:pPr>
      <w:r>
        <w:rPr>
          <w:rFonts w:ascii="Times New Roman" w:hAnsi="Times New Roman"/>
          <w:sz w:val="28"/>
          <w:szCs w:val="28"/>
        </w:rPr>
        <w:t xml:space="preserve">Siltumapgādes organizēšana ir viena no pašvaldību autonomajām funkcijām. </w:t>
      </w:r>
      <w:r w:rsidR="00FE11BD" w:rsidRPr="00FE11BD">
        <w:rPr>
          <w:rFonts w:ascii="Times New Roman" w:hAnsi="Times New Roman"/>
          <w:sz w:val="28"/>
          <w:szCs w:val="28"/>
        </w:rPr>
        <w:t>Kopš 1993. gada valstī pastāv brīvais kurināmā resursu tirgus</w:t>
      </w:r>
      <w:r>
        <w:rPr>
          <w:rFonts w:ascii="Times New Roman" w:hAnsi="Times New Roman"/>
          <w:sz w:val="28"/>
          <w:szCs w:val="28"/>
        </w:rPr>
        <w:t>,</w:t>
      </w:r>
      <w:r w:rsidR="00FE11BD" w:rsidRPr="00FE11BD">
        <w:rPr>
          <w:rFonts w:ascii="Times New Roman" w:hAnsi="Times New Roman"/>
          <w:sz w:val="28"/>
          <w:szCs w:val="28"/>
        </w:rPr>
        <w:t xml:space="preserve"> un šobrīd nepastāv ierobežojumi kurināmā iegādei. </w:t>
      </w:r>
    </w:p>
    <w:p w:rsidR="002610C1" w:rsidRDefault="002610C1" w:rsidP="001B33B8">
      <w:pPr>
        <w:spacing w:after="0" w:line="240" w:lineRule="auto"/>
        <w:ind w:firstLine="709"/>
        <w:jc w:val="both"/>
        <w:rPr>
          <w:rFonts w:ascii="Times New Roman" w:hAnsi="Times New Roman"/>
          <w:sz w:val="28"/>
          <w:szCs w:val="28"/>
        </w:rPr>
      </w:pPr>
      <w:r>
        <w:rPr>
          <w:rFonts w:ascii="Times New Roman" w:hAnsi="Times New Roman"/>
          <w:sz w:val="28"/>
          <w:szCs w:val="28"/>
        </w:rPr>
        <w:t>Lai noteiktu energoresursu krājumus</w:t>
      </w:r>
      <w:r w:rsidR="00404C2B">
        <w:rPr>
          <w:rFonts w:ascii="Times New Roman" w:hAnsi="Times New Roman"/>
          <w:sz w:val="28"/>
          <w:szCs w:val="28"/>
        </w:rPr>
        <w:t>,</w:t>
      </w:r>
      <w:r>
        <w:rPr>
          <w:rFonts w:ascii="Times New Roman" w:hAnsi="Times New Roman"/>
          <w:sz w:val="28"/>
          <w:szCs w:val="28"/>
        </w:rPr>
        <w:t xml:space="preserve"> </w:t>
      </w:r>
      <w:r w:rsidRPr="001B33B8">
        <w:rPr>
          <w:rFonts w:ascii="Times New Roman" w:hAnsi="Times New Roman"/>
          <w:sz w:val="28"/>
          <w:szCs w:val="28"/>
        </w:rPr>
        <w:t xml:space="preserve">tika apsekoti </w:t>
      </w:r>
      <w:r w:rsidR="007B14F7">
        <w:rPr>
          <w:rFonts w:ascii="Times New Roman" w:hAnsi="Times New Roman"/>
          <w:sz w:val="28"/>
          <w:szCs w:val="28"/>
        </w:rPr>
        <w:t>165</w:t>
      </w:r>
      <w:r w:rsidRPr="001B33B8">
        <w:rPr>
          <w:rFonts w:ascii="Times New Roman" w:hAnsi="Times New Roman"/>
          <w:sz w:val="28"/>
          <w:szCs w:val="28"/>
        </w:rPr>
        <w:t xml:space="preserve"> </w:t>
      </w:r>
      <w:r w:rsidRPr="003D5624">
        <w:rPr>
          <w:rFonts w:ascii="Times New Roman" w:hAnsi="Times New Roman"/>
          <w:sz w:val="28"/>
          <w:szCs w:val="28"/>
        </w:rPr>
        <w:t>komersanti, kuri</w:t>
      </w:r>
      <w:r>
        <w:rPr>
          <w:rFonts w:ascii="Times New Roman" w:hAnsi="Times New Roman"/>
          <w:sz w:val="28"/>
          <w:szCs w:val="28"/>
        </w:rPr>
        <w:t xml:space="preserve"> ražo siltumenerģiju pārdošanai.</w:t>
      </w:r>
      <w:r w:rsidRPr="001B33B8">
        <w:rPr>
          <w:rFonts w:ascii="Times New Roman" w:hAnsi="Times New Roman"/>
          <w:sz w:val="28"/>
          <w:szCs w:val="28"/>
        </w:rPr>
        <w:t xml:space="preserve"> </w:t>
      </w:r>
      <w:r>
        <w:rPr>
          <w:rFonts w:ascii="Times New Roman" w:hAnsi="Times New Roman"/>
          <w:sz w:val="28"/>
          <w:szCs w:val="28"/>
        </w:rPr>
        <w:t>Atbilstoši</w:t>
      </w:r>
      <w:r w:rsidR="001B33B8" w:rsidRPr="001B33B8">
        <w:rPr>
          <w:rFonts w:ascii="Times New Roman" w:hAnsi="Times New Roman"/>
          <w:sz w:val="28"/>
          <w:szCs w:val="28"/>
        </w:rPr>
        <w:t xml:space="preserve"> Centrālās statistikas pārvaldes </w:t>
      </w:r>
      <w:r>
        <w:rPr>
          <w:rFonts w:ascii="Times New Roman" w:hAnsi="Times New Roman"/>
          <w:sz w:val="28"/>
          <w:szCs w:val="28"/>
        </w:rPr>
        <w:t xml:space="preserve">sniegtajai operatīvajai informācijai </w:t>
      </w:r>
      <w:r w:rsidR="001B33B8" w:rsidRPr="001B33B8">
        <w:rPr>
          <w:rFonts w:ascii="Times New Roman" w:hAnsi="Times New Roman"/>
          <w:sz w:val="28"/>
          <w:szCs w:val="28"/>
        </w:rPr>
        <w:t>uz 20</w:t>
      </w:r>
      <w:r w:rsidR="007B14F7">
        <w:rPr>
          <w:rFonts w:ascii="Times New Roman" w:hAnsi="Times New Roman"/>
          <w:sz w:val="28"/>
          <w:szCs w:val="28"/>
        </w:rPr>
        <w:t>12</w:t>
      </w:r>
      <w:r w:rsidR="001B33B8" w:rsidRPr="001B33B8">
        <w:rPr>
          <w:rFonts w:ascii="Times New Roman" w:hAnsi="Times New Roman"/>
          <w:sz w:val="28"/>
          <w:szCs w:val="28"/>
        </w:rPr>
        <w:t>. gada</w:t>
      </w:r>
      <w:r>
        <w:rPr>
          <w:rFonts w:ascii="Times New Roman" w:hAnsi="Times New Roman"/>
          <w:sz w:val="28"/>
          <w:szCs w:val="28"/>
        </w:rPr>
        <w:t xml:space="preserve"> 1. oktobri Latvijas Republikā </w:t>
      </w:r>
      <w:r w:rsidR="001B33B8" w:rsidRPr="001B33B8">
        <w:rPr>
          <w:rFonts w:ascii="Times New Roman" w:hAnsi="Times New Roman"/>
          <w:sz w:val="28"/>
          <w:szCs w:val="28"/>
        </w:rPr>
        <w:t xml:space="preserve">bija </w:t>
      </w:r>
      <w:r>
        <w:rPr>
          <w:rFonts w:ascii="Times New Roman" w:hAnsi="Times New Roman"/>
          <w:sz w:val="28"/>
          <w:szCs w:val="28"/>
        </w:rPr>
        <w:t>šādi</w:t>
      </w:r>
      <w:r w:rsidR="001B33B8" w:rsidRPr="001B33B8">
        <w:rPr>
          <w:rFonts w:ascii="Times New Roman" w:hAnsi="Times New Roman"/>
          <w:sz w:val="28"/>
          <w:szCs w:val="28"/>
        </w:rPr>
        <w:t xml:space="preserve"> </w:t>
      </w:r>
      <w:r>
        <w:rPr>
          <w:rFonts w:ascii="Times New Roman" w:hAnsi="Times New Roman"/>
          <w:sz w:val="28"/>
          <w:szCs w:val="28"/>
        </w:rPr>
        <w:t>energoresursu krājumi:</w:t>
      </w:r>
    </w:p>
    <w:p w:rsidR="00587367" w:rsidRPr="001B33B8" w:rsidRDefault="00587367" w:rsidP="001B33B8">
      <w:pPr>
        <w:spacing w:after="0" w:line="240" w:lineRule="auto"/>
        <w:ind w:firstLine="709"/>
        <w:jc w:val="both"/>
        <w:rPr>
          <w:rFonts w:ascii="Times New Roman" w:hAnsi="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643"/>
        <w:gridCol w:w="2977"/>
        <w:gridCol w:w="1667"/>
      </w:tblGrid>
      <w:tr w:rsidR="002610C1" w:rsidRPr="00C763C9" w:rsidTr="00C763C9">
        <w:tc>
          <w:tcPr>
            <w:tcW w:w="4644" w:type="dxa"/>
            <w:tcBorders>
              <w:left w:val="nil"/>
              <w:bottom w:val="single" w:sz="4" w:space="0" w:color="auto"/>
            </w:tcBorders>
          </w:tcPr>
          <w:p w:rsidR="002610C1" w:rsidRPr="00C763C9" w:rsidRDefault="002610C1" w:rsidP="00C763C9">
            <w:pPr>
              <w:spacing w:after="0" w:line="240" w:lineRule="auto"/>
              <w:rPr>
                <w:rFonts w:ascii="Times New Roman" w:hAnsi="Times New Roman"/>
                <w:b/>
                <w:sz w:val="28"/>
              </w:rPr>
            </w:pPr>
            <w:r w:rsidRPr="00C763C9">
              <w:rPr>
                <w:rFonts w:ascii="Times New Roman" w:hAnsi="Times New Roman"/>
                <w:b/>
                <w:sz w:val="28"/>
              </w:rPr>
              <w:t>Energoresursa veids</w:t>
            </w:r>
          </w:p>
        </w:tc>
        <w:tc>
          <w:tcPr>
            <w:tcW w:w="4644" w:type="dxa"/>
            <w:gridSpan w:val="2"/>
            <w:tcBorders>
              <w:bottom w:val="single" w:sz="4" w:space="0" w:color="auto"/>
              <w:right w:val="nil"/>
            </w:tcBorders>
          </w:tcPr>
          <w:p w:rsidR="002610C1" w:rsidRPr="00C763C9" w:rsidRDefault="007B14F7" w:rsidP="00C763C9">
            <w:pPr>
              <w:spacing w:after="0" w:line="240" w:lineRule="auto"/>
              <w:jc w:val="center"/>
              <w:rPr>
                <w:rFonts w:ascii="Times New Roman" w:hAnsi="Times New Roman"/>
                <w:b/>
                <w:sz w:val="28"/>
              </w:rPr>
            </w:pPr>
            <w:r>
              <w:rPr>
                <w:rFonts w:ascii="Times New Roman" w:hAnsi="Times New Roman"/>
                <w:b/>
                <w:sz w:val="28"/>
              </w:rPr>
              <w:t>Krājumi uz 01.10.2012</w:t>
            </w:r>
          </w:p>
        </w:tc>
      </w:tr>
      <w:tr w:rsidR="00587367" w:rsidRPr="00C763C9" w:rsidTr="00C763C9">
        <w:tc>
          <w:tcPr>
            <w:tcW w:w="4644" w:type="dxa"/>
            <w:tcBorders>
              <w:left w:val="nil"/>
              <w:bottom w:val="nil"/>
            </w:tcBorders>
          </w:tcPr>
          <w:p w:rsidR="00587367" w:rsidRPr="00C763C9" w:rsidRDefault="00587367" w:rsidP="00C763C9">
            <w:pPr>
              <w:spacing w:after="0" w:line="240" w:lineRule="auto"/>
              <w:jc w:val="both"/>
              <w:rPr>
                <w:rFonts w:ascii="Times New Roman" w:hAnsi="Times New Roman"/>
                <w:sz w:val="28"/>
              </w:rPr>
            </w:pPr>
            <w:r w:rsidRPr="00C763C9">
              <w:rPr>
                <w:rFonts w:ascii="Times New Roman" w:hAnsi="Times New Roman"/>
                <w:sz w:val="28"/>
              </w:rPr>
              <w:t>Dīzeļdegviela</w:t>
            </w:r>
          </w:p>
        </w:tc>
        <w:tc>
          <w:tcPr>
            <w:tcW w:w="2977" w:type="dxa"/>
            <w:tcBorders>
              <w:bottom w:val="nil"/>
            </w:tcBorders>
          </w:tcPr>
          <w:p w:rsidR="00587367" w:rsidRPr="00C763C9" w:rsidRDefault="007B14F7" w:rsidP="00C763C9">
            <w:pPr>
              <w:spacing w:after="0" w:line="240" w:lineRule="auto"/>
              <w:jc w:val="right"/>
              <w:rPr>
                <w:rFonts w:ascii="Times New Roman" w:hAnsi="Times New Roman"/>
                <w:sz w:val="28"/>
              </w:rPr>
            </w:pPr>
            <w:r>
              <w:rPr>
                <w:rFonts w:ascii="Times New Roman" w:hAnsi="Times New Roman"/>
                <w:sz w:val="28"/>
              </w:rPr>
              <w:t>4231,6</w:t>
            </w:r>
          </w:p>
        </w:tc>
        <w:tc>
          <w:tcPr>
            <w:tcW w:w="1667" w:type="dxa"/>
            <w:tcBorders>
              <w:bottom w:val="nil"/>
              <w:right w:val="nil"/>
            </w:tcBorders>
          </w:tcPr>
          <w:p w:rsidR="00587367" w:rsidRPr="00C763C9" w:rsidRDefault="00587367" w:rsidP="00C763C9">
            <w:pPr>
              <w:spacing w:after="0" w:line="240" w:lineRule="auto"/>
              <w:jc w:val="both"/>
              <w:rPr>
                <w:rFonts w:ascii="Times New Roman" w:hAnsi="Times New Roman"/>
                <w:sz w:val="28"/>
              </w:rPr>
            </w:pPr>
            <w:r w:rsidRPr="00C763C9">
              <w:rPr>
                <w:rFonts w:ascii="Times New Roman" w:hAnsi="Times New Roman"/>
                <w:sz w:val="28"/>
              </w:rPr>
              <w:t>t</w:t>
            </w:r>
          </w:p>
        </w:tc>
      </w:tr>
      <w:tr w:rsidR="002610C1" w:rsidRPr="00C763C9" w:rsidTr="00C763C9">
        <w:tc>
          <w:tcPr>
            <w:tcW w:w="4644" w:type="dxa"/>
            <w:tcBorders>
              <w:top w:val="nil"/>
              <w:left w:val="nil"/>
              <w:bottom w:val="nil"/>
            </w:tcBorders>
          </w:tcPr>
          <w:p w:rsidR="002610C1" w:rsidRPr="00C763C9" w:rsidRDefault="002610C1" w:rsidP="00C763C9">
            <w:pPr>
              <w:spacing w:after="0" w:line="240" w:lineRule="auto"/>
              <w:jc w:val="both"/>
              <w:rPr>
                <w:rFonts w:ascii="Times New Roman" w:hAnsi="Times New Roman"/>
                <w:sz w:val="28"/>
              </w:rPr>
            </w:pPr>
            <w:r w:rsidRPr="00C763C9">
              <w:rPr>
                <w:rFonts w:ascii="Times New Roman" w:hAnsi="Times New Roman"/>
                <w:sz w:val="28"/>
              </w:rPr>
              <w:t xml:space="preserve">Sadzīves krāšņu kurināmais </w:t>
            </w:r>
          </w:p>
        </w:tc>
        <w:tc>
          <w:tcPr>
            <w:tcW w:w="2977" w:type="dxa"/>
            <w:tcBorders>
              <w:top w:val="nil"/>
              <w:bottom w:val="nil"/>
            </w:tcBorders>
          </w:tcPr>
          <w:p w:rsidR="002610C1" w:rsidRPr="00C763C9" w:rsidRDefault="007B14F7" w:rsidP="00C763C9">
            <w:pPr>
              <w:spacing w:after="0" w:line="240" w:lineRule="auto"/>
              <w:jc w:val="right"/>
              <w:rPr>
                <w:rFonts w:ascii="Times New Roman" w:hAnsi="Times New Roman"/>
                <w:sz w:val="28"/>
              </w:rPr>
            </w:pPr>
            <w:r>
              <w:rPr>
                <w:rFonts w:ascii="Times New Roman" w:hAnsi="Times New Roman"/>
                <w:sz w:val="28"/>
              </w:rPr>
              <w:t>44,8</w:t>
            </w:r>
          </w:p>
        </w:tc>
        <w:tc>
          <w:tcPr>
            <w:tcW w:w="1667" w:type="dxa"/>
            <w:tcBorders>
              <w:top w:val="nil"/>
              <w:bottom w:val="nil"/>
              <w:right w:val="nil"/>
            </w:tcBorders>
          </w:tcPr>
          <w:p w:rsidR="002610C1" w:rsidRPr="00C763C9" w:rsidRDefault="002610C1" w:rsidP="00C763C9">
            <w:pPr>
              <w:spacing w:after="0" w:line="240" w:lineRule="auto"/>
              <w:jc w:val="both"/>
              <w:rPr>
                <w:rFonts w:ascii="Times New Roman" w:hAnsi="Times New Roman"/>
                <w:sz w:val="28"/>
              </w:rPr>
            </w:pPr>
            <w:r w:rsidRPr="00C763C9">
              <w:rPr>
                <w:rFonts w:ascii="Times New Roman" w:hAnsi="Times New Roman"/>
                <w:sz w:val="28"/>
              </w:rPr>
              <w:t>t</w:t>
            </w:r>
          </w:p>
        </w:tc>
      </w:tr>
      <w:tr w:rsidR="002610C1" w:rsidRPr="00C763C9" w:rsidTr="00C763C9">
        <w:tc>
          <w:tcPr>
            <w:tcW w:w="4644" w:type="dxa"/>
            <w:tcBorders>
              <w:top w:val="nil"/>
              <w:left w:val="nil"/>
              <w:bottom w:val="nil"/>
            </w:tcBorders>
          </w:tcPr>
          <w:p w:rsidR="002610C1" w:rsidRPr="00C763C9" w:rsidRDefault="002610C1" w:rsidP="00C763C9">
            <w:pPr>
              <w:spacing w:after="0" w:line="240" w:lineRule="auto"/>
              <w:jc w:val="both"/>
              <w:rPr>
                <w:rFonts w:ascii="Times New Roman" w:hAnsi="Times New Roman"/>
                <w:sz w:val="28"/>
              </w:rPr>
            </w:pPr>
            <w:r w:rsidRPr="00C763C9">
              <w:rPr>
                <w:rFonts w:ascii="Times New Roman" w:hAnsi="Times New Roman"/>
                <w:sz w:val="28"/>
              </w:rPr>
              <w:t>Mazuts</w:t>
            </w:r>
          </w:p>
        </w:tc>
        <w:tc>
          <w:tcPr>
            <w:tcW w:w="2977" w:type="dxa"/>
            <w:tcBorders>
              <w:top w:val="nil"/>
              <w:bottom w:val="nil"/>
            </w:tcBorders>
          </w:tcPr>
          <w:p w:rsidR="002610C1" w:rsidRPr="00C763C9" w:rsidRDefault="007B14F7" w:rsidP="00C763C9">
            <w:pPr>
              <w:spacing w:after="0" w:line="240" w:lineRule="auto"/>
              <w:jc w:val="right"/>
              <w:rPr>
                <w:rFonts w:ascii="Times New Roman" w:hAnsi="Times New Roman"/>
                <w:sz w:val="28"/>
              </w:rPr>
            </w:pPr>
            <w:r>
              <w:rPr>
                <w:rFonts w:ascii="Times New Roman" w:hAnsi="Times New Roman"/>
                <w:sz w:val="28"/>
              </w:rPr>
              <w:t>28675,1</w:t>
            </w:r>
          </w:p>
        </w:tc>
        <w:tc>
          <w:tcPr>
            <w:tcW w:w="1667" w:type="dxa"/>
            <w:tcBorders>
              <w:top w:val="nil"/>
              <w:bottom w:val="nil"/>
              <w:right w:val="nil"/>
            </w:tcBorders>
          </w:tcPr>
          <w:p w:rsidR="002610C1" w:rsidRPr="00C763C9" w:rsidRDefault="00BD6DBF" w:rsidP="00C763C9">
            <w:pPr>
              <w:spacing w:after="0" w:line="240" w:lineRule="auto"/>
              <w:jc w:val="both"/>
              <w:rPr>
                <w:rFonts w:ascii="Times New Roman" w:hAnsi="Times New Roman"/>
                <w:sz w:val="28"/>
              </w:rPr>
            </w:pPr>
            <w:r w:rsidRPr="00C763C9">
              <w:rPr>
                <w:rFonts w:ascii="Times New Roman" w:hAnsi="Times New Roman"/>
                <w:sz w:val="28"/>
              </w:rPr>
              <w:t>t</w:t>
            </w:r>
          </w:p>
        </w:tc>
      </w:tr>
      <w:tr w:rsidR="002610C1" w:rsidRPr="00C763C9" w:rsidTr="00C763C9">
        <w:tc>
          <w:tcPr>
            <w:tcW w:w="4644" w:type="dxa"/>
            <w:tcBorders>
              <w:top w:val="nil"/>
              <w:left w:val="nil"/>
              <w:bottom w:val="nil"/>
            </w:tcBorders>
          </w:tcPr>
          <w:p w:rsidR="002610C1" w:rsidRPr="00C763C9" w:rsidRDefault="00BD6DBF" w:rsidP="00C763C9">
            <w:pPr>
              <w:spacing w:after="0" w:line="240" w:lineRule="auto"/>
              <w:jc w:val="both"/>
              <w:rPr>
                <w:rFonts w:ascii="Times New Roman" w:hAnsi="Times New Roman"/>
                <w:sz w:val="28"/>
              </w:rPr>
            </w:pPr>
            <w:r w:rsidRPr="00C763C9">
              <w:rPr>
                <w:rFonts w:ascii="Times New Roman" w:hAnsi="Times New Roman"/>
                <w:sz w:val="28"/>
              </w:rPr>
              <w:t>Pārējie naftas produkti</w:t>
            </w:r>
          </w:p>
        </w:tc>
        <w:tc>
          <w:tcPr>
            <w:tcW w:w="2977" w:type="dxa"/>
            <w:tcBorders>
              <w:top w:val="nil"/>
              <w:bottom w:val="nil"/>
            </w:tcBorders>
          </w:tcPr>
          <w:p w:rsidR="002610C1" w:rsidRPr="00C763C9" w:rsidRDefault="007B14F7" w:rsidP="00C763C9">
            <w:pPr>
              <w:spacing w:after="0" w:line="240" w:lineRule="auto"/>
              <w:jc w:val="right"/>
              <w:rPr>
                <w:rFonts w:ascii="Times New Roman" w:hAnsi="Times New Roman"/>
                <w:sz w:val="28"/>
              </w:rPr>
            </w:pPr>
            <w:r>
              <w:rPr>
                <w:rFonts w:ascii="Times New Roman" w:hAnsi="Times New Roman"/>
                <w:sz w:val="28"/>
              </w:rPr>
              <w:t>361,1</w:t>
            </w:r>
          </w:p>
        </w:tc>
        <w:tc>
          <w:tcPr>
            <w:tcW w:w="1667" w:type="dxa"/>
            <w:tcBorders>
              <w:top w:val="nil"/>
              <w:bottom w:val="nil"/>
              <w:right w:val="nil"/>
            </w:tcBorders>
          </w:tcPr>
          <w:p w:rsidR="002610C1" w:rsidRPr="00C763C9" w:rsidRDefault="00BD6DBF" w:rsidP="00C763C9">
            <w:pPr>
              <w:spacing w:after="0" w:line="240" w:lineRule="auto"/>
              <w:jc w:val="both"/>
              <w:rPr>
                <w:rFonts w:ascii="Times New Roman" w:hAnsi="Times New Roman"/>
                <w:sz w:val="28"/>
              </w:rPr>
            </w:pPr>
            <w:r w:rsidRPr="00C763C9">
              <w:rPr>
                <w:rFonts w:ascii="Times New Roman" w:hAnsi="Times New Roman"/>
                <w:sz w:val="28"/>
              </w:rPr>
              <w:t>t</w:t>
            </w:r>
          </w:p>
        </w:tc>
      </w:tr>
      <w:tr w:rsidR="00BD6DBF" w:rsidRPr="00C763C9" w:rsidTr="00C763C9">
        <w:tc>
          <w:tcPr>
            <w:tcW w:w="4644" w:type="dxa"/>
            <w:tcBorders>
              <w:top w:val="nil"/>
              <w:left w:val="nil"/>
              <w:bottom w:val="nil"/>
            </w:tcBorders>
          </w:tcPr>
          <w:p w:rsidR="00BD6DBF" w:rsidRPr="00C763C9" w:rsidRDefault="00BD6DBF" w:rsidP="00C763C9">
            <w:pPr>
              <w:spacing w:after="0" w:line="240" w:lineRule="auto"/>
              <w:jc w:val="both"/>
              <w:rPr>
                <w:rFonts w:ascii="Times New Roman" w:hAnsi="Times New Roman"/>
                <w:sz w:val="28"/>
              </w:rPr>
            </w:pPr>
            <w:r w:rsidRPr="00C763C9">
              <w:rPr>
                <w:rFonts w:ascii="Times New Roman" w:hAnsi="Times New Roman"/>
                <w:sz w:val="28"/>
              </w:rPr>
              <w:t>Atstādinātās eļļas</w:t>
            </w:r>
          </w:p>
        </w:tc>
        <w:tc>
          <w:tcPr>
            <w:tcW w:w="2977" w:type="dxa"/>
            <w:tcBorders>
              <w:top w:val="nil"/>
              <w:bottom w:val="nil"/>
            </w:tcBorders>
          </w:tcPr>
          <w:p w:rsidR="00BD6DBF" w:rsidRPr="00C763C9" w:rsidRDefault="00BD6DBF" w:rsidP="00C763C9">
            <w:pPr>
              <w:spacing w:after="0" w:line="240" w:lineRule="auto"/>
              <w:jc w:val="right"/>
              <w:rPr>
                <w:rFonts w:ascii="Times New Roman" w:hAnsi="Times New Roman"/>
                <w:sz w:val="28"/>
              </w:rPr>
            </w:pPr>
            <w:r w:rsidRPr="00C763C9">
              <w:rPr>
                <w:rFonts w:ascii="Times New Roman" w:hAnsi="Times New Roman"/>
                <w:sz w:val="28"/>
              </w:rPr>
              <w:t>47,0</w:t>
            </w:r>
          </w:p>
        </w:tc>
        <w:tc>
          <w:tcPr>
            <w:tcW w:w="1667" w:type="dxa"/>
            <w:tcBorders>
              <w:top w:val="nil"/>
              <w:bottom w:val="nil"/>
              <w:right w:val="nil"/>
            </w:tcBorders>
          </w:tcPr>
          <w:p w:rsidR="00BD6DBF" w:rsidRPr="00C763C9" w:rsidRDefault="00BD6DBF" w:rsidP="00C763C9">
            <w:pPr>
              <w:spacing w:after="0" w:line="240" w:lineRule="auto"/>
              <w:jc w:val="both"/>
              <w:rPr>
                <w:rFonts w:ascii="Times New Roman" w:hAnsi="Times New Roman"/>
                <w:sz w:val="28"/>
              </w:rPr>
            </w:pPr>
            <w:r w:rsidRPr="00C763C9">
              <w:rPr>
                <w:rFonts w:ascii="Times New Roman" w:hAnsi="Times New Roman"/>
                <w:sz w:val="28"/>
              </w:rPr>
              <w:t>t</w:t>
            </w:r>
          </w:p>
        </w:tc>
      </w:tr>
      <w:tr w:rsidR="00BD6DBF" w:rsidRPr="00C763C9" w:rsidTr="00C763C9">
        <w:tc>
          <w:tcPr>
            <w:tcW w:w="4644" w:type="dxa"/>
            <w:tcBorders>
              <w:top w:val="nil"/>
              <w:left w:val="nil"/>
              <w:bottom w:val="nil"/>
            </w:tcBorders>
          </w:tcPr>
          <w:p w:rsidR="00BD6DBF" w:rsidRPr="00C763C9" w:rsidRDefault="00BD6DBF" w:rsidP="00C763C9">
            <w:pPr>
              <w:spacing w:after="0" w:line="240" w:lineRule="auto"/>
              <w:jc w:val="both"/>
              <w:rPr>
                <w:rFonts w:ascii="Times New Roman" w:hAnsi="Times New Roman"/>
                <w:sz w:val="28"/>
              </w:rPr>
            </w:pPr>
            <w:r w:rsidRPr="00C763C9">
              <w:rPr>
                <w:rFonts w:ascii="Times New Roman" w:hAnsi="Times New Roman"/>
                <w:sz w:val="28"/>
              </w:rPr>
              <w:t>Akmeņogles</w:t>
            </w:r>
          </w:p>
        </w:tc>
        <w:tc>
          <w:tcPr>
            <w:tcW w:w="2977" w:type="dxa"/>
            <w:tcBorders>
              <w:top w:val="nil"/>
              <w:bottom w:val="nil"/>
            </w:tcBorders>
          </w:tcPr>
          <w:p w:rsidR="00BD6DBF" w:rsidRPr="00C763C9" w:rsidRDefault="007B14F7" w:rsidP="00C763C9">
            <w:pPr>
              <w:spacing w:after="0" w:line="240" w:lineRule="auto"/>
              <w:jc w:val="right"/>
              <w:rPr>
                <w:rFonts w:ascii="Times New Roman" w:hAnsi="Times New Roman"/>
                <w:sz w:val="28"/>
              </w:rPr>
            </w:pPr>
            <w:r>
              <w:rPr>
                <w:rFonts w:ascii="Times New Roman" w:hAnsi="Times New Roman"/>
                <w:sz w:val="28"/>
              </w:rPr>
              <w:t>3771,1</w:t>
            </w:r>
          </w:p>
        </w:tc>
        <w:tc>
          <w:tcPr>
            <w:tcW w:w="1667" w:type="dxa"/>
            <w:tcBorders>
              <w:top w:val="nil"/>
              <w:bottom w:val="nil"/>
              <w:right w:val="nil"/>
            </w:tcBorders>
          </w:tcPr>
          <w:p w:rsidR="00BD6DBF" w:rsidRPr="00C763C9" w:rsidRDefault="00BD6DBF" w:rsidP="00C763C9">
            <w:pPr>
              <w:spacing w:after="0" w:line="240" w:lineRule="auto"/>
              <w:jc w:val="both"/>
              <w:rPr>
                <w:rFonts w:ascii="Times New Roman" w:hAnsi="Times New Roman"/>
                <w:sz w:val="28"/>
              </w:rPr>
            </w:pPr>
            <w:r w:rsidRPr="00C763C9">
              <w:rPr>
                <w:rFonts w:ascii="Times New Roman" w:hAnsi="Times New Roman"/>
                <w:sz w:val="28"/>
              </w:rPr>
              <w:t>t</w:t>
            </w:r>
          </w:p>
        </w:tc>
      </w:tr>
      <w:tr w:rsidR="00BD6DBF" w:rsidRPr="00C763C9" w:rsidTr="00C763C9">
        <w:tc>
          <w:tcPr>
            <w:tcW w:w="4644" w:type="dxa"/>
            <w:tcBorders>
              <w:top w:val="nil"/>
              <w:left w:val="nil"/>
              <w:bottom w:val="nil"/>
            </w:tcBorders>
          </w:tcPr>
          <w:p w:rsidR="00BD6DBF" w:rsidRPr="00C763C9" w:rsidRDefault="00BD6DBF" w:rsidP="00C763C9">
            <w:pPr>
              <w:spacing w:after="0" w:line="240" w:lineRule="auto"/>
              <w:jc w:val="both"/>
              <w:rPr>
                <w:rFonts w:ascii="Times New Roman" w:hAnsi="Times New Roman"/>
                <w:sz w:val="28"/>
              </w:rPr>
            </w:pPr>
            <w:r w:rsidRPr="00C763C9">
              <w:rPr>
                <w:rFonts w:ascii="Times New Roman" w:hAnsi="Times New Roman"/>
                <w:sz w:val="28"/>
              </w:rPr>
              <w:t>Kūdras briketes un pusbriketes</w:t>
            </w:r>
          </w:p>
        </w:tc>
        <w:tc>
          <w:tcPr>
            <w:tcW w:w="2977" w:type="dxa"/>
            <w:tcBorders>
              <w:top w:val="nil"/>
              <w:bottom w:val="nil"/>
            </w:tcBorders>
          </w:tcPr>
          <w:p w:rsidR="00BD6DBF" w:rsidRPr="00C763C9" w:rsidRDefault="00BD6DBF" w:rsidP="00C763C9">
            <w:pPr>
              <w:spacing w:after="0" w:line="240" w:lineRule="auto"/>
              <w:jc w:val="right"/>
              <w:rPr>
                <w:rFonts w:ascii="Times New Roman" w:hAnsi="Times New Roman"/>
                <w:sz w:val="28"/>
              </w:rPr>
            </w:pPr>
            <w:r w:rsidRPr="00C763C9">
              <w:rPr>
                <w:rFonts w:ascii="Times New Roman" w:hAnsi="Times New Roman"/>
                <w:sz w:val="28"/>
              </w:rPr>
              <w:t>0,0</w:t>
            </w:r>
          </w:p>
        </w:tc>
        <w:tc>
          <w:tcPr>
            <w:tcW w:w="1667" w:type="dxa"/>
            <w:tcBorders>
              <w:top w:val="nil"/>
              <w:bottom w:val="nil"/>
              <w:right w:val="nil"/>
            </w:tcBorders>
          </w:tcPr>
          <w:p w:rsidR="00BD6DBF" w:rsidRPr="00C763C9" w:rsidRDefault="00BD6DBF" w:rsidP="00C763C9">
            <w:pPr>
              <w:spacing w:after="0" w:line="240" w:lineRule="auto"/>
              <w:jc w:val="both"/>
              <w:rPr>
                <w:rFonts w:ascii="Times New Roman" w:hAnsi="Times New Roman"/>
                <w:sz w:val="28"/>
              </w:rPr>
            </w:pPr>
            <w:r w:rsidRPr="00C763C9">
              <w:rPr>
                <w:rFonts w:ascii="Times New Roman" w:hAnsi="Times New Roman"/>
                <w:sz w:val="28"/>
              </w:rPr>
              <w:t>t</w:t>
            </w:r>
          </w:p>
        </w:tc>
      </w:tr>
      <w:tr w:rsidR="00BD6DBF" w:rsidRPr="00C763C9" w:rsidTr="00C763C9">
        <w:tc>
          <w:tcPr>
            <w:tcW w:w="4644" w:type="dxa"/>
            <w:tcBorders>
              <w:top w:val="nil"/>
              <w:left w:val="nil"/>
              <w:bottom w:val="nil"/>
            </w:tcBorders>
          </w:tcPr>
          <w:p w:rsidR="00BD6DBF" w:rsidRPr="00C763C9" w:rsidRDefault="00BD6DBF" w:rsidP="00C763C9">
            <w:pPr>
              <w:spacing w:after="0" w:line="240" w:lineRule="auto"/>
              <w:jc w:val="both"/>
              <w:rPr>
                <w:rFonts w:ascii="Times New Roman" w:hAnsi="Times New Roman"/>
                <w:sz w:val="28"/>
              </w:rPr>
            </w:pPr>
            <w:r w:rsidRPr="00C763C9">
              <w:rPr>
                <w:rFonts w:ascii="Times New Roman" w:hAnsi="Times New Roman"/>
                <w:sz w:val="28"/>
              </w:rPr>
              <w:t>Degakmens eļļa</w:t>
            </w:r>
          </w:p>
        </w:tc>
        <w:tc>
          <w:tcPr>
            <w:tcW w:w="2977" w:type="dxa"/>
            <w:tcBorders>
              <w:top w:val="nil"/>
              <w:bottom w:val="nil"/>
            </w:tcBorders>
          </w:tcPr>
          <w:p w:rsidR="00BD6DBF" w:rsidRPr="00C763C9" w:rsidRDefault="007B14F7" w:rsidP="00C763C9">
            <w:pPr>
              <w:spacing w:after="0" w:line="240" w:lineRule="auto"/>
              <w:jc w:val="right"/>
              <w:rPr>
                <w:rFonts w:ascii="Times New Roman" w:hAnsi="Times New Roman"/>
                <w:sz w:val="28"/>
              </w:rPr>
            </w:pPr>
            <w:r>
              <w:rPr>
                <w:rFonts w:ascii="Times New Roman" w:hAnsi="Times New Roman"/>
                <w:sz w:val="28"/>
              </w:rPr>
              <w:t>21,1</w:t>
            </w:r>
          </w:p>
        </w:tc>
        <w:tc>
          <w:tcPr>
            <w:tcW w:w="1667" w:type="dxa"/>
            <w:tcBorders>
              <w:top w:val="nil"/>
              <w:bottom w:val="nil"/>
              <w:right w:val="nil"/>
            </w:tcBorders>
          </w:tcPr>
          <w:p w:rsidR="00BD6DBF" w:rsidRPr="00C763C9" w:rsidRDefault="00BD6DBF" w:rsidP="00C763C9">
            <w:pPr>
              <w:spacing w:after="0" w:line="240" w:lineRule="auto"/>
              <w:jc w:val="both"/>
              <w:rPr>
                <w:rFonts w:ascii="Times New Roman" w:hAnsi="Times New Roman"/>
                <w:sz w:val="28"/>
              </w:rPr>
            </w:pPr>
            <w:r w:rsidRPr="00C763C9">
              <w:rPr>
                <w:rFonts w:ascii="Times New Roman" w:hAnsi="Times New Roman"/>
                <w:sz w:val="28"/>
              </w:rPr>
              <w:t>t</w:t>
            </w:r>
          </w:p>
        </w:tc>
      </w:tr>
      <w:tr w:rsidR="00BD6DBF" w:rsidRPr="00C763C9" w:rsidTr="00C763C9">
        <w:tc>
          <w:tcPr>
            <w:tcW w:w="4644" w:type="dxa"/>
            <w:tcBorders>
              <w:top w:val="nil"/>
              <w:left w:val="nil"/>
              <w:bottom w:val="nil"/>
            </w:tcBorders>
          </w:tcPr>
          <w:p w:rsidR="00BD6DBF" w:rsidRPr="00C763C9" w:rsidRDefault="00BD6DBF" w:rsidP="00C763C9">
            <w:pPr>
              <w:spacing w:after="0" w:line="240" w:lineRule="auto"/>
              <w:jc w:val="both"/>
              <w:rPr>
                <w:rFonts w:ascii="Times New Roman" w:hAnsi="Times New Roman"/>
                <w:sz w:val="28"/>
              </w:rPr>
            </w:pPr>
            <w:r w:rsidRPr="00C763C9">
              <w:rPr>
                <w:rFonts w:ascii="Times New Roman" w:hAnsi="Times New Roman"/>
                <w:sz w:val="28"/>
              </w:rPr>
              <w:t>Malka</w:t>
            </w:r>
          </w:p>
        </w:tc>
        <w:tc>
          <w:tcPr>
            <w:tcW w:w="2977" w:type="dxa"/>
            <w:tcBorders>
              <w:top w:val="nil"/>
              <w:bottom w:val="nil"/>
            </w:tcBorders>
          </w:tcPr>
          <w:p w:rsidR="00BD6DBF" w:rsidRPr="00C763C9" w:rsidRDefault="007B14F7" w:rsidP="00C763C9">
            <w:pPr>
              <w:spacing w:after="0" w:line="240" w:lineRule="auto"/>
              <w:jc w:val="right"/>
              <w:rPr>
                <w:rFonts w:ascii="Times New Roman" w:hAnsi="Times New Roman"/>
                <w:sz w:val="28"/>
              </w:rPr>
            </w:pPr>
            <w:r>
              <w:rPr>
                <w:rFonts w:ascii="Times New Roman" w:hAnsi="Times New Roman"/>
                <w:sz w:val="28"/>
              </w:rPr>
              <w:t>168548,1</w:t>
            </w:r>
          </w:p>
        </w:tc>
        <w:tc>
          <w:tcPr>
            <w:tcW w:w="1667" w:type="dxa"/>
            <w:tcBorders>
              <w:top w:val="nil"/>
              <w:bottom w:val="nil"/>
              <w:right w:val="nil"/>
            </w:tcBorders>
          </w:tcPr>
          <w:p w:rsidR="00BD6DBF" w:rsidRPr="00C763C9" w:rsidRDefault="00BD6DBF" w:rsidP="00C763C9">
            <w:pPr>
              <w:spacing w:after="0" w:line="240" w:lineRule="auto"/>
              <w:jc w:val="both"/>
              <w:rPr>
                <w:rFonts w:ascii="Times New Roman" w:hAnsi="Times New Roman"/>
                <w:sz w:val="28"/>
              </w:rPr>
            </w:pPr>
            <w:r w:rsidRPr="00C763C9">
              <w:rPr>
                <w:rFonts w:ascii="Times New Roman" w:hAnsi="Times New Roman"/>
                <w:sz w:val="28"/>
              </w:rPr>
              <w:t>ciešmetri</w:t>
            </w:r>
          </w:p>
        </w:tc>
      </w:tr>
      <w:tr w:rsidR="00BD6DBF" w:rsidRPr="00C763C9" w:rsidTr="00C763C9">
        <w:tc>
          <w:tcPr>
            <w:tcW w:w="4644" w:type="dxa"/>
            <w:tcBorders>
              <w:top w:val="nil"/>
              <w:left w:val="nil"/>
              <w:bottom w:val="nil"/>
            </w:tcBorders>
          </w:tcPr>
          <w:p w:rsidR="00BD6DBF" w:rsidRPr="00C763C9" w:rsidRDefault="00BD6DBF" w:rsidP="00C763C9">
            <w:pPr>
              <w:spacing w:after="0" w:line="240" w:lineRule="auto"/>
              <w:jc w:val="both"/>
              <w:rPr>
                <w:rFonts w:ascii="Times New Roman" w:hAnsi="Times New Roman"/>
                <w:sz w:val="28"/>
              </w:rPr>
            </w:pPr>
            <w:r w:rsidRPr="00C763C9">
              <w:rPr>
                <w:rFonts w:ascii="Times New Roman" w:hAnsi="Times New Roman"/>
                <w:sz w:val="28"/>
              </w:rPr>
              <w:t>Kokmateriālu un kokapstrādes atlikumi</w:t>
            </w:r>
          </w:p>
        </w:tc>
        <w:tc>
          <w:tcPr>
            <w:tcW w:w="2977" w:type="dxa"/>
            <w:tcBorders>
              <w:top w:val="nil"/>
              <w:bottom w:val="nil"/>
            </w:tcBorders>
          </w:tcPr>
          <w:p w:rsidR="00BD6DBF" w:rsidRPr="00C763C9" w:rsidRDefault="007B14F7" w:rsidP="00C763C9">
            <w:pPr>
              <w:spacing w:after="0" w:line="240" w:lineRule="auto"/>
              <w:jc w:val="right"/>
              <w:rPr>
                <w:rFonts w:ascii="Times New Roman" w:hAnsi="Times New Roman"/>
                <w:sz w:val="28"/>
              </w:rPr>
            </w:pPr>
            <w:r>
              <w:rPr>
                <w:rFonts w:ascii="Times New Roman" w:hAnsi="Times New Roman"/>
                <w:sz w:val="28"/>
              </w:rPr>
              <w:t>42294,4</w:t>
            </w:r>
          </w:p>
        </w:tc>
        <w:tc>
          <w:tcPr>
            <w:tcW w:w="1667" w:type="dxa"/>
            <w:tcBorders>
              <w:top w:val="nil"/>
              <w:bottom w:val="nil"/>
              <w:right w:val="nil"/>
            </w:tcBorders>
          </w:tcPr>
          <w:p w:rsidR="00BD6DBF" w:rsidRPr="00C763C9" w:rsidRDefault="00BD6DBF" w:rsidP="00C763C9">
            <w:pPr>
              <w:spacing w:after="0" w:line="240" w:lineRule="auto"/>
              <w:jc w:val="both"/>
              <w:rPr>
                <w:rFonts w:ascii="Times New Roman" w:hAnsi="Times New Roman"/>
                <w:sz w:val="28"/>
              </w:rPr>
            </w:pPr>
            <w:r w:rsidRPr="00C763C9">
              <w:rPr>
                <w:rFonts w:ascii="Times New Roman" w:hAnsi="Times New Roman"/>
                <w:sz w:val="28"/>
              </w:rPr>
              <w:t>kub.m.ber.</w:t>
            </w:r>
          </w:p>
        </w:tc>
      </w:tr>
      <w:tr w:rsidR="00BD6DBF" w:rsidRPr="00C763C9" w:rsidTr="00C763C9">
        <w:tc>
          <w:tcPr>
            <w:tcW w:w="4644" w:type="dxa"/>
            <w:tcBorders>
              <w:top w:val="nil"/>
              <w:left w:val="nil"/>
              <w:bottom w:val="nil"/>
            </w:tcBorders>
          </w:tcPr>
          <w:p w:rsidR="00BD6DBF" w:rsidRPr="00C763C9" w:rsidRDefault="00BD6DBF" w:rsidP="00C763C9">
            <w:pPr>
              <w:spacing w:after="0" w:line="240" w:lineRule="auto"/>
              <w:jc w:val="both"/>
              <w:rPr>
                <w:rFonts w:ascii="Times New Roman" w:hAnsi="Times New Roman"/>
                <w:sz w:val="28"/>
              </w:rPr>
            </w:pPr>
            <w:r w:rsidRPr="00C763C9">
              <w:rPr>
                <w:rFonts w:ascii="Times New Roman" w:hAnsi="Times New Roman"/>
                <w:sz w:val="28"/>
              </w:rPr>
              <w:t>Šķelda</w:t>
            </w:r>
          </w:p>
        </w:tc>
        <w:tc>
          <w:tcPr>
            <w:tcW w:w="2977" w:type="dxa"/>
            <w:tcBorders>
              <w:top w:val="nil"/>
              <w:bottom w:val="nil"/>
            </w:tcBorders>
          </w:tcPr>
          <w:p w:rsidR="00BD6DBF" w:rsidRPr="00C763C9" w:rsidRDefault="007B14F7" w:rsidP="00C763C9">
            <w:pPr>
              <w:spacing w:after="0" w:line="240" w:lineRule="auto"/>
              <w:jc w:val="right"/>
              <w:rPr>
                <w:rFonts w:ascii="Times New Roman" w:hAnsi="Times New Roman"/>
                <w:sz w:val="28"/>
              </w:rPr>
            </w:pPr>
            <w:r>
              <w:rPr>
                <w:rFonts w:ascii="Times New Roman" w:hAnsi="Times New Roman"/>
                <w:sz w:val="28"/>
              </w:rPr>
              <w:t>316895,9</w:t>
            </w:r>
          </w:p>
        </w:tc>
        <w:tc>
          <w:tcPr>
            <w:tcW w:w="1667" w:type="dxa"/>
            <w:tcBorders>
              <w:top w:val="nil"/>
              <w:bottom w:val="nil"/>
              <w:right w:val="nil"/>
            </w:tcBorders>
          </w:tcPr>
          <w:p w:rsidR="00BD6DBF" w:rsidRPr="00C763C9" w:rsidRDefault="00BD6DBF" w:rsidP="00C763C9">
            <w:pPr>
              <w:spacing w:after="0" w:line="240" w:lineRule="auto"/>
              <w:jc w:val="both"/>
              <w:rPr>
                <w:rFonts w:ascii="Times New Roman" w:hAnsi="Times New Roman"/>
                <w:sz w:val="28"/>
              </w:rPr>
            </w:pPr>
            <w:r w:rsidRPr="00C763C9">
              <w:rPr>
                <w:rFonts w:ascii="Times New Roman" w:hAnsi="Times New Roman"/>
                <w:sz w:val="28"/>
              </w:rPr>
              <w:t>kub.m.ber.</w:t>
            </w:r>
          </w:p>
        </w:tc>
      </w:tr>
      <w:tr w:rsidR="00BD6DBF" w:rsidRPr="00C763C9" w:rsidTr="00C763C9">
        <w:tc>
          <w:tcPr>
            <w:tcW w:w="4644" w:type="dxa"/>
            <w:tcBorders>
              <w:top w:val="nil"/>
              <w:left w:val="nil"/>
              <w:bottom w:val="nil"/>
            </w:tcBorders>
          </w:tcPr>
          <w:p w:rsidR="00BD6DBF" w:rsidRPr="00C763C9" w:rsidRDefault="00BD6DBF" w:rsidP="00C763C9">
            <w:pPr>
              <w:spacing w:after="0" w:line="240" w:lineRule="auto"/>
              <w:jc w:val="both"/>
              <w:rPr>
                <w:rFonts w:ascii="Times New Roman" w:hAnsi="Times New Roman"/>
                <w:sz w:val="28"/>
              </w:rPr>
            </w:pPr>
            <w:r w:rsidRPr="00C763C9">
              <w:rPr>
                <w:rFonts w:ascii="Times New Roman" w:hAnsi="Times New Roman"/>
                <w:sz w:val="28"/>
              </w:rPr>
              <w:t>Koksnes briketes</w:t>
            </w:r>
          </w:p>
        </w:tc>
        <w:tc>
          <w:tcPr>
            <w:tcW w:w="2977" w:type="dxa"/>
            <w:tcBorders>
              <w:top w:val="nil"/>
              <w:bottom w:val="nil"/>
            </w:tcBorders>
          </w:tcPr>
          <w:p w:rsidR="00BD6DBF" w:rsidRPr="00C763C9" w:rsidRDefault="007B14F7" w:rsidP="00C763C9">
            <w:pPr>
              <w:spacing w:after="0" w:line="240" w:lineRule="auto"/>
              <w:jc w:val="right"/>
              <w:rPr>
                <w:rFonts w:ascii="Times New Roman" w:hAnsi="Times New Roman"/>
                <w:sz w:val="28"/>
              </w:rPr>
            </w:pPr>
            <w:r>
              <w:rPr>
                <w:rFonts w:ascii="Times New Roman" w:hAnsi="Times New Roman"/>
                <w:sz w:val="28"/>
              </w:rPr>
              <w:t>11,5</w:t>
            </w:r>
          </w:p>
        </w:tc>
        <w:tc>
          <w:tcPr>
            <w:tcW w:w="1667" w:type="dxa"/>
            <w:tcBorders>
              <w:top w:val="nil"/>
              <w:bottom w:val="nil"/>
              <w:right w:val="nil"/>
            </w:tcBorders>
          </w:tcPr>
          <w:p w:rsidR="00BD6DBF" w:rsidRPr="00C763C9" w:rsidRDefault="00BD6DBF" w:rsidP="00C763C9">
            <w:pPr>
              <w:spacing w:after="0" w:line="240" w:lineRule="auto"/>
              <w:jc w:val="both"/>
              <w:rPr>
                <w:rFonts w:ascii="Times New Roman" w:hAnsi="Times New Roman"/>
                <w:sz w:val="28"/>
              </w:rPr>
            </w:pPr>
            <w:r w:rsidRPr="00C763C9">
              <w:rPr>
                <w:rFonts w:ascii="Times New Roman" w:hAnsi="Times New Roman"/>
                <w:sz w:val="28"/>
              </w:rPr>
              <w:t>t</w:t>
            </w:r>
          </w:p>
        </w:tc>
      </w:tr>
      <w:tr w:rsidR="00BD6DBF" w:rsidRPr="00C763C9" w:rsidTr="00C763C9">
        <w:tc>
          <w:tcPr>
            <w:tcW w:w="4644" w:type="dxa"/>
            <w:tcBorders>
              <w:top w:val="nil"/>
              <w:left w:val="nil"/>
              <w:bottom w:val="nil"/>
            </w:tcBorders>
          </w:tcPr>
          <w:p w:rsidR="00BD6DBF" w:rsidRPr="00C763C9" w:rsidRDefault="00BD6DBF" w:rsidP="00C763C9">
            <w:pPr>
              <w:spacing w:after="0" w:line="240" w:lineRule="auto"/>
              <w:jc w:val="both"/>
              <w:rPr>
                <w:rFonts w:ascii="Times New Roman" w:hAnsi="Times New Roman"/>
                <w:sz w:val="28"/>
              </w:rPr>
            </w:pPr>
            <w:r w:rsidRPr="00C763C9">
              <w:rPr>
                <w:rFonts w:ascii="Times New Roman" w:hAnsi="Times New Roman"/>
                <w:sz w:val="28"/>
              </w:rPr>
              <w:t>Koksnes granulas</w:t>
            </w:r>
          </w:p>
        </w:tc>
        <w:tc>
          <w:tcPr>
            <w:tcW w:w="2977" w:type="dxa"/>
            <w:tcBorders>
              <w:top w:val="nil"/>
              <w:bottom w:val="nil"/>
            </w:tcBorders>
          </w:tcPr>
          <w:p w:rsidR="00BD6DBF" w:rsidRPr="00C763C9" w:rsidRDefault="007B14F7" w:rsidP="00C763C9">
            <w:pPr>
              <w:spacing w:after="0" w:line="240" w:lineRule="auto"/>
              <w:jc w:val="right"/>
              <w:rPr>
                <w:rFonts w:ascii="Times New Roman" w:hAnsi="Times New Roman"/>
                <w:sz w:val="28"/>
              </w:rPr>
            </w:pPr>
            <w:r>
              <w:rPr>
                <w:rFonts w:ascii="Times New Roman" w:hAnsi="Times New Roman"/>
                <w:sz w:val="28"/>
              </w:rPr>
              <w:t>603,7</w:t>
            </w:r>
          </w:p>
        </w:tc>
        <w:tc>
          <w:tcPr>
            <w:tcW w:w="1667" w:type="dxa"/>
            <w:tcBorders>
              <w:top w:val="nil"/>
              <w:bottom w:val="nil"/>
              <w:right w:val="nil"/>
            </w:tcBorders>
          </w:tcPr>
          <w:p w:rsidR="00BD6DBF" w:rsidRPr="00C763C9" w:rsidRDefault="00BD6DBF" w:rsidP="00C763C9">
            <w:pPr>
              <w:spacing w:after="0" w:line="240" w:lineRule="auto"/>
              <w:jc w:val="both"/>
              <w:rPr>
                <w:rFonts w:ascii="Times New Roman" w:hAnsi="Times New Roman"/>
                <w:sz w:val="28"/>
              </w:rPr>
            </w:pPr>
            <w:r w:rsidRPr="00C763C9">
              <w:rPr>
                <w:rFonts w:ascii="Times New Roman" w:hAnsi="Times New Roman"/>
                <w:sz w:val="28"/>
              </w:rPr>
              <w:t>t</w:t>
            </w:r>
          </w:p>
        </w:tc>
      </w:tr>
    </w:tbl>
    <w:p w:rsidR="00612E73" w:rsidRPr="001B33B8" w:rsidRDefault="00612E73" w:rsidP="001B33B8">
      <w:pPr>
        <w:spacing w:after="0" w:line="240" w:lineRule="auto"/>
        <w:ind w:firstLine="709"/>
        <w:jc w:val="both"/>
        <w:rPr>
          <w:rFonts w:ascii="Times New Roman" w:hAnsi="Times New Roman"/>
          <w:sz w:val="28"/>
        </w:rPr>
      </w:pPr>
    </w:p>
    <w:p w:rsidR="00581C70" w:rsidRDefault="00A3438A" w:rsidP="00581C70">
      <w:pPr>
        <w:spacing w:after="0" w:line="240" w:lineRule="auto"/>
        <w:ind w:firstLine="720"/>
        <w:jc w:val="both"/>
        <w:rPr>
          <w:rFonts w:ascii="Times New Roman" w:hAnsi="Times New Roman"/>
          <w:sz w:val="28"/>
          <w:szCs w:val="28"/>
        </w:rPr>
      </w:pPr>
      <w:r>
        <w:rPr>
          <w:rFonts w:ascii="Times New Roman" w:hAnsi="Times New Roman"/>
          <w:sz w:val="28"/>
        </w:rPr>
        <w:t>Pēc AS „</w:t>
      </w:r>
      <w:r w:rsidRPr="00587367">
        <w:rPr>
          <w:rFonts w:ascii="Times New Roman" w:hAnsi="Times New Roman"/>
          <w:sz w:val="28"/>
        </w:rPr>
        <w:t>Latvi</w:t>
      </w:r>
      <w:r>
        <w:rPr>
          <w:rFonts w:ascii="Times New Roman" w:hAnsi="Times New Roman"/>
          <w:sz w:val="28"/>
        </w:rPr>
        <w:t>jas Gāze” datiem d</w:t>
      </w:r>
      <w:r w:rsidR="007D1105">
        <w:rPr>
          <w:rFonts w:ascii="Times New Roman" w:hAnsi="Times New Roman"/>
          <w:sz w:val="28"/>
        </w:rPr>
        <w:t>abasgāzes krājumi 2012</w:t>
      </w:r>
      <w:r w:rsidR="00587367" w:rsidRPr="00587367">
        <w:rPr>
          <w:rFonts w:ascii="Times New Roman" w:hAnsi="Times New Roman"/>
          <w:sz w:val="28"/>
        </w:rPr>
        <w:t xml:space="preserve">.g.1.oktobrī </w:t>
      </w:r>
      <w:r w:rsidR="00A06008">
        <w:rPr>
          <w:rFonts w:ascii="Times New Roman" w:hAnsi="Times New Roman"/>
          <w:sz w:val="28"/>
        </w:rPr>
        <w:t>bija</w:t>
      </w:r>
      <w:r w:rsidR="007D1105">
        <w:rPr>
          <w:rFonts w:ascii="Times New Roman" w:hAnsi="Times New Roman"/>
          <w:sz w:val="28"/>
        </w:rPr>
        <w:t xml:space="preserve">  652 009</w:t>
      </w:r>
      <w:r w:rsidR="00587367">
        <w:rPr>
          <w:rFonts w:ascii="Times New Roman" w:hAnsi="Times New Roman"/>
          <w:sz w:val="28"/>
        </w:rPr>
        <w:t xml:space="preserve"> t</w:t>
      </w:r>
      <w:r>
        <w:rPr>
          <w:rFonts w:ascii="Times New Roman" w:hAnsi="Times New Roman"/>
          <w:sz w:val="28"/>
        </w:rPr>
        <w:t>ū</w:t>
      </w:r>
      <w:r w:rsidR="00587367">
        <w:rPr>
          <w:rFonts w:ascii="Times New Roman" w:hAnsi="Times New Roman"/>
          <w:sz w:val="28"/>
        </w:rPr>
        <w:t>k</w:t>
      </w:r>
      <w:r w:rsidR="00587367" w:rsidRPr="00587367">
        <w:rPr>
          <w:rFonts w:ascii="Times New Roman" w:hAnsi="Times New Roman"/>
          <w:sz w:val="28"/>
        </w:rPr>
        <w:t>st. m</w:t>
      </w:r>
      <w:r w:rsidRPr="00A3438A">
        <w:rPr>
          <w:rFonts w:ascii="Times New Roman" w:hAnsi="Times New Roman"/>
          <w:sz w:val="28"/>
          <w:vertAlign w:val="superscript"/>
        </w:rPr>
        <w:t>3</w:t>
      </w:r>
      <w:r w:rsidR="00587367" w:rsidRPr="00587367">
        <w:rPr>
          <w:rFonts w:ascii="Times New Roman" w:hAnsi="Times New Roman"/>
          <w:sz w:val="28"/>
        </w:rPr>
        <w:t>.</w:t>
      </w:r>
      <w:r w:rsidR="00581C70" w:rsidRPr="00581C70">
        <w:rPr>
          <w:rFonts w:ascii="Times New Roman" w:hAnsi="Times New Roman"/>
          <w:sz w:val="28"/>
          <w:szCs w:val="28"/>
        </w:rPr>
        <w:t xml:space="preserve"> </w:t>
      </w:r>
    </w:p>
    <w:p w:rsidR="00B75CAE" w:rsidRPr="00B75CAE" w:rsidRDefault="00B75CAE" w:rsidP="00B75CAE">
      <w:pPr>
        <w:spacing w:after="0"/>
        <w:ind w:firstLine="720"/>
        <w:jc w:val="both"/>
        <w:rPr>
          <w:rFonts w:ascii="Times New Roman" w:hAnsi="Times New Roman"/>
          <w:iCs/>
          <w:sz w:val="28"/>
          <w:szCs w:val="28"/>
        </w:rPr>
      </w:pPr>
      <w:r w:rsidRPr="00B75CAE">
        <w:rPr>
          <w:rFonts w:ascii="Times New Roman" w:hAnsi="Times New Roman"/>
          <w:iCs/>
          <w:sz w:val="28"/>
          <w:szCs w:val="28"/>
        </w:rPr>
        <w:t>AS „Latvenergo” drošības rezerves – 3 499 tonnas II kategorijas naftas produktu (petrolejas veida reaktīvā degviela, petroleja un dīzeļdegviela) un 23 630 tonnas III kategorijas naftas produktu (degvieleļļa).</w:t>
      </w:r>
    </w:p>
    <w:p w:rsidR="00B75CAE" w:rsidRPr="00B75CAE" w:rsidRDefault="00B75CAE" w:rsidP="00B75CAE">
      <w:pPr>
        <w:spacing w:after="0"/>
        <w:ind w:firstLine="720"/>
        <w:jc w:val="both"/>
        <w:rPr>
          <w:rFonts w:ascii="Times New Roman" w:hAnsi="Times New Roman"/>
          <w:iCs/>
          <w:sz w:val="28"/>
          <w:szCs w:val="28"/>
        </w:rPr>
      </w:pPr>
      <w:r w:rsidRPr="00B75CAE">
        <w:rPr>
          <w:rFonts w:ascii="Times New Roman" w:hAnsi="Times New Roman"/>
          <w:iCs/>
          <w:sz w:val="28"/>
          <w:szCs w:val="28"/>
        </w:rPr>
        <w:t>Uz 2012.gada 1.oktobri saskaņā ar Enerģētikas likuma 72.panta otro daļu un  Ministru kabineta 2011.gada 12.aprīļa noteikumu Nr.286 „Kārtība, kādā komersanti nodrošina un sniedz drošības rezervju pakalpojumu valsts naftas produktu (degvielas) drošības rezervju izveidei noteiktā apjomā” prasībām:</w:t>
      </w:r>
    </w:p>
    <w:p w:rsidR="00B75CAE" w:rsidRPr="00B75CAE" w:rsidRDefault="00B75CAE" w:rsidP="00B75CAE">
      <w:pPr>
        <w:numPr>
          <w:ilvl w:val="0"/>
          <w:numId w:val="6"/>
        </w:numPr>
        <w:spacing w:after="0" w:line="240" w:lineRule="auto"/>
        <w:jc w:val="both"/>
        <w:rPr>
          <w:rFonts w:ascii="Times New Roman" w:hAnsi="Times New Roman"/>
          <w:iCs/>
          <w:sz w:val="28"/>
          <w:szCs w:val="28"/>
        </w:rPr>
      </w:pPr>
      <w:r w:rsidRPr="00B75CAE">
        <w:rPr>
          <w:rFonts w:ascii="Times New Roman" w:hAnsi="Times New Roman"/>
          <w:iCs/>
          <w:sz w:val="28"/>
          <w:szCs w:val="28"/>
        </w:rPr>
        <w:lastRenderedPageBreak/>
        <w:t>I kategorijas naftas produktu (benzīns un aviācijas degviela) drošības rezerves  izveidotas 78,7 dienu nodrošinājumam, t.i., 52 014,00 tonnas.</w:t>
      </w:r>
    </w:p>
    <w:p w:rsidR="00B75CAE" w:rsidRPr="00B75CAE" w:rsidRDefault="00B75CAE" w:rsidP="00B75CAE">
      <w:pPr>
        <w:numPr>
          <w:ilvl w:val="0"/>
          <w:numId w:val="6"/>
        </w:numPr>
        <w:spacing w:after="0" w:line="240" w:lineRule="auto"/>
        <w:jc w:val="both"/>
        <w:rPr>
          <w:rFonts w:ascii="Times New Roman" w:hAnsi="Times New Roman"/>
          <w:iCs/>
          <w:sz w:val="28"/>
          <w:szCs w:val="28"/>
        </w:rPr>
      </w:pPr>
      <w:r w:rsidRPr="00B75CAE">
        <w:rPr>
          <w:rFonts w:ascii="Times New Roman" w:hAnsi="Times New Roman"/>
          <w:iCs/>
          <w:sz w:val="28"/>
          <w:szCs w:val="28"/>
        </w:rPr>
        <w:t>II kategorijas naftas produktu (petrolejas veida reaktīvā degviela, petroleja un dīzeļdegviela) drošības rezerves  izveidotas pilnā apjomā 90 dienu nodrošinājumam, t.i., 178 806,24 tonnas.</w:t>
      </w:r>
    </w:p>
    <w:p w:rsidR="00B75CAE" w:rsidRPr="00B75CAE" w:rsidRDefault="00B75CAE" w:rsidP="00B75CAE">
      <w:pPr>
        <w:numPr>
          <w:ilvl w:val="0"/>
          <w:numId w:val="6"/>
        </w:numPr>
        <w:spacing w:after="0" w:line="240" w:lineRule="auto"/>
        <w:jc w:val="both"/>
        <w:rPr>
          <w:rFonts w:ascii="Times New Roman" w:hAnsi="Times New Roman"/>
          <w:iCs/>
          <w:sz w:val="28"/>
          <w:szCs w:val="28"/>
        </w:rPr>
      </w:pPr>
      <w:r w:rsidRPr="00B75CAE">
        <w:rPr>
          <w:rFonts w:ascii="Times New Roman" w:hAnsi="Times New Roman"/>
          <w:iCs/>
          <w:sz w:val="28"/>
          <w:szCs w:val="28"/>
          <w:lang w:eastAsia="lv-LV"/>
        </w:rPr>
        <w:t>III kategorijas naftas produktu</w:t>
      </w:r>
      <w:r>
        <w:rPr>
          <w:rFonts w:ascii="Times New Roman" w:hAnsi="Times New Roman"/>
          <w:iCs/>
          <w:sz w:val="28"/>
          <w:szCs w:val="28"/>
          <w:lang w:eastAsia="lv-LV"/>
        </w:rPr>
        <w:t xml:space="preserve"> (degvieleļļa)</w:t>
      </w:r>
      <w:r w:rsidRPr="00B75CAE">
        <w:rPr>
          <w:rFonts w:ascii="Times New Roman" w:hAnsi="Times New Roman"/>
          <w:iCs/>
          <w:sz w:val="28"/>
          <w:szCs w:val="28"/>
          <w:lang w:eastAsia="lv-LV"/>
        </w:rPr>
        <w:t xml:space="preserve"> drošības rezervju izveide, izsludinot  atklātu konkursu, nav nepieciešama, jo AS „Latvenergo” rīcībā ir mazuta rezerves vismaz vēl 3 gadiem, līdz ar to nav nepieciešams uzlikt par pienākumu komersantiem maksāt valsts nodevu par III kategorijas naftas produktiem.</w:t>
      </w:r>
    </w:p>
    <w:p w:rsidR="005C7A2E" w:rsidRDefault="005C7A2E" w:rsidP="005C7A2E">
      <w:pPr>
        <w:spacing w:after="0" w:line="240" w:lineRule="auto"/>
        <w:rPr>
          <w:rFonts w:ascii="Times New Roman" w:hAnsi="Times New Roman"/>
          <w:sz w:val="28"/>
          <w:szCs w:val="28"/>
        </w:rPr>
      </w:pPr>
    </w:p>
    <w:p w:rsidR="00AB6248" w:rsidRDefault="00AB6248" w:rsidP="005C7A2E">
      <w:pPr>
        <w:spacing w:after="0" w:line="240" w:lineRule="auto"/>
        <w:rPr>
          <w:rFonts w:ascii="Times New Roman" w:hAnsi="Times New Roman"/>
          <w:b/>
          <w:sz w:val="28"/>
          <w:szCs w:val="28"/>
        </w:rPr>
      </w:pPr>
      <w:r>
        <w:rPr>
          <w:rFonts w:ascii="Times New Roman" w:hAnsi="Times New Roman"/>
          <w:b/>
          <w:sz w:val="28"/>
          <w:szCs w:val="28"/>
        </w:rPr>
        <w:t xml:space="preserve">II Par </w:t>
      </w:r>
      <w:r w:rsidR="00DD7121">
        <w:rPr>
          <w:rFonts w:ascii="Times New Roman" w:hAnsi="Times New Roman"/>
          <w:b/>
          <w:sz w:val="28"/>
          <w:szCs w:val="28"/>
        </w:rPr>
        <w:t>turpmāko</w:t>
      </w:r>
      <w:r>
        <w:rPr>
          <w:rFonts w:ascii="Times New Roman" w:hAnsi="Times New Roman"/>
          <w:b/>
          <w:sz w:val="28"/>
          <w:szCs w:val="28"/>
        </w:rPr>
        <w:t xml:space="preserve"> informācijas sagatavošanas lietderību </w:t>
      </w:r>
    </w:p>
    <w:p w:rsidR="00AB6248" w:rsidRDefault="00AB6248" w:rsidP="005C7A2E">
      <w:pPr>
        <w:spacing w:after="0" w:line="240" w:lineRule="auto"/>
        <w:rPr>
          <w:rFonts w:ascii="Times New Roman" w:hAnsi="Times New Roman"/>
          <w:b/>
          <w:sz w:val="28"/>
          <w:szCs w:val="28"/>
        </w:rPr>
      </w:pPr>
    </w:p>
    <w:p w:rsidR="00AB6248" w:rsidRDefault="00AB6248" w:rsidP="00AB6248">
      <w:pPr>
        <w:spacing w:after="0" w:line="240" w:lineRule="auto"/>
        <w:ind w:firstLine="709"/>
        <w:jc w:val="both"/>
        <w:rPr>
          <w:rFonts w:ascii="Times New Roman" w:hAnsi="Times New Roman"/>
          <w:sz w:val="28"/>
          <w:szCs w:val="28"/>
        </w:rPr>
      </w:pPr>
      <w:r>
        <w:rPr>
          <w:rFonts w:ascii="Times New Roman" w:hAnsi="Times New Roman"/>
          <w:sz w:val="28"/>
          <w:szCs w:val="28"/>
        </w:rPr>
        <w:t>Kā jau informatīvā ziņojuma 1.punktā tika minēts, saskaņā ar Ministru kabineta 1999.gada 16. novembra sēdes protokola Nr.63 29</w:t>
      </w:r>
      <w:r w:rsidRPr="00527E18">
        <w:rPr>
          <w:rFonts w:ascii="Times New Roman" w:hAnsi="Times New Roman"/>
          <w:sz w:val="28"/>
          <w:szCs w:val="28"/>
        </w:rPr>
        <w:t>.§ 2.</w:t>
      </w:r>
      <w:r>
        <w:rPr>
          <w:rFonts w:ascii="Times New Roman" w:hAnsi="Times New Roman"/>
          <w:sz w:val="28"/>
          <w:szCs w:val="28"/>
        </w:rPr>
        <w:t xml:space="preserve">punktā doto uzdevumu </w:t>
      </w:r>
      <w:r w:rsidRPr="00527E18">
        <w:rPr>
          <w:rFonts w:ascii="Times New Roman" w:hAnsi="Times New Roman"/>
          <w:sz w:val="28"/>
          <w:szCs w:val="28"/>
        </w:rPr>
        <w:t>Ekonomikas ministrijai (Centrālajai statistikas pārvaldei)</w:t>
      </w:r>
      <w:r>
        <w:rPr>
          <w:rFonts w:ascii="Times New Roman" w:hAnsi="Times New Roman"/>
          <w:sz w:val="28"/>
          <w:szCs w:val="28"/>
        </w:rPr>
        <w:t xml:space="preserve"> </w:t>
      </w:r>
      <w:r w:rsidRPr="00527E18">
        <w:rPr>
          <w:rFonts w:ascii="Times New Roman" w:hAnsi="Times New Roman"/>
          <w:sz w:val="28"/>
          <w:szCs w:val="28"/>
        </w:rPr>
        <w:t xml:space="preserve">katru gadu līdz 1.novembrim </w:t>
      </w:r>
      <w:r>
        <w:rPr>
          <w:rFonts w:ascii="Times New Roman" w:hAnsi="Times New Roman"/>
          <w:sz w:val="28"/>
          <w:szCs w:val="28"/>
        </w:rPr>
        <w:t>jāsagatavo</w:t>
      </w:r>
      <w:r w:rsidRPr="00527E18">
        <w:rPr>
          <w:rFonts w:ascii="Times New Roman" w:hAnsi="Times New Roman"/>
          <w:sz w:val="28"/>
          <w:szCs w:val="28"/>
        </w:rPr>
        <w:t xml:space="preserve"> un </w:t>
      </w:r>
      <w:r>
        <w:rPr>
          <w:rFonts w:ascii="Times New Roman" w:hAnsi="Times New Roman"/>
          <w:sz w:val="28"/>
          <w:szCs w:val="28"/>
        </w:rPr>
        <w:t>jāiesniedz</w:t>
      </w:r>
      <w:r w:rsidRPr="00527E18">
        <w:rPr>
          <w:rFonts w:ascii="Times New Roman" w:hAnsi="Times New Roman"/>
          <w:sz w:val="28"/>
          <w:szCs w:val="28"/>
        </w:rPr>
        <w:t xml:space="preserve"> Ministru kabinetā informāciju par situāciju valstī, uzsākot apkures sezonu.</w:t>
      </w:r>
      <w:r>
        <w:rPr>
          <w:rFonts w:ascii="Times New Roman" w:hAnsi="Times New Roman"/>
          <w:sz w:val="28"/>
          <w:szCs w:val="28"/>
        </w:rPr>
        <w:t xml:space="preserve"> </w:t>
      </w:r>
    </w:p>
    <w:p w:rsidR="00AB6248" w:rsidRDefault="00AB6248" w:rsidP="00AB6248">
      <w:pPr>
        <w:spacing w:after="0" w:line="240" w:lineRule="auto"/>
        <w:ind w:firstLine="709"/>
        <w:jc w:val="both"/>
        <w:rPr>
          <w:rFonts w:ascii="Times New Roman" w:hAnsi="Times New Roman"/>
          <w:sz w:val="28"/>
          <w:szCs w:val="28"/>
        </w:rPr>
      </w:pPr>
      <w:r w:rsidRPr="00EF0E92">
        <w:rPr>
          <w:rFonts w:ascii="Times New Roman" w:hAnsi="Times New Roman"/>
          <w:sz w:val="28"/>
          <w:szCs w:val="28"/>
        </w:rPr>
        <w:t>1999. gadā dažādu faktoru dēļ</w:t>
      </w:r>
      <w:r>
        <w:rPr>
          <w:rFonts w:ascii="Times New Roman" w:hAnsi="Times New Roman"/>
          <w:sz w:val="28"/>
          <w:szCs w:val="28"/>
        </w:rPr>
        <w:t xml:space="preserve"> </w:t>
      </w:r>
      <w:r w:rsidRPr="00EF0E92">
        <w:rPr>
          <w:rFonts w:ascii="Times New Roman" w:hAnsi="Times New Roman"/>
          <w:sz w:val="28"/>
          <w:szCs w:val="28"/>
        </w:rPr>
        <w:t xml:space="preserve">uz 1. novembri pašvaldību </w:t>
      </w:r>
      <w:r>
        <w:rPr>
          <w:rFonts w:ascii="Times New Roman" w:hAnsi="Times New Roman"/>
          <w:sz w:val="28"/>
          <w:szCs w:val="28"/>
        </w:rPr>
        <w:t xml:space="preserve">siltumapgādes </w:t>
      </w:r>
      <w:r w:rsidRPr="00EF0E92">
        <w:rPr>
          <w:rFonts w:ascii="Times New Roman" w:hAnsi="Times New Roman"/>
          <w:sz w:val="28"/>
          <w:szCs w:val="28"/>
        </w:rPr>
        <w:t>uzņēmumi nebija nodrošinājuši sevi ar mazuta rezervēm, arī mazuta drošības rezerves nebija pietiekamas, tāpēc radās spriedze Latvijas reģionos, kur</w:t>
      </w:r>
      <w:r>
        <w:rPr>
          <w:rFonts w:ascii="Times New Roman" w:hAnsi="Times New Roman"/>
          <w:sz w:val="28"/>
          <w:szCs w:val="28"/>
        </w:rPr>
        <w:t>os</w:t>
      </w:r>
      <w:r w:rsidRPr="00EF0E92">
        <w:rPr>
          <w:rFonts w:ascii="Times New Roman" w:hAnsi="Times New Roman"/>
          <w:sz w:val="28"/>
          <w:szCs w:val="28"/>
        </w:rPr>
        <w:t xml:space="preserve"> n</w:t>
      </w:r>
      <w:r>
        <w:rPr>
          <w:rFonts w:ascii="Times New Roman" w:hAnsi="Times New Roman"/>
          <w:sz w:val="28"/>
          <w:szCs w:val="28"/>
        </w:rPr>
        <w:t xml:space="preserve">ebija </w:t>
      </w:r>
      <w:r w:rsidRPr="00EF0E92">
        <w:rPr>
          <w:rFonts w:ascii="Times New Roman" w:hAnsi="Times New Roman"/>
          <w:sz w:val="28"/>
          <w:szCs w:val="28"/>
        </w:rPr>
        <w:t>alternatīvas mazuta izmantošanai.</w:t>
      </w:r>
      <w:r>
        <w:rPr>
          <w:rFonts w:ascii="Times New Roman" w:hAnsi="Times New Roman"/>
          <w:sz w:val="28"/>
          <w:szCs w:val="28"/>
        </w:rPr>
        <w:t xml:space="preserve"> Viens no galvenajiem iemesliem, kādēļ mazuta rezerves netika izveidotas pienācīgā apjomā, bija Krievijas lēmums, palielinoties dzelzceļa tarifiem, ierobežot mazuta eksportu </w:t>
      </w:r>
      <w:r w:rsidRPr="00EF0E92">
        <w:rPr>
          <w:rFonts w:ascii="Times New Roman" w:hAnsi="Times New Roman"/>
          <w:sz w:val="28"/>
          <w:szCs w:val="28"/>
        </w:rPr>
        <w:t>līdz sava patēriņa nodrošināšanai</w:t>
      </w:r>
      <w:r>
        <w:rPr>
          <w:rFonts w:ascii="Times New Roman" w:hAnsi="Times New Roman"/>
          <w:sz w:val="28"/>
          <w:szCs w:val="28"/>
        </w:rPr>
        <w:t>, kā arī ievērojamais mazuta cenu pieaugums (</w:t>
      </w:r>
      <w:r w:rsidRPr="00F17486">
        <w:rPr>
          <w:rFonts w:ascii="Times New Roman" w:hAnsi="Times New Roman"/>
          <w:sz w:val="28"/>
          <w:szCs w:val="28"/>
        </w:rPr>
        <w:t xml:space="preserve">mazuta cenas </w:t>
      </w:r>
      <w:r>
        <w:rPr>
          <w:rFonts w:ascii="Times New Roman" w:hAnsi="Times New Roman"/>
          <w:sz w:val="28"/>
          <w:szCs w:val="28"/>
        </w:rPr>
        <w:t xml:space="preserve">1999.gadā divkāršojās: </w:t>
      </w:r>
      <w:r w:rsidRPr="00F17486">
        <w:rPr>
          <w:rFonts w:ascii="Times New Roman" w:hAnsi="Times New Roman"/>
          <w:sz w:val="28"/>
          <w:szCs w:val="28"/>
        </w:rPr>
        <w:t>maijā-jūnijā tā bija 40-50 USD/t, bet septembrī 100-120 USD/t)</w:t>
      </w:r>
      <w:r>
        <w:rPr>
          <w:rFonts w:ascii="Times New Roman" w:hAnsi="Times New Roman"/>
          <w:sz w:val="28"/>
          <w:szCs w:val="28"/>
        </w:rPr>
        <w:t xml:space="preserve">. </w:t>
      </w:r>
      <w:r w:rsidRPr="007F4AFC">
        <w:rPr>
          <w:rFonts w:ascii="Times New Roman" w:hAnsi="Times New Roman"/>
          <w:sz w:val="28"/>
          <w:szCs w:val="28"/>
        </w:rPr>
        <w:t xml:space="preserve">Lai tāda situācija neatkārtotos, </w:t>
      </w:r>
      <w:r>
        <w:rPr>
          <w:rFonts w:ascii="Times New Roman" w:hAnsi="Times New Roman"/>
          <w:sz w:val="28"/>
          <w:szCs w:val="28"/>
        </w:rPr>
        <w:t xml:space="preserve">Ministru kabinets pieņēma lēmumu par ikgadēju informācijas par </w:t>
      </w:r>
      <w:r w:rsidRPr="00F17486">
        <w:rPr>
          <w:rFonts w:ascii="Times New Roman" w:hAnsi="Times New Roman"/>
          <w:sz w:val="28"/>
          <w:szCs w:val="28"/>
        </w:rPr>
        <w:t>energoresursu krājumiem</w:t>
      </w:r>
      <w:r>
        <w:rPr>
          <w:rFonts w:ascii="Times New Roman" w:hAnsi="Times New Roman"/>
          <w:sz w:val="28"/>
          <w:szCs w:val="28"/>
        </w:rPr>
        <w:t>, uzsākot apkures sezonu, izvērtēšanas nepieciešamību, kā</w:t>
      </w:r>
      <w:r w:rsidRPr="007F4AFC">
        <w:rPr>
          <w:rFonts w:ascii="Times New Roman" w:hAnsi="Times New Roman"/>
          <w:sz w:val="28"/>
          <w:szCs w:val="28"/>
        </w:rPr>
        <w:t xml:space="preserve"> arī 2</w:t>
      </w:r>
      <w:r>
        <w:rPr>
          <w:rFonts w:ascii="Times New Roman" w:hAnsi="Times New Roman"/>
          <w:sz w:val="28"/>
          <w:szCs w:val="28"/>
        </w:rPr>
        <w:t>000. gada 22. februārī akceptēja</w:t>
      </w:r>
      <w:r w:rsidRPr="007F4AFC">
        <w:rPr>
          <w:rFonts w:ascii="Times New Roman" w:hAnsi="Times New Roman"/>
          <w:sz w:val="28"/>
          <w:szCs w:val="28"/>
        </w:rPr>
        <w:t xml:space="preserve"> rezervju izveidošanas</w:t>
      </w:r>
      <w:r>
        <w:rPr>
          <w:rFonts w:ascii="Times New Roman" w:hAnsi="Times New Roman"/>
          <w:sz w:val="28"/>
          <w:szCs w:val="28"/>
        </w:rPr>
        <w:t xml:space="preserve"> </w:t>
      </w:r>
      <w:r w:rsidRPr="007F4AFC">
        <w:rPr>
          <w:rFonts w:ascii="Times New Roman" w:hAnsi="Times New Roman"/>
          <w:sz w:val="28"/>
          <w:szCs w:val="28"/>
        </w:rPr>
        <w:t xml:space="preserve">modeli, </w:t>
      </w:r>
      <w:r>
        <w:rPr>
          <w:rFonts w:ascii="Times New Roman" w:hAnsi="Times New Roman"/>
          <w:sz w:val="28"/>
          <w:szCs w:val="28"/>
        </w:rPr>
        <w:t xml:space="preserve">kas paredzēja, ka </w:t>
      </w:r>
      <w:r w:rsidRPr="007F4AFC">
        <w:rPr>
          <w:rFonts w:ascii="Times New Roman" w:hAnsi="Times New Roman"/>
          <w:sz w:val="28"/>
          <w:szCs w:val="28"/>
        </w:rPr>
        <w:t xml:space="preserve">Latvijā līdz 2011. gadam </w:t>
      </w:r>
      <w:r>
        <w:rPr>
          <w:rFonts w:ascii="Times New Roman" w:hAnsi="Times New Roman"/>
          <w:sz w:val="28"/>
          <w:szCs w:val="28"/>
        </w:rPr>
        <w:t xml:space="preserve">ir </w:t>
      </w:r>
      <w:r w:rsidRPr="007F4AFC">
        <w:rPr>
          <w:rFonts w:ascii="Times New Roman" w:hAnsi="Times New Roman"/>
          <w:sz w:val="28"/>
          <w:szCs w:val="28"/>
        </w:rPr>
        <w:t>jāpaaugstina kurināmā drošības rezerves īpatsvars naftas produktu rezervju sistēmā un jāizveido</w:t>
      </w:r>
      <w:r>
        <w:rPr>
          <w:rFonts w:ascii="Times New Roman" w:hAnsi="Times New Roman"/>
          <w:sz w:val="28"/>
          <w:szCs w:val="28"/>
        </w:rPr>
        <w:t xml:space="preserve"> </w:t>
      </w:r>
      <w:r w:rsidRPr="007F4AFC">
        <w:rPr>
          <w:rFonts w:ascii="Times New Roman" w:hAnsi="Times New Roman"/>
          <w:sz w:val="28"/>
          <w:szCs w:val="28"/>
        </w:rPr>
        <w:t>90 dienu rezerves.</w:t>
      </w:r>
    </w:p>
    <w:p w:rsidR="00AB6248" w:rsidRDefault="00AB6248" w:rsidP="00AB6248">
      <w:pPr>
        <w:spacing w:after="0" w:line="240" w:lineRule="auto"/>
        <w:ind w:firstLine="709"/>
        <w:jc w:val="both"/>
        <w:rPr>
          <w:rFonts w:ascii="Times New Roman" w:hAnsi="Times New Roman"/>
          <w:sz w:val="28"/>
          <w:szCs w:val="28"/>
        </w:rPr>
      </w:pPr>
      <w:r>
        <w:rPr>
          <w:rFonts w:ascii="Times New Roman" w:hAnsi="Times New Roman"/>
          <w:sz w:val="28"/>
          <w:szCs w:val="28"/>
        </w:rPr>
        <w:t>Ekonomikas ministrija katru gadu, balstoties uz Centrālās statistikas pārvaldes datiem, ir sagatavojusi informatīvo ziņojumu, kas  satur informāciju par šādu energoresursu krājumiem uz konkrētā gada 1.oktobri:</w:t>
      </w:r>
    </w:p>
    <w:p w:rsidR="00AB6248" w:rsidRDefault="00AB6248" w:rsidP="00AB6248">
      <w:pPr>
        <w:numPr>
          <w:ilvl w:val="0"/>
          <w:numId w:val="5"/>
        </w:numPr>
        <w:spacing w:after="0" w:line="240" w:lineRule="auto"/>
        <w:jc w:val="both"/>
        <w:rPr>
          <w:rFonts w:ascii="Times New Roman" w:hAnsi="Times New Roman"/>
          <w:sz w:val="28"/>
        </w:rPr>
      </w:pPr>
      <w:r>
        <w:rPr>
          <w:rFonts w:ascii="Times New Roman" w:hAnsi="Times New Roman"/>
          <w:sz w:val="28"/>
        </w:rPr>
        <w:t>d</w:t>
      </w:r>
      <w:r w:rsidRPr="00C763C9">
        <w:rPr>
          <w:rFonts w:ascii="Times New Roman" w:hAnsi="Times New Roman"/>
          <w:sz w:val="28"/>
        </w:rPr>
        <w:t>īzeļdegviela</w:t>
      </w:r>
      <w:r>
        <w:rPr>
          <w:rFonts w:ascii="Times New Roman" w:hAnsi="Times New Roman"/>
          <w:sz w:val="28"/>
        </w:rPr>
        <w:t>;</w:t>
      </w:r>
      <w:r>
        <w:rPr>
          <w:rFonts w:ascii="Times New Roman" w:hAnsi="Times New Roman"/>
          <w:sz w:val="28"/>
          <w:szCs w:val="28"/>
        </w:rPr>
        <w:t xml:space="preserve"> </w:t>
      </w:r>
    </w:p>
    <w:p w:rsidR="00AB6248" w:rsidRDefault="00AB6248" w:rsidP="00AB6248">
      <w:pPr>
        <w:numPr>
          <w:ilvl w:val="0"/>
          <w:numId w:val="5"/>
        </w:numPr>
        <w:spacing w:after="0" w:line="240" w:lineRule="auto"/>
        <w:jc w:val="both"/>
        <w:rPr>
          <w:rFonts w:ascii="Times New Roman" w:hAnsi="Times New Roman"/>
          <w:sz w:val="28"/>
        </w:rPr>
      </w:pPr>
      <w:r>
        <w:rPr>
          <w:rFonts w:ascii="Times New Roman" w:hAnsi="Times New Roman"/>
          <w:sz w:val="28"/>
        </w:rPr>
        <w:t>m</w:t>
      </w:r>
      <w:r w:rsidRPr="00C763C9">
        <w:rPr>
          <w:rFonts w:ascii="Times New Roman" w:hAnsi="Times New Roman"/>
          <w:sz w:val="28"/>
        </w:rPr>
        <w:t>azuts</w:t>
      </w:r>
      <w:r>
        <w:rPr>
          <w:rFonts w:ascii="Times New Roman" w:hAnsi="Times New Roman"/>
          <w:sz w:val="28"/>
        </w:rPr>
        <w:t>;</w:t>
      </w:r>
    </w:p>
    <w:p w:rsidR="00AB6248" w:rsidRDefault="00AB6248" w:rsidP="00AB6248">
      <w:pPr>
        <w:numPr>
          <w:ilvl w:val="0"/>
          <w:numId w:val="5"/>
        </w:numPr>
        <w:spacing w:after="0" w:line="240" w:lineRule="auto"/>
        <w:jc w:val="both"/>
        <w:rPr>
          <w:rFonts w:ascii="Times New Roman" w:hAnsi="Times New Roman"/>
          <w:sz w:val="28"/>
        </w:rPr>
      </w:pPr>
      <w:r>
        <w:rPr>
          <w:rFonts w:ascii="Times New Roman" w:hAnsi="Times New Roman"/>
          <w:sz w:val="28"/>
        </w:rPr>
        <w:t>p</w:t>
      </w:r>
      <w:r w:rsidRPr="00C763C9">
        <w:rPr>
          <w:rFonts w:ascii="Times New Roman" w:hAnsi="Times New Roman"/>
          <w:sz w:val="28"/>
        </w:rPr>
        <w:t>ārējie naftas produkti</w:t>
      </w:r>
      <w:r>
        <w:rPr>
          <w:rFonts w:ascii="Times New Roman" w:hAnsi="Times New Roman"/>
          <w:sz w:val="28"/>
        </w:rPr>
        <w:t>;</w:t>
      </w:r>
    </w:p>
    <w:p w:rsidR="00AB6248" w:rsidRDefault="00AB6248" w:rsidP="00AB6248">
      <w:pPr>
        <w:numPr>
          <w:ilvl w:val="0"/>
          <w:numId w:val="5"/>
        </w:numPr>
        <w:spacing w:after="0" w:line="240" w:lineRule="auto"/>
        <w:jc w:val="both"/>
        <w:rPr>
          <w:rFonts w:ascii="Times New Roman" w:hAnsi="Times New Roman"/>
          <w:sz w:val="28"/>
        </w:rPr>
      </w:pPr>
      <w:r>
        <w:rPr>
          <w:rFonts w:ascii="Times New Roman" w:hAnsi="Times New Roman"/>
          <w:sz w:val="28"/>
        </w:rPr>
        <w:t>a</w:t>
      </w:r>
      <w:r w:rsidRPr="00C763C9">
        <w:rPr>
          <w:rFonts w:ascii="Times New Roman" w:hAnsi="Times New Roman"/>
          <w:sz w:val="28"/>
        </w:rPr>
        <w:t>tstādinātās eļļas</w:t>
      </w:r>
      <w:r>
        <w:rPr>
          <w:rFonts w:ascii="Times New Roman" w:hAnsi="Times New Roman"/>
          <w:sz w:val="28"/>
        </w:rPr>
        <w:t>;</w:t>
      </w:r>
    </w:p>
    <w:p w:rsidR="00AB6248" w:rsidRDefault="00AB6248" w:rsidP="00AB6248">
      <w:pPr>
        <w:numPr>
          <w:ilvl w:val="0"/>
          <w:numId w:val="5"/>
        </w:numPr>
        <w:spacing w:after="0" w:line="240" w:lineRule="auto"/>
        <w:jc w:val="both"/>
        <w:rPr>
          <w:rFonts w:ascii="Times New Roman" w:hAnsi="Times New Roman"/>
          <w:sz w:val="28"/>
        </w:rPr>
      </w:pPr>
      <w:r>
        <w:rPr>
          <w:rFonts w:ascii="Times New Roman" w:hAnsi="Times New Roman"/>
          <w:sz w:val="28"/>
        </w:rPr>
        <w:t>a</w:t>
      </w:r>
      <w:r w:rsidRPr="00C763C9">
        <w:rPr>
          <w:rFonts w:ascii="Times New Roman" w:hAnsi="Times New Roman"/>
          <w:sz w:val="28"/>
        </w:rPr>
        <w:t>kmeņogles</w:t>
      </w:r>
      <w:r>
        <w:rPr>
          <w:rFonts w:ascii="Times New Roman" w:hAnsi="Times New Roman"/>
          <w:sz w:val="28"/>
        </w:rPr>
        <w:t>;</w:t>
      </w:r>
      <w:r w:rsidRPr="00BF3FB7">
        <w:rPr>
          <w:rFonts w:ascii="Times New Roman" w:hAnsi="Times New Roman"/>
          <w:sz w:val="28"/>
        </w:rPr>
        <w:t xml:space="preserve"> </w:t>
      </w:r>
    </w:p>
    <w:p w:rsidR="00AB6248" w:rsidRDefault="00AB6248" w:rsidP="00AB6248">
      <w:pPr>
        <w:numPr>
          <w:ilvl w:val="0"/>
          <w:numId w:val="5"/>
        </w:numPr>
        <w:spacing w:after="0" w:line="240" w:lineRule="auto"/>
        <w:jc w:val="both"/>
        <w:rPr>
          <w:rFonts w:ascii="Times New Roman" w:hAnsi="Times New Roman"/>
          <w:sz w:val="28"/>
        </w:rPr>
      </w:pPr>
      <w:r>
        <w:rPr>
          <w:rFonts w:ascii="Times New Roman" w:hAnsi="Times New Roman"/>
          <w:sz w:val="28"/>
        </w:rPr>
        <w:t>k</w:t>
      </w:r>
      <w:r w:rsidRPr="00C763C9">
        <w:rPr>
          <w:rFonts w:ascii="Times New Roman" w:hAnsi="Times New Roman"/>
          <w:sz w:val="28"/>
        </w:rPr>
        <w:t>ūdras briketes un pusbriketes</w:t>
      </w:r>
      <w:r>
        <w:rPr>
          <w:rFonts w:ascii="Times New Roman" w:hAnsi="Times New Roman"/>
          <w:sz w:val="28"/>
        </w:rPr>
        <w:t>;</w:t>
      </w:r>
    </w:p>
    <w:p w:rsidR="00AB6248" w:rsidRDefault="00AB6248" w:rsidP="00AB6248">
      <w:pPr>
        <w:numPr>
          <w:ilvl w:val="0"/>
          <w:numId w:val="5"/>
        </w:numPr>
        <w:spacing w:after="0" w:line="240" w:lineRule="auto"/>
        <w:jc w:val="both"/>
        <w:rPr>
          <w:rFonts w:ascii="Times New Roman" w:hAnsi="Times New Roman"/>
          <w:sz w:val="28"/>
        </w:rPr>
      </w:pPr>
      <w:r>
        <w:rPr>
          <w:rFonts w:ascii="Times New Roman" w:hAnsi="Times New Roman"/>
          <w:sz w:val="28"/>
        </w:rPr>
        <w:lastRenderedPageBreak/>
        <w:t>d</w:t>
      </w:r>
      <w:r w:rsidRPr="00C763C9">
        <w:rPr>
          <w:rFonts w:ascii="Times New Roman" w:hAnsi="Times New Roman"/>
          <w:sz w:val="28"/>
        </w:rPr>
        <w:t>egakmens eļļa</w:t>
      </w:r>
      <w:r>
        <w:rPr>
          <w:rFonts w:ascii="Times New Roman" w:hAnsi="Times New Roman"/>
          <w:sz w:val="28"/>
        </w:rPr>
        <w:t>;</w:t>
      </w:r>
    </w:p>
    <w:p w:rsidR="00AB6248" w:rsidRDefault="00AB6248" w:rsidP="00AB6248">
      <w:pPr>
        <w:numPr>
          <w:ilvl w:val="0"/>
          <w:numId w:val="5"/>
        </w:numPr>
        <w:spacing w:after="0" w:line="240" w:lineRule="auto"/>
        <w:jc w:val="both"/>
        <w:rPr>
          <w:rFonts w:ascii="Times New Roman" w:hAnsi="Times New Roman"/>
          <w:sz w:val="28"/>
        </w:rPr>
      </w:pPr>
      <w:r>
        <w:rPr>
          <w:rFonts w:ascii="Times New Roman" w:hAnsi="Times New Roman"/>
          <w:sz w:val="28"/>
        </w:rPr>
        <w:t>m</w:t>
      </w:r>
      <w:r w:rsidRPr="00C763C9">
        <w:rPr>
          <w:rFonts w:ascii="Times New Roman" w:hAnsi="Times New Roman"/>
          <w:sz w:val="28"/>
        </w:rPr>
        <w:t>alka</w:t>
      </w:r>
      <w:r>
        <w:rPr>
          <w:rFonts w:ascii="Times New Roman" w:hAnsi="Times New Roman"/>
          <w:sz w:val="28"/>
        </w:rPr>
        <w:t>;</w:t>
      </w:r>
    </w:p>
    <w:p w:rsidR="00AB6248" w:rsidRDefault="00AB6248" w:rsidP="00AB6248">
      <w:pPr>
        <w:numPr>
          <w:ilvl w:val="0"/>
          <w:numId w:val="5"/>
        </w:numPr>
        <w:spacing w:after="0" w:line="240" w:lineRule="auto"/>
        <w:jc w:val="both"/>
        <w:rPr>
          <w:rFonts w:ascii="Times New Roman" w:hAnsi="Times New Roman"/>
          <w:sz w:val="28"/>
        </w:rPr>
      </w:pPr>
      <w:r>
        <w:rPr>
          <w:rFonts w:ascii="Times New Roman" w:hAnsi="Times New Roman"/>
          <w:sz w:val="28"/>
        </w:rPr>
        <w:t>k</w:t>
      </w:r>
      <w:r w:rsidRPr="00C763C9">
        <w:rPr>
          <w:rFonts w:ascii="Times New Roman" w:hAnsi="Times New Roman"/>
          <w:sz w:val="28"/>
        </w:rPr>
        <w:t>okmateriālu un kokapstrādes atlikumi</w:t>
      </w:r>
      <w:r>
        <w:rPr>
          <w:rFonts w:ascii="Times New Roman" w:hAnsi="Times New Roman"/>
          <w:sz w:val="28"/>
        </w:rPr>
        <w:t>;</w:t>
      </w:r>
    </w:p>
    <w:p w:rsidR="00AB6248" w:rsidRDefault="00AB6248" w:rsidP="00AB6248">
      <w:pPr>
        <w:numPr>
          <w:ilvl w:val="0"/>
          <w:numId w:val="5"/>
        </w:numPr>
        <w:spacing w:after="0" w:line="240" w:lineRule="auto"/>
        <w:jc w:val="both"/>
        <w:rPr>
          <w:rFonts w:ascii="Times New Roman" w:hAnsi="Times New Roman"/>
          <w:sz w:val="28"/>
        </w:rPr>
      </w:pPr>
      <w:r>
        <w:rPr>
          <w:rFonts w:ascii="Times New Roman" w:hAnsi="Times New Roman"/>
          <w:sz w:val="28"/>
        </w:rPr>
        <w:t>š</w:t>
      </w:r>
      <w:r w:rsidRPr="00C763C9">
        <w:rPr>
          <w:rFonts w:ascii="Times New Roman" w:hAnsi="Times New Roman"/>
          <w:sz w:val="28"/>
        </w:rPr>
        <w:t>ķelda</w:t>
      </w:r>
      <w:r>
        <w:rPr>
          <w:rFonts w:ascii="Times New Roman" w:hAnsi="Times New Roman"/>
          <w:sz w:val="28"/>
        </w:rPr>
        <w:t>;</w:t>
      </w:r>
    </w:p>
    <w:p w:rsidR="00AB6248" w:rsidRDefault="00AB6248" w:rsidP="00AB6248">
      <w:pPr>
        <w:numPr>
          <w:ilvl w:val="0"/>
          <w:numId w:val="5"/>
        </w:numPr>
        <w:spacing w:after="0" w:line="240" w:lineRule="auto"/>
        <w:jc w:val="both"/>
        <w:rPr>
          <w:rFonts w:ascii="Times New Roman" w:hAnsi="Times New Roman"/>
          <w:sz w:val="28"/>
        </w:rPr>
      </w:pPr>
      <w:r>
        <w:rPr>
          <w:rFonts w:ascii="Times New Roman" w:hAnsi="Times New Roman"/>
          <w:sz w:val="28"/>
        </w:rPr>
        <w:t>k</w:t>
      </w:r>
      <w:r w:rsidRPr="00C763C9">
        <w:rPr>
          <w:rFonts w:ascii="Times New Roman" w:hAnsi="Times New Roman"/>
          <w:sz w:val="28"/>
        </w:rPr>
        <w:t>oksnes briketes</w:t>
      </w:r>
      <w:r>
        <w:rPr>
          <w:rFonts w:ascii="Times New Roman" w:hAnsi="Times New Roman"/>
          <w:sz w:val="28"/>
        </w:rPr>
        <w:t>;</w:t>
      </w:r>
    </w:p>
    <w:p w:rsidR="00AB6248" w:rsidRPr="00A9735D" w:rsidRDefault="00AB6248" w:rsidP="00AB6248">
      <w:pPr>
        <w:numPr>
          <w:ilvl w:val="0"/>
          <w:numId w:val="5"/>
        </w:numPr>
        <w:spacing w:after="0" w:line="240" w:lineRule="auto"/>
        <w:jc w:val="both"/>
        <w:rPr>
          <w:rFonts w:ascii="Times New Roman" w:hAnsi="Times New Roman"/>
          <w:sz w:val="28"/>
          <w:szCs w:val="28"/>
        </w:rPr>
      </w:pPr>
      <w:r>
        <w:rPr>
          <w:rFonts w:ascii="Times New Roman" w:hAnsi="Times New Roman"/>
          <w:sz w:val="28"/>
        </w:rPr>
        <w:t>k</w:t>
      </w:r>
      <w:r w:rsidRPr="00C763C9">
        <w:rPr>
          <w:rFonts w:ascii="Times New Roman" w:hAnsi="Times New Roman"/>
          <w:sz w:val="28"/>
        </w:rPr>
        <w:t>oksnes granulas</w:t>
      </w:r>
      <w:r>
        <w:rPr>
          <w:rFonts w:ascii="Times New Roman" w:hAnsi="Times New Roman"/>
          <w:sz w:val="28"/>
        </w:rPr>
        <w:t>;</w:t>
      </w:r>
    </w:p>
    <w:p w:rsidR="00AB6248" w:rsidRDefault="00AB6248" w:rsidP="00AB6248">
      <w:pPr>
        <w:numPr>
          <w:ilvl w:val="0"/>
          <w:numId w:val="5"/>
        </w:numPr>
        <w:spacing w:after="0" w:line="240" w:lineRule="auto"/>
        <w:jc w:val="both"/>
        <w:rPr>
          <w:rFonts w:ascii="Times New Roman" w:hAnsi="Times New Roman"/>
          <w:sz w:val="28"/>
          <w:szCs w:val="28"/>
        </w:rPr>
      </w:pPr>
      <w:r>
        <w:rPr>
          <w:rFonts w:ascii="Times New Roman" w:hAnsi="Times New Roman"/>
          <w:sz w:val="28"/>
        </w:rPr>
        <w:t>dabasgāze.</w:t>
      </w:r>
    </w:p>
    <w:p w:rsidR="00AB6248" w:rsidRDefault="00AB6248" w:rsidP="00AB6248">
      <w:pPr>
        <w:spacing w:after="0" w:line="240" w:lineRule="auto"/>
        <w:ind w:firstLine="709"/>
        <w:jc w:val="both"/>
        <w:rPr>
          <w:rFonts w:ascii="Times New Roman" w:hAnsi="Times New Roman"/>
          <w:sz w:val="28"/>
          <w:szCs w:val="28"/>
        </w:rPr>
      </w:pPr>
      <w:r>
        <w:rPr>
          <w:rFonts w:ascii="Times New Roman" w:hAnsi="Times New Roman"/>
          <w:sz w:val="28"/>
          <w:szCs w:val="28"/>
        </w:rPr>
        <w:t>Lai noteiktu energoresursu krājumus,</w:t>
      </w:r>
      <w:r w:rsidRPr="00BF3FB7">
        <w:rPr>
          <w:rFonts w:ascii="Times New Roman" w:hAnsi="Times New Roman"/>
          <w:sz w:val="28"/>
          <w:szCs w:val="28"/>
        </w:rPr>
        <w:t xml:space="preserve"> </w:t>
      </w:r>
      <w:r>
        <w:rPr>
          <w:rFonts w:ascii="Times New Roman" w:hAnsi="Times New Roman"/>
          <w:sz w:val="28"/>
          <w:szCs w:val="28"/>
        </w:rPr>
        <w:t>Centrālās statistikas pārvalde apseko no 150 -</w:t>
      </w:r>
      <w:r w:rsidRPr="001B33B8">
        <w:rPr>
          <w:rFonts w:ascii="Times New Roman" w:hAnsi="Times New Roman"/>
          <w:sz w:val="28"/>
          <w:szCs w:val="28"/>
        </w:rPr>
        <w:t xml:space="preserve"> </w:t>
      </w:r>
      <w:r>
        <w:rPr>
          <w:rFonts w:ascii="Times New Roman" w:hAnsi="Times New Roman"/>
          <w:sz w:val="28"/>
          <w:szCs w:val="28"/>
        </w:rPr>
        <w:t>200</w:t>
      </w:r>
      <w:r w:rsidRPr="001B33B8">
        <w:rPr>
          <w:rFonts w:ascii="Times New Roman" w:hAnsi="Times New Roman"/>
          <w:sz w:val="28"/>
          <w:szCs w:val="28"/>
        </w:rPr>
        <w:t xml:space="preserve"> </w:t>
      </w:r>
      <w:r>
        <w:rPr>
          <w:rFonts w:ascii="Times New Roman" w:hAnsi="Times New Roman"/>
          <w:sz w:val="28"/>
          <w:szCs w:val="28"/>
        </w:rPr>
        <w:t>komersantus</w:t>
      </w:r>
      <w:r w:rsidRPr="003D5624">
        <w:rPr>
          <w:rFonts w:ascii="Times New Roman" w:hAnsi="Times New Roman"/>
          <w:sz w:val="28"/>
          <w:szCs w:val="28"/>
        </w:rPr>
        <w:t>, kuri</w:t>
      </w:r>
      <w:r>
        <w:rPr>
          <w:rFonts w:ascii="Times New Roman" w:hAnsi="Times New Roman"/>
          <w:sz w:val="28"/>
          <w:szCs w:val="28"/>
        </w:rPr>
        <w:t xml:space="preserve"> ražo siltumenerģiju pārdošanai.</w:t>
      </w:r>
      <w:r w:rsidRPr="001B33B8">
        <w:rPr>
          <w:rFonts w:ascii="Times New Roman" w:hAnsi="Times New Roman"/>
          <w:sz w:val="28"/>
          <w:szCs w:val="28"/>
        </w:rPr>
        <w:t xml:space="preserve"> </w:t>
      </w:r>
    </w:p>
    <w:p w:rsidR="00AB6248" w:rsidRDefault="00AB6248" w:rsidP="00AB6248">
      <w:pPr>
        <w:spacing w:after="0" w:line="240" w:lineRule="auto"/>
        <w:ind w:firstLine="709"/>
        <w:jc w:val="both"/>
        <w:rPr>
          <w:rFonts w:ascii="Times New Roman" w:hAnsi="Times New Roman"/>
          <w:sz w:val="28"/>
          <w:szCs w:val="28"/>
        </w:rPr>
      </w:pPr>
      <w:r>
        <w:rPr>
          <w:rFonts w:ascii="Times New Roman" w:hAnsi="Times New Roman"/>
          <w:sz w:val="28"/>
          <w:szCs w:val="28"/>
        </w:rPr>
        <w:t xml:space="preserve">Pašlaik </w:t>
      </w:r>
      <w:r w:rsidRPr="00B00316">
        <w:rPr>
          <w:rFonts w:ascii="Times New Roman" w:hAnsi="Times New Roman"/>
          <w:sz w:val="28"/>
          <w:szCs w:val="28"/>
        </w:rPr>
        <w:t xml:space="preserve">siltumapgādē patērēto energoresursu struktūra </w:t>
      </w:r>
      <w:r w:rsidRPr="00CB7C2E">
        <w:rPr>
          <w:rFonts w:ascii="Times New Roman" w:hAnsi="Times New Roman"/>
          <w:sz w:val="28"/>
          <w:szCs w:val="28"/>
        </w:rPr>
        <w:t xml:space="preserve">ir </w:t>
      </w:r>
      <w:r>
        <w:rPr>
          <w:rFonts w:ascii="Times New Roman" w:hAnsi="Times New Roman"/>
          <w:sz w:val="28"/>
          <w:szCs w:val="28"/>
        </w:rPr>
        <w:t>būtiski mainījusies. M</w:t>
      </w:r>
      <w:r w:rsidRPr="00CB7C2E">
        <w:rPr>
          <w:rFonts w:ascii="Times New Roman" w:hAnsi="Times New Roman"/>
          <w:sz w:val="28"/>
          <w:szCs w:val="28"/>
        </w:rPr>
        <w:t>azuta un tā aizstājēju</w:t>
      </w:r>
      <w:r>
        <w:rPr>
          <w:rFonts w:ascii="Times New Roman" w:hAnsi="Times New Roman"/>
          <w:sz w:val="28"/>
          <w:szCs w:val="28"/>
        </w:rPr>
        <w:t xml:space="preserve"> </w:t>
      </w:r>
      <w:r w:rsidRPr="00CB7C2E">
        <w:rPr>
          <w:rFonts w:ascii="Times New Roman" w:hAnsi="Times New Roman"/>
          <w:sz w:val="28"/>
          <w:szCs w:val="28"/>
        </w:rPr>
        <w:t xml:space="preserve">produktu īpatsvars </w:t>
      </w:r>
      <w:r>
        <w:rPr>
          <w:rFonts w:ascii="Times New Roman" w:hAnsi="Times New Roman"/>
          <w:sz w:val="28"/>
          <w:szCs w:val="28"/>
        </w:rPr>
        <w:t>c</w:t>
      </w:r>
      <w:r w:rsidRPr="00B00316">
        <w:rPr>
          <w:rFonts w:ascii="Times New Roman" w:hAnsi="Times New Roman"/>
          <w:sz w:val="28"/>
          <w:szCs w:val="28"/>
        </w:rPr>
        <w:t xml:space="preserve">entralizētajā, lokālajā un individuālajā siltumapgādē </w:t>
      </w:r>
      <w:r>
        <w:rPr>
          <w:rFonts w:ascii="Times New Roman" w:hAnsi="Times New Roman"/>
          <w:sz w:val="28"/>
          <w:szCs w:val="28"/>
        </w:rPr>
        <w:t>patērēto energoresursu struktūrā</w:t>
      </w:r>
      <w:r w:rsidRPr="00B00316">
        <w:rPr>
          <w:rFonts w:ascii="Times New Roman" w:hAnsi="Times New Roman"/>
          <w:sz w:val="28"/>
          <w:szCs w:val="28"/>
        </w:rPr>
        <w:t xml:space="preserve"> </w:t>
      </w:r>
      <w:r w:rsidRPr="00CB7C2E">
        <w:rPr>
          <w:rFonts w:ascii="Times New Roman" w:hAnsi="Times New Roman"/>
          <w:sz w:val="28"/>
          <w:szCs w:val="28"/>
        </w:rPr>
        <w:t xml:space="preserve">ir </w:t>
      </w:r>
      <w:r>
        <w:rPr>
          <w:rFonts w:ascii="Times New Roman" w:hAnsi="Times New Roman"/>
          <w:sz w:val="28"/>
          <w:szCs w:val="28"/>
        </w:rPr>
        <w:t xml:space="preserve">ievērojami </w:t>
      </w:r>
      <w:r w:rsidRPr="00CB7C2E">
        <w:rPr>
          <w:rFonts w:ascii="Times New Roman" w:hAnsi="Times New Roman"/>
          <w:sz w:val="28"/>
          <w:szCs w:val="28"/>
        </w:rPr>
        <w:t>samazinājies</w:t>
      </w:r>
      <w:r>
        <w:rPr>
          <w:rFonts w:ascii="Times New Roman" w:hAnsi="Times New Roman"/>
          <w:sz w:val="28"/>
          <w:szCs w:val="28"/>
        </w:rPr>
        <w:t xml:space="preserve">  - no 27,59% 1999.gadā līdz 9,69% 2011.gadā (skat. attēlus zemāk). </w:t>
      </w:r>
    </w:p>
    <w:p w:rsidR="00AB6248" w:rsidRDefault="00AB6248" w:rsidP="00AB6248">
      <w:pPr>
        <w:spacing w:after="0" w:line="240" w:lineRule="auto"/>
        <w:ind w:firstLine="709"/>
        <w:jc w:val="both"/>
        <w:rPr>
          <w:rFonts w:ascii="Times New Roman" w:hAnsi="Times New Roman"/>
          <w:sz w:val="28"/>
          <w:szCs w:val="28"/>
        </w:rPr>
      </w:pPr>
    </w:p>
    <w:p w:rsidR="00AB6248" w:rsidRDefault="00AB6248" w:rsidP="00AB6248">
      <w:pPr>
        <w:spacing w:after="0" w:line="240" w:lineRule="auto"/>
        <w:jc w:val="center"/>
        <w:rPr>
          <w:rFonts w:ascii="Times New Roman" w:hAnsi="Times New Roman"/>
          <w:noProof/>
          <w:sz w:val="28"/>
          <w:szCs w:val="28"/>
          <w:lang w:eastAsia="lv-LV"/>
        </w:rPr>
      </w:pPr>
      <w:r>
        <w:rPr>
          <w:rFonts w:ascii="Times New Roman" w:hAnsi="Times New Roman"/>
          <w:noProof/>
          <w:sz w:val="28"/>
          <w:szCs w:val="28"/>
          <w:lang w:eastAsia="lv-LV"/>
        </w:rPr>
        <w:drawing>
          <wp:inline distT="0" distB="0" distL="0" distR="0" wp14:anchorId="1958F003" wp14:editId="03FC60E9">
            <wp:extent cx="5589917" cy="3278037"/>
            <wp:effectExtent l="0" t="0" r="0" b="0"/>
            <wp:docPr id="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6795D" w:rsidRDefault="0036795D" w:rsidP="0036795D">
      <w:pPr>
        <w:spacing w:after="0" w:line="240" w:lineRule="auto"/>
        <w:jc w:val="center"/>
        <w:rPr>
          <w:rFonts w:ascii="Times New Roman" w:hAnsi="Times New Roman"/>
          <w:i/>
          <w:sz w:val="28"/>
          <w:szCs w:val="28"/>
        </w:rPr>
      </w:pPr>
    </w:p>
    <w:p w:rsidR="0036795D" w:rsidRDefault="0036795D" w:rsidP="0036795D">
      <w:pPr>
        <w:spacing w:after="0" w:line="240" w:lineRule="auto"/>
        <w:jc w:val="center"/>
        <w:rPr>
          <w:rFonts w:ascii="Times New Roman" w:hAnsi="Times New Roman"/>
          <w:i/>
          <w:sz w:val="28"/>
          <w:szCs w:val="28"/>
        </w:rPr>
      </w:pPr>
    </w:p>
    <w:p w:rsidR="0036795D" w:rsidRDefault="0036795D" w:rsidP="0036795D">
      <w:pPr>
        <w:spacing w:after="0" w:line="240" w:lineRule="auto"/>
        <w:jc w:val="center"/>
        <w:rPr>
          <w:rFonts w:ascii="Times New Roman" w:hAnsi="Times New Roman"/>
          <w:i/>
          <w:sz w:val="28"/>
          <w:szCs w:val="28"/>
        </w:rPr>
      </w:pPr>
    </w:p>
    <w:p w:rsidR="0036795D" w:rsidRDefault="0036795D" w:rsidP="0036795D">
      <w:pPr>
        <w:spacing w:after="0" w:line="240" w:lineRule="auto"/>
        <w:jc w:val="center"/>
        <w:rPr>
          <w:rFonts w:ascii="Times New Roman" w:hAnsi="Times New Roman"/>
          <w:i/>
          <w:sz w:val="28"/>
          <w:szCs w:val="28"/>
        </w:rPr>
      </w:pPr>
    </w:p>
    <w:p w:rsidR="00AB6248" w:rsidRDefault="00AB6248" w:rsidP="0036795D">
      <w:pPr>
        <w:spacing w:after="0" w:line="240" w:lineRule="auto"/>
        <w:jc w:val="center"/>
        <w:rPr>
          <w:rFonts w:ascii="Times New Roman" w:hAnsi="Times New Roman"/>
          <w:i/>
          <w:sz w:val="28"/>
          <w:szCs w:val="28"/>
        </w:rPr>
      </w:pPr>
      <w:r>
        <w:rPr>
          <w:rFonts w:ascii="Times New Roman" w:hAnsi="Times New Roman"/>
          <w:i/>
          <w:sz w:val="28"/>
          <w:szCs w:val="28"/>
        </w:rPr>
        <w:t>C</w:t>
      </w:r>
      <w:r w:rsidRPr="00D0721D">
        <w:rPr>
          <w:rFonts w:ascii="Times New Roman" w:hAnsi="Times New Roman"/>
          <w:i/>
          <w:sz w:val="28"/>
          <w:szCs w:val="28"/>
        </w:rPr>
        <w:t>entralizētajā, lokālajā un individuālajā siltumapgādē patērēto energoresursu struktūra  1999.gadā</w:t>
      </w:r>
    </w:p>
    <w:p w:rsidR="00AB6248" w:rsidRPr="00D0721D" w:rsidRDefault="00AB6248" w:rsidP="00AB6248">
      <w:pPr>
        <w:spacing w:after="0" w:line="240" w:lineRule="auto"/>
        <w:jc w:val="center"/>
        <w:rPr>
          <w:rFonts w:ascii="Times New Roman" w:hAnsi="Times New Roman"/>
          <w:i/>
          <w:sz w:val="28"/>
          <w:szCs w:val="28"/>
        </w:rPr>
      </w:pPr>
      <w:r>
        <w:rPr>
          <w:rFonts w:ascii="Times New Roman" w:hAnsi="Times New Roman"/>
          <w:i/>
          <w:noProof/>
          <w:sz w:val="28"/>
          <w:szCs w:val="28"/>
          <w:lang w:eastAsia="lv-LV"/>
        </w:rPr>
        <w:lastRenderedPageBreak/>
        <w:drawing>
          <wp:inline distT="0" distB="0" distL="0" distR="0" wp14:anchorId="041E7881" wp14:editId="2001A6A3">
            <wp:extent cx="5460520" cy="3269411"/>
            <wp:effectExtent l="0" t="0" r="6985" b="7620"/>
            <wp:docPr id="7"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6795D" w:rsidRDefault="0036795D" w:rsidP="00AB6248">
      <w:pPr>
        <w:spacing w:after="0" w:line="240" w:lineRule="auto"/>
        <w:jc w:val="center"/>
        <w:rPr>
          <w:rFonts w:ascii="Times New Roman" w:hAnsi="Times New Roman"/>
          <w:i/>
          <w:sz w:val="28"/>
          <w:szCs w:val="28"/>
        </w:rPr>
      </w:pPr>
    </w:p>
    <w:p w:rsidR="00AB6248" w:rsidRDefault="00AB6248" w:rsidP="00AB6248">
      <w:pPr>
        <w:spacing w:after="0" w:line="240" w:lineRule="auto"/>
        <w:jc w:val="center"/>
        <w:rPr>
          <w:rFonts w:ascii="Times New Roman" w:hAnsi="Times New Roman"/>
          <w:i/>
          <w:sz w:val="28"/>
          <w:szCs w:val="28"/>
        </w:rPr>
      </w:pPr>
      <w:r>
        <w:rPr>
          <w:rFonts w:ascii="Times New Roman" w:hAnsi="Times New Roman"/>
          <w:i/>
          <w:sz w:val="28"/>
          <w:szCs w:val="28"/>
        </w:rPr>
        <w:t>C</w:t>
      </w:r>
      <w:r w:rsidRPr="00D0721D">
        <w:rPr>
          <w:rFonts w:ascii="Times New Roman" w:hAnsi="Times New Roman"/>
          <w:i/>
          <w:sz w:val="28"/>
          <w:szCs w:val="28"/>
        </w:rPr>
        <w:t xml:space="preserve">entralizētajā, lokālajā un individuālajā siltumapgādē patērēto energoresursu struktūra  </w:t>
      </w:r>
      <w:r>
        <w:rPr>
          <w:rFonts w:ascii="Times New Roman" w:hAnsi="Times New Roman"/>
          <w:i/>
          <w:sz w:val="28"/>
          <w:szCs w:val="28"/>
        </w:rPr>
        <w:t>2011</w:t>
      </w:r>
      <w:r w:rsidRPr="00D0721D">
        <w:rPr>
          <w:rFonts w:ascii="Times New Roman" w:hAnsi="Times New Roman"/>
          <w:i/>
          <w:sz w:val="28"/>
          <w:szCs w:val="28"/>
        </w:rPr>
        <w:t>.gadā</w:t>
      </w:r>
    </w:p>
    <w:p w:rsidR="00AB6248" w:rsidRPr="00D0721D" w:rsidRDefault="00AB6248" w:rsidP="00AB6248">
      <w:pPr>
        <w:spacing w:after="0" w:line="240" w:lineRule="auto"/>
        <w:ind w:firstLine="709"/>
        <w:jc w:val="both"/>
        <w:rPr>
          <w:rFonts w:ascii="Times New Roman" w:hAnsi="Times New Roman"/>
          <w:i/>
          <w:sz w:val="28"/>
          <w:szCs w:val="28"/>
        </w:rPr>
      </w:pPr>
    </w:p>
    <w:p w:rsidR="00AB6248" w:rsidRDefault="00AB6248" w:rsidP="00AB6248">
      <w:pPr>
        <w:spacing w:after="0" w:line="240" w:lineRule="auto"/>
        <w:ind w:firstLine="709"/>
        <w:jc w:val="both"/>
        <w:rPr>
          <w:rFonts w:ascii="Times New Roman" w:hAnsi="Times New Roman"/>
          <w:sz w:val="28"/>
          <w:szCs w:val="28"/>
        </w:rPr>
      </w:pPr>
      <w:r>
        <w:rPr>
          <w:rFonts w:ascii="Times New Roman" w:hAnsi="Times New Roman"/>
          <w:sz w:val="28"/>
          <w:szCs w:val="28"/>
        </w:rPr>
        <w:t>Mazuta īpatsvara samazināšanās ir saistīta ar tā aizstāšanu ar dabasgāzi un kurināmo koksni, kas aizsākās 1999.gadā. 2011.gadā siltumapgādē patērēto energoresursu struktūrā vairāk nekā 83%</w:t>
      </w:r>
      <w:r w:rsidRPr="00784637">
        <w:rPr>
          <w:rFonts w:ascii="Times New Roman" w:hAnsi="Times New Roman"/>
          <w:sz w:val="28"/>
          <w:szCs w:val="28"/>
        </w:rPr>
        <w:t xml:space="preserve"> </w:t>
      </w:r>
      <w:r>
        <w:rPr>
          <w:rFonts w:ascii="Times New Roman" w:hAnsi="Times New Roman"/>
          <w:sz w:val="28"/>
          <w:szCs w:val="28"/>
        </w:rPr>
        <w:t>veidoja kurināmā koksne un dabasgāze.</w:t>
      </w:r>
    </w:p>
    <w:p w:rsidR="00AB6248" w:rsidRDefault="00AB6248" w:rsidP="00AB6248">
      <w:pPr>
        <w:spacing w:after="0" w:line="240" w:lineRule="auto"/>
        <w:ind w:firstLine="709"/>
        <w:jc w:val="both"/>
        <w:rPr>
          <w:rFonts w:ascii="Times New Roman" w:hAnsi="Times New Roman"/>
          <w:sz w:val="28"/>
          <w:szCs w:val="28"/>
        </w:rPr>
      </w:pPr>
      <w:r w:rsidRPr="00D25E5F">
        <w:rPr>
          <w:rFonts w:ascii="Times New Roman" w:hAnsi="Times New Roman"/>
          <w:sz w:val="28"/>
          <w:szCs w:val="28"/>
        </w:rPr>
        <w:t xml:space="preserve">Pašlaik enerģētikā tiek izmantoti </w:t>
      </w:r>
      <w:r>
        <w:rPr>
          <w:rFonts w:ascii="Times New Roman" w:hAnsi="Times New Roman"/>
          <w:sz w:val="28"/>
          <w:szCs w:val="28"/>
        </w:rPr>
        <w:t>tādi</w:t>
      </w:r>
      <w:r w:rsidRPr="00D25E5F">
        <w:rPr>
          <w:rFonts w:ascii="Times New Roman" w:hAnsi="Times New Roman"/>
          <w:sz w:val="28"/>
          <w:szCs w:val="28"/>
        </w:rPr>
        <w:t xml:space="preserve"> koksnes veidi</w:t>
      </w:r>
      <w:r>
        <w:rPr>
          <w:rFonts w:ascii="Times New Roman" w:hAnsi="Times New Roman"/>
          <w:sz w:val="28"/>
          <w:szCs w:val="28"/>
        </w:rPr>
        <w:t xml:space="preserve"> kā malka (apaļā un skaldītā formā), </w:t>
      </w:r>
      <w:r w:rsidRPr="00D25E5F">
        <w:rPr>
          <w:rFonts w:ascii="Times New Roman" w:hAnsi="Times New Roman"/>
          <w:sz w:val="28"/>
          <w:szCs w:val="28"/>
        </w:rPr>
        <w:t>mežizstrādes atlikumi (zari, ga</w:t>
      </w:r>
      <w:r>
        <w:rPr>
          <w:rFonts w:ascii="Times New Roman" w:hAnsi="Times New Roman"/>
          <w:sz w:val="28"/>
          <w:szCs w:val="28"/>
        </w:rPr>
        <w:t xml:space="preserve">lotnes, celmi, zaru saiņi u.c.), </w:t>
      </w:r>
      <w:r w:rsidRPr="00D25E5F">
        <w:rPr>
          <w:rFonts w:ascii="Times New Roman" w:hAnsi="Times New Roman"/>
          <w:sz w:val="28"/>
          <w:szCs w:val="28"/>
        </w:rPr>
        <w:t>kokapstrādes blakusprodukti (šķeldas, skaidas, mizas,</w:t>
      </w:r>
      <w:r>
        <w:rPr>
          <w:rFonts w:ascii="Times New Roman" w:hAnsi="Times New Roman"/>
          <w:sz w:val="28"/>
          <w:szCs w:val="28"/>
        </w:rPr>
        <w:t xml:space="preserve"> </w:t>
      </w:r>
      <w:r w:rsidRPr="00D25E5F">
        <w:rPr>
          <w:rFonts w:ascii="Times New Roman" w:hAnsi="Times New Roman"/>
          <w:sz w:val="28"/>
          <w:szCs w:val="28"/>
        </w:rPr>
        <w:t>gabalat</w:t>
      </w:r>
      <w:r>
        <w:rPr>
          <w:rFonts w:ascii="Times New Roman" w:hAnsi="Times New Roman"/>
          <w:sz w:val="28"/>
          <w:szCs w:val="28"/>
        </w:rPr>
        <w:t xml:space="preserve">likumi, koksnes putekļi) un </w:t>
      </w:r>
      <w:r w:rsidRPr="00D25E5F">
        <w:rPr>
          <w:rFonts w:ascii="Times New Roman" w:hAnsi="Times New Roman"/>
          <w:sz w:val="28"/>
          <w:szCs w:val="28"/>
        </w:rPr>
        <w:t>speciālie produkti (briketes, granulas, kokogles).</w:t>
      </w:r>
      <w:r>
        <w:rPr>
          <w:rFonts w:ascii="Times New Roman" w:hAnsi="Times New Roman"/>
          <w:sz w:val="28"/>
          <w:szCs w:val="28"/>
        </w:rPr>
        <w:t xml:space="preserve"> </w:t>
      </w:r>
      <w:r w:rsidRPr="00C80FB0">
        <w:rPr>
          <w:rFonts w:ascii="Times New Roman" w:hAnsi="Times New Roman"/>
          <w:sz w:val="28"/>
          <w:szCs w:val="28"/>
        </w:rPr>
        <w:t>Koksne, kas piemērota enerģijas ražošanai, tiek saražota vai ir pieejama visos</w:t>
      </w:r>
      <w:r>
        <w:rPr>
          <w:rFonts w:ascii="Times New Roman" w:hAnsi="Times New Roman"/>
          <w:sz w:val="28"/>
          <w:szCs w:val="28"/>
        </w:rPr>
        <w:t xml:space="preserve"> </w:t>
      </w:r>
      <w:r w:rsidRPr="00C80FB0">
        <w:rPr>
          <w:rFonts w:ascii="Times New Roman" w:hAnsi="Times New Roman"/>
          <w:sz w:val="28"/>
          <w:szCs w:val="28"/>
        </w:rPr>
        <w:t>kokmateriālu pārstrādes posmos</w:t>
      </w:r>
      <w:r>
        <w:rPr>
          <w:rFonts w:ascii="Times New Roman" w:hAnsi="Times New Roman"/>
          <w:sz w:val="28"/>
          <w:szCs w:val="28"/>
        </w:rPr>
        <w:t xml:space="preserve">. </w:t>
      </w:r>
      <w:r w:rsidRPr="00C80FB0">
        <w:rPr>
          <w:rFonts w:ascii="Times New Roman" w:hAnsi="Times New Roman"/>
          <w:sz w:val="28"/>
          <w:szCs w:val="28"/>
        </w:rPr>
        <w:t>Pēc Latvijas un Zviedrijas mežzinātnes institūtu kopējo pētījumu rezultātiem</w:t>
      </w:r>
      <w:r>
        <w:rPr>
          <w:rFonts w:ascii="Times New Roman" w:hAnsi="Times New Roman"/>
          <w:sz w:val="28"/>
          <w:szCs w:val="28"/>
        </w:rPr>
        <w:t xml:space="preserve"> </w:t>
      </w:r>
      <w:r w:rsidRPr="00C80FB0">
        <w:rPr>
          <w:rFonts w:ascii="Times New Roman" w:hAnsi="Times New Roman"/>
          <w:sz w:val="28"/>
          <w:szCs w:val="28"/>
        </w:rPr>
        <w:t>vidējais enerģētiskās koksnes apjoms uz vienu hektāru ir 80 m</w:t>
      </w:r>
      <w:r w:rsidRPr="00C80FB0">
        <w:rPr>
          <w:rFonts w:ascii="Times New Roman" w:hAnsi="Times New Roman"/>
          <w:sz w:val="28"/>
          <w:szCs w:val="28"/>
          <w:vertAlign w:val="superscript"/>
        </w:rPr>
        <w:t>3</w:t>
      </w:r>
      <w:r w:rsidRPr="00C80FB0">
        <w:rPr>
          <w:rFonts w:ascii="Times New Roman" w:hAnsi="Times New Roman"/>
          <w:sz w:val="28"/>
          <w:szCs w:val="28"/>
        </w:rPr>
        <w:t xml:space="preserve">. </w:t>
      </w:r>
    </w:p>
    <w:p w:rsidR="00AB6248" w:rsidRDefault="00AB6248" w:rsidP="00AB6248">
      <w:pPr>
        <w:spacing w:after="0" w:line="240" w:lineRule="auto"/>
        <w:ind w:firstLine="709"/>
        <w:jc w:val="both"/>
        <w:rPr>
          <w:rFonts w:ascii="Times New Roman" w:hAnsi="Times New Roman"/>
          <w:sz w:val="28"/>
          <w:szCs w:val="28"/>
        </w:rPr>
      </w:pPr>
      <w:r>
        <w:rPr>
          <w:rFonts w:ascii="Times New Roman" w:hAnsi="Times New Roman"/>
          <w:sz w:val="28"/>
          <w:szCs w:val="28"/>
        </w:rPr>
        <w:t>Kurināmās koksnes tirgus ir atvērts un tajā ir augsts konkurences līmenis. Saskaņā ar Centr</w:t>
      </w:r>
      <w:r w:rsidR="00DC47C0">
        <w:rPr>
          <w:rFonts w:ascii="Times New Roman" w:hAnsi="Times New Roman"/>
          <w:sz w:val="28"/>
          <w:szCs w:val="28"/>
        </w:rPr>
        <w:t>ālās statistikas pārvaldes</w:t>
      </w:r>
      <w:r>
        <w:rPr>
          <w:rFonts w:ascii="Times New Roman" w:hAnsi="Times New Roman"/>
          <w:sz w:val="28"/>
          <w:szCs w:val="28"/>
        </w:rPr>
        <w:t xml:space="preserve"> datiem 2010.gadā ar koksnes izstrādājumu ražošanu nodarbojās vairāk nekā 1600 komersanti. Daļa no saražotās kurināmās koksnes tiek eksportēta. Saskaņā ar C</w:t>
      </w:r>
      <w:r w:rsidR="00DC47C0">
        <w:rPr>
          <w:rFonts w:ascii="Times New Roman" w:hAnsi="Times New Roman"/>
          <w:sz w:val="28"/>
          <w:szCs w:val="28"/>
        </w:rPr>
        <w:t>entrālās statistikas pārvaldes</w:t>
      </w:r>
      <w:r>
        <w:rPr>
          <w:rFonts w:ascii="Times New Roman" w:hAnsi="Times New Roman"/>
          <w:sz w:val="28"/>
          <w:szCs w:val="28"/>
        </w:rPr>
        <w:t xml:space="preserve"> energobilances datiem 2011. gadā kurināmās koksnes kopējais patēriņš bija 4 674 tūkst. tonnas, kas ir 39 % no siltumapgādē patērēto energoresursu kopējā daudzuma,  bet 1653 tūkst. tonnas kurināmās koksnes tika eksportētas (skat. attēlu zemāk).</w:t>
      </w:r>
    </w:p>
    <w:p w:rsidR="00AB6248" w:rsidRDefault="00AB6248" w:rsidP="00AB6248">
      <w:pPr>
        <w:spacing w:after="0" w:line="240" w:lineRule="auto"/>
        <w:ind w:firstLine="709"/>
        <w:jc w:val="both"/>
        <w:rPr>
          <w:rFonts w:ascii="Times New Roman" w:hAnsi="Times New Roman"/>
          <w:sz w:val="28"/>
          <w:szCs w:val="28"/>
        </w:rPr>
      </w:pPr>
    </w:p>
    <w:p w:rsidR="00AB6248" w:rsidRDefault="00AB6248" w:rsidP="00AB6248">
      <w:pPr>
        <w:spacing w:after="0" w:line="240" w:lineRule="auto"/>
        <w:ind w:firstLine="709"/>
        <w:jc w:val="both"/>
        <w:rPr>
          <w:rFonts w:ascii="Times New Roman" w:hAnsi="Times New Roman"/>
          <w:sz w:val="28"/>
          <w:szCs w:val="28"/>
        </w:rPr>
      </w:pPr>
    </w:p>
    <w:p w:rsidR="00AB6248" w:rsidRDefault="00AB6248" w:rsidP="00AB6248">
      <w:pPr>
        <w:spacing w:after="0" w:line="240" w:lineRule="auto"/>
        <w:jc w:val="center"/>
      </w:pPr>
      <w:r w:rsidRPr="00113C90">
        <w:rPr>
          <w:noProof/>
          <w:lang w:eastAsia="lv-LV"/>
        </w:rPr>
        <w:lastRenderedPageBreak/>
        <w:drawing>
          <wp:inline distT="0" distB="0" distL="0" distR="0" wp14:anchorId="7A627069" wp14:editId="2D7F6B00">
            <wp:extent cx="5638800" cy="320992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B6248" w:rsidRDefault="00AB6248" w:rsidP="00AB6248">
      <w:pPr>
        <w:spacing w:after="0" w:line="240" w:lineRule="auto"/>
        <w:ind w:firstLine="709"/>
        <w:jc w:val="center"/>
        <w:rPr>
          <w:rFonts w:ascii="Times New Roman" w:hAnsi="Times New Roman"/>
          <w:i/>
          <w:sz w:val="28"/>
          <w:szCs w:val="28"/>
        </w:rPr>
      </w:pPr>
    </w:p>
    <w:p w:rsidR="00AB6248" w:rsidRDefault="00AB6248" w:rsidP="00AB6248">
      <w:pPr>
        <w:spacing w:after="0" w:line="240" w:lineRule="auto"/>
        <w:ind w:firstLine="709"/>
        <w:jc w:val="center"/>
        <w:rPr>
          <w:rFonts w:ascii="Times New Roman" w:hAnsi="Times New Roman"/>
          <w:i/>
          <w:sz w:val="28"/>
          <w:szCs w:val="28"/>
        </w:rPr>
      </w:pPr>
      <w:r w:rsidRPr="008F3B47">
        <w:rPr>
          <w:rFonts w:ascii="Times New Roman" w:hAnsi="Times New Roman"/>
          <w:i/>
          <w:sz w:val="28"/>
          <w:szCs w:val="28"/>
        </w:rPr>
        <w:t>Kurināmās koksnes</w:t>
      </w:r>
      <w:r>
        <w:rPr>
          <w:rFonts w:ascii="Times New Roman" w:hAnsi="Times New Roman"/>
          <w:i/>
          <w:sz w:val="28"/>
          <w:szCs w:val="28"/>
        </w:rPr>
        <w:t xml:space="preserve"> kopējā patēriņa un </w:t>
      </w:r>
      <w:r w:rsidRPr="008F3B47">
        <w:rPr>
          <w:rFonts w:ascii="Times New Roman" w:hAnsi="Times New Roman"/>
          <w:i/>
          <w:sz w:val="28"/>
          <w:szCs w:val="28"/>
        </w:rPr>
        <w:t xml:space="preserve"> eksporta apjomi</w:t>
      </w:r>
      <w:r>
        <w:rPr>
          <w:rFonts w:ascii="Times New Roman" w:hAnsi="Times New Roman"/>
          <w:i/>
          <w:sz w:val="28"/>
          <w:szCs w:val="28"/>
        </w:rPr>
        <w:t xml:space="preserve">, milj. </w:t>
      </w:r>
      <w:r w:rsidRPr="002707C3">
        <w:rPr>
          <w:rFonts w:ascii="Times New Roman" w:hAnsi="Times New Roman"/>
          <w:i/>
          <w:sz w:val="28"/>
          <w:szCs w:val="28"/>
        </w:rPr>
        <w:t>t</w:t>
      </w:r>
      <w:r>
        <w:rPr>
          <w:rFonts w:ascii="Times New Roman" w:hAnsi="Times New Roman"/>
          <w:i/>
          <w:sz w:val="28"/>
          <w:szCs w:val="28"/>
        </w:rPr>
        <w:t>onnas</w:t>
      </w:r>
    </w:p>
    <w:p w:rsidR="00AB6248" w:rsidRDefault="00AB6248" w:rsidP="00AB6248">
      <w:pPr>
        <w:spacing w:after="0" w:line="240" w:lineRule="auto"/>
        <w:ind w:firstLine="709"/>
        <w:jc w:val="center"/>
        <w:rPr>
          <w:rFonts w:ascii="Times New Roman" w:hAnsi="Times New Roman"/>
          <w:i/>
          <w:sz w:val="28"/>
          <w:szCs w:val="28"/>
        </w:rPr>
      </w:pPr>
    </w:p>
    <w:p w:rsidR="00AB6248" w:rsidRDefault="00AB6248" w:rsidP="00D56AC3">
      <w:pPr>
        <w:spacing w:after="0" w:line="240" w:lineRule="auto"/>
        <w:ind w:firstLine="709"/>
        <w:jc w:val="both"/>
        <w:rPr>
          <w:rFonts w:ascii="Times New Roman" w:hAnsi="Times New Roman"/>
          <w:sz w:val="28"/>
          <w:szCs w:val="28"/>
        </w:rPr>
      </w:pPr>
      <w:r w:rsidRPr="00F81222">
        <w:rPr>
          <w:rFonts w:ascii="Times New Roman" w:hAnsi="Times New Roman"/>
          <w:sz w:val="28"/>
          <w:szCs w:val="28"/>
        </w:rPr>
        <w:t>Kurināmās koksnes imports ir ļoti niecīgs. 2010. gadā tika ievestas tikai 8 tūkst. tonnas, bet 2011. gadā – 11 tūkst. tonnas.</w:t>
      </w:r>
      <w:r>
        <w:rPr>
          <w:rFonts w:ascii="Times New Roman" w:hAnsi="Times New Roman"/>
          <w:sz w:val="28"/>
          <w:szCs w:val="28"/>
        </w:rPr>
        <w:t xml:space="preserve"> Visvairāk kurināmā koksne Latvijā tiek ievesta no Baltkrievijas (39% no visa kurināmās koksnes importa), tad seko </w:t>
      </w:r>
      <w:r w:rsidR="00D56AC3">
        <w:rPr>
          <w:rFonts w:ascii="Times New Roman" w:hAnsi="Times New Roman"/>
          <w:sz w:val="28"/>
          <w:szCs w:val="28"/>
        </w:rPr>
        <w:t xml:space="preserve">Igaunija, Lietuva un Krievija. </w:t>
      </w:r>
    </w:p>
    <w:p w:rsidR="00AB6248" w:rsidRDefault="00AB6248" w:rsidP="00AB6248">
      <w:pPr>
        <w:spacing w:after="0" w:line="240" w:lineRule="auto"/>
        <w:ind w:firstLine="709"/>
        <w:jc w:val="both"/>
        <w:rPr>
          <w:rFonts w:ascii="Times New Roman" w:hAnsi="Times New Roman"/>
          <w:sz w:val="28"/>
          <w:szCs w:val="28"/>
        </w:rPr>
      </w:pPr>
      <w:r w:rsidRPr="004369AD">
        <w:rPr>
          <w:rFonts w:ascii="Times New Roman" w:hAnsi="Times New Roman"/>
          <w:sz w:val="28"/>
          <w:szCs w:val="28"/>
        </w:rPr>
        <w:t>Palielinoties koksnes biomasas pieprasījumam</w:t>
      </w:r>
      <w:r>
        <w:rPr>
          <w:rFonts w:ascii="Times New Roman" w:hAnsi="Times New Roman"/>
          <w:sz w:val="28"/>
          <w:szCs w:val="28"/>
        </w:rPr>
        <w:t>,</w:t>
      </w:r>
      <w:r w:rsidRPr="004369AD">
        <w:rPr>
          <w:rFonts w:ascii="Times New Roman" w:hAnsi="Times New Roman"/>
          <w:sz w:val="28"/>
          <w:szCs w:val="28"/>
        </w:rPr>
        <w:t xml:space="preserve"> samazināsies un</w:t>
      </w:r>
      <w:r>
        <w:rPr>
          <w:rFonts w:ascii="Times New Roman" w:hAnsi="Times New Roman"/>
          <w:sz w:val="28"/>
          <w:szCs w:val="28"/>
        </w:rPr>
        <w:t xml:space="preserve">, </w:t>
      </w:r>
      <w:r w:rsidRPr="004369AD">
        <w:rPr>
          <w:rFonts w:ascii="Times New Roman" w:hAnsi="Times New Roman"/>
          <w:sz w:val="28"/>
          <w:szCs w:val="28"/>
        </w:rPr>
        <w:t xml:space="preserve">paredzams, ka izzudīs, cenu priekšrocības koksnes izmantošanai produktu (celulozes, koksnes plātņu) ražošanā pret tās pielietojumu enerģijas </w:t>
      </w:r>
      <w:r>
        <w:rPr>
          <w:rFonts w:ascii="Times New Roman" w:hAnsi="Times New Roman"/>
          <w:sz w:val="28"/>
          <w:szCs w:val="28"/>
        </w:rPr>
        <w:t>ražošanā.</w:t>
      </w:r>
      <w:r>
        <w:t xml:space="preserve"> </w:t>
      </w:r>
      <w:r w:rsidRPr="009E254D">
        <w:rPr>
          <w:rFonts w:ascii="Times New Roman" w:hAnsi="Times New Roman"/>
          <w:sz w:val="28"/>
          <w:szCs w:val="28"/>
        </w:rPr>
        <w:t>Līdz ar to</w:t>
      </w:r>
      <w:r>
        <w:rPr>
          <w:rFonts w:ascii="Times New Roman" w:hAnsi="Times New Roman"/>
          <w:sz w:val="28"/>
          <w:szCs w:val="28"/>
        </w:rPr>
        <w:t>, var secināt, ka kurināmās koksnes krājumu izveide nav apgrūtināta, jo tās iegādē nepastāv ierobežojumi.</w:t>
      </w:r>
    </w:p>
    <w:p w:rsidR="00AB6248" w:rsidRDefault="00AB6248" w:rsidP="00AB6248">
      <w:pPr>
        <w:spacing w:after="0" w:line="240" w:lineRule="auto"/>
        <w:ind w:firstLine="709"/>
        <w:jc w:val="both"/>
        <w:rPr>
          <w:rFonts w:ascii="Times New Roman" w:hAnsi="Times New Roman"/>
          <w:sz w:val="28"/>
          <w:szCs w:val="28"/>
        </w:rPr>
      </w:pPr>
      <w:r w:rsidRPr="00784637">
        <w:rPr>
          <w:rFonts w:ascii="Times New Roman" w:hAnsi="Times New Roman"/>
          <w:sz w:val="28"/>
          <w:szCs w:val="28"/>
        </w:rPr>
        <w:t>Latvijas dabasgāzes apgādes sistēma ir veidota 4 miljd.m</w:t>
      </w:r>
      <w:r w:rsidRPr="0037140A">
        <w:rPr>
          <w:rFonts w:ascii="Times New Roman" w:hAnsi="Times New Roman"/>
          <w:sz w:val="28"/>
          <w:szCs w:val="28"/>
          <w:vertAlign w:val="superscript"/>
        </w:rPr>
        <w:t>3</w:t>
      </w:r>
      <w:r w:rsidRPr="00784637">
        <w:rPr>
          <w:rFonts w:ascii="Times New Roman" w:hAnsi="Times New Roman"/>
          <w:sz w:val="28"/>
          <w:szCs w:val="28"/>
        </w:rPr>
        <w:t xml:space="preserve"> dabasgāzes patēriņa gadā nodrošināšanai. Faktiskais patēriņš ir aptuveni 1,7 miljd.m</w:t>
      </w:r>
      <w:r w:rsidRPr="00784637">
        <w:rPr>
          <w:rFonts w:ascii="Times New Roman" w:hAnsi="Times New Roman"/>
          <w:sz w:val="28"/>
          <w:szCs w:val="28"/>
          <w:vertAlign w:val="superscript"/>
        </w:rPr>
        <w:t>3</w:t>
      </w:r>
      <w:r w:rsidRPr="00784637">
        <w:rPr>
          <w:rFonts w:ascii="Times New Roman" w:hAnsi="Times New Roman"/>
          <w:sz w:val="28"/>
          <w:szCs w:val="28"/>
        </w:rPr>
        <w:t xml:space="preserve"> gadā. Dabasgāzes apgādes sistēma</w:t>
      </w:r>
      <w:r>
        <w:rPr>
          <w:rFonts w:ascii="Times New Roman" w:hAnsi="Times New Roman"/>
          <w:sz w:val="28"/>
          <w:szCs w:val="28"/>
        </w:rPr>
        <w:t>i ir apmēram 40% jaudas rezerve</w:t>
      </w:r>
      <w:r w:rsidRPr="00784637">
        <w:rPr>
          <w:rFonts w:ascii="Times New Roman" w:hAnsi="Times New Roman"/>
          <w:sz w:val="28"/>
          <w:szCs w:val="28"/>
        </w:rPr>
        <w:t xml:space="preserve">. </w:t>
      </w:r>
      <w:r>
        <w:rPr>
          <w:rFonts w:ascii="Times New Roman" w:hAnsi="Times New Roman"/>
          <w:sz w:val="28"/>
          <w:szCs w:val="28"/>
        </w:rPr>
        <w:t xml:space="preserve">Dabasgāze ziemā tiek piegādāta tikai no Inčukalna pazemes gāzes krātuves (turpmāk - PGK) </w:t>
      </w:r>
      <w:r w:rsidRPr="00784637">
        <w:rPr>
          <w:rFonts w:ascii="Times New Roman" w:hAnsi="Times New Roman"/>
          <w:sz w:val="28"/>
          <w:szCs w:val="28"/>
        </w:rPr>
        <w:t xml:space="preserve">Maksimālais no Inčukalna </w:t>
      </w:r>
      <w:r>
        <w:rPr>
          <w:rFonts w:ascii="Times New Roman" w:hAnsi="Times New Roman"/>
          <w:sz w:val="28"/>
          <w:szCs w:val="28"/>
        </w:rPr>
        <w:t>PGK</w:t>
      </w:r>
      <w:r w:rsidRPr="00784637">
        <w:rPr>
          <w:rFonts w:ascii="Times New Roman" w:hAnsi="Times New Roman"/>
          <w:sz w:val="28"/>
          <w:szCs w:val="28"/>
        </w:rPr>
        <w:t xml:space="preserve"> izsūknējamais dabasgāzes apjoms ir 24 milj.m</w:t>
      </w:r>
      <w:r w:rsidRPr="00784637">
        <w:rPr>
          <w:rFonts w:ascii="Times New Roman" w:hAnsi="Times New Roman"/>
          <w:sz w:val="28"/>
          <w:szCs w:val="28"/>
          <w:vertAlign w:val="superscript"/>
        </w:rPr>
        <w:t>3</w:t>
      </w:r>
      <w:r w:rsidRPr="00784637">
        <w:rPr>
          <w:rFonts w:ascii="Times New Roman" w:hAnsi="Times New Roman"/>
          <w:sz w:val="28"/>
          <w:szCs w:val="28"/>
        </w:rPr>
        <w:t xml:space="preserve"> dienā</w:t>
      </w:r>
      <w:r>
        <w:rPr>
          <w:rFonts w:ascii="Times New Roman" w:hAnsi="Times New Roman"/>
          <w:sz w:val="28"/>
          <w:szCs w:val="28"/>
        </w:rPr>
        <w:t xml:space="preserve"> (30</w:t>
      </w:r>
      <w:r w:rsidRPr="00784637">
        <w:rPr>
          <w:rFonts w:ascii="Times New Roman" w:hAnsi="Times New Roman"/>
          <w:sz w:val="28"/>
          <w:szCs w:val="28"/>
        </w:rPr>
        <w:t xml:space="preserve"> milj.m</w:t>
      </w:r>
      <w:r w:rsidRPr="00784637">
        <w:rPr>
          <w:rFonts w:ascii="Times New Roman" w:hAnsi="Times New Roman"/>
          <w:sz w:val="28"/>
          <w:szCs w:val="28"/>
          <w:vertAlign w:val="superscript"/>
        </w:rPr>
        <w:t>3</w:t>
      </w:r>
      <w:r w:rsidRPr="00784637">
        <w:rPr>
          <w:rFonts w:ascii="Times New Roman" w:hAnsi="Times New Roman"/>
          <w:sz w:val="28"/>
          <w:szCs w:val="28"/>
        </w:rPr>
        <w:t xml:space="preserve"> dienā</w:t>
      </w:r>
      <w:r>
        <w:rPr>
          <w:rFonts w:ascii="Times New Roman" w:hAnsi="Times New Roman"/>
          <w:sz w:val="28"/>
          <w:szCs w:val="28"/>
        </w:rPr>
        <w:t xml:space="preserve"> pēc urbumu rekonstrukcijas veikšanas 2012.gadā)</w:t>
      </w:r>
      <w:r w:rsidRPr="00784637">
        <w:rPr>
          <w:rFonts w:ascii="Times New Roman" w:hAnsi="Times New Roman"/>
          <w:sz w:val="28"/>
          <w:szCs w:val="28"/>
        </w:rPr>
        <w:t xml:space="preserve">. Tas ir vienīgais </w:t>
      </w:r>
      <w:r>
        <w:rPr>
          <w:rFonts w:ascii="Times New Roman" w:hAnsi="Times New Roman"/>
          <w:sz w:val="28"/>
          <w:szCs w:val="28"/>
        </w:rPr>
        <w:t xml:space="preserve">dabasgāzes piegādes </w:t>
      </w:r>
      <w:r w:rsidRPr="00784637">
        <w:rPr>
          <w:rFonts w:ascii="Times New Roman" w:hAnsi="Times New Roman"/>
          <w:sz w:val="28"/>
          <w:szCs w:val="28"/>
        </w:rPr>
        <w:t xml:space="preserve">ierobežojams </w:t>
      </w:r>
      <w:r>
        <w:rPr>
          <w:rFonts w:ascii="Times New Roman" w:hAnsi="Times New Roman"/>
          <w:sz w:val="28"/>
          <w:szCs w:val="28"/>
        </w:rPr>
        <w:t xml:space="preserve">pārslodzes </w:t>
      </w:r>
      <w:r w:rsidRPr="00784637">
        <w:rPr>
          <w:rFonts w:ascii="Times New Roman" w:hAnsi="Times New Roman"/>
          <w:sz w:val="28"/>
          <w:szCs w:val="28"/>
        </w:rPr>
        <w:t>gadījumā.</w:t>
      </w:r>
      <w:r>
        <w:rPr>
          <w:rFonts w:ascii="Times New Roman" w:hAnsi="Times New Roman"/>
          <w:sz w:val="28"/>
          <w:szCs w:val="28"/>
        </w:rPr>
        <w:t xml:space="preserve"> </w:t>
      </w:r>
      <w:r w:rsidRPr="0037140A">
        <w:rPr>
          <w:rFonts w:ascii="Times New Roman" w:hAnsi="Times New Roman"/>
          <w:sz w:val="28"/>
          <w:szCs w:val="28"/>
        </w:rPr>
        <w:t xml:space="preserve">Inčukalna </w:t>
      </w:r>
      <w:r>
        <w:rPr>
          <w:rFonts w:ascii="Times New Roman" w:hAnsi="Times New Roman"/>
          <w:sz w:val="28"/>
          <w:szCs w:val="28"/>
        </w:rPr>
        <w:t>PGK</w:t>
      </w:r>
      <w:r w:rsidRPr="0037140A">
        <w:rPr>
          <w:rFonts w:ascii="Times New Roman" w:hAnsi="Times New Roman"/>
          <w:sz w:val="28"/>
          <w:szCs w:val="28"/>
        </w:rPr>
        <w:t xml:space="preserve"> Drošības pārskatā </w:t>
      </w:r>
      <w:r>
        <w:rPr>
          <w:rFonts w:ascii="Times New Roman" w:hAnsi="Times New Roman"/>
          <w:sz w:val="28"/>
          <w:szCs w:val="28"/>
        </w:rPr>
        <w:t xml:space="preserve"> un </w:t>
      </w:r>
      <w:r w:rsidRPr="004B7117">
        <w:rPr>
          <w:rFonts w:ascii="Times New Roman" w:hAnsi="Times New Roman"/>
          <w:sz w:val="28"/>
          <w:szCs w:val="28"/>
        </w:rPr>
        <w:t>Latvijas dabasgāzes pieg</w:t>
      </w:r>
      <w:r>
        <w:rPr>
          <w:rFonts w:ascii="Times New Roman" w:hAnsi="Times New Roman"/>
          <w:sz w:val="28"/>
          <w:szCs w:val="28"/>
        </w:rPr>
        <w:t xml:space="preserve">ādes drošības riska novērtējumā </w:t>
      </w:r>
      <w:r w:rsidRPr="0037140A">
        <w:rPr>
          <w:rFonts w:ascii="Times New Roman" w:hAnsi="Times New Roman"/>
          <w:sz w:val="28"/>
          <w:szCs w:val="28"/>
        </w:rPr>
        <w:t>ur</w:t>
      </w:r>
      <w:r>
        <w:rPr>
          <w:rFonts w:ascii="Times New Roman" w:hAnsi="Times New Roman"/>
          <w:sz w:val="28"/>
          <w:szCs w:val="28"/>
        </w:rPr>
        <w:t>buma avārijas avāriju varbūtība un  g</w:t>
      </w:r>
      <w:r w:rsidRPr="002F3042">
        <w:rPr>
          <w:rFonts w:ascii="Times New Roman" w:hAnsi="Times New Roman"/>
          <w:sz w:val="28"/>
          <w:szCs w:val="28"/>
        </w:rPr>
        <w:t>āzes savākšanas punktu tehnoloģisko iekārtu avārijas</w:t>
      </w:r>
      <w:r>
        <w:rPr>
          <w:rFonts w:ascii="Times New Roman" w:hAnsi="Times New Roman"/>
          <w:sz w:val="28"/>
          <w:szCs w:val="28"/>
        </w:rPr>
        <w:t xml:space="preserve"> iespējamība</w:t>
      </w:r>
      <w:r w:rsidRPr="002F3042">
        <w:rPr>
          <w:rFonts w:ascii="Times New Roman" w:hAnsi="Times New Roman"/>
          <w:sz w:val="28"/>
          <w:szCs w:val="28"/>
        </w:rPr>
        <w:t xml:space="preserve"> ir vērtēta</w:t>
      </w:r>
      <w:r>
        <w:rPr>
          <w:rFonts w:ascii="Times New Roman" w:hAnsi="Times New Roman"/>
          <w:sz w:val="28"/>
          <w:szCs w:val="28"/>
        </w:rPr>
        <w:t>s</w:t>
      </w:r>
      <w:r w:rsidRPr="002F3042">
        <w:rPr>
          <w:rFonts w:ascii="Times New Roman" w:hAnsi="Times New Roman"/>
          <w:sz w:val="28"/>
          <w:szCs w:val="28"/>
        </w:rPr>
        <w:t xml:space="preserve"> ar pakāpi no 10</w:t>
      </w:r>
      <w:r w:rsidRPr="002F3042">
        <w:rPr>
          <w:rFonts w:ascii="Times New Roman" w:hAnsi="Times New Roman"/>
          <w:sz w:val="28"/>
          <w:szCs w:val="28"/>
          <w:vertAlign w:val="superscript"/>
        </w:rPr>
        <w:t>-3</w:t>
      </w:r>
      <w:r w:rsidRPr="002F3042">
        <w:rPr>
          <w:rFonts w:ascii="Times New Roman" w:hAnsi="Times New Roman"/>
          <w:sz w:val="28"/>
          <w:szCs w:val="28"/>
        </w:rPr>
        <w:t xml:space="preserve"> līdz 10</w:t>
      </w:r>
      <w:r w:rsidRPr="002F3042">
        <w:rPr>
          <w:rFonts w:ascii="Times New Roman" w:hAnsi="Times New Roman"/>
          <w:sz w:val="28"/>
          <w:szCs w:val="28"/>
          <w:vertAlign w:val="superscript"/>
        </w:rPr>
        <w:t>-5</w:t>
      </w:r>
      <w:r w:rsidRPr="002F3042">
        <w:rPr>
          <w:rFonts w:ascii="Times New Roman" w:hAnsi="Times New Roman"/>
          <w:sz w:val="28"/>
          <w:szCs w:val="28"/>
        </w:rPr>
        <w:t xml:space="preserve">. Tas nozīmē, ka </w:t>
      </w:r>
      <w:r>
        <w:rPr>
          <w:rFonts w:ascii="Times New Roman" w:hAnsi="Times New Roman"/>
          <w:sz w:val="28"/>
          <w:szCs w:val="28"/>
        </w:rPr>
        <w:t xml:space="preserve">urbumu un </w:t>
      </w:r>
      <w:r w:rsidRPr="002F3042">
        <w:rPr>
          <w:rFonts w:ascii="Times New Roman" w:hAnsi="Times New Roman"/>
          <w:sz w:val="28"/>
          <w:szCs w:val="28"/>
        </w:rPr>
        <w:t>iekārtu avārija varētu atgadīties vidēji ne biežāk, kā vienu reizi 100 gados.</w:t>
      </w:r>
      <w:r>
        <w:rPr>
          <w:rFonts w:ascii="Times New Roman" w:hAnsi="Times New Roman"/>
          <w:sz w:val="28"/>
          <w:szCs w:val="28"/>
        </w:rPr>
        <w:t xml:space="preserve"> </w:t>
      </w:r>
      <w:r w:rsidRPr="002F3042">
        <w:rPr>
          <w:rFonts w:ascii="Times New Roman" w:hAnsi="Times New Roman"/>
          <w:sz w:val="28"/>
          <w:szCs w:val="28"/>
        </w:rPr>
        <w:t xml:space="preserve">Inčukalna </w:t>
      </w:r>
      <w:r>
        <w:rPr>
          <w:rFonts w:ascii="Times New Roman" w:hAnsi="Times New Roman"/>
          <w:sz w:val="28"/>
          <w:szCs w:val="28"/>
        </w:rPr>
        <w:t>PGK</w:t>
      </w:r>
      <w:r w:rsidRPr="002F3042">
        <w:rPr>
          <w:rFonts w:ascii="Times New Roman" w:hAnsi="Times New Roman"/>
          <w:sz w:val="28"/>
          <w:szCs w:val="28"/>
        </w:rPr>
        <w:t xml:space="preserve"> tehnoloģiskās iekārtas ir savienotas ar cauruļvadiem, kuru kopgarums sasniedz 42 kilometrus</w:t>
      </w:r>
      <w:r>
        <w:rPr>
          <w:rFonts w:ascii="Times New Roman" w:hAnsi="Times New Roman"/>
          <w:sz w:val="28"/>
          <w:szCs w:val="28"/>
        </w:rPr>
        <w:t xml:space="preserve">, un avārija tajos </w:t>
      </w:r>
      <w:r w:rsidRPr="002F3042">
        <w:rPr>
          <w:rFonts w:ascii="Times New Roman" w:hAnsi="Times New Roman"/>
          <w:sz w:val="28"/>
          <w:szCs w:val="28"/>
        </w:rPr>
        <w:t>ir iespējama vidēji vienu reizi 26 gados.</w:t>
      </w:r>
      <w:r>
        <w:rPr>
          <w:rFonts w:ascii="Times New Roman" w:hAnsi="Times New Roman"/>
          <w:sz w:val="28"/>
          <w:szCs w:val="28"/>
        </w:rPr>
        <w:t xml:space="preserve"> T</w:t>
      </w:r>
      <w:r w:rsidRPr="00784637">
        <w:rPr>
          <w:rFonts w:ascii="Times New Roman" w:hAnsi="Times New Roman"/>
          <w:sz w:val="28"/>
          <w:szCs w:val="28"/>
        </w:rPr>
        <w:t xml:space="preserve">ādējādi </w:t>
      </w:r>
      <w:r>
        <w:rPr>
          <w:rFonts w:ascii="Times New Roman" w:hAnsi="Times New Roman"/>
          <w:sz w:val="28"/>
          <w:szCs w:val="28"/>
        </w:rPr>
        <w:t xml:space="preserve">Latvijas </w:t>
      </w:r>
      <w:r w:rsidRPr="00784637">
        <w:rPr>
          <w:rFonts w:ascii="Times New Roman" w:hAnsi="Times New Roman"/>
          <w:sz w:val="28"/>
          <w:szCs w:val="28"/>
        </w:rPr>
        <w:t xml:space="preserve">dabasgāzes apgādes </w:t>
      </w:r>
      <w:r w:rsidRPr="00784637">
        <w:rPr>
          <w:rFonts w:ascii="Times New Roman" w:hAnsi="Times New Roman"/>
          <w:sz w:val="28"/>
          <w:szCs w:val="28"/>
        </w:rPr>
        <w:lastRenderedPageBreak/>
        <w:t>sistēma darbojas bez pārslodzēm</w:t>
      </w:r>
      <w:r>
        <w:rPr>
          <w:rFonts w:ascii="Times New Roman" w:hAnsi="Times New Roman"/>
          <w:sz w:val="28"/>
          <w:szCs w:val="28"/>
        </w:rPr>
        <w:t xml:space="preserve"> un ar zemu avāriju varbūtības līmeni</w:t>
      </w:r>
      <w:r w:rsidRPr="00784637">
        <w:rPr>
          <w:rFonts w:ascii="Times New Roman" w:hAnsi="Times New Roman"/>
          <w:sz w:val="28"/>
          <w:szCs w:val="28"/>
        </w:rPr>
        <w:t>, nodrošinot visus Latvijas patērētājus ar stabilu dabasgāzes apgādi</w:t>
      </w:r>
      <w:r>
        <w:rPr>
          <w:rFonts w:ascii="Times New Roman" w:hAnsi="Times New Roman"/>
          <w:sz w:val="28"/>
          <w:szCs w:val="28"/>
        </w:rPr>
        <w:t>.</w:t>
      </w:r>
    </w:p>
    <w:p w:rsidR="00AB6248" w:rsidRDefault="00AB6248" w:rsidP="00AB6248">
      <w:pPr>
        <w:spacing w:after="0" w:line="240" w:lineRule="auto"/>
        <w:ind w:firstLine="709"/>
        <w:jc w:val="both"/>
      </w:pPr>
      <w:r w:rsidRPr="002F3042">
        <w:rPr>
          <w:rFonts w:ascii="Times New Roman" w:hAnsi="Times New Roman"/>
          <w:sz w:val="28"/>
          <w:szCs w:val="28"/>
        </w:rPr>
        <w:t>Naftas produktu piegādes kanāli Latvijai ir pietiekami diversificēti, jo naftas produkti tiek piegādāti gan no austrumu, gan rietumu tirgiem. Latvijā darbojas starptautiskas mazumtirdzniecības naftas kompānijas, kuras naftas un naftas produktu iepirkumus var veikt valstīs no dažādiem reģioniem. Naftas produkti var tikt piegādāti, gan izmantojot dzelzceļu, gan jūras transportu. Ņemot vērā, ka Latvija  naftas produktus importē, ekonomiskiem un politiskiem riskiem ir liela ietekme uz apgādes drošību, bet  šo risku ietekme galvenokārt var izpausties tad, ja to rezultātā ir traucēta visa Rietumeiropas naftas tirgus darbība.</w:t>
      </w:r>
      <w:r w:rsidRPr="002F3042">
        <w:t xml:space="preserve"> </w:t>
      </w:r>
    </w:p>
    <w:p w:rsidR="00AB6248" w:rsidRDefault="00AB6248" w:rsidP="00AB6248">
      <w:pPr>
        <w:spacing w:after="0" w:line="240" w:lineRule="auto"/>
        <w:ind w:firstLine="709"/>
        <w:jc w:val="both"/>
        <w:rPr>
          <w:rFonts w:ascii="Times New Roman" w:hAnsi="Times New Roman"/>
          <w:sz w:val="28"/>
          <w:szCs w:val="28"/>
        </w:rPr>
      </w:pPr>
      <w:r w:rsidRPr="002F3042">
        <w:rPr>
          <w:rFonts w:ascii="Times New Roman" w:hAnsi="Times New Roman"/>
          <w:sz w:val="28"/>
          <w:szCs w:val="28"/>
        </w:rPr>
        <w:t>Naftas produktu drošības rezervju izveides sistēma paredz naftas produktu drošības rezervju izveidi 90 patēriņa dienu apjomam tikai caur atklātiem konkursiem, ko vienu reizi gadā katru gadu izsludina Ekonomikas ministrija, kas saskaņā ar Enerģētikas likuma 72.</w:t>
      </w:r>
      <w:r w:rsidRPr="00AA028F">
        <w:rPr>
          <w:rFonts w:ascii="Times New Roman" w:hAnsi="Times New Roman"/>
          <w:sz w:val="28"/>
          <w:szCs w:val="28"/>
          <w:vertAlign w:val="superscript"/>
        </w:rPr>
        <w:t>1</w:t>
      </w:r>
      <w:r w:rsidRPr="002F3042">
        <w:rPr>
          <w:rFonts w:ascii="Times New Roman" w:hAnsi="Times New Roman"/>
          <w:sz w:val="28"/>
          <w:szCs w:val="28"/>
        </w:rPr>
        <w:t xml:space="preserve"> panta prasībām no 2010. gada 1.augusta pilda Centrālās krājumu uzturēšanas struktūras funkcijas. </w:t>
      </w:r>
      <w:r>
        <w:rPr>
          <w:rFonts w:ascii="Times New Roman" w:hAnsi="Times New Roman"/>
          <w:sz w:val="28"/>
          <w:szCs w:val="28"/>
        </w:rPr>
        <w:t xml:space="preserve">Izpildot </w:t>
      </w:r>
      <w:r w:rsidRPr="00AA028F">
        <w:rPr>
          <w:rFonts w:ascii="Times New Roman" w:hAnsi="Times New Roman"/>
          <w:sz w:val="28"/>
          <w:szCs w:val="28"/>
        </w:rPr>
        <w:t xml:space="preserve">Padomes 2006.gada </w:t>
      </w:r>
      <w:r>
        <w:rPr>
          <w:rFonts w:ascii="Times New Roman" w:hAnsi="Times New Roman"/>
          <w:sz w:val="28"/>
          <w:szCs w:val="28"/>
        </w:rPr>
        <w:t xml:space="preserve">24.jūlija Direktīvas 2006/67/EK, </w:t>
      </w:r>
      <w:r w:rsidRPr="00AA028F">
        <w:rPr>
          <w:rFonts w:ascii="Times New Roman" w:hAnsi="Times New Roman"/>
          <w:sz w:val="28"/>
          <w:szCs w:val="28"/>
        </w:rPr>
        <w:t>ar ko dalībvalstīm uzliek pienākumu uzturēt jēlnaftas un/vai naftas prod</w:t>
      </w:r>
      <w:r>
        <w:rPr>
          <w:rFonts w:ascii="Times New Roman" w:hAnsi="Times New Roman"/>
          <w:sz w:val="28"/>
          <w:szCs w:val="28"/>
        </w:rPr>
        <w:t>uktu obligātās rezerves prasības, u</w:t>
      </w:r>
      <w:r w:rsidRPr="002F3042">
        <w:rPr>
          <w:rFonts w:ascii="Times New Roman" w:hAnsi="Times New Roman"/>
          <w:sz w:val="28"/>
          <w:szCs w:val="28"/>
        </w:rPr>
        <w:t>zglabājamo naftas produktu</w:t>
      </w:r>
      <w:r>
        <w:rPr>
          <w:rFonts w:ascii="Times New Roman" w:hAnsi="Times New Roman"/>
          <w:sz w:val="28"/>
          <w:szCs w:val="28"/>
        </w:rPr>
        <w:t xml:space="preserve">  - dīzeļdegvielas, mazuta, benzīna,</w:t>
      </w:r>
      <w:r w:rsidRPr="002F3042">
        <w:rPr>
          <w:rFonts w:ascii="Times New Roman" w:hAnsi="Times New Roman"/>
          <w:sz w:val="28"/>
          <w:szCs w:val="28"/>
        </w:rPr>
        <w:t xml:space="preserve"> drošības rezervju apjoms atbilst 90 patēriņa dienām no iepriekšējā kalendārā gada katrai naftas produktu kategorijai.</w:t>
      </w:r>
    </w:p>
    <w:p w:rsidR="00AB6248" w:rsidRDefault="00AB6248" w:rsidP="00AB6248">
      <w:pPr>
        <w:spacing w:after="0" w:line="240" w:lineRule="auto"/>
        <w:ind w:firstLine="709"/>
        <w:jc w:val="both"/>
        <w:rPr>
          <w:rFonts w:ascii="Times New Roman" w:hAnsi="Times New Roman"/>
          <w:sz w:val="28"/>
          <w:szCs w:val="28"/>
        </w:rPr>
      </w:pPr>
      <w:r>
        <w:rPr>
          <w:rFonts w:ascii="Times New Roman" w:hAnsi="Times New Roman"/>
          <w:sz w:val="28"/>
          <w:szCs w:val="28"/>
        </w:rPr>
        <w:t xml:space="preserve">Ņemot vērā iepriekš minēto, var secināt, ka vairāk nekā 10 gadus valstī sekmīgi darbojas </w:t>
      </w:r>
      <w:r w:rsidRPr="00FE11BD">
        <w:rPr>
          <w:rFonts w:ascii="Times New Roman" w:hAnsi="Times New Roman"/>
          <w:sz w:val="28"/>
          <w:szCs w:val="28"/>
        </w:rPr>
        <w:t>brīvais kurināmā resursu tirgus</w:t>
      </w:r>
      <w:r>
        <w:rPr>
          <w:rFonts w:ascii="Times New Roman" w:hAnsi="Times New Roman"/>
          <w:sz w:val="28"/>
          <w:szCs w:val="28"/>
        </w:rPr>
        <w:t xml:space="preserve">, izņemot apgādē ar dabasgāzi, un </w:t>
      </w:r>
      <w:r w:rsidRPr="00FE11BD">
        <w:rPr>
          <w:rFonts w:ascii="Times New Roman" w:hAnsi="Times New Roman"/>
          <w:sz w:val="28"/>
          <w:szCs w:val="28"/>
        </w:rPr>
        <w:t>nepastāv ierobežojumi kurināmā iegādei</w:t>
      </w:r>
      <w:r>
        <w:rPr>
          <w:rFonts w:ascii="Times New Roman" w:hAnsi="Times New Roman"/>
          <w:sz w:val="28"/>
          <w:szCs w:val="28"/>
        </w:rPr>
        <w:t xml:space="preserve"> un apkures sezonai nepieciešamo energoresursu krājumu izveidei, tādejādi informācijas nepieciešamība par </w:t>
      </w:r>
      <w:r w:rsidRPr="00B00316">
        <w:rPr>
          <w:rFonts w:ascii="Times New Roman" w:hAnsi="Times New Roman"/>
          <w:sz w:val="28"/>
          <w:szCs w:val="28"/>
        </w:rPr>
        <w:t>energoresursu krājumiem</w:t>
      </w:r>
      <w:r>
        <w:rPr>
          <w:rFonts w:ascii="Times New Roman" w:hAnsi="Times New Roman"/>
          <w:sz w:val="28"/>
          <w:szCs w:val="28"/>
        </w:rPr>
        <w:t xml:space="preserve">, uzsākot apkures sezonai,  ir zaudējusi aktualitāti. Bez tam Centrālā statistikas pārvalde varētu cilvēku un finanšu resursus, kas paredzēti datu par </w:t>
      </w:r>
      <w:r w:rsidRPr="00653C43">
        <w:rPr>
          <w:rFonts w:ascii="Times New Roman" w:hAnsi="Times New Roman"/>
          <w:sz w:val="28"/>
          <w:szCs w:val="28"/>
        </w:rPr>
        <w:t>energoresursu krājumiem</w:t>
      </w:r>
      <w:r>
        <w:rPr>
          <w:rFonts w:ascii="Times New Roman" w:hAnsi="Times New Roman"/>
          <w:sz w:val="28"/>
          <w:szCs w:val="28"/>
        </w:rPr>
        <w:t xml:space="preserve"> iegūšanai un apstrādei, novirzīt citu, pašreizējā situācijā nepieciešamāku datu ieguvei un apstrādei.</w:t>
      </w:r>
    </w:p>
    <w:p w:rsidR="00AB6248" w:rsidRPr="00D56AC3" w:rsidRDefault="00AB6248" w:rsidP="00D56AC3">
      <w:pPr>
        <w:spacing w:after="0" w:line="240" w:lineRule="auto"/>
        <w:ind w:firstLine="709"/>
        <w:jc w:val="both"/>
        <w:rPr>
          <w:rFonts w:ascii="Times New Roman" w:hAnsi="Times New Roman"/>
          <w:sz w:val="28"/>
          <w:szCs w:val="28"/>
        </w:rPr>
      </w:pPr>
      <w:r>
        <w:rPr>
          <w:rFonts w:ascii="Times New Roman" w:hAnsi="Times New Roman"/>
          <w:sz w:val="28"/>
          <w:szCs w:val="28"/>
        </w:rPr>
        <w:t>I</w:t>
      </w:r>
      <w:r w:rsidRPr="00653C43">
        <w:rPr>
          <w:rFonts w:ascii="Times New Roman" w:hAnsi="Times New Roman"/>
          <w:sz w:val="28"/>
          <w:szCs w:val="28"/>
        </w:rPr>
        <w:t>erosinām apstiprināt Ministru kabineta sēdes protok</w:t>
      </w:r>
      <w:r w:rsidR="00DC47C0">
        <w:rPr>
          <w:rFonts w:ascii="Times New Roman" w:hAnsi="Times New Roman"/>
          <w:sz w:val="28"/>
          <w:szCs w:val="28"/>
        </w:rPr>
        <w:t xml:space="preserve">ollēmumu, pieņemot zināšanai šo </w:t>
      </w:r>
      <w:r w:rsidRPr="00653C43">
        <w:rPr>
          <w:rFonts w:ascii="Times New Roman" w:hAnsi="Times New Roman"/>
          <w:sz w:val="28"/>
          <w:szCs w:val="28"/>
        </w:rPr>
        <w:t xml:space="preserve">informatīvo ziņojumu un paredzot </w:t>
      </w:r>
      <w:r w:rsidRPr="0097407A">
        <w:rPr>
          <w:rFonts w:ascii="Times New Roman" w:hAnsi="Times New Roman"/>
          <w:sz w:val="28"/>
          <w:szCs w:val="28"/>
        </w:rPr>
        <w:t xml:space="preserve">izbeigt Ministru kabineta </w:t>
      </w:r>
      <w:r>
        <w:rPr>
          <w:rFonts w:ascii="Times New Roman" w:hAnsi="Times New Roman"/>
          <w:sz w:val="28"/>
          <w:szCs w:val="28"/>
        </w:rPr>
        <w:t>1999</w:t>
      </w:r>
      <w:r w:rsidRPr="0097407A">
        <w:rPr>
          <w:rFonts w:ascii="Times New Roman" w:hAnsi="Times New Roman"/>
          <w:sz w:val="28"/>
          <w:szCs w:val="28"/>
        </w:rPr>
        <w:t xml:space="preserve">.gada </w:t>
      </w:r>
      <w:r>
        <w:rPr>
          <w:rFonts w:ascii="Times New Roman" w:hAnsi="Times New Roman"/>
          <w:sz w:val="28"/>
          <w:szCs w:val="28"/>
        </w:rPr>
        <w:t>16.novembra</w:t>
      </w:r>
      <w:r w:rsidRPr="0097407A">
        <w:rPr>
          <w:rFonts w:ascii="Times New Roman" w:hAnsi="Times New Roman"/>
          <w:sz w:val="28"/>
          <w:szCs w:val="28"/>
        </w:rPr>
        <w:t xml:space="preserve"> sēdes protokollēmumā Nr.</w:t>
      </w:r>
      <w:r>
        <w:rPr>
          <w:rFonts w:ascii="Times New Roman" w:hAnsi="Times New Roman"/>
          <w:sz w:val="28"/>
          <w:szCs w:val="28"/>
        </w:rPr>
        <w:t>63</w:t>
      </w:r>
      <w:r w:rsidRPr="0097407A">
        <w:rPr>
          <w:rFonts w:ascii="Times New Roman" w:hAnsi="Times New Roman"/>
          <w:sz w:val="28"/>
          <w:szCs w:val="28"/>
        </w:rPr>
        <w:t xml:space="preserve"> </w:t>
      </w:r>
      <w:r>
        <w:rPr>
          <w:rFonts w:ascii="Times New Roman" w:hAnsi="Times New Roman"/>
          <w:sz w:val="28"/>
          <w:szCs w:val="28"/>
        </w:rPr>
        <w:t>29</w:t>
      </w:r>
      <w:r w:rsidRPr="0097407A">
        <w:rPr>
          <w:rFonts w:ascii="Times New Roman" w:hAnsi="Times New Roman"/>
          <w:sz w:val="28"/>
          <w:szCs w:val="28"/>
        </w:rPr>
        <w:t>.§ „</w:t>
      </w:r>
      <w:r>
        <w:rPr>
          <w:rFonts w:ascii="Times New Roman" w:hAnsi="Times New Roman"/>
          <w:sz w:val="28"/>
          <w:szCs w:val="28"/>
        </w:rPr>
        <w:t>Par situāciju valstī, uzsākot apkures sezonu” 2.punktā uzdotā uzdevuma izpildes kontroli sakarā ar tā</w:t>
      </w:r>
      <w:r w:rsidRPr="0097407A">
        <w:rPr>
          <w:rFonts w:ascii="Times New Roman" w:hAnsi="Times New Roman"/>
          <w:sz w:val="28"/>
          <w:szCs w:val="28"/>
        </w:rPr>
        <w:t xml:space="preserve"> aktualitātes zaudēšanu</w:t>
      </w:r>
      <w:r w:rsidR="00D56AC3">
        <w:rPr>
          <w:rFonts w:ascii="Times New Roman" w:hAnsi="Times New Roman"/>
          <w:sz w:val="28"/>
          <w:szCs w:val="28"/>
        </w:rPr>
        <w:t>.</w:t>
      </w:r>
    </w:p>
    <w:p w:rsidR="003810B1" w:rsidRDefault="003810B1" w:rsidP="005C7A2E">
      <w:pPr>
        <w:spacing w:after="0" w:line="240" w:lineRule="auto"/>
        <w:rPr>
          <w:rFonts w:ascii="Times New Roman" w:hAnsi="Times New Roman"/>
          <w:sz w:val="28"/>
          <w:szCs w:val="28"/>
        </w:rPr>
      </w:pPr>
    </w:p>
    <w:p w:rsidR="005C7A2E" w:rsidRPr="00F72AAB" w:rsidRDefault="005C7A2E" w:rsidP="005C7A2E">
      <w:pPr>
        <w:spacing w:after="0" w:line="240" w:lineRule="auto"/>
        <w:rPr>
          <w:rFonts w:ascii="Times New Roman" w:hAnsi="Times New Roman"/>
          <w:sz w:val="28"/>
          <w:szCs w:val="28"/>
        </w:rPr>
      </w:pPr>
      <w:r w:rsidRPr="00F72AAB">
        <w:rPr>
          <w:rFonts w:ascii="Times New Roman" w:hAnsi="Times New Roman"/>
          <w:sz w:val="28"/>
          <w:szCs w:val="28"/>
        </w:rPr>
        <w:t xml:space="preserve">Ekonomikas ministrs                                              </w:t>
      </w:r>
      <w:r w:rsidRPr="00F72AAB">
        <w:rPr>
          <w:rFonts w:ascii="Times New Roman" w:hAnsi="Times New Roman"/>
          <w:sz w:val="28"/>
          <w:szCs w:val="28"/>
        </w:rPr>
        <w:tab/>
      </w:r>
      <w:r w:rsidR="00DC47C0">
        <w:rPr>
          <w:rFonts w:ascii="Times New Roman" w:hAnsi="Times New Roman"/>
          <w:sz w:val="28"/>
          <w:szCs w:val="28"/>
        </w:rPr>
        <w:t xml:space="preserve">          </w:t>
      </w:r>
      <w:r w:rsidR="007A0B81">
        <w:rPr>
          <w:rFonts w:ascii="Times New Roman" w:hAnsi="Times New Roman"/>
          <w:sz w:val="28"/>
          <w:szCs w:val="28"/>
        </w:rPr>
        <w:t xml:space="preserve">                     </w:t>
      </w:r>
      <w:r w:rsidR="00646DF1">
        <w:rPr>
          <w:rFonts w:ascii="Times New Roman" w:hAnsi="Times New Roman"/>
          <w:sz w:val="28"/>
          <w:szCs w:val="28"/>
        </w:rPr>
        <w:t>D.Pav</w:t>
      </w:r>
      <w:r w:rsidR="00A3438A">
        <w:rPr>
          <w:rFonts w:ascii="Times New Roman" w:hAnsi="Times New Roman"/>
          <w:sz w:val="28"/>
          <w:szCs w:val="28"/>
        </w:rPr>
        <w:t>ļuts</w:t>
      </w:r>
    </w:p>
    <w:p w:rsidR="005C7A2E" w:rsidRDefault="005C7A2E" w:rsidP="005C7A2E">
      <w:pPr>
        <w:spacing w:after="0" w:line="240" w:lineRule="auto"/>
        <w:rPr>
          <w:rFonts w:ascii="Times New Roman" w:hAnsi="Times New Roman"/>
          <w:sz w:val="28"/>
          <w:szCs w:val="28"/>
        </w:rPr>
      </w:pPr>
    </w:p>
    <w:p w:rsidR="005C7A2E" w:rsidRDefault="005C7A2E" w:rsidP="005C7A2E">
      <w:pPr>
        <w:spacing w:after="0" w:line="240" w:lineRule="auto"/>
        <w:rPr>
          <w:rFonts w:ascii="Times New Roman" w:hAnsi="Times New Roman"/>
          <w:sz w:val="28"/>
          <w:szCs w:val="28"/>
        </w:rPr>
      </w:pPr>
      <w:r>
        <w:rPr>
          <w:rFonts w:ascii="Times New Roman" w:hAnsi="Times New Roman"/>
          <w:sz w:val="28"/>
          <w:szCs w:val="28"/>
        </w:rPr>
        <w:t xml:space="preserve">Vīzē: valsts sekretārs                                                                              </w:t>
      </w:r>
      <w:r w:rsidR="00DC47C0">
        <w:rPr>
          <w:rFonts w:ascii="Times New Roman" w:hAnsi="Times New Roman"/>
          <w:sz w:val="28"/>
          <w:szCs w:val="28"/>
        </w:rPr>
        <w:t xml:space="preserve">      </w:t>
      </w:r>
      <w:r>
        <w:rPr>
          <w:rFonts w:ascii="Times New Roman" w:hAnsi="Times New Roman"/>
          <w:sz w:val="28"/>
          <w:szCs w:val="28"/>
        </w:rPr>
        <w:t>J.Pūce</w:t>
      </w:r>
    </w:p>
    <w:p w:rsidR="005C7A2E" w:rsidRPr="00E8379B" w:rsidRDefault="005C7A2E" w:rsidP="005C7A2E">
      <w:pPr>
        <w:tabs>
          <w:tab w:val="left" w:pos="720"/>
          <w:tab w:val="left" w:pos="1440"/>
          <w:tab w:val="left" w:pos="2160"/>
          <w:tab w:val="left" w:pos="2880"/>
          <w:tab w:val="left" w:pos="3600"/>
          <w:tab w:val="left" w:pos="4320"/>
          <w:tab w:val="left" w:pos="5040"/>
          <w:tab w:val="left" w:pos="5850"/>
        </w:tabs>
        <w:spacing w:after="0" w:line="240" w:lineRule="auto"/>
        <w:rPr>
          <w:rFonts w:ascii="Times New Roman" w:hAnsi="Times New Roman"/>
          <w:sz w:val="28"/>
          <w:szCs w:val="28"/>
        </w:rPr>
      </w:pPr>
      <w:r w:rsidRPr="00F72AAB">
        <w:rPr>
          <w:rFonts w:ascii="Times New Roman" w:hAnsi="Times New Roman"/>
          <w:sz w:val="28"/>
          <w:szCs w:val="28"/>
        </w:rPr>
        <w:tab/>
      </w:r>
      <w:r w:rsidRPr="00F72AAB">
        <w:rPr>
          <w:rFonts w:ascii="Times New Roman" w:hAnsi="Times New Roman"/>
          <w:sz w:val="28"/>
          <w:szCs w:val="28"/>
        </w:rPr>
        <w:tab/>
      </w:r>
      <w:r w:rsidRPr="00F72AAB">
        <w:rPr>
          <w:rFonts w:ascii="Times New Roman" w:hAnsi="Times New Roman"/>
          <w:sz w:val="28"/>
          <w:szCs w:val="28"/>
        </w:rPr>
        <w:tab/>
      </w:r>
      <w:r w:rsidRPr="00F72AAB">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5C7A2E" w:rsidRPr="00D66517" w:rsidRDefault="007A0B81" w:rsidP="005C7A2E">
      <w:pPr>
        <w:suppressAutoHyphens/>
        <w:spacing w:after="0" w:line="240" w:lineRule="auto"/>
        <w:rPr>
          <w:rFonts w:ascii="Times New Roman" w:hAnsi="Times New Roman"/>
          <w:sz w:val="20"/>
          <w:szCs w:val="20"/>
        </w:rPr>
      </w:pPr>
      <w:bookmarkStart w:id="2" w:name="OLE_LINK5"/>
      <w:bookmarkStart w:id="3" w:name="OLE_LINK6"/>
      <w:bookmarkStart w:id="4" w:name="OLE_LINK3"/>
      <w:bookmarkStart w:id="5" w:name="OLE_LINK4"/>
      <w:r>
        <w:rPr>
          <w:rFonts w:ascii="Times New Roman" w:hAnsi="Times New Roman"/>
          <w:sz w:val="20"/>
          <w:szCs w:val="20"/>
        </w:rPr>
        <w:t>06.12</w:t>
      </w:r>
      <w:r w:rsidR="00B42720">
        <w:rPr>
          <w:rFonts w:ascii="Times New Roman" w:hAnsi="Times New Roman"/>
          <w:sz w:val="20"/>
          <w:szCs w:val="20"/>
        </w:rPr>
        <w:t>.2012</w:t>
      </w:r>
      <w:r w:rsidR="00A3438A">
        <w:rPr>
          <w:rFonts w:ascii="Times New Roman" w:hAnsi="Times New Roman"/>
          <w:sz w:val="20"/>
          <w:szCs w:val="20"/>
        </w:rPr>
        <w:t xml:space="preserve">. </w:t>
      </w:r>
      <w:r w:rsidR="005C7A2E" w:rsidRPr="00D66517">
        <w:rPr>
          <w:rFonts w:ascii="Times New Roman" w:hAnsi="Times New Roman"/>
          <w:sz w:val="20"/>
          <w:szCs w:val="20"/>
        </w:rPr>
        <w:t xml:space="preserve"> </w:t>
      </w:r>
      <w:r>
        <w:rPr>
          <w:rFonts w:ascii="Times New Roman" w:hAnsi="Times New Roman"/>
          <w:sz w:val="20"/>
          <w:szCs w:val="20"/>
        </w:rPr>
        <w:t>16:34</w:t>
      </w:r>
      <w:bookmarkStart w:id="6" w:name="_GoBack"/>
      <w:bookmarkEnd w:id="6"/>
    </w:p>
    <w:p w:rsidR="005C7A2E" w:rsidRDefault="007A0B81" w:rsidP="00B42720">
      <w:pPr>
        <w:suppressAutoHyphens/>
        <w:spacing w:after="0" w:line="240" w:lineRule="auto"/>
        <w:rPr>
          <w:rFonts w:ascii="Times New Roman" w:hAnsi="Times New Roman"/>
          <w:sz w:val="20"/>
          <w:szCs w:val="20"/>
        </w:rPr>
      </w:pPr>
      <w:r>
        <w:rPr>
          <w:rFonts w:ascii="Times New Roman" w:hAnsi="Times New Roman"/>
          <w:sz w:val="20"/>
          <w:szCs w:val="20"/>
        </w:rPr>
        <w:t>1350</w:t>
      </w:r>
    </w:p>
    <w:p w:rsidR="00B42720" w:rsidRPr="00D66517" w:rsidRDefault="00B42720" w:rsidP="00B42720">
      <w:pPr>
        <w:suppressAutoHyphens/>
        <w:spacing w:after="0" w:line="240" w:lineRule="auto"/>
        <w:rPr>
          <w:rFonts w:ascii="Times New Roman" w:hAnsi="Times New Roman"/>
          <w:sz w:val="20"/>
          <w:szCs w:val="20"/>
        </w:rPr>
      </w:pPr>
      <w:r>
        <w:rPr>
          <w:rFonts w:ascii="Times New Roman" w:hAnsi="Times New Roman"/>
          <w:sz w:val="20"/>
          <w:szCs w:val="20"/>
        </w:rPr>
        <w:t>D.Dravnieks</w:t>
      </w:r>
    </w:p>
    <w:p w:rsidR="00C24D40" w:rsidRPr="000E5133" w:rsidRDefault="005C7A2E" w:rsidP="00037170">
      <w:pPr>
        <w:suppressAutoHyphens/>
        <w:spacing w:after="0" w:line="240" w:lineRule="auto"/>
        <w:rPr>
          <w:rFonts w:ascii="Times New Roman" w:hAnsi="Times New Roman"/>
          <w:sz w:val="20"/>
          <w:szCs w:val="20"/>
        </w:rPr>
      </w:pPr>
      <w:r w:rsidRPr="00D66517">
        <w:rPr>
          <w:rFonts w:ascii="Times New Roman" w:hAnsi="Times New Roman"/>
          <w:sz w:val="20"/>
          <w:szCs w:val="20"/>
        </w:rPr>
        <w:t>67013</w:t>
      </w:r>
      <w:r w:rsidR="00B42720">
        <w:rPr>
          <w:rFonts w:ascii="Times New Roman" w:hAnsi="Times New Roman"/>
          <w:sz w:val="20"/>
          <w:szCs w:val="20"/>
        </w:rPr>
        <w:t>12</w:t>
      </w:r>
      <w:r w:rsidR="00A3438A">
        <w:rPr>
          <w:rFonts w:ascii="Times New Roman" w:hAnsi="Times New Roman"/>
          <w:sz w:val="20"/>
          <w:szCs w:val="20"/>
        </w:rPr>
        <w:t>8</w:t>
      </w:r>
      <w:r w:rsidRPr="00D66517">
        <w:rPr>
          <w:rFonts w:ascii="Times New Roman" w:hAnsi="Times New Roman"/>
          <w:sz w:val="20"/>
          <w:szCs w:val="20"/>
        </w:rPr>
        <w:t xml:space="preserve"> </w:t>
      </w:r>
      <w:bookmarkEnd w:id="2"/>
      <w:bookmarkEnd w:id="3"/>
      <w:bookmarkEnd w:id="4"/>
      <w:bookmarkEnd w:id="5"/>
      <w:r w:rsidR="00B42720">
        <w:rPr>
          <w:rFonts w:ascii="Times New Roman" w:hAnsi="Times New Roman"/>
          <w:sz w:val="20"/>
          <w:szCs w:val="20"/>
        </w:rPr>
        <w:fldChar w:fldCharType="begin"/>
      </w:r>
      <w:r w:rsidR="00B42720">
        <w:rPr>
          <w:rFonts w:ascii="Times New Roman" w:hAnsi="Times New Roman"/>
          <w:sz w:val="20"/>
          <w:szCs w:val="20"/>
        </w:rPr>
        <w:instrText xml:space="preserve"> HYPERLINK "mailto:dainis.dravnieks@em.gov.lv" </w:instrText>
      </w:r>
      <w:r w:rsidR="00B42720">
        <w:rPr>
          <w:rFonts w:ascii="Times New Roman" w:hAnsi="Times New Roman"/>
          <w:sz w:val="20"/>
          <w:szCs w:val="20"/>
        </w:rPr>
        <w:fldChar w:fldCharType="separate"/>
      </w:r>
      <w:r w:rsidR="00B42720" w:rsidRPr="00CD1200">
        <w:rPr>
          <w:rStyle w:val="Hyperlink"/>
          <w:rFonts w:ascii="Times New Roman" w:hAnsi="Times New Roman"/>
          <w:sz w:val="20"/>
          <w:szCs w:val="20"/>
        </w:rPr>
        <w:t>dainis.dravnieks@em.gov.lv</w:t>
      </w:r>
      <w:r w:rsidR="00B42720">
        <w:rPr>
          <w:rFonts w:ascii="Times New Roman" w:hAnsi="Times New Roman"/>
          <w:sz w:val="20"/>
          <w:szCs w:val="20"/>
        </w:rPr>
        <w:fldChar w:fldCharType="end"/>
      </w:r>
      <w:r w:rsidR="00B42720">
        <w:rPr>
          <w:rFonts w:ascii="Times New Roman" w:hAnsi="Times New Roman"/>
          <w:sz w:val="20"/>
          <w:szCs w:val="20"/>
        </w:rPr>
        <w:t xml:space="preserve"> </w:t>
      </w:r>
    </w:p>
    <w:sectPr w:rsidR="00C24D40" w:rsidRPr="000E5133" w:rsidSect="006D3842">
      <w:headerReference w:type="default" r:id="rId11"/>
      <w:footerReference w:type="default" r:id="rId12"/>
      <w:footerReference w:type="first" r:id="rId13"/>
      <w:pgSz w:w="11906" w:h="16838"/>
      <w:pgMar w:top="1134" w:right="1134" w:bottom="1134" w:left="1701" w:header="709"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CAE" w:rsidRDefault="00B75CAE" w:rsidP="000E5133">
      <w:pPr>
        <w:spacing w:after="0" w:line="240" w:lineRule="auto"/>
      </w:pPr>
      <w:r>
        <w:separator/>
      </w:r>
    </w:p>
  </w:endnote>
  <w:endnote w:type="continuationSeparator" w:id="0">
    <w:p w:rsidR="00B75CAE" w:rsidRDefault="00B75CAE" w:rsidP="000E5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CAE" w:rsidRPr="0009132C" w:rsidRDefault="00B75CAE" w:rsidP="006D3842">
    <w:pPr>
      <w:pStyle w:val="Footer"/>
      <w:spacing w:after="0" w:line="240" w:lineRule="auto"/>
      <w:jc w:val="both"/>
      <w:rPr>
        <w:rFonts w:ascii="Times New Roman" w:hAnsi="Times New Roman"/>
        <w:sz w:val="32"/>
      </w:rPr>
    </w:pPr>
    <w:r>
      <w:rPr>
        <w:rFonts w:ascii="Times New Roman" w:hAnsi="Times New Roman"/>
        <w:sz w:val="24"/>
      </w:rPr>
      <w:t>EMZin</w:t>
    </w:r>
    <w:r w:rsidR="007A0B81">
      <w:rPr>
        <w:rFonts w:ascii="Times New Roman" w:hAnsi="Times New Roman"/>
        <w:sz w:val="24"/>
      </w:rPr>
      <w:t>o_0612</w:t>
    </w:r>
    <w:r>
      <w:rPr>
        <w:rFonts w:ascii="Times New Roman" w:hAnsi="Times New Roman"/>
        <w:sz w:val="24"/>
      </w:rPr>
      <w:t xml:space="preserve">12_apkure; </w:t>
    </w:r>
    <w:r w:rsidRPr="0009132C">
      <w:rPr>
        <w:rFonts w:ascii="Times New Roman" w:hAnsi="Times New Roman"/>
        <w:sz w:val="24"/>
        <w:szCs w:val="20"/>
      </w:rPr>
      <w:t>Informatīvais ziņojums</w:t>
    </w:r>
    <w:r w:rsidRPr="0009132C">
      <w:rPr>
        <w:rFonts w:ascii="Times New Roman" w:hAnsi="Times New Roman"/>
        <w:sz w:val="28"/>
      </w:rPr>
      <w:t xml:space="preserve"> </w:t>
    </w:r>
    <w:r w:rsidRPr="0009132C">
      <w:rPr>
        <w:rFonts w:ascii="Times New Roman" w:hAnsi="Times New Roman"/>
        <w:sz w:val="24"/>
        <w:szCs w:val="20"/>
      </w:rPr>
      <w:t>par ene</w:t>
    </w:r>
    <w:r>
      <w:rPr>
        <w:rFonts w:ascii="Times New Roman" w:hAnsi="Times New Roman"/>
        <w:sz w:val="24"/>
        <w:szCs w:val="20"/>
      </w:rPr>
      <w:t>rgoresursu krājumiem, uzsākot</w:t>
    </w:r>
    <w:r w:rsidRPr="0009132C">
      <w:rPr>
        <w:rFonts w:ascii="Times New Roman" w:hAnsi="Times New Roman"/>
        <w:sz w:val="24"/>
        <w:szCs w:val="20"/>
      </w:rPr>
      <w:t xml:space="preserve"> apkures sezonu</w:t>
    </w:r>
    <w:r>
      <w:rPr>
        <w:rFonts w:ascii="Times New Roman" w:hAnsi="Times New Roman"/>
        <w:sz w:val="24"/>
        <w:szCs w:val="20"/>
      </w:rPr>
      <w:t xml:space="preserve"> un sniegtās informācijas sagatavošanas lietderību nākotnē </w:t>
    </w:r>
  </w:p>
  <w:p w:rsidR="00B75CAE" w:rsidRPr="00A3438A" w:rsidRDefault="00B75CAE" w:rsidP="00A343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CAE" w:rsidRPr="0009132C" w:rsidRDefault="007A0B81" w:rsidP="00B42720">
    <w:pPr>
      <w:pStyle w:val="Footer"/>
      <w:spacing w:after="0" w:line="240" w:lineRule="auto"/>
      <w:jc w:val="both"/>
      <w:rPr>
        <w:rFonts w:ascii="Times New Roman" w:hAnsi="Times New Roman"/>
        <w:sz w:val="32"/>
      </w:rPr>
    </w:pPr>
    <w:r>
      <w:rPr>
        <w:rFonts w:ascii="Times New Roman" w:hAnsi="Times New Roman"/>
        <w:sz w:val="24"/>
      </w:rPr>
      <w:t>EMZino_0612</w:t>
    </w:r>
    <w:r w:rsidR="00B75CAE">
      <w:rPr>
        <w:rFonts w:ascii="Times New Roman" w:hAnsi="Times New Roman"/>
        <w:sz w:val="24"/>
      </w:rPr>
      <w:t xml:space="preserve">12_apkure; </w:t>
    </w:r>
    <w:r w:rsidR="00B75CAE" w:rsidRPr="0009132C">
      <w:rPr>
        <w:rFonts w:ascii="Times New Roman" w:hAnsi="Times New Roman"/>
        <w:sz w:val="24"/>
        <w:szCs w:val="20"/>
      </w:rPr>
      <w:t>Informatīvais ziņojums</w:t>
    </w:r>
    <w:r w:rsidR="00B75CAE" w:rsidRPr="0009132C">
      <w:rPr>
        <w:rFonts w:ascii="Times New Roman" w:hAnsi="Times New Roman"/>
        <w:sz w:val="28"/>
      </w:rPr>
      <w:t xml:space="preserve"> </w:t>
    </w:r>
    <w:r w:rsidR="00B75CAE" w:rsidRPr="0009132C">
      <w:rPr>
        <w:rFonts w:ascii="Times New Roman" w:hAnsi="Times New Roman"/>
        <w:sz w:val="24"/>
        <w:szCs w:val="20"/>
      </w:rPr>
      <w:t>par ene</w:t>
    </w:r>
    <w:r w:rsidR="00B75CAE">
      <w:rPr>
        <w:rFonts w:ascii="Times New Roman" w:hAnsi="Times New Roman"/>
        <w:sz w:val="24"/>
        <w:szCs w:val="20"/>
      </w:rPr>
      <w:t>rgoresursu krājumiem, uzsākot</w:t>
    </w:r>
    <w:r w:rsidR="00B75CAE" w:rsidRPr="0009132C">
      <w:rPr>
        <w:rFonts w:ascii="Times New Roman" w:hAnsi="Times New Roman"/>
        <w:sz w:val="24"/>
        <w:szCs w:val="20"/>
      </w:rPr>
      <w:t xml:space="preserve"> apkures sezonu</w:t>
    </w:r>
    <w:r w:rsidR="00B75CAE">
      <w:rPr>
        <w:rFonts w:ascii="Times New Roman" w:hAnsi="Times New Roman"/>
        <w:sz w:val="24"/>
        <w:szCs w:val="20"/>
      </w:rPr>
      <w:t xml:space="preserve"> un sniegtās informācijas sagatavošanas lietderību nākotnē </w:t>
    </w:r>
  </w:p>
  <w:p w:rsidR="00B75CAE" w:rsidRDefault="00B75C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CAE" w:rsidRDefault="00B75CAE" w:rsidP="000E5133">
      <w:pPr>
        <w:spacing w:after="0" w:line="240" w:lineRule="auto"/>
      </w:pPr>
      <w:r>
        <w:separator/>
      </w:r>
    </w:p>
  </w:footnote>
  <w:footnote w:type="continuationSeparator" w:id="0">
    <w:p w:rsidR="00B75CAE" w:rsidRDefault="00B75CAE" w:rsidP="000E51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CAE" w:rsidRPr="000E5133" w:rsidRDefault="00B75CAE">
    <w:pPr>
      <w:pStyle w:val="Header"/>
      <w:jc w:val="center"/>
      <w:rPr>
        <w:rFonts w:ascii="Times New Roman" w:hAnsi="Times New Roman"/>
        <w:sz w:val="24"/>
      </w:rPr>
    </w:pPr>
    <w:r w:rsidRPr="000E5133">
      <w:rPr>
        <w:rFonts w:ascii="Times New Roman" w:hAnsi="Times New Roman"/>
        <w:sz w:val="24"/>
      </w:rPr>
      <w:fldChar w:fldCharType="begin"/>
    </w:r>
    <w:r w:rsidRPr="000E5133">
      <w:rPr>
        <w:rFonts w:ascii="Times New Roman" w:hAnsi="Times New Roman"/>
        <w:sz w:val="24"/>
      </w:rPr>
      <w:instrText xml:space="preserve"> PAGE   \* MERGEFORMAT </w:instrText>
    </w:r>
    <w:r w:rsidRPr="000E5133">
      <w:rPr>
        <w:rFonts w:ascii="Times New Roman" w:hAnsi="Times New Roman"/>
        <w:sz w:val="24"/>
      </w:rPr>
      <w:fldChar w:fldCharType="separate"/>
    </w:r>
    <w:r w:rsidR="007A0B81">
      <w:rPr>
        <w:rFonts w:ascii="Times New Roman" w:hAnsi="Times New Roman"/>
        <w:noProof/>
        <w:sz w:val="24"/>
      </w:rPr>
      <w:t>6</w:t>
    </w:r>
    <w:r w:rsidRPr="000E5133">
      <w:rPr>
        <w:rFonts w:ascii="Times New Roman" w:hAnsi="Times New Roman"/>
        <w:sz w:val="24"/>
      </w:rPr>
      <w:fldChar w:fldCharType="end"/>
    </w:r>
  </w:p>
  <w:p w:rsidR="00B75CAE" w:rsidRDefault="00B75C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6558"/>
    <w:multiLevelType w:val="hybridMultilevel"/>
    <w:tmpl w:val="789094BE"/>
    <w:lvl w:ilvl="0" w:tplc="099890BC">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4901630C"/>
    <w:multiLevelType w:val="hybridMultilevel"/>
    <w:tmpl w:val="76EE25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FB35782"/>
    <w:multiLevelType w:val="hybridMultilevel"/>
    <w:tmpl w:val="AB22E726"/>
    <w:lvl w:ilvl="0" w:tplc="099890B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51B25A0D"/>
    <w:multiLevelType w:val="hybridMultilevel"/>
    <w:tmpl w:val="DD42EE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FC95B12"/>
    <w:multiLevelType w:val="hybridMultilevel"/>
    <w:tmpl w:val="1C48350A"/>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num w:numId="1">
    <w:abstractNumId w:val="4"/>
  </w:num>
  <w:num w:numId="2">
    <w:abstractNumId w:val="1"/>
  </w:num>
  <w:num w:numId="3">
    <w:abstractNumId w:val="3"/>
  </w:num>
  <w:num w:numId="4">
    <w:abstractNumId w:val="0"/>
  </w:num>
  <w:num w:numId="5">
    <w:abstractNumId w:val="2"/>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4A0"/>
    <w:rsid w:val="00015B4F"/>
    <w:rsid w:val="0002484A"/>
    <w:rsid w:val="00024CC3"/>
    <w:rsid w:val="00037170"/>
    <w:rsid w:val="00037429"/>
    <w:rsid w:val="00045D97"/>
    <w:rsid w:val="0009132C"/>
    <w:rsid w:val="000E5133"/>
    <w:rsid w:val="001076B7"/>
    <w:rsid w:val="00157D2B"/>
    <w:rsid w:val="001B33B8"/>
    <w:rsid w:val="001B5B2D"/>
    <w:rsid w:val="001E4870"/>
    <w:rsid w:val="001F0ACA"/>
    <w:rsid w:val="0023638A"/>
    <w:rsid w:val="00241604"/>
    <w:rsid w:val="002610C1"/>
    <w:rsid w:val="002E143A"/>
    <w:rsid w:val="0036795D"/>
    <w:rsid w:val="003810B1"/>
    <w:rsid w:val="003C6B7A"/>
    <w:rsid w:val="003D5624"/>
    <w:rsid w:val="003E4C5C"/>
    <w:rsid w:val="00404C2B"/>
    <w:rsid w:val="004228CC"/>
    <w:rsid w:val="00450D0F"/>
    <w:rsid w:val="00461AA6"/>
    <w:rsid w:val="004B333D"/>
    <w:rsid w:val="004B3DD8"/>
    <w:rsid w:val="00506FAA"/>
    <w:rsid w:val="00527E18"/>
    <w:rsid w:val="005508B1"/>
    <w:rsid w:val="0056474C"/>
    <w:rsid w:val="00581C70"/>
    <w:rsid w:val="00587367"/>
    <w:rsid w:val="005C7A2E"/>
    <w:rsid w:val="005D351B"/>
    <w:rsid w:val="005E6C25"/>
    <w:rsid w:val="00605D1F"/>
    <w:rsid w:val="00611621"/>
    <w:rsid w:val="00612E73"/>
    <w:rsid w:val="0061674C"/>
    <w:rsid w:val="00632BAF"/>
    <w:rsid w:val="00646DF1"/>
    <w:rsid w:val="006D3842"/>
    <w:rsid w:val="006F3DE2"/>
    <w:rsid w:val="00721356"/>
    <w:rsid w:val="007335EB"/>
    <w:rsid w:val="0075667A"/>
    <w:rsid w:val="00785F08"/>
    <w:rsid w:val="0079436E"/>
    <w:rsid w:val="007A0B81"/>
    <w:rsid w:val="007B14F7"/>
    <w:rsid w:val="007B5AA2"/>
    <w:rsid w:val="007C60BA"/>
    <w:rsid w:val="007D1105"/>
    <w:rsid w:val="007E1A64"/>
    <w:rsid w:val="00895794"/>
    <w:rsid w:val="008B24A0"/>
    <w:rsid w:val="00946C56"/>
    <w:rsid w:val="009E1494"/>
    <w:rsid w:val="00A06008"/>
    <w:rsid w:val="00A3438A"/>
    <w:rsid w:val="00AB6248"/>
    <w:rsid w:val="00AB7569"/>
    <w:rsid w:val="00AC09C7"/>
    <w:rsid w:val="00B42720"/>
    <w:rsid w:val="00B73F99"/>
    <w:rsid w:val="00B75CAE"/>
    <w:rsid w:val="00B95CA6"/>
    <w:rsid w:val="00BC4475"/>
    <w:rsid w:val="00BD3ED3"/>
    <w:rsid w:val="00BD6DBF"/>
    <w:rsid w:val="00C24D40"/>
    <w:rsid w:val="00C36D59"/>
    <w:rsid w:val="00C763C9"/>
    <w:rsid w:val="00C92638"/>
    <w:rsid w:val="00C9439A"/>
    <w:rsid w:val="00D23C8D"/>
    <w:rsid w:val="00D56AC3"/>
    <w:rsid w:val="00DC47C0"/>
    <w:rsid w:val="00DC7438"/>
    <w:rsid w:val="00DD7121"/>
    <w:rsid w:val="00E24B38"/>
    <w:rsid w:val="00EF4479"/>
    <w:rsid w:val="00EF4D42"/>
    <w:rsid w:val="00F24B72"/>
    <w:rsid w:val="00FE11BD"/>
    <w:rsid w:val="00FF579C"/>
    <w:rsid w:val="00FF7E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638"/>
    <w:pPr>
      <w:spacing w:after="200" w:line="276" w:lineRule="auto"/>
    </w:pPr>
    <w:rPr>
      <w:sz w:val="22"/>
      <w:szCs w:val="22"/>
      <w:lang w:eastAsia="en-US"/>
    </w:rPr>
  </w:style>
  <w:style w:type="paragraph" w:styleId="Heading4">
    <w:name w:val="heading 4"/>
    <w:basedOn w:val="Normal"/>
    <w:next w:val="Normal"/>
    <w:link w:val="Heading4Char"/>
    <w:qFormat/>
    <w:rsid w:val="00C24D40"/>
    <w:pPr>
      <w:keepNext/>
      <w:widowControl w:val="0"/>
      <w:tabs>
        <w:tab w:val="right" w:pos="9072"/>
      </w:tabs>
      <w:spacing w:before="120" w:after="0" w:line="240" w:lineRule="auto"/>
      <w:jc w:val="both"/>
      <w:outlineLvl w:val="3"/>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24D40"/>
    <w:rPr>
      <w:rFonts w:ascii="Times New Roman" w:eastAsia="Times New Roman" w:hAnsi="Times New Roman"/>
      <w:b/>
      <w:sz w:val="24"/>
      <w:lang w:eastAsia="en-US"/>
    </w:rPr>
  </w:style>
  <w:style w:type="character" w:styleId="Hyperlink">
    <w:name w:val="Hyperlink"/>
    <w:basedOn w:val="DefaultParagraphFont"/>
    <w:uiPriority w:val="99"/>
    <w:unhideWhenUsed/>
    <w:rsid w:val="000E5133"/>
    <w:rPr>
      <w:color w:val="0000FF"/>
      <w:u w:val="single"/>
    </w:rPr>
  </w:style>
  <w:style w:type="paragraph" w:styleId="Header">
    <w:name w:val="header"/>
    <w:basedOn w:val="Normal"/>
    <w:link w:val="HeaderChar"/>
    <w:uiPriority w:val="99"/>
    <w:unhideWhenUsed/>
    <w:rsid w:val="000E5133"/>
    <w:pPr>
      <w:tabs>
        <w:tab w:val="center" w:pos="4153"/>
        <w:tab w:val="right" w:pos="8306"/>
      </w:tabs>
    </w:pPr>
  </w:style>
  <w:style w:type="character" w:customStyle="1" w:styleId="HeaderChar">
    <w:name w:val="Header Char"/>
    <w:basedOn w:val="DefaultParagraphFont"/>
    <w:link w:val="Header"/>
    <w:uiPriority w:val="99"/>
    <w:rsid w:val="000E5133"/>
    <w:rPr>
      <w:sz w:val="22"/>
      <w:szCs w:val="22"/>
      <w:lang w:eastAsia="en-US"/>
    </w:rPr>
  </w:style>
  <w:style w:type="paragraph" w:styleId="Footer">
    <w:name w:val="footer"/>
    <w:basedOn w:val="Normal"/>
    <w:link w:val="FooterChar"/>
    <w:uiPriority w:val="99"/>
    <w:unhideWhenUsed/>
    <w:rsid w:val="000E5133"/>
    <w:pPr>
      <w:tabs>
        <w:tab w:val="center" w:pos="4153"/>
        <w:tab w:val="right" w:pos="8306"/>
      </w:tabs>
    </w:pPr>
  </w:style>
  <w:style w:type="character" w:customStyle="1" w:styleId="FooterChar">
    <w:name w:val="Footer Char"/>
    <w:basedOn w:val="DefaultParagraphFont"/>
    <w:link w:val="Footer"/>
    <w:uiPriority w:val="99"/>
    <w:rsid w:val="000E5133"/>
    <w:rPr>
      <w:sz w:val="22"/>
      <w:szCs w:val="22"/>
      <w:lang w:eastAsia="en-US"/>
    </w:rPr>
  </w:style>
  <w:style w:type="table" w:styleId="TableGrid">
    <w:name w:val="Table Grid"/>
    <w:basedOn w:val="TableNormal"/>
    <w:uiPriority w:val="59"/>
    <w:rsid w:val="002610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B62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24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638"/>
    <w:pPr>
      <w:spacing w:after="200" w:line="276" w:lineRule="auto"/>
    </w:pPr>
    <w:rPr>
      <w:sz w:val="22"/>
      <w:szCs w:val="22"/>
      <w:lang w:eastAsia="en-US"/>
    </w:rPr>
  </w:style>
  <w:style w:type="paragraph" w:styleId="Heading4">
    <w:name w:val="heading 4"/>
    <w:basedOn w:val="Normal"/>
    <w:next w:val="Normal"/>
    <w:link w:val="Heading4Char"/>
    <w:qFormat/>
    <w:rsid w:val="00C24D40"/>
    <w:pPr>
      <w:keepNext/>
      <w:widowControl w:val="0"/>
      <w:tabs>
        <w:tab w:val="right" w:pos="9072"/>
      </w:tabs>
      <w:spacing w:before="120" w:after="0" w:line="240" w:lineRule="auto"/>
      <w:jc w:val="both"/>
      <w:outlineLvl w:val="3"/>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24D40"/>
    <w:rPr>
      <w:rFonts w:ascii="Times New Roman" w:eastAsia="Times New Roman" w:hAnsi="Times New Roman"/>
      <w:b/>
      <w:sz w:val="24"/>
      <w:lang w:eastAsia="en-US"/>
    </w:rPr>
  </w:style>
  <w:style w:type="character" w:styleId="Hyperlink">
    <w:name w:val="Hyperlink"/>
    <w:basedOn w:val="DefaultParagraphFont"/>
    <w:uiPriority w:val="99"/>
    <w:unhideWhenUsed/>
    <w:rsid w:val="000E5133"/>
    <w:rPr>
      <w:color w:val="0000FF"/>
      <w:u w:val="single"/>
    </w:rPr>
  </w:style>
  <w:style w:type="paragraph" w:styleId="Header">
    <w:name w:val="header"/>
    <w:basedOn w:val="Normal"/>
    <w:link w:val="HeaderChar"/>
    <w:uiPriority w:val="99"/>
    <w:unhideWhenUsed/>
    <w:rsid w:val="000E5133"/>
    <w:pPr>
      <w:tabs>
        <w:tab w:val="center" w:pos="4153"/>
        <w:tab w:val="right" w:pos="8306"/>
      </w:tabs>
    </w:pPr>
  </w:style>
  <w:style w:type="character" w:customStyle="1" w:styleId="HeaderChar">
    <w:name w:val="Header Char"/>
    <w:basedOn w:val="DefaultParagraphFont"/>
    <w:link w:val="Header"/>
    <w:uiPriority w:val="99"/>
    <w:rsid w:val="000E5133"/>
    <w:rPr>
      <w:sz w:val="22"/>
      <w:szCs w:val="22"/>
      <w:lang w:eastAsia="en-US"/>
    </w:rPr>
  </w:style>
  <w:style w:type="paragraph" w:styleId="Footer">
    <w:name w:val="footer"/>
    <w:basedOn w:val="Normal"/>
    <w:link w:val="FooterChar"/>
    <w:uiPriority w:val="99"/>
    <w:unhideWhenUsed/>
    <w:rsid w:val="000E5133"/>
    <w:pPr>
      <w:tabs>
        <w:tab w:val="center" w:pos="4153"/>
        <w:tab w:val="right" w:pos="8306"/>
      </w:tabs>
    </w:pPr>
  </w:style>
  <w:style w:type="character" w:customStyle="1" w:styleId="FooterChar">
    <w:name w:val="Footer Char"/>
    <w:basedOn w:val="DefaultParagraphFont"/>
    <w:link w:val="Footer"/>
    <w:uiPriority w:val="99"/>
    <w:rsid w:val="000E5133"/>
    <w:rPr>
      <w:sz w:val="22"/>
      <w:szCs w:val="22"/>
      <w:lang w:eastAsia="en-US"/>
    </w:rPr>
  </w:style>
  <w:style w:type="table" w:styleId="TableGrid">
    <w:name w:val="Table Grid"/>
    <w:basedOn w:val="TableNormal"/>
    <w:uiPriority w:val="59"/>
    <w:rsid w:val="002610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B62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24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411419">
      <w:bodyDiv w:val="1"/>
      <w:marLeft w:val="0"/>
      <w:marRight w:val="0"/>
      <w:marTop w:val="0"/>
      <w:marBottom w:val="0"/>
      <w:divBdr>
        <w:top w:val="none" w:sz="0" w:space="0" w:color="auto"/>
        <w:left w:val="none" w:sz="0" w:space="0" w:color="auto"/>
        <w:bottom w:val="none" w:sz="0" w:space="0" w:color="auto"/>
        <w:right w:val="none" w:sz="0" w:space="0" w:color="auto"/>
      </w:divBdr>
    </w:div>
    <w:div w:id="103974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NiedriteI\My%20Documents\Kr&#257;jumi%20apkures%20sezonai\Pateretie_resursi_siltumen_raz_06072012.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NiedriteI\My%20Documents\Kr&#257;jumi%20apkures%20sezonai\Pateretie_resursi_siltumen_raz_06072012.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DravnieksD\Local%20Settings\Temporary%20Internet%20Files\Content.Outlook\N18FLNA1\Koksne_1807201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6805555555555555"/>
          <c:y val="0.20601851851851852"/>
          <c:w val="0.46388888888889057"/>
          <c:h val="0.77314814814814958"/>
        </c:manualLayout>
      </c:layout>
      <c:pieChart>
        <c:varyColors val="1"/>
        <c:ser>
          <c:idx val="0"/>
          <c:order val="0"/>
          <c:dPt>
            <c:idx val="0"/>
            <c:bubble3D val="0"/>
            <c:spPr>
              <a:solidFill>
                <a:srgbClr val="F79646">
                  <a:lumMod val="75000"/>
                </a:srgbClr>
              </a:solidFill>
            </c:spPr>
          </c:dPt>
          <c:dPt>
            <c:idx val="1"/>
            <c:bubble3D val="0"/>
            <c:spPr>
              <a:solidFill>
                <a:srgbClr val="F79646">
                  <a:lumMod val="75000"/>
                </a:srgbClr>
              </a:solidFill>
            </c:spPr>
          </c:dPt>
          <c:dPt>
            <c:idx val="2"/>
            <c:bubble3D val="0"/>
            <c:spPr>
              <a:solidFill>
                <a:srgbClr val="7030A0"/>
              </a:solidFill>
            </c:spPr>
          </c:dPt>
          <c:dPt>
            <c:idx val="3"/>
            <c:bubble3D val="0"/>
            <c:spPr>
              <a:solidFill>
                <a:srgbClr val="FF0000"/>
              </a:solidFill>
            </c:spPr>
          </c:dPt>
          <c:dPt>
            <c:idx val="4"/>
            <c:bubble3D val="0"/>
            <c:spPr>
              <a:solidFill>
                <a:srgbClr val="FFC000"/>
              </a:solidFill>
            </c:spPr>
          </c:dPt>
          <c:dPt>
            <c:idx val="5"/>
            <c:bubble3D val="0"/>
            <c:spPr>
              <a:solidFill>
                <a:srgbClr val="92D050"/>
              </a:solidFill>
            </c:spPr>
          </c:dPt>
          <c:dLbls>
            <c:dLbl>
              <c:idx val="0"/>
              <c:layout>
                <c:manualLayout>
                  <c:x val="-0.21874334361411293"/>
                  <c:y val="-9.659452945740327E-3"/>
                </c:manualLayout>
              </c:layout>
              <c:showLegendKey val="0"/>
              <c:showVal val="0"/>
              <c:showCatName val="1"/>
              <c:showSerName val="0"/>
              <c:showPercent val="1"/>
              <c:showBubbleSize val="0"/>
            </c:dLbl>
            <c:dLbl>
              <c:idx val="1"/>
              <c:layout>
                <c:manualLayout>
                  <c:x val="-4.6732158288207003E-2"/>
                  <c:y val="-6.2893081761006525E-2"/>
                </c:manualLayout>
              </c:layout>
              <c:showLegendKey val="0"/>
              <c:showVal val="0"/>
              <c:showCatName val="1"/>
              <c:showSerName val="0"/>
              <c:showPercent val="1"/>
              <c:showBubbleSize val="0"/>
            </c:dLbl>
            <c:dLbl>
              <c:idx val="2"/>
              <c:layout>
                <c:manualLayout>
                  <c:x val="7.0747703412073523E-2"/>
                  <c:y val="1.5046296296296295E-2"/>
                </c:manualLayout>
              </c:layout>
              <c:showLegendKey val="0"/>
              <c:showVal val="0"/>
              <c:showCatName val="1"/>
              <c:showSerName val="0"/>
              <c:showPercent val="1"/>
              <c:showBubbleSize val="0"/>
            </c:dLbl>
            <c:dLbl>
              <c:idx val="3"/>
              <c:layout>
                <c:manualLayout>
                  <c:x val="4.2470123109586477E-2"/>
                  <c:y val="7.0843691708347992E-2"/>
                </c:manualLayout>
              </c:layout>
              <c:showLegendKey val="0"/>
              <c:showVal val="0"/>
              <c:showCatName val="1"/>
              <c:showSerName val="0"/>
              <c:showPercent val="1"/>
              <c:showBubbleSize val="0"/>
            </c:dLbl>
            <c:dLbl>
              <c:idx val="4"/>
              <c:layout>
                <c:manualLayout>
                  <c:x val="0.21990274533165471"/>
                  <c:y val="-1.4196338665214031E-2"/>
                </c:manualLayout>
              </c:layout>
              <c:showLegendKey val="0"/>
              <c:showVal val="0"/>
              <c:showCatName val="1"/>
              <c:showSerName val="0"/>
              <c:showPercent val="1"/>
              <c:showBubbleSize val="0"/>
            </c:dLbl>
            <c:dLbl>
              <c:idx val="5"/>
              <c:layout>
                <c:manualLayout>
                  <c:x val="-8.1190398075240991E-2"/>
                  <c:y val="0.19503317293671621"/>
                </c:manualLayout>
              </c:layout>
              <c:showLegendKey val="0"/>
              <c:showVal val="0"/>
              <c:showCatName val="1"/>
              <c:showSerName val="0"/>
              <c:showPercent val="1"/>
              <c:showBubbleSize val="0"/>
            </c:dLbl>
            <c:numFmt formatCode="0.00%" sourceLinked="0"/>
            <c:showLegendKey val="0"/>
            <c:showVal val="0"/>
            <c:showCatName val="1"/>
            <c:showSerName val="0"/>
            <c:showPercent val="1"/>
            <c:showBubbleSize val="0"/>
            <c:showLeaderLines val="1"/>
          </c:dLbls>
          <c:cat>
            <c:strRef>
              <c:f>Sheet1!$A$48:$A$53</c:f>
              <c:strCache>
                <c:ptCount val="6"/>
                <c:pt idx="0">
                  <c:v>Ogles</c:v>
                </c:pt>
                <c:pt idx="1">
                  <c:v>Kokss</c:v>
                </c:pt>
                <c:pt idx="2">
                  <c:v>Kūdra</c:v>
                </c:pt>
                <c:pt idx="3">
                  <c:v>Naftas produkti</c:v>
                </c:pt>
                <c:pt idx="4">
                  <c:v>Dabasgāze</c:v>
                </c:pt>
                <c:pt idx="5">
                  <c:v>Kurināmā koksne</c:v>
                </c:pt>
              </c:strCache>
            </c:strRef>
          </c:cat>
          <c:val>
            <c:numRef>
              <c:f>Sheet1!$B$48:$B$53</c:f>
              <c:numCache>
                <c:formatCode>0.00</c:formatCode>
                <c:ptCount val="6"/>
                <c:pt idx="0">
                  <c:v>3.5570000000000004</c:v>
                </c:pt>
                <c:pt idx="1">
                  <c:v>0.31600000000000061</c:v>
                </c:pt>
                <c:pt idx="2">
                  <c:v>1.1979999999999975</c:v>
                </c:pt>
                <c:pt idx="3">
                  <c:v>33.326000000000001</c:v>
                </c:pt>
                <c:pt idx="4">
                  <c:v>39.775000000000013</c:v>
                </c:pt>
                <c:pt idx="5">
                  <c:v>42.64</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7080472350130658"/>
          <c:y val="0.25967414450552173"/>
          <c:w val="0.46388888888889079"/>
          <c:h val="0.77314814814815025"/>
        </c:manualLayout>
      </c:layout>
      <c:pieChart>
        <c:varyColors val="1"/>
        <c:ser>
          <c:idx val="0"/>
          <c:order val="0"/>
          <c:dPt>
            <c:idx val="1"/>
            <c:bubble3D val="0"/>
            <c:spPr>
              <a:solidFill>
                <a:schemeClr val="accent6">
                  <a:lumMod val="75000"/>
                </a:schemeClr>
              </a:solidFill>
            </c:spPr>
          </c:dPt>
          <c:dPt>
            <c:idx val="4"/>
            <c:bubble3D val="0"/>
            <c:spPr>
              <a:solidFill>
                <a:srgbClr val="FF0000"/>
              </a:solidFill>
            </c:spPr>
          </c:dPt>
          <c:dPt>
            <c:idx val="5"/>
            <c:bubble3D val="0"/>
            <c:spPr>
              <a:solidFill>
                <a:srgbClr val="FFC000"/>
              </a:solidFill>
            </c:spPr>
          </c:dPt>
          <c:dPt>
            <c:idx val="6"/>
            <c:bubble3D val="0"/>
            <c:spPr>
              <a:solidFill>
                <a:srgbClr val="92D050"/>
              </a:solidFill>
            </c:spPr>
          </c:dPt>
          <c:dLbls>
            <c:dLbl>
              <c:idx val="0"/>
              <c:layout>
                <c:manualLayout>
                  <c:x val="-0.19949935319411344"/>
                  <c:y val="-8.0938278941547398E-2"/>
                </c:manualLayout>
              </c:layout>
              <c:showLegendKey val="0"/>
              <c:showVal val="0"/>
              <c:showCatName val="1"/>
              <c:showSerName val="0"/>
              <c:showPercent val="1"/>
              <c:showBubbleSize val="0"/>
            </c:dLbl>
            <c:dLbl>
              <c:idx val="1"/>
              <c:layout>
                <c:manualLayout>
                  <c:x val="-4.6732158288206996E-2"/>
                  <c:y val="-6.2893081761006525E-2"/>
                </c:manualLayout>
              </c:layout>
              <c:showLegendKey val="0"/>
              <c:showVal val="0"/>
              <c:showCatName val="1"/>
              <c:showSerName val="0"/>
              <c:showPercent val="1"/>
              <c:showBubbleSize val="0"/>
            </c:dLbl>
            <c:dLbl>
              <c:idx val="2"/>
              <c:layout>
                <c:manualLayout>
                  <c:x val="6.2500324701750612E-2"/>
                  <c:y val="-3.5268657455553992E-2"/>
                </c:manualLayout>
              </c:layout>
              <c:showLegendKey val="0"/>
              <c:showVal val="0"/>
              <c:showCatName val="1"/>
              <c:showSerName val="0"/>
              <c:showPercent val="1"/>
              <c:showBubbleSize val="0"/>
            </c:dLbl>
            <c:dLbl>
              <c:idx val="3"/>
              <c:layout>
                <c:manualLayout>
                  <c:x val="6.446325501815732E-2"/>
                  <c:y val="8.3422308060549413E-2"/>
                </c:manualLayout>
              </c:layout>
              <c:showLegendKey val="0"/>
              <c:showVal val="0"/>
              <c:showCatName val="1"/>
              <c:showSerName val="0"/>
              <c:showPercent val="1"/>
              <c:showBubbleSize val="0"/>
            </c:dLbl>
            <c:dLbl>
              <c:idx val="4"/>
              <c:layout>
                <c:manualLayout>
                  <c:x val="0.13882255352383657"/>
                  <c:y val="0.13674705756120195"/>
                </c:manualLayout>
              </c:layout>
              <c:showLegendKey val="0"/>
              <c:showVal val="0"/>
              <c:showCatName val="1"/>
              <c:showSerName val="0"/>
              <c:showPercent val="1"/>
              <c:showBubbleSize val="0"/>
            </c:dLbl>
            <c:dLbl>
              <c:idx val="5"/>
              <c:layout>
                <c:manualLayout>
                  <c:x val="1.5029578164803067E-2"/>
                  <c:y val="2.4798692616253202E-2"/>
                </c:manualLayout>
              </c:layout>
              <c:showLegendKey val="0"/>
              <c:showVal val="0"/>
              <c:showCatName val="1"/>
              <c:showSerName val="0"/>
              <c:showPercent val="1"/>
              <c:showBubbleSize val="0"/>
            </c:dLbl>
            <c:dLbl>
              <c:idx val="6"/>
              <c:layout>
                <c:manualLayout>
                  <c:x val="-6.1622980571578966E-2"/>
                  <c:y val="0.25936512652899513"/>
                </c:manualLayout>
              </c:layout>
              <c:showLegendKey val="0"/>
              <c:showVal val="0"/>
              <c:showCatName val="1"/>
              <c:showSerName val="0"/>
              <c:showPercent val="1"/>
              <c:showBubbleSize val="0"/>
            </c:dLbl>
            <c:dLbl>
              <c:idx val="7"/>
              <c:layout>
                <c:manualLayout>
                  <c:x val="-0.31900355959705895"/>
                  <c:y val="6.0631902144307435E-2"/>
                </c:manualLayout>
              </c:layout>
              <c:showLegendKey val="0"/>
              <c:showVal val="0"/>
              <c:showCatName val="1"/>
              <c:showSerName val="0"/>
              <c:showPercent val="1"/>
              <c:showBubbleSize val="0"/>
            </c:dLbl>
            <c:dLbl>
              <c:idx val="10"/>
              <c:layout>
                <c:manualLayout>
                  <c:x val="0.26542863661631333"/>
                  <c:y val="-0.10334439327159577"/>
                </c:manualLayout>
              </c:layout>
              <c:showLegendKey val="0"/>
              <c:showVal val="0"/>
              <c:showCatName val="1"/>
              <c:showSerName val="0"/>
              <c:showPercent val="1"/>
              <c:showBubbleSize val="0"/>
            </c:dLbl>
            <c:numFmt formatCode="0.00%" sourceLinked="0"/>
            <c:showLegendKey val="0"/>
            <c:showVal val="0"/>
            <c:showCatName val="1"/>
            <c:showSerName val="0"/>
            <c:showPercent val="1"/>
            <c:showBubbleSize val="0"/>
            <c:showLeaderLines val="1"/>
          </c:dLbls>
          <c:cat>
            <c:strRef>
              <c:f>Sheet1!$A$47:$A$57</c:f>
              <c:strCache>
                <c:ptCount val="11"/>
                <c:pt idx="0">
                  <c:v>Atkritumi</c:v>
                </c:pt>
                <c:pt idx="1">
                  <c:v>Ogles</c:v>
                </c:pt>
                <c:pt idx="2">
                  <c:v>Kokss</c:v>
                </c:pt>
                <c:pt idx="3">
                  <c:v>Kūdra</c:v>
                </c:pt>
                <c:pt idx="4">
                  <c:v>Naftas produkti</c:v>
                </c:pt>
                <c:pt idx="5">
                  <c:v>Dabasgāze</c:v>
                </c:pt>
                <c:pt idx="6">
                  <c:v>Kurināmā koksne</c:v>
                </c:pt>
                <c:pt idx="7">
                  <c:v>Kokogles</c:v>
                </c:pt>
                <c:pt idx="8">
                  <c:v>Salmi, cita biomasa</c:v>
                </c:pt>
                <c:pt idx="9">
                  <c:v>Biogāze</c:v>
                </c:pt>
                <c:pt idx="10">
                  <c:v>Biodīzeļdegviela</c:v>
                </c:pt>
              </c:strCache>
            </c:strRef>
          </c:cat>
          <c:val>
            <c:numRef>
              <c:f>Sheet1!$C$47:$C$57</c:f>
              <c:numCache>
                <c:formatCode>0.00</c:formatCode>
                <c:ptCount val="11"/>
                <c:pt idx="0">
                  <c:v>2.2389999999999999</c:v>
                </c:pt>
                <c:pt idx="1">
                  <c:v>4.9029999999999996</c:v>
                </c:pt>
                <c:pt idx="2">
                  <c:v>8.0000000000000043E-2</c:v>
                </c:pt>
                <c:pt idx="3">
                  <c:v>4.2000000000000023E-2</c:v>
                </c:pt>
                <c:pt idx="4">
                  <c:v>11.496000000000002</c:v>
                </c:pt>
                <c:pt idx="5">
                  <c:v>52.585000000000008</c:v>
                </c:pt>
                <c:pt idx="6">
                  <c:v>46.210000000000008</c:v>
                </c:pt>
                <c:pt idx="7">
                  <c:v>6.0000000000000032E-2</c:v>
                </c:pt>
                <c:pt idx="8">
                  <c:v>4.3000000000000003E-2</c:v>
                </c:pt>
                <c:pt idx="9">
                  <c:v>0.92</c:v>
                </c:pt>
                <c:pt idx="10">
                  <c:v>8.1000000000000003E-2</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0.11596587692720969"/>
          <c:y val="3.4439330896520105E-2"/>
          <c:w val="0.86469540798627653"/>
          <c:h val="0.68355186251638389"/>
        </c:manualLayout>
      </c:layout>
      <c:barChart>
        <c:barDir val="col"/>
        <c:grouping val="clustered"/>
        <c:varyColors val="0"/>
        <c:ser>
          <c:idx val="0"/>
          <c:order val="0"/>
          <c:tx>
            <c:v>Eksports 2009</c:v>
          </c:tx>
          <c:spPr>
            <a:solidFill>
              <a:schemeClr val="accent6">
                <a:lumMod val="50000"/>
              </a:schemeClr>
            </a:solidFill>
          </c:spPr>
          <c:invertIfNegative val="0"/>
          <c:cat>
            <c:strRef>
              <c:f>koksne!$A$20:$A$25</c:f>
              <c:strCache>
                <c:ptCount val="6"/>
                <c:pt idx="0">
                  <c:v>Kurināmā koksne kopā </c:v>
                </c:pt>
                <c:pt idx="1">
                  <c:v>Malka</c:v>
                </c:pt>
                <c:pt idx="2">
                  <c:v>Koksnes atlikumi</c:v>
                </c:pt>
                <c:pt idx="3">
                  <c:v>Kurināmās šķeldas</c:v>
                </c:pt>
                <c:pt idx="4">
                  <c:v>Koksnes briketes</c:v>
                </c:pt>
                <c:pt idx="5">
                  <c:v>Koksnes granulas</c:v>
                </c:pt>
              </c:strCache>
            </c:strRef>
          </c:cat>
          <c:val>
            <c:numRef>
              <c:f>koksne!$H$20:$H$25</c:f>
              <c:numCache>
                <c:formatCode>0</c:formatCode>
                <c:ptCount val="6"/>
                <c:pt idx="0">
                  <c:v>1364.6399999999999</c:v>
                </c:pt>
                <c:pt idx="1">
                  <c:v>518</c:v>
                </c:pt>
                <c:pt idx="2">
                  <c:v>35.56</c:v>
                </c:pt>
                <c:pt idx="3">
                  <c:v>311.08</c:v>
                </c:pt>
                <c:pt idx="4" formatCode="General">
                  <c:v>24</c:v>
                </c:pt>
                <c:pt idx="5" formatCode="General">
                  <c:v>476</c:v>
                </c:pt>
              </c:numCache>
            </c:numRef>
          </c:val>
        </c:ser>
        <c:ser>
          <c:idx val="1"/>
          <c:order val="1"/>
          <c:tx>
            <c:v>Eksports 2010</c:v>
          </c:tx>
          <c:spPr>
            <a:solidFill>
              <a:schemeClr val="accent6">
                <a:lumMod val="75000"/>
              </a:schemeClr>
            </a:solidFill>
          </c:spPr>
          <c:invertIfNegative val="0"/>
          <c:cat>
            <c:strRef>
              <c:f>koksne!$A$20:$A$25</c:f>
              <c:strCache>
                <c:ptCount val="6"/>
                <c:pt idx="0">
                  <c:v>Kurināmā koksne kopā </c:v>
                </c:pt>
                <c:pt idx="1">
                  <c:v>Malka</c:v>
                </c:pt>
                <c:pt idx="2">
                  <c:v>Koksnes atlikumi</c:v>
                </c:pt>
                <c:pt idx="3">
                  <c:v>Kurināmās šķeldas</c:v>
                </c:pt>
                <c:pt idx="4">
                  <c:v>Koksnes briketes</c:v>
                </c:pt>
                <c:pt idx="5">
                  <c:v>Koksnes granulas</c:v>
                </c:pt>
              </c:strCache>
            </c:strRef>
          </c:cat>
          <c:val>
            <c:numRef>
              <c:f>koksne!$I$20:$I$25</c:f>
              <c:numCache>
                <c:formatCode>0</c:formatCode>
                <c:ptCount val="6"/>
                <c:pt idx="0">
                  <c:v>1664.82</c:v>
                </c:pt>
                <c:pt idx="1">
                  <c:v>563.5</c:v>
                </c:pt>
                <c:pt idx="2">
                  <c:v>36.68</c:v>
                </c:pt>
                <c:pt idx="3">
                  <c:v>444.64000000000004</c:v>
                </c:pt>
                <c:pt idx="4" formatCode="General">
                  <c:v>30</c:v>
                </c:pt>
                <c:pt idx="5" formatCode="General">
                  <c:v>590</c:v>
                </c:pt>
              </c:numCache>
            </c:numRef>
          </c:val>
        </c:ser>
        <c:ser>
          <c:idx val="2"/>
          <c:order val="2"/>
          <c:tx>
            <c:v>Eksports 2011</c:v>
          </c:tx>
          <c:spPr>
            <a:solidFill>
              <a:schemeClr val="accent6">
                <a:lumMod val="60000"/>
                <a:lumOff val="40000"/>
              </a:schemeClr>
            </a:solidFill>
          </c:spPr>
          <c:invertIfNegative val="0"/>
          <c:cat>
            <c:strRef>
              <c:f>koksne!$A$20:$A$25</c:f>
              <c:strCache>
                <c:ptCount val="6"/>
                <c:pt idx="0">
                  <c:v>Kurināmā koksne kopā </c:v>
                </c:pt>
                <c:pt idx="1">
                  <c:v>Malka</c:v>
                </c:pt>
                <c:pt idx="2">
                  <c:v>Koksnes atlikumi</c:v>
                </c:pt>
                <c:pt idx="3">
                  <c:v>Kurināmās šķeldas</c:v>
                </c:pt>
                <c:pt idx="4">
                  <c:v>Koksnes briketes</c:v>
                </c:pt>
                <c:pt idx="5">
                  <c:v>Koksnes granulas</c:v>
                </c:pt>
              </c:strCache>
            </c:strRef>
          </c:cat>
          <c:val>
            <c:numRef>
              <c:f>koksne!$J$20:$J$25</c:f>
              <c:numCache>
                <c:formatCode>0</c:formatCode>
                <c:ptCount val="6"/>
                <c:pt idx="0">
                  <c:v>1652.96</c:v>
                </c:pt>
                <c:pt idx="1">
                  <c:v>505.4</c:v>
                </c:pt>
                <c:pt idx="2">
                  <c:v>24.919999999999995</c:v>
                </c:pt>
                <c:pt idx="3">
                  <c:v>402.64000000000004</c:v>
                </c:pt>
                <c:pt idx="4" formatCode="General">
                  <c:v>56</c:v>
                </c:pt>
                <c:pt idx="5" formatCode="General">
                  <c:v>664</c:v>
                </c:pt>
              </c:numCache>
            </c:numRef>
          </c:val>
        </c:ser>
        <c:ser>
          <c:idx val="3"/>
          <c:order val="3"/>
          <c:tx>
            <c:v>Kopējais patēriņš 2009</c:v>
          </c:tx>
          <c:spPr>
            <a:solidFill>
              <a:schemeClr val="accent3">
                <a:lumMod val="50000"/>
              </a:schemeClr>
            </a:solidFill>
          </c:spPr>
          <c:invertIfNegative val="0"/>
          <c:cat>
            <c:strRef>
              <c:f>koksne!$A$20:$A$25</c:f>
              <c:strCache>
                <c:ptCount val="6"/>
                <c:pt idx="0">
                  <c:v>Kurināmā koksne kopā </c:v>
                </c:pt>
                <c:pt idx="1">
                  <c:v>Malka</c:v>
                </c:pt>
                <c:pt idx="2">
                  <c:v>Koksnes atlikumi</c:v>
                </c:pt>
                <c:pt idx="3">
                  <c:v>Kurināmās šķeldas</c:v>
                </c:pt>
                <c:pt idx="4">
                  <c:v>Koksnes briketes</c:v>
                </c:pt>
                <c:pt idx="5">
                  <c:v>Koksnes granulas</c:v>
                </c:pt>
              </c:strCache>
            </c:strRef>
          </c:cat>
          <c:val>
            <c:numRef>
              <c:f>koksne!$K$20:$K$25</c:f>
              <c:numCache>
                <c:formatCode>0</c:formatCode>
                <c:ptCount val="6"/>
                <c:pt idx="0">
                  <c:v>5294.3200000000006</c:v>
                </c:pt>
                <c:pt idx="1">
                  <c:v>3798.2</c:v>
                </c:pt>
                <c:pt idx="2">
                  <c:v>803.04</c:v>
                </c:pt>
                <c:pt idx="3">
                  <c:v>668.07999999999993</c:v>
                </c:pt>
                <c:pt idx="4" formatCode="General">
                  <c:v>12</c:v>
                </c:pt>
                <c:pt idx="5" formatCode="General">
                  <c:v>13</c:v>
                </c:pt>
              </c:numCache>
            </c:numRef>
          </c:val>
        </c:ser>
        <c:ser>
          <c:idx val="4"/>
          <c:order val="4"/>
          <c:tx>
            <c:v>Kopējais patēriņš 2010</c:v>
          </c:tx>
          <c:spPr>
            <a:solidFill>
              <a:schemeClr val="accent3">
                <a:lumMod val="75000"/>
              </a:schemeClr>
            </a:solidFill>
          </c:spPr>
          <c:invertIfNegative val="0"/>
          <c:cat>
            <c:strRef>
              <c:f>koksne!$A$20:$A$25</c:f>
              <c:strCache>
                <c:ptCount val="6"/>
                <c:pt idx="0">
                  <c:v>Kurināmā koksne kopā </c:v>
                </c:pt>
                <c:pt idx="1">
                  <c:v>Malka</c:v>
                </c:pt>
                <c:pt idx="2">
                  <c:v>Koksnes atlikumi</c:v>
                </c:pt>
                <c:pt idx="3">
                  <c:v>Kurināmās šķeldas</c:v>
                </c:pt>
                <c:pt idx="4">
                  <c:v>Koksnes briketes</c:v>
                </c:pt>
                <c:pt idx="5">
                  <c:v>Koksnes granulas</c:v>
                </c:pt>
              </c:strCache>
            </c:strRef>
          </c:cat>
          <c:val>
            <c:numRef>
              <c:f>koksne!$L$20:$L$25</c:f>
              <c:numCache>
                <c:formatCode>0</c:formatCode>
                <c:ptCount val="6"/>
                <c:pt idx="0">
                  <c:v>5129.8200000000006</c:v>
                </c:pt>
                <c:pt idx="1">
                  <c:v>3551.1</c:v>
                </c:pt>
                <c:pt idx="2">
                  <c:v>817.88</c:v>
                </c:pt>
                <c:pt idx="3">
                  <c:v>707.83999999999992</c:v>
                </c:pt>
                <c:pt idx="4" formatCode="General">
                  <c:v>22</c:v>
                </c:pt>
                <c:pt idx="5" formatCode="General">
                  <c:v>31</c:v>
                </c:pt>
              </c:numCache>
            </c:numRef>
          </c:val>
        </c:ser>
        <c:ser>
          <c:idx val="5"/>
          <c:order val="5"/>
          <c:tx>
            <c:v>Kopējais patēriņš 2011</c:v>
          </c:tx>
          <c:spPr>
            <a:solidFill>
              <a:schemeClr val="accent3">
                <a:lumMod val="60000"/>
                <a:lumOff val="40000"/>
              </a:schemeClr>
            </a:solidFill>
          </c:spPr>
          <c:invertIfNegative val="0"/>
          <c:cat>
            <c:strRef>
              <c:f>koksne!$A$20:$A$25</c:f>
              <c:strCache>
                <c:ptCount val="6"/>
                <c:pt idx="0">
                  <c:v>Kurināmā koksne kopā </c:v>
                </c:pt>
                <c:pt idx="1">
                  <c:v>Malka</c:v>
                </c:pt>
                <c:pt idx="2">
                  <c:v>Koksnes atlikumi</c:v>
                </c:pt>
                <c:pt idx="3">
                  <c:v>Kurināmās šķeldas</c:v>
                </c:pt>
                <c:pt idx="4">
                  <c:v>Koksnes briketes</c:v>
                </c:pt>
                <c:pt idx="5">
                  <c:v>Koksnes granulas</c:v>
                </c:pt>
              </c:strCache>
            </c:strRef>
          </c:cat>
          <c:val>
            <c:numRef>
              <c:f>koksne!$M$20:$M$25</c:f>
              <c:numCache>
                <c:formatCode>0</c:formatCode>
                <c:ptCount val="6"/>
                <c:pt idx="0">
                  <c:v>4673.9800000000005</c:v>
                </c:pt>
                <c:pt idx="1">
                  <c:v>3107.2999999999997</c:v>
                </c:pt>
                <c:pt idx="2">
                  <c:v>836.64</c:v>
                </c:pt>
                <c:pt idx="3">
                  <c:v>677.04</c:v>
                </c:pt>
                <c:pt idx="4" formatCode="General">
                  <c:v>20</c:v>
                </c:pt>
                <c:pt idx="5" formatCode="General">
                  <c:v>33</c:v>
                </c:pt>
              </c:numCache>
            </c:numRef>
          </c:val>
        </c:ser>
        <c:dLbls>
          <c:showLegendKey val="0"/>
          <c:showVal val="0"/>
          <c:showCatName val="0"/>
          <c:showSerName val="0"/>
          <c:showPercent val="0"/>
          <c:showBubbleSize val="0"/>
        </c:dLbls>
        <c:gapWidth val="90"/>
        <c:axId val="351804416"/>
        <c:axId val="351826688"/>
      </c:barChart>
      <c:catAx>
        <c:axId val="351804416"/>
        <c:scaling>
          <c:orientation val="minMax"/>
        </c:scaling>
        <c:delete val="0"/>
        <c:axPos val="b"/>
        <c:numFmt formatCode="General" sourceLinked="1"/>
        <c:majorTickMark val="out"/>
        <c:minorTickMark val="none"/>
        <c:tickLblPos val="nextTo"/>
        <c:spPr>
          <a:ln>
            <a:solidFill>
              <a:schemeClr val="tx1"/>
            </a:solidFill>
          </a:ln>
        </c:spPr>
        <c:crossAx val="351826688"/>
        <c:crosses val="autoZero"/>
        <c:auto val="1"/>
        <c:lblAlgn val="ctr"/>
        <c:lblOffset val="100"/>
        <c:noMultiLvlLbl val="0"/>
      </c:catAx>
      <c:valAx>
        <c:axId val="351826688"/>
        <c:scaling>
          <c:orientation val="minMax"/>
          <c:max val="5500"/>
        </c:scaling>
        <c:delete val="0"/>
        <c:axPos val="l"/>
        <c:majorGridlines/>
        <c:title>
          <c:tx>
            <c:rich>
              <a:bodyPr rot="-5400000" vert="horz"/>
              <a:lstStyle/>
              <a:p>
                <a:pPr>
                  <a:defRPr b="0"/>
                </a:pPr>
                <a:r>
                  <a:rPr lang="lv-LV" b="0"/>
                  <a:t>milj.</a:t>
                </a:r>
                <a:r>
                  <a:rPr lang="lv-LV" b="0" baseline="0"/>
                  <a:t> t</a:t>
                </a:r>
                <a:endParaRPr lang="lv-LV" b="0"/>
              </a:p>
            </c:rich>
          </c:tx>
          <c:layout>
            <c:manualLayout>
              <c:xMode val="edge"/>
              <c:yMode val="edge"/>
              <c:x val="0"/>
              <c:y val="0.30558478604663047"/>
            </c:manualLayout>
          </c:layout>
          <c:overlay val="0"/>
        </c:title>
        <c:numFmt formatCode="0.0" sourceLinked="0"/>
        <c:majorTickMark val="out"/>
        <c:minorTickMark val="none"/>
        <c:tickLblPos val="nextTo"/>
        <c:spPr>
          <a:ln>
            <a:solidFill>
              <a:sysClr val="windowText" lastClr="000000"/>
            </a:solidFill>
          </a:ln>
        </c:spPr>
        <c:crossAx val="351804416"/>
        <c:crosses val="autoZero"/>
        <c:crossBetween val="between"/>
        <c:majorUnit val="500"/>
        <c:dispUnits>
          <c:builtInUnit val="thousands"/>
        </c:dispUnits>
      </c:valAx>
      <c:spPr>
        <a:ln>
          <a:solidFill>
            <a:schemeClr val="bg1">
              <a:lumMod val="50000"/>
            </a:schemeClr>
          </a:solidFill>
        </a:ln>
      </c:spPr>
    </c:plotArea>
    <c:legend>
      <c:legendPos val="b"/>
      <c:layout>
        <c:manualLayout>
          <c:xMode val="edge"/>
          <c:yMode val="edge"/>
          <c:x val="9.8786532757498352E-2"/>
          <c:y val="0.87889587673086456"/>
          <c:w val="0.88259089402537272"/>
          <c:h val="0.10513683567335122"/>
        </c:manualLayout>
      </c:layout>
      <c:overlay val="0"/>
    </c:legend>
    <c:plotVisOnly val="1"/>
    <c:dispBlanksAs val="gap"/>
    <c:showDLblsOverMax val="0"/>
  </c:chart>
  <c:spPr>
    <a:ln>
      <a:noFill/>
    </a:ln>
  </c:spPr>
  <c:txPr>
    <a:bodyPr/>
    <a:lstStyle/>
    <a:p>
      <a:pPr>
        <a:defRPr sz="1200"/>
      </a:pPr>
      <a:endParaRPr lang="lv-LV"/>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6947</Words>
  <Characters>3960</Characters>
  <Application>Microsoft Office Word</Application>
  <DocSecurity>0</DocSecurity>
  <Lines>33</Lines>
  <Paragraphs>21</Paragraphs>
  <ScaleCrop>false</ScaleCrop>
  <HeadingPairs>
    <vt:vector size="2" baseType="variant">
      <vt:variant>
        <vt:lpstr>Title</vt:lpstr>
      </vt:variant>
      <vt:variant>
        <vt:i4>1</vt:i4>
      </vt:variant>
    </vt:vector>
  </HeadingPairs>
  <TitlesOfParts>
    <vt:vector size="1" baseType="lpstr">
      <vt:lpstr>Par energoresursu krājumiem, uzsākot 2011./2012. gada apkures sezonu</vt:lpstr>
    </vt:vector>
  </TitlesOfParts>
  <Company>LR Ekonomikas ministrija</Company>
  <LinksUpToDate>false</LinksUpToDate>
  <CharactersWithSpaces>10886</CharactersWithSpaces>
  <SharedDoc>false</SharedDoc>
  <HLinks>
    <vt:vector size="6" baseType="variant">
      <vt:variant>
        <vt:i4>5439603</vt:i4>
      </vt:variant>
      <vt:variant>
        <vt:i4>3</vt:i4>
      </vt:variant>
      <vt:variant>
        <vt:i4>0</vt:i4>
      </vt:variant>
      <vt:variant>
        <vt:i4>5</vt:i4>
      </vt:variant>
      <vt:variant>
        <vt:lpwstr>mailto:Indra.Niedrite@em.gov.lv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energoresursu krājumiem, uzsākot 2011./2012. gada apkures sezonu</dc:title>
  <dc:subject>Informatīvais ziņojums</dc:subject>
  <dc:creator>Indra Niedrīte</dc:creator>
  <cp:keywords/>
  <dc:description>indra.niedrite@em.gov.lv
67013168</dc:description>
  <cp:lastModifiedBy>Dainis Dravnieks</cp:lastModifiedBy>
  <cp:revision>2</cp:revision>
  <cp:lastPrinted>2012-11-15T14:40:00Z</cp:lastPrinted>
  <dcterms:created xsi:type="dcterms:W3CDTF">2012-12-06T14:36:00Z</dcterms:created>
  <dcterms:modified xsi:type="dcterms:W3CDTF">2012-12-06T14:36:00Z</dcterms:modified>
</cp:coreProperties>
</file>