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4A68C7">
      <w:pPr>
        <w:spacing w:after="0" w:line="240" w:lineRule="auto"/>
        <w:ind w:firstLine="0"/>
        <w:jc w:val="center"/>
        <w:rPr>
          <w:rFonts w:eastAsia="Calibri" w:cs="Times New Roman"/>
          <w:b/>
          <w:szCs w:val="28"/>
        </w:rPr>
      </w:pPr>
      <w:r w:rsidRPr="00CD7149">
        <w:rPr>
          <w:rFonts w:eastAsia="Calibri" w:cs="Times New Roman"/>
          <w:b/>
          <w:szCs w:val="28"/>
        </w:rPr>
        <w:t xml:space="preserve">Informatīvais ziņojums </w:t>
      </w:r>
    </w:p>
    <w:p w:rsidR="00CD7149" w:rsidRPr="00CD7149" w:rsidRDefault="00CD7149" w:rsidP="004A68C7">
      <w:pPr>
        <w:spacing w:after="0" w:line="240" w:lineRule="auto"/>
        <w:ind w:firstLine="0"/>
        <w:jc w:val="center"/>
        <w:rPr>
          <w:rFonts w:eastAsia="Calibri" w:cs="Times New Roman"/>
          <w:b/>
          <w:szCs w:val="28"/>
        </w:rPr>
      </w:pPr>
      <w:r w:rsidRPr="00CD7149">
        <w:rPr>
          <w:rFonts w:eastAsia="Calibri" w:cs="Times New Roman"/>
          <w:b/>
          <w:szCs w:val="28"/>
        </w:rPr>
        <w:t>par elektroenerģijas</w:t>
      </w:r>
    </w:p>
    <w:p w:rsidR="00CD7149" w:rsidRPr="00CD7149" w:rsidRDefault="00CD7149" w:rsidP="004A68C7">
      <w:pPr>
        <w:spacing w:after="0" w:line="240" w:lineRule="auto"/>
        <w:ind w:firstLine="0"/>
        <w:jc w:val="center"/>
        <w:rPr>
          <w:rFonts w:eastAsia="Calibri" w:cs="Times New Roman"/>
          <w:b/>
          <w:szCs w:val="28"/>
        </w:rPr>
      </w:pPr>
      <w:r w:rsidRPr="00CD7149">
        <w:rPr>
          <w:rFonts w:eastAsia="Calibri" w:cs="Times New Roman"/>
          <w:b/>
          <w:szCs w:val="28"/>
        </w:rPr>
        <w:t xml:space="preserve"> cenu pieauguma riskiem un to ierobežošanu</w:t>
      </w: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CD7149" w:rsidRDefault="00CD7149" w:rsidP="00CD7149">
      <w:pPr>
        <w:spacing w:after="0" w:line="240" w:lineRule="auto"/>
        <w:jc w:val="center"/>
        <w:rPr>
          <w:rFonts w:eastAsia="Calibri" w:cs="Times New Roman"/>
          <w:b/>
          <w:szCs w:val="28"/>
        </w:rPr>
      </w:pPr>
    </w:p>
    <w:p w:rsidR="00CD7149" w:rsidRPr="00B93E91" w:rsidRDefault="00CD7149" w:rsidP="009A55A2">
      <w:pPr>
        <w:keepNext/>
        <w:keepLines/>
        <w:spacing w:after="0" w:line="360" w:lineRule="auto"/>
        <w:jc w:val="center"/>
        <w:rPr>
          <w:rFonts w:eastAsia="Times New Roman" w:cs="Times New Roman"/>
          <w:b/>
          <w:bCs/>
          <w:szCs w:val="28"/>
          <w:lang w:eastAsia="ja-JP"/>
        </w:rPr>
      </w:pPr>
      <w:r w:rsidRPr="00B93E91">
        <w:rPr>
          <w:rFonts w:eastAsia="Times New Roman" w:cs="Times New Roman"/>
          <w:b/>
          <w:bCs/>
          <w:szCs w:val="28"/>
          <w:lang w:eastAsia="ja-JP"/>
        </w:rPr>
        <w:lastRenderedPageBreak/>
        <w:t>Saturs</w:t>
      </w:r>
    </w:p>
    <w:p w:rsidR="00E7750C" w:rsidRPr="00E7750C" w:rsidRDefault="006D30E4">
      <w:pPr>
        <w:pStyle w:val="TOC1"/>
        <w:tabs>
          <w:tab w:val="right" w:leader="dot" w:pos="9203"/>
        </w:tabs>
        <w:rPr>
          <w:rFonts w:ascii="Times New Roman" w:eastAsiaTheme="minorEastAsia" w:hAnsi="Times New Roman" w:cs="Times New Roman"/>
          <w:b w:val="0"/>
          <w:bCs w:val="0"/>
          <w:caps w:val="0"/>
          <w:noProof/>
          <w:sz w:val="24"/>
          <w:szCs w:val="24"/>
          <w:lang w:eastAsia="lv-LV"/>
        </w:rPr>
      </w:pPr>
      <w:r w:rsidRPr="00E7750C">
        <w:rPr>
          <w:rFonts w:ascii="Times New Roman" w:eastAsia="Calibri" w:hAnsi="Times New Roman" w:cs="Times New Roman"/>
          <w:sz w:val="24"/>
          <w:szCs w:val="24"/>
        </w:rPr>
        <w:fldChar w:fldCharType="begin"/>
      </w:r>
      <w:r w:rsidRPr="00E7750C">
        <w:rPr>
          <w:rFonts w:ascii="Times New Roman" w:eastAsia="Calibri" w:hAnsi="Times New Roman" w:cs="Times New Roman"/>
          <w:sz w:val="24"/>
          <w:szCs w:val="24"/>
        </w:rPr>
        <w:instrText xml:space="preserve"> TOC \o "1-3" \h \z \u </w:instrText>
      </w:r>
      <w:r w:rsidRPr="00E7750C">
        <w:rPr>
          <w:rFonts w:ascii="Times New Roman" w:eastAsia="Calibri" w:hAnsi="Times New Roman" w:cs="Times New Roman"/>
          <w:sz w:val="24"/>
          <w:szCs w:val="24"/>
        </w:rPr>
        <w:fldChar w:fldCharType="separate"/>
      </w:r>
      <w:hyperlink w:anchor="_Toc344907235" w:history="1">
        <w:r w:rsidR="00E7750C" w:rsidRPr="00E7750C">
          <w:rPr>
            <w:rStyle w:val="Hyperlink"/>
            <w:rFonts w:ascii="Times New Roman" w:hAnsi="Times New Roman" w:cs="Times New Roman"/>
            <w:noProof/>
            <w:sz w:val="24"/>
            <w:szCs w:val="24"/>
          </w:rPr>
          <w:t>Ievads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_Toc344907235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3</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1"/>
        <w:tabs>
          <w:tab w:val="right" w:leader="dot" w:pos="9203"/>
        </w:tabs>
        <w:rPr>
          <w:rFonts w:ascii="Times New Roman" w:eastAsiaTheme="minorEastAsia" w:hAnsi="Times New Roman" w:cs="Times New Roman"/>
          <w:b w:val="0"/>
          <w:bCs w:val="0"/>
          <w:caps w:val="0"/>
          <w:noProof/>
          <w:sz w:val="24"/>
          <w:szCs w:val="24"/>
          <w:lang w:eastAsia="lv-LV"/>
        </w:rPr>
      </w:pPr>
      <w:hyperlink w:anchor="_Toc344907236" w:history="1">
        <w:r w:rsidR="00E7750C" w:rsidRPr="00E7750C">
          <w:rPr>
            <w:rStyle w:val="Hyperlink"/>
            <w:rFonts w:ascii="Times New Roman" w:eastAsia="Times New Roman" w:hAnsi="Times New Roman" w:cs="Times New Roman"/>
            <w:noProof/>
            <w:kern w:val="32"/>
            <w:sz w:val="24"/>
            <w:szCs w:val="24"/>
          </w:rPr>
          <w:t xml:space="preserve">1. Elektroenerģijas </w:t>
        </w:r>
        <w:r w:rsidR="00E7750C" w:rsidRPr="00E7750C">
          <w:rPr>
            <w:rStyle w:val="Hyperlink"/>
            <w:rFonts w:ascii="Times New Roman" w:hAnsi="Times New Roman" w:cs="Times New Roman"/>
            <w:noProof/>
            <w:sz w:val="24"/>
            <w:szCs w:val="24"/>
          </w:rPr>
          <w:t>kopējās</w:t>
        </w:r>
        <w:r w:rsidR="00E7750C" w:rsidRPr="00E7750C">
          <w:rPr>
            <w:rStyle w:val="Hyperlink"/>
            <w:rFonts w:ascii="Times New Roman" w:eastAsia="Times New Roman" w:hAnsi="Times New Roman" w:cs="Times New Roman"/>
            <w:noProof/>
            <w:kern w:val="32"/>
            <w:sz w:val="24"/>
            <w:szCs w:val="24"/>
          </w:rPr>
          <w:t xml:space="preserve"> cenas veidošanās mehānisms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_Toc344907236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4</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1"/>
        <w:tabs>
          <w:tab w:val="left" w:pos="1120"/>
          <w:tab w:val="right" w:leader="dot" w:pos="9203"/>
        </w:tabs>
        <w:rPr>
          <w:rFonts w:ascii="Times New Roman" w:eastAsiaTheme="minorEastAsia" w:hAnsi="Times New Roman" w:cs="Times New Roman"/>
          <w:b w:val="0"/>
          <w:bCs w:val="0"/>
          <w:caps w:val="0"/>
          <w:noProof/>
          <w:sz w:val="24"/>
          <w:szCs w:val="24"/>
          <w:lang w:eastAsia="lv-LV"/>
        </w:rPr>
      </w:pPr>
      <w:hyperlink w:anchor="_Toc344907237" w:history="1">
        <w:r w:rsidR="00E7750C" w:rsidRPr="00E7750C">
          <w:rPr>
            <w:rStyle w:val="Hyperlink"/>
            <w:rFonts w:ascii="Times New Roman" w:eastAsia="Times New Roman" w:hAnsi="Times New Roman" w:cs="Times New Roman"/>
            <w:noProof/>
            <w:sz w:val="24"/>
            <w:szCs w:val="24"/>
          </w:rPr>
          <w:t>2.</w:t>
        </w:r>
        <w:r w:rsidR="00E7750C" w:rsidRPr="00E7750C">
          <w:rPr>
            <w:rFonts w:ascii="Times New Roman" w:eastAsiaTheme="minorEastAsia" w:hAnsi="Times New Roman" w:cs="Times New Roman"/>
            <w:b w:val="0"/>
            <w:bCs w:val="0"/>
            <w:caps w:val="0"/>
            <w:noProof/>
            <w:sz w:val="24"/>
            <w:szCs w:val="24"/>
            <w:lang w:eastAsia="lv-LV"/>
          </w:rPr>
          <w:tab/>
        </w:r>
        <w:r w:rsidR="00E7750C" w:rsidRPr="00E7750C">
          <w:rPr>
            <w:rStyle w:val="Hyperlink"/>
            <w:rFonts w:ascii="Times New Roman" w:eastAsia="Times New Roman" w:hAnsi="Times New Roman" w:cs="Times New Roman"/>
            <w:noProof/>
            <w:sz w:val="24"/>
            <w:szCs w:val="24"/>
          </w:rPr>
          <w:t>Elektroenerģijas tirgus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_Toc344907237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6</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2"/>
        <w:tabs>
          <w:tab w:val="left" w:pos="1680"/>
          <w:tab w:val="right" w:leader="dot" w:pos="9203"/>
        </w:tabs>
        <w:rPr>
          <w:rFonts w:ascii="Times New Roman" w:eastAsiaTheme="minorEastAsia" w:hAnsi="Times New Roman" w:cs="Times New Roman"/>
          <w:smallCaps w:val="0"/>
          <w:noProof/>
          <w:sz w:val="24"/>
          <w:szCs w:val="24"/>
          <w:lang w:eastAsia="lv-LV"/>
        </w:rPr>
      </w:pPr>
      <w:hyperlink w:anchor="_Toc344907238" w:history="1">
        <w:r w:rsidR="00E7750C" w:rsidRPr="00E7750C">
          <w:rPr>
            <w:rStyle w:val="Hyperlink"/>
            <w:rFonts w:ascii="Times New Roman" w:eastAsia="Times New Roman" w:hAnsi="Times New Roman" w:cs="Times New Roman"/>
            <w:noProof/>
            <w:sz w:val="24"/>
            <w:szCs w:val="24"/>
          </w:rPr>
          <w:t>2.1.</w:t>
        </w:r>
        <w:r w:rsidR="00E7750C" w:rsidRPr="00E7750C">
          <w:rPr>
            <w:rFonts w:ascii="Times New Roman" w:eastAsiaTheme="minorEastAsia" w:hAnsi="Times New Roman" w:cs="Times New Roman"/>
            <w:smallCaps w:val="0"/>
            <w:noProof/>
            <w:sz w:val="24"/>
            <w:szCs w:val="24"/>
            <w:lang w:eastAsia="lv-LV"/>
          </w:rPr>
          <w:tab/>
        </w:r>
        <w:r w:rsidR="00E7750C" w:rsidRPr="00E7750C">
          <w:rPr>
            <w:rStyle w:val="Hyperlink"/>
            <w:rFonts w:ascii="Times New Roman" w:eastAsia="Times New Roman" w:hAnsi="Times New Roman" w:cs="Times New Roman"/>
            <w:noProof/>
            <w:sz w:val="24"/>
            <w:szCs w:val="24"/>
          </w:rPr>
          <w:t>Ārējais tirgus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_Toc344907238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6</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2"/>
        <w:tabs>
          <w:tab w:val="left" w:pos="1680"/>
          <w:tab w:val="right" w:leader="dot" w:pos="9203"/>
        </w:tabs>
        <w:rPr>
          <w:rFonts w:ascii="Times New Roman" w:eastAsiaTheme="minorEastAsia" w:hAnsi="Times New Roman" w:cs="Times New Roman"/>
          <w:smallCaps w:val="0"/>
          <w:noProof/>
          <w:sz w:val="24"/>
          <w:szCs w:val="24"/>
          <w:lang w:eastAsia="lv-LV"/>
        </w:rPr>
      </w:pPr>
      <w:hyperlink w:anchor="_Toc344907239" w:history="1">
        <w:r w:rsidR="00E7750C" w:rsidRPr="00E7750C">
          <w:rPr>
            <w:rStyle w:val="Hyperlink"/>
            <w:rFonts w:ascii="Times New Roman" w:eastAsia="Times New Roman" w:hAnsi="Times New Roman" w:cs="Times New Roman"/>
            <w:noProof/>
            <w:sz w:val="24"/>
            <w:szCs w:val="24"/>
          </w:rPr>
          <w:t>2.2.</w:t>
        </w:r>
        <w:r w:rsidR="00E7750C" w:rsidRPr="00E7750C">
          <w:rPr>
            <w:rFonts w:ascii="Times New Roman" w:eastAsiaTheme="minorEastAsia" w:hAnsi="Times New Roman" w:cs="Times New Roman"/>
            <w:smallCaps w:val="0"/>
            <w:noProof/>
            <w:sz w:val="24"/>
            <w:szCs w:val="24"/>
            <w:lang w:eastAsia="lv-LV"/>
          </w:rPr>
          <w:tab/>
        </w:r>
        <w:r w:rsidR="00E7750C" w:rsidRPr="00E7750C">
          <w:rPr>
            <w:rStyle w:val="Hyperlink"/>
            <w:rFonts w:ascii="Times New Roman" w:eastAsia="Times New Roman" w:hAnsi="Times New Roman" w:cs="Times New Roman"/>
            <w:noProof/>
            <w:sz w:val="24"/>
            <w:szCs w:val="24"/>
          </w:rPr>
          <w:t>Iekšējais tirgus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_Toc344907239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8</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3"/>
        <w:tabs>
          <w:tab w:val="right" w:leader="dot" w:pos="9203"/>
        </w:tabs>
        <w:rPr>
          <w:rFonts w:ascii="Times New Roman" w:eastAsiaTheme="minorEastAsia" w:hAnsi="Times New Roman" w:cs="Times New Roman"/>
          <w:i w:val="0"/>
          <w:iCs w:val="0"/>
          <w:noProof/>
          <w:sz w:val="24"/>
          <w:szCs w:val="24"/>
          <w:lang w:eastAsia="lv-LV"/>
        </w:rPr>
      </w:pPr>
      <w:hyperlink w:anchor="_Toc344907240" w:history="1">
        <w:r w:rsidR="00E7750C" w:rsidRPr="00E7750C">
          <w:rPr>
            <w:rStyle w:val="Hyperlink"/>
            <w:rFonts w:ascii="Times New Roman" w:eastAsia="Times New Roman" w:hAnsi="Times New Roman" w:cs="Times New Roman"/>
            <w:noProof/>
            <w:sz w:val="24"/>
            <w:szCs w:val="24"/>
          </w:rPr>
          <w:t>2.2.1.Mājsaimniecības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_Toc344907240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11</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3"/>
        <w:tabs>
          <w:tab w:val="right" w:leader="dot" w:pos="9203"/>
        </w:tabs>
        <w:rPr>
          <w:rFonts w:ascii="Times New Roman" w:eastAsiaTheme="minorEastAsia" w:hAnsi="Times New Roman" w:cs="Times New Roman"/>
          <w:i w:val="0"/>
          <w:iCs w:val="0"/>
          <w:noProof/>
          <w:sz w:val="24"/>
          <w:szCs w:val="24"/>
          <w:lang w:eastAsia="lv-LV"/>
        </w:rPr>
      </w:pPr>
      <w:hyperlink w:anchor="_Toc344907241" w:history="1">
        <w:r w:rsidR="00E7750C" w:rsidRPr="00E7750C">
          <w:rPr>
            <w:rStyle w:val="Hyperlink"/>
            <w:rFonts w:ascii="Times New Roman" w:eastAsia="Times New Roman" w:hAnsi="Times New Roman" w:cs="Times New Roman"/>
            <w:noProof/>
            <w:sz w:val="24"/>
            <w:szCs w:val="24"/>
          </w:rPr>
          <w:t>2.2.2.Juridiskas personas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_Toc344907241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13</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1"/>
        <w:tabs>
          <w:tab w:val="left" w:pos="1120"/>
          <w:tab w:val="right" w:leader="dot" w:pos="9203"/>
        </w:tabs>
        <w:rPr>
          <w:rFonts w:ascii="Times New Roman" w:eastAsiaTheme="minorEastAsia" w:hAnsi="Times New Roman" w:cs="Times New Roman"/>
          <w:b w:val="0"/>
          <w:bCs w:val="0"/>
          <w:caps w:val="0"/>
          <w:noProof/>
          <w:sz w:val="24"/>
          <w:szCs w:val="24"/>
          <w:lang w:eastAsia="lv-LV"/>
        </w:rPr>
      </w:pPr>
      <w:hyperlink w:anchor="_Toc344907242" w:history="1">
        <w:r w:rsidR="00E7750C" w:rsidRPr="00E7750C">
          <w:rPr>
            <w:rStyle w:val="Hyperlink"/>
            <w:rFonts w:ascii="Times New Roman" w:eastAsia="Times New Roman" w:hAnsi="Times New Roman" w:cs="Times New Roman"/>
            <w:noProof/>
            <w:sz w:val="24"/>
            <w:szCs w:val="24"/>
          </w:rPr>
          <w:t>3.</w:t>
        </w:r>
        <w:r w:rsidR="00E7750C" w:rsidRPr="00E7750C">
          <w:rPr>
            <w:rFonts w:ascii="Times New Roman" w:eastAsiaTheme="minorEastAsia" w:hAnsi="Times New Roman" w:cs="Times New Roman"/>
            <w:b w:val="0"/>
            <w:bCs w:val="0"/>
            <w:caps w:val="0"/>
            <w:noProof/>
            <w:sz w:val="24"/>
            <w:szCs w:val="24"/>
            <w:lang w:eastAsia="lv-LV"/>
          </w:rPr>
          <w:tab/>
        </w:r>
        <w:r w:rsidR="00E7750C" w:rsidRPr="00E7750C">
          <w:rPr>
            <w:rStyle w:val="Hyperlink"/>
            <w:rFonts w:ascii="Times New Roman" w:hAnsi="Times New Roman" w:cs="Times New Roman"/>
            <w:noProof/>
            <w:sz w:val="24"/>
            <w:szCs w:val="24"/>
          </w:rPr>
          <w:t>Pārvades</w:t>
        </w:r>
        <w:r w:rsidR="00E7750C" w:rsidRPr="00E7750C">
          <w:rPr>
            <w:rStyle w:val="Hyperlink"/>
            <w:rFonts w:ascii="Times New Roman" w:eastAsia="Times New Roman" w:hAnsi="Times New Roman" w:cs="Times New Roman"/>
            <w:noProof/>
            <w:sz w:val="24"/>
            <w:szCs w:val="24"/>
          </w:rPr>
          <w:t xml:space="preserve"> un sadales tīklu struktūra un izmaksas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_Toc344907242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14</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1"/>
        <w:tabs>
          <w:tab w:val="left" w:pos="1120"/>
          <w:tab w:val="right" w:leader="dot" w:pos="9203"/>
        </w:tabs>
        <w:rPr>
          <w:rFonts w:ascii="Times New Roman" w:eastAsiaTheme="minorEastAsia" w:hAnsi="Times New Roman" w:cs="Times New Roman"/>
          <w:b w:val="0"/>
          <w:bCs w:val="0"/>
          <w:caps w:val="0"/>
          <w:noProof/>
          <w:sz w:val="24"/>
          <w:szCs w:val="24"/>
          <w:lang w:eastAsia="lv-LV"/>
        </w:rPr>
      </w:pPr>
      <w:hyperlink w:anchor="_Toc344907243" w:history="1">
        <w:r w:rsidR="00E7750C" w:rsidRPr="00E7750C">
          <w:rPr>
            <w:rStyle w:val="Hyperlink"/>
            <w:rFonts w:ascii="Times New Roman" w:hAnsi="Times New Roman" w:cs="Times New Roman"/>
            <w:noProof/>
            <w:sz w:val="24"/>
            <w:szCs w:val="24"/>
          </w:rPr>
          <w:t>4.</w:t>
        </w:r>
        <w:r w:rsidR="00E7750C" w:rsidRPr="00E7750C">
          <w:rPr>
            <w:rFonts w:ascii="Times New Roman" w:eastAsiaTheme="minorEastAsia" w:hAnsi="Times New Roman" w:cs="Times New Roman"/>
            <w:b w:val="0"/>
            <w:bCs w:val="0"/>
            <w:caps w:val="0"/>
            <w:noProof/>
            <w:sz w:val="24"/>
            <w:szCs w:val="24"/>
            <w:lang w:eastAsia="lv-LV"/>
          </w:rPr>
          <w:tab/>
        </w:r>
        <w:r w:rsidR="00E7750C" w:rsidRPr="00E7750C">
          <w:rPr>
            <w:rStyle w:val="Hyperlink"/>
            <w:rFonts w:ascii="Times New Roman" w:hAnsi="Times New Roman" w:cs="Times New Roman"/>
            <w:noProof/>
            <w:sz w:val="24"/>
            <w:szCs w:val="24"/>
          </w:rPr>
          <w:t>Elektroenerģijas obligātais iepirkums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_Toc344907243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19</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2"/>
        <w:tabs>
          <w:tab w:val="left" w:pos="1680"/>
          <w:tab w:val="right" w:leader="dot" w:pos="9203"/>
        </w:tabs>
        <w:rPr>
          <w:rFonts w:ascii="Times New Roman" w:eastAsiaTheme="minorEastAsia" w:hAnsi="Times New Roman" w:cs="Times New Roman"/>
          <w:smallCaps w:val="0"/>
          <w:noProof/>
          <w:sz w:val="24"/>
          <w:szCs w:val="24"/>
          <w:lang w:eastAsia="lv-LV"/>
        </w:rPr>
      </w:pPr>
      <w:hyperlink w:anchor="_Toc344907244" w:history="1">
        <w:r w:rsidR="00E7750C" w:rsidRPr="00E7750C">
          <w:rPr>
            <w:rStyle w:val="Hyperlink"/>
            <w:rFonts w:ascii="Times New Roman" w:hAnsi="Times New Roman" w:cs="Times New Roman"/>
            <w:noProof/>
            <w:sz w:val="24"/>
            <w:szCs w:val="24"/>
          </w:rPr>
          <w:t>4.1.</w:t>
        </w:r>
        <w:r w:rsidR="00E7750C" w:rsidRPr="00E7750C">
          <w:rPr>
            <w:rFonts w:ascii="Times New Roman" w:eastAsiaTheme="minorEastAsia" w:hAnsi="Times New Roman" w:cs="Times New Roman"/>
            <w:smallCaps w:val="0"/>
            <w:noProof/>
            <w:sz w:val="24"/>
            <w:szCs w:val="24"/>
            <w:lang w:eastAsia="lv-LV"/>
          </w:rPr>
          <w:tab/>
        </w:r>
        <w:r w:rsidR="00E7750C" w:rsidRPr="00E7750C">
          <w:rPr>
            <w:rStyle w:val="Hyperlink"/>
            <w:rFonts w:ascii="Times New Roman" w:hAnsi="Times New Roman" w:cs="Times New Roman"/>
            <w:noProof/>
            <w:sz w:val="24"/>
            <w:szCs w:val="24"/>
          </w:rPr>
          <w:t>Juridiskais ietvars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_Toc344907244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19</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3"/>
        <w:tabs>
          <w:tab w:val="left" w:pos="1960"/>
          <w:tab w:val="right" w:leader="dot" w:pos="9203"/>
        </w:tabs>
        <w:rPr>
          <w:rFonts w:ascii="Times New Roman" w:eastAsiaTheme="minorEastAsia" w:hAnsi="Times New Roman" w:cs="Times New Roman"/>
          <w:i w:val="0"/>
          <w:iCs w:val="0"/>
          <w:noProof/>
          <w:sz w:val="24"/>
          <w:szCs w:val="24"/>
          <w:lang w:eastAsia="lv-LV"/>
        </w:rPr>
      </w:pPr>
      <w:hyperlink w:anchor="_Toc344907245" w:history="1">
        <w:r w:rsidR="00E7750C" w:rsidRPr="00E7750C">
          <w:rPr>
            <w:rStyle w:val="Hyperlink"/>
            <w:rFonts w:ascii="Times New Roman" w:hAnsi="Times New Roman" w:cs="Times New Roman"/>
            <w:noProof/>
            <w:sz w:val="24"/>
            <w:szCs w:val="24"/>
          </w:rPr>
          <w:t>4.1.1.</w:t>
        </w:r>
        <w:r w:rsidR="00E7750C" w:rsidRPr="00E7750C">
          <w:rPr>
            <w:rFonts w:ascii="Times New Roman" w:eastAsiaTheme="minorEastAsia" w:hAnsi="Times New Roman" w:cs="Times New Roman"/>
            <w:i w:val="0"/>
            <w:iCs w:val="0"/>
            <w:noProof/>
            <w:sz w:val="24"/>
            <w:szCs w:val="24"/>
            <w:lang w:eastAsia="lv-LV"/>
          </w:rPr>
          <w:tab/>
        </w:r>
        <w:r w:rsidR="00E7750C" w:rsidRPr="00E7750C">
          <w:rPr>
            <w:rStyle w:val="Hyperlink"/>
            <w:rFonts w:ascii="Times New Roman" w:hAnsi="Times New Roman" w:cs="Times New Roman"/>
            <w:noProof/>
            <w:sz w:val="24"/>
            <w:szCs w:val="24"/>
          </w:rPr>
          <w:t>Koģenerācijas stacijās saražotā elektroenerģija</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_Toc344907245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19</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3"/>
        <w:tabs>
          <w:tab w:val="right" w:leader="dot" w:pos="9203"/>
        </w:tabs>
        <w:rPr>
          <w:rFonts w:ascii="Times New Roman" w:eastAsiaTheme="minorEastAsia" w:hAnsi="Times New Roman" w:cs="Times New Roman"/>
          <w:i w:val="0"/>
          <w:iCs w:val="0"/>
          <w:noProof/>
          <w:sz w:val="24"/>
          <w:szCs w:val="24"/>
          <w:lang w:eastAsia="lv-LV"/>
        </w:rPr>
      </w:pPr>
      <w:hyperlink w:anchor="_Toc344907246" w:history="1">
        <w:r w:rsidR="00E7750C" w:rsidRPr="00E7750C">
          <w:rPr>
            <w:rStyle w:val="Hyperlink"/>
            <w:rFonts w:ascii="Times New Roman" w:hAnsi="Times New Roman" w:cs="Times New Roman"/>
            <w:noProof/>
            <w:sz w:val="24"/>
            <w:szCs w:val="24"/>
          </w:rPr>
          <w:t>4.1.2. Elektroenerģijas ražošana, izmantojot atjaunojamos energoresursus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_Toc344907246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21</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2"/>
        <w:tabs>
          <w:tab w:val="left" w:pos="1680"/>
          <w:tab w:val="right" w:leader="dot" w:pos="9203"/>
        </w:tabs>
        <w:rPr>
          <w:rFonts w:ascii="Times New Roman" w:eastAsiaTheme="minorEastAsia" w:hAnsi="Times New Roman" w:cs="Times New Roman"/>
          <w:smallCaps w:val="0"/>
          <w:noProof/>
          <w:sz w:val="24"/>
          <w:szCs w:val="24"/>
          <w:lang w:eastAsia="lv-LV"/>
        </w:rPr>
      </w:pPr>
      <w:hyperlink w:anchor="_Toc344907247" w:history="1">
        <w:r w:rsidR="00E7750C" w:rsidRPr="00E7750C">
          <w:rPr>
            <w:rStyle w:val="Hyperlink"/>
            <w:rFonts w:ascii="Times New Roman" w:hAnsi="Times New Roman" w:cs="Times New Roman"/>
            <w:noProof/>
            <w:sz w:val="24"/>
            <w:szCs w:val="24"/>
          </w:rPr>
          <w:t>4.2.</w:t>
        </w:r>
        <w:r w:rsidR="00E7750C" w:rsidRPr="00E7750C">
          <w:rPr>
            <w:rFonts w:ascii="Times New Roman" w:eastAsiaTheme="minorEastAsia" w:hAnsi="Times New Roman" w:cs="Times New Roman"/>
            <w:smallCaps w:val="0"/>
            <w:noProof/>
            <w:sz w:val="24"/>
            <w:szCs w:val="24"/>
            <w:lang w:eastAsia="lv-LV"/>
          </w:rPr>
          <w:tab/>
        </w:r>
        <w:r w:rsidR="00E7750C" w:rsidRPr="00E7750C">
          <w:rPr>
            <w:rStyle w:val="Hyperlink"/>
            <w:rFonts w:ascii="Times New Roman" w:hAnsi="Times New Roman" w:cs="Times New Roman"/>
            <w:noProof/>
            <w:sz w:val="24"/>
            <w:szCs w:val="24"/>
          </w:rPr>
          <w:t>Obligātā iepirkuma prognoze</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_Toc344907247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23</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2"/>
        <w:tabs>
          <w:tab w:val="left" w:pos="1680"/>
          <w:tab w:val="right" w:leader="dot" w:pos="9203"/>
        </w:tabs>
        <w:rPr>
          <w:rFonts w:ascii="Times New Roman" w:eastAsiaTheme="minorEastAsia" w:hAnsi="Times New Roman" w:cs="Times New Roman"/>
          <w:smallCaps w:val="0"/>
          <w:noProof/>
          <w:sz w:val="24"/>
          <w:szCs w:val="24"/>
          <w:lang w:eastAsia="lv-LV"/>
        </w:rPr>
      </w:pPr>
      <w:hyperlink w:anchor="_Toc344907248" w:history="1">
        <w:r w:rsidR="00E7750C" w:rsidRPr="00E7750C">
          <w:rPr>
            <w:rStyle w:val="Hyperlink"/>
            <w:rFonts w:ascii="Times New Roman" w:hAnsi="Times New Roman" w:cs="Times New Roman"/>
            <w:noProof/>
            <w:sz w:val="24"/>
            <w:szCs w:val="24"/>
          </w:rPr>
          <w:t>4.3.</w:t>
        </w:r>
        <w:r w:rsidR="00E7750C" w:rsidRPr="00E7750C">
          <w:rPr>
            <w:rFonts w:ascii="Times New Roman" w:eastAsiaTheme="minorEastAsia" w:hAnsi="Times New Roman" w:cs="Times New Roman"/>
            <w:smallCaps w:val="0"/>
            <w:noProof/>
            <w:sz w:val="24"/>
            <w:szCs w:val="24"/>
            <w:lang w:eastAsia="lv-LV"/>
          </w:rPr>
          <w:tab/>
        </w:r>
        <w:r w:rsidR="00E7750C" w:rsidRPr="00E7750C">
          <w:rPr>
            <w:rStyle w:val="Hyperlink"/>
            <w:rFonts w:ascii="Times New Roman" w:hAnsi="Times New Roman" w:cs="Times New Roman"/>
            <w:noProof/>
            <w:sz w:val="24"/>
            <w:szCs w:val="24"/>
          </w:rPr>
          <w:t>OIK izmaksu ietekme uz patērētāju grupām</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_Toc344907248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28</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1"/>
        <w:tabs>
          <w:tab w:val="left" w:pos="1120"/>
          <w:tab w:val="right" w:leader="dot" w:pos="9203"/>
        </w:tabs>
        <w:rPr>
          <w:rFonts w:ascii="Times New Roman" w:eastAsiaTheme="minorEastAsia" w:hAnsi="Times New Roman" w:cs="Times New Roman"/>
          <w:b w:val="0"/>
          <w:bCs w:val="0"/>
          <w:caps w:val="0"/>
          <w:noProof/>
          <w:sz w:val="24"/>
          <w:szCs w:val="24"/>
          <w:lang w:eastAsia="lv-LV"/>
        </w:rPr>
      </w:pPr>
      <w:hyperlink w:anchor="_Toc344907249" w:history="1">
        <w:r w:rsidR="00E7750C" w:rsidRPr="00E7750C">
          <w:rPr>
            <w:rStyle w:val="Hyperlink"/>
            <w:rFonts w:ascii="Times New Roman" w:hAnsi="Times New Roman" w:cs="Times New Roman"/>
            <w:noProof/>
            <w:sz w:val="24"/>
            <w:szCs w:val="24"/>
          </w:rPr>
          <w:t>5.</w:t>
        </w:r>
        <w:r w:rsidR="00E7750C" w:rsidRPr="00E7750C">
          <w:rPr>
            <w:rFonts w:ascii="Times New Roman" w:eastAsiaTheme="minorEastAsia" w:hAnsi="Times New Roman" w:cs="Times New Roman"/>
            <w:b w:val="0"/>
            <w:bCs w:val="0"/>
            <w:caps w:val="0"/>
            <w:noProof/>
            <w:sz w:val="24"/>
            <w:szCs w:val="24"/>
            <w:lang w:eastAsia="lv-LV"/>
          </w:rPr>
          <w:tab/>
        </w:r>
        <w:r w:rsidR="00E7750C" w:rsidRPr="00E7750C">
          <w:rPr>
            <w:rStyle w:val="Hyperlink"/>
            <w:rFonts w:ascii="Times New Roman" w:hAnsi="Times New Roman" w:cs="Times New Roman"/>
            <w:noProof/>
            <w:sz w:val="24"/>
            <w:szCs w:val="24"/>
          </w:rPr>
          <w:t>Elektroenerģijas kopējās cenas prognozes un paredzamie riski</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_Toc344907249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32</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1"/>
        <w:tabs>
          <w:tab w:val="left" w:pos="1120"/>
          <w:tab w:val="right" w:leader="dot" w:pos="9203"/>
        </w:tabs>
        <w:rPr>
          <w:rFonts w:ascii="Times New Roman" w:eastAsiaTheme="minorEastAsia" w:hAnsi="Times New Roman" w:cs="Times New Roman"/>
          <w:b w:val="0"/>
          <w:bCs w:val="0"/>
          <w:caps w:val="0"/>
          <w:noProof/>
          <w:sz w:val="24"/>
          <w:szCs w:val="24"/>
          <w:lang w:eastAsia="lv-LV"/>
        </w:rPr>
      </w:pPr>
      <w:hyperlink w:anchor="_Toc344907250" w:history="1">
        <w:r w:rsidR="00E7750C" w:rsidRPr="00E7750C">
          <w:rPr>
            <w:rStyle w:val="Hyperlink"/>
            <w:rFonts w:ascii="Times New Roman" w:hAnsi="Times New Roman" w:cs="Times New Roman"/>
            <w:noProof/>
            <w:sz w:val="24"/>
            <w:szCs w:val="24"/>
          </w:rPr>
          <w:t>6.</w:t>
        </w:r>
        <w:r w:rsidR="00E7750C" w:rsidRPr="00E7750C">
          <w:rPr>
            <w:rFonts w:ascii="Times New Roman" w:eastAsiaTheme="minorEastAsia" w:hAnsi="Times New Roman" w:cs="Times New Roman"/>
            <w:b w:val="0"/>
            <w:bCs w:val="0"/>
            <w:caps w:val="0"/>
            <w:noProof/>
            <w:sz w:val="24"/>
            <w:szCs w:val="24"/>
            <w:lang w:eastAsia="lv-LV"/>
          </w:rPr>
          <w:tab/>
        </w:r>
        <w:r w:rsidR="00E7750C" w:rsidRPr="00E7750C">
          <w:rPr>
            <w:rStyle w:val="Hyperlink"/>
            <w:rFonts w:ascii="Times New Roman" w:hAnsi="Times New Roman" w:cs="Times New Roman"/>
            <w:noProof/>
            <w:sz w:val="24"/>
            <w:szCs w:val="24"/>
          </w:rPr>
          <w:t>Citu valstu pieredze līdzīgu izaicinājumu risināšanā</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_Toc344907250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39</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2"/>
        <w:tabs>
          <w:tab w:val="left" w:pos="1680"/>
          <w:tab w:val="right" w:leader="dot" w:pos="9203"/>
        </w:tabs>
        <w:rPr>
          <w:rFonts w:ascii="Times New Roman" w:eastAsiaTheme="minorEastAsia" w:hAnsi="Times New Roman" w:cs="Times New Roman"/>
          <w:smallCaps w:val="0"/>
          <w:noProof/>
          <w:sz w:val="24"/>
          <w:szCs w:val="24"/>
          <w:lang w:eastAsia="lv-LV"/>
        </w:rPr>
      </w:pPr>
      <w:hyperlink w:anchor="_Toc344907251" w:history="1">
        <w:r w:rsidR="00E7750C" w:rsidRPr="00E7750C">
          <w:rPr>
            <w:rStyle w:val="Hyperlink"/>
            <w:rFonts w:ascii="Times New Roman" w:hAnsi="Times New Roman" w:cs="Times New Roman"/>
            <w:noProof/>
            <w:sz w:val="24"/>
            <w:szCs w:val="24"/>
          </w:rPr>
          <w:t>6.1.</w:t>
        </w:r>
        <w:r w:rsidR="00E7750C" w:rsidRPr="00E7750C">
          <w:rPr>
            <w:rFonts w:ascii="Times New Roman" w:eastAsiaTheme="minorEastAsia" w:hAnsi="Times New Roman" w:cs="Times New Roman"/>
            <w:smallCaps w:val="0"/>
            <w:noProof/>
            <w:sz w:val="24"/>
            <w:szCs w:val="24"/>
            <w:lang w:eastAsia="lv-LV"/>
          </w:rPr>
          <w:tab/>
        </w:r>
        <w:r w:rsidR="00E7750C" w:rsidRPr="00E7750C">
          <w:rPr>
            <w:rStyle w:val="Hyperlink"/>
            <w:rFonts w:ascii="Times New Roman" w:hAnsi="Times New Roman" w:cs="Times New Roman"/>
            <w:noProof/>
            <w:sz w:val="24"/>
            <w:szCs w:val="24"/>
          </w:rPr>
          <w:t>Izmaksu mazināšana</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_Toc344907251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39</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2"/>
        <w:tabs>
          <w:tab w:val="left" w:pos="1680"/>
          <w:tab w:val="right" w:leader="dot" w:pos="9203"/>
        </w:tabs>
        <w:rPr>
          <w:rFonts w:ascii="Times New Roman" w:eastAsiaTheme="minorEastAsia" w:hAnsi="Times New Roman" w:cs="Times New Roman"/>
          <w:smallCaps w:val="0"/>
          <w:noProof/>
          <w:sz w:val="24"/>
          <w:szCs w:val="24"/>
          <w:lang w:eastAsia="lv-LV"/>
        </w:rPr>
      </w:pPr>
      <w:hyperlink w:anchor="_Toc344907252" w:history="1">
        <w:r w:rsidR="00E7750C" w:rsidRPr="00E7750C">
          <w:rPr>
            <w:rStyle w:val="Hyperlink"/>
            <w:rFonts w:ascii="Times New Roman" w:hAnsi="Times New Roman" w:cs="Times New Roman"/>
            <w:noProof/>
            <w:sz w:val="24"/>
            <w:szCs w:val="24"/>
          </w:rPr>
          <w:t>6.2.</w:t>
        </w:r>
        <w:r w:rsidR="00E7750C" w:rsidRPr="00E7750C">
          <w:rPr>
            <w:rFonts w:ascii="Times New Roman" w:eastAsiaTheme="minorEastAsia" w:hAnsi="Times New Roman" w:cs="Times New Roman"/>
            <w:smallCaps w:val="0"/>
            <w:noProof/>
            <w:sz w:val="24"/>
            <w:szCs w:val="24"/>
            <w:lang w:eastAsia="lv-LV"/>
          </w:rPr>
          <w:tab/>
        </w:r>
        <w:r w:rsidR="00E7750C" w:rsidRPr="00E7750C">
          <w:rPr>
            <w:rStyle w:val="Hyperlink"/>
            <w:rFonts w:ascii="Times New Roman" w:hAnsi="Times New Roman" w:cs="Times New Roman"/>
            <w:noProof/>
            <w:sz w:val="24"/>
            <w:szCs w:val="24"/>
          </w:rPr>
          <w:t>Obligātā iepirkuma izmaksu pārdale pa lietotāju grupām</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_Toc344907252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41</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1"/>
        <w:tabs>
          <w:tab w:val="left" w:pos="1120"/>
          <w:tab w:val="right" w:leader="dot" w:pos="9203"/>
        </w:tabs>
        <w:rPr>
          <w:rFonts w:ascii="Times New Roman" w:eastAsiaTheme="minorEastAsia" w:hAnsi="Times New Roman" w:cs="Times New Roman"/>
          <w:b w:val="0"/>
          <w:bCs w:val="0"/>
          <w:caps w:val="0"/>
          <w:noProof/>
          <w:sz w:val="24"/>
          <w:szCs w:val="24"/>
          <w:lang w:eastAsia="lv-LV"/>
        </w:rPr>
      </w:pPr>
      <w:hyperlink w:anchor="_Toc344907253" w:history="1">
        <w:r w:rsidR="00E7750C" w:rsidRPr="00E7750C">
          <w:rPr>
            <w:rStyle w:val="Hyperlink"/>
            <w:rFonts w:ascii="Times New Roman" w:hAnsi="Times New Roman" w:cs="Times New Roman"/>
            <w:noProof/>
            <w:sz w:val="24"/>
            <w:szCs w:val="24"/>
          </w:rPr>
          <w:t>7.</w:t>
        </w:r>
        <w:r w:rsidR="00E7750C" w:rsidRPr="00E7750C">
          <w:rPr>
            <w:rFonts w:ascii="Times New Roman" w:eastAsiaTheme="minorEastAsia" w:hAnsi="Times New Roman" w:cs="Times New Roman"/>
            <w:b w:val="0"/>
            <w:bCs w:val="0"/>
            <w:caps w:val="0"/>
            <w:noProof/>
            <w:sz w:val="24"/>
            <w:szCs w:val="24"/>
            <w:lang w:eastAsia="lv-LV"/>
          </w:rPr>
          <w:tab/>
        </w:r>
        <w:r w:rsidR="00E7750C" w:rsidRPr="00E7750C">
          <w:rPr>
            <w:rStyle w:val="Hyperlink"/>
            <w:rFonts w:ascii="Times New Roman" w:hAnsi="Times New Roman" w:cs="Times New Roman"/>
            <w:noProof/>
            <w:sz w:val="24"/>
            <w:szCs w:val="24"/>
          </w:rPr>
          <w:t>Priekšlikumi turpmākiem attīstības virzieniem</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_Toc344907253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43</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2"/>
        <w:tabs>
          <w:tab w:val="left" w:pos="1680"/>
          <w:tab w:val="right" w:leader="dot" w:pos="9203"/>
        </w:tabs>
        <w:rPr>
          <w:rFonts w:ascii="Times New Roman" w:eastAsiaTheme="minorEastAsia" w:hAnsi="Times New Roman" w:cs="Times New Roman"/>
          <w:smallCaps w:val="0"/>
          <w:noProof/>
          <w:sz w:val="24"/>
          <w:szCs w:val="24"/>
          <w:lang w:eastAsia="lv-LV"/>
        </w:rPr>
      </w:pPr>
      <w:hyperlink w:anchor="_Toc344907254" w:history="1">
        <w:r w:rsidR="00E7750C" w:rsidRPr="00E7750C">
          <w:rPr>
            <w:rStyle w:val="Hyperlink"/>
            <w:rFonts w:ascii="Times New Roman" w:hAnsi="Times New Roman" w:cs="Times New Roman"/>
            <w:noProof/>
            <w:sz w:val="24"/>
            <w:szCs w:val="24"/>
          </w:rPr>
          <w:t>7.1.</w:t>
        </w:r>
        <w:r w:rsidR="00E7750C" w:rsidRPr="00E7750C">
          <w:rPr>
            <w:rFonts w:ascii="Times New Roman" w:eastAsiaTheme="minorEastAsia" w:hAnsi="Times New Roman" w:cs="Times New Roman"/>
            <w:smallCaps w:val="0"/>
            <w:noProof/>
            <w:sz w:val="24"/>
            <w:szCs w:val="24"/>
            <w:lang w:eastAsia="lv-LV"/>
          </w:rPr>
          <w:tab/>
        </w:r>
        <w:r w:rsidR="00E7750C" w:rsidRPr="00E7750C">
          <w:rPr>
            <w:rStyle w:val="Hyperlink"/>
            <w:rFonts w:ascii="Times New Roman" w:hAnsi="Times New Roman" w:cs="Times New Roman"/>
            <w:noProof/>
            <w:sz w:val="24"/>
            <w:szCs w:val="24"/>
          </w:rPr>
          <w:t>OIK izmaksu samazināšanas iespējas</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_Toc344907254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43</w:t>
        </w:r>
        <w:r w:rsidR="00E7750C" w:rsidRPr="00E7750C">
          <w:rPr>
            <w:rFonts w:ascii="Times New Roman" w:hAnsi="Times New Roman" w:cs="Times New Roman"/>
            <w:noProof/>
            <w:webHidden/>
            <w:sz w:val="24"/>
            <w:szCs w:val="24"/>
          </w:rPr>
          <w:fldChar w:fldCharType="end"/>
        </w:r>
      </w:hyperlink>
    </w:p>
    <w:p w:rsidR="00E7750C" w:rsidRPr="00E7750C" w:rsidRDefault="00927532">
      <w:pPr>
        <w:pStyle w:val="TOC2"/>
        <w:tabs>
          <w:tab w:val="left" w:pos="1680"/>
          <w:tab w:val="right" w:leader="dot" w:pos="9203"/>
        </w:tabs>
        <w:rPr>
          <w:rFonts w:ascii="Times New Roman" w:eastAsiaTheme="minorEastAsia" w:hAnsi="Times New Roman" w:cs="Times New Roman"/>
          <w:smallCaps w:val="0"/>
          <w:noProof/>
          <w:sz w:val="24"/>
          <w:szCs w:val="24"/>
          <w:lang w:eastAsia="lv-LV"/>
        </w:rPr>
      </w:pPr>
      <w:hyperlink w:anchor="_Toc344907255" w:history="1">
        <w:r w:rsidR="00E7750C" w:rsidRPr="00E7750C">
          <w:rPr>
            <w:rStyle w:val="Hyperlink"/>
            <w:rFonts w:ascii="Times New Roman" w:hAnsi="Times New Roman" w:cs="Times New Roman"/>
            <w:noProof/>
            <w:sz w:val="24"/>
            <w:szCs w:val="24"/>
          </w:rPr>
          <w:t>7.2.</w:t>
        </w:r>
        <w:r w:rsidR="00E7750C" w:rsidRPr="00E7750C">
          <w:rPr>
            <w:rFonts w:ascii="Times New Roman" w:eastAsiaTheme="minorEastAsia" w:hAnsi="Times New Roman" w:cs="Times New Roman"/>
            <w:smallCaps w:val="0"/>
            <w:noProof/>
            <w:sz w:val="24"/>
            <w:szCs w:val="24"/>
            <w:lang w:eastAsia="lv-LV"/>
          </w:rPr>
          <w:tab/>
        </w:r>
        <w:r w:rsidR="00E7750C" w:rsidRPr="00E7750C">
          <w:rPr>
            <w:rStyle w:val="Hyperlink"/>
            <w:rFonts w:ascii="Times New Roman" w:hAnsi="Times New Roman" w:cs="Times New Roman"/>
            <w:noProof/>
            <w:sz w:val="24"/>
            <w:szCs w:val="24"/>
          </w:rPr>
          <w:t>OIK izmaksu pārdales iespējas starp lietotāju grupām</w:t>
        </w:r>
        <w:r w:rsidR="00E7750C" w:rsidRPr="00E7750C">
          <w:rPr>
            <w:rFonts w:ascii="Times New Roman" w:hAnsi="Times New Roman" w:cs="Times New Roman"/>
            <w:noProof/>
            <w:webHidden/>
            <w:sz w:val="24"/>
            <w:szCs w:val="24"/>
          </w:rPr>
          <w:tab/>
        </w:r>
        <w:r w:rsidR="00E7750C" w:rsidRPr="00E7750C">
          <w:rPr>
            <w:rFonts w:ascii="Times New Roman" w:hAnsi="Times New Roman" w:cs="Times New Roman"/>
            <w:noProof/>
            <w:webHidden/>
            <w:sz w:val="24"/>
            <w:szCs w:val="24"/>
          </w:rPr>
          <w:fldChar w:fldCharType="begin"/>
        </w:r>
        <w:r w:rsidR="00E7750C" w:rsidRPr="00E7750C">
          <w:rPr>
            <w:rFonts w:ascii="Times New Roman" w:hAnsi="Times New Roman" w:cs="Times New Roman"/>
            <w:noProof/>
            <w:webHidden/>
            <w:sz w:val="24"/>
            <w:szCs w:val="24"/>
          </w:rPr>
          <w:instrText xml:space="preserve"> PAGEREF _Toc344907255 \h </w:instrText>
        </w:r>
        <w:r w:rsidR="00E7750C" w:rsidRPr="00E7750C">
          <w:rPr>
            <w:rFonts w:ascii="Times New Roman" w:hAnsi="Times New Roman" w:cs="Times New Roman"/>
            <w:noProof/>
            <w:webHidden/>
            <w:sz w:val="24"/>
            <w:szCs w:val="24"/>
          </w:rPr>
        </w:r>
        <w:r w:rsidR="00E7750C" w:rsidRPr="00E7750C">
          <w:rPr>
            <w:rFonts w:ascii="Times New Roman" w:hAnsi="Times New Roman" w:cs="Times New Roman"/>
            <w:noProof/>
            <w:webHidden/>
            <w:sz w:val="24"/>
            <w:szCs w:val="24"/>
          </w:rPr>
          <w:fldChar w:fldCharType="separate"/>
        </w:r>
        <w:r w:rsidR="00E7750C" w:rsidRPr="00E7750C">
          <w:rPr>
            <w:rFonts w:ascii="Times New Roman" w:hAnsi="Times New Roman" w:cs="Times New Roman"/>
            <w:noProof/>
            <w:webHidden/>
            <w:sz w:val="24"/>
            <w:szCs w:val="24"/>
          </w:rPr>
          <w:t>45</w:t>
        </w:r>
        <w:r w:rsidR="00E7750C" w:rsidRPr="00E7750C">
          <w:rPr>
            <w:rFonts w:ascii="Times New Roman" w:hAnsi="Times New Roman" w:cs="Times New Roman"/>
            <w:noProof/>
            <w:webHidden/>
            <w:sz w:val="24"/>
            <w:szCs w:val="24"/>
          </w:rPr>
          <w:fldChar w:fldCharType="end"/>
        </w:r>
      </w:hyperlink>
    </w:p>
    <w:p w:rsidR="00CD7149" w:rsidRPr="00CD7149" w:rsidRDefault="006D30E4" w:rsidP="00CD7149">
      <w:pPr>
        <w:spacing w:after="0" w:line="240" w:lineRule="auto"/>
        <w:rPr>
          <w:rFonts w:ascii="Calibri" w:eastAsia="Calibri" w:hAnsi="Calibri" w:cs="Times New Roman"/>
        </w:rPr>
      </w:pPr>
      <w:r w:rsidRPr="00E7750C">
        <w:rPr>
          <w:rFonts w:eastAsia="Calibri" w:cs="Times New Roman"/>
          <w:sz w:val="24"/>
          <w:szCs w:val="24"/>
        </w:rPr>
        <w:fldChar w:fldCharType="end"/>
      </w:r>
    </w:p>
    <w:p w:rsidR="00CD7149" w:rsidRPr="00177849" w:rsidRDefault="00CD7149" w:rsidP="001F57E9">
      <w:pPr>
        <w:pStyle w:val="Heading1"/>
      </w:pPr>
      <w:bookmarkStart w:id="0" w:name="_Toc344901678"/>
      <w:bookmarkStart w:id="1" w:name="_Toc344901810"/>
      <w:bookmarkStart w:id="2" w:name="_Toc344907235"/>
      <w:r w:rsidRPr="001F57E9">
        <w:lastRenderedPageBreak/>
        <w:t>Ievads</w:t>
      </w:r>
      <w:bookmarkEnd w:id="0"/>
      <w:bookmarkEnd w:id="1"/>
      <w:bookmarkEnd w:id="2"/>
    </w:p>
    <w:p w:rsidR="00CD7149" w:rsidRPr="00CD7149" w:rsidRDefault="00CD7149" w:rsidP="00CD7149">
      <w:pPr>
        <w:spacing w:line="240" w:lineRule="auto"/>
        <w:ind w:firstLine="709"/>
        <w:rPr>
          <w:rFonts w:eastAsia="Calibri" w:cs="Times New Roman"/>
          <w:color w:val="000000"/>
          <w:szCs w:val="28"/>
        </w:rPr>
      </w:pPr>
      <w:r w:rsidRPr="00CD7149">
        <w:rPr>
          <w:rFonts w:eastAsia="Calibri" w:cs="Times New Roman"/>
          <w:color w:val="000000"/>
          <w:szCs w:val="28"/>
        </w:rPr>
        <w:t xml:space="preserve">Enerģijas resursu pieejamība un to cenas vienmēr ir bijis viens no noteicošajiem faktoriem valstu un reģionu ekonomikas konkurētspējas nodrošināšanā. Pašlaik to nozīme ir vēl </w:t>
      </w:r>
      <w:r w:rsidR="00E228D3" w:rsidRPr="00CD7149">
        <w:rPr>
          <w:rFonts w:eastAsia="Calibri" w:cs="Times New Roman"/>
          <w:color w:val="000000"/>
          <w:szCs w:val="28"/>
        </w:rPr>
        <w:t>p</w:t>
      </w:r>
      <w:r w:rsidR="00E228D3">
        <w:rPr>
          <w:rFonts w:eastAsia="Calibri" w:cs="Times New Roman"/>
          <w:color w:val="000000"/>
          <w:szCs w:val="28"/>
        </w:rPr>
        <w:t>alielinājusies</w:t>
      </w:r>
      <w:r w:rsidRPr="00CD7149">
        <w:rPr>
          <w:rFonts w:eastAsia="Calibri" w:cs="Times New Roman"/>
          <w:color w:val="000000"/>
          <w:szCs w:val="28"/>
        </w:rPr>
        <w:t xml:space="preserve">, jo, samazinoties tādām tirdzniecības barjerām kā importa tarifi un starptautiskā transporta izmaksas, klasiskie ražošanas faktori, piemēram, darbaspēka izmaksas un izejvielu, </w:t>
      </w:r>
      <w:proofErr w:type="spellStart"/>
      <w:r w:rsidRPr="00CD7149">
        <w:rPr>
          <w:rFonts w:eastAsia="Calibri" w:cs="Times New Roman"/>
          <w:color w:val="000000"/>
          <w:szCs w:val="28"/>
        </w:rPr>
        <w:t>t.sk</w:t>
      </w:r>
      <w:proofErr w:type="spellEnd"/>
      <w:r w:rsidRPr="00CD7149">
        <w:rPr>
          <w:rFonts w:eastAsia="Calibri" w:cs="Times New Roman"/>
          <w:color w:val="000000"/>
          <w:szCs w:val="28"/>
        </w:rPr>
        <w:t>. enerģijas resursu izmaksas, ir ieņēmuši izšķirošo  lomu konkurences cīņā par globālo tirgu.</w:t>
      </w:r>
    </w:p>
    <w:p w:rsidR="00CD7149" w:rsidRPr="00CD7149" w:rsidRDefault="00CD7149" w:rsidP="00CD7149">
      <w:pPr>
        <w:spacing w:line="240" w:lineRule="auto"/>
        <w:ind w:firstLine="709"/>
        <w:rPr>
          <w:rFonts w:eastAsia="Calibri" w:cs="Times New Roman"/>
          <w:color w:val="000000"/>
          <w:szCs w:val="28"/>
        </w:rPr>
      </w:pPr>
      <w:r w:rsidRPr="00CD7149">
        <w:rPr>
          <w:rFonts w:eastAsia="Calibri" w:cs="Times New Roman"/>
          <w:color w:val="000000"/>
          <w:szCs w:val="28"/>
        </w:rPr>
        <w:t>Paredzams, ka nākamajos 20 gados būtiski palielināsies elektroenerģijas patēriņš, it īpaši valstīs ar strauju industrializācijas pieauguma tempu. Daļēji tas ir skaidrojams ar to, ka jau tradicionāli rūpniecība ir bijusi lielākais elektroenerģijas patērētājs, tomēr elektroenerģijas patēriņu būtiski palielina arī izmaiņas ražošanas tehnoloģijās salīdzinoši augstu efektivitātes un zemu siltumnīcefekta gāzu rādītāju dēļ. Rezultātā industrializācijas rādītāju pieauguma temps ir tieši atkarīgs no elektroenerģijas cenas un  Ekonomikas ministrijas izstrādāt</w:t>
      </w:r>
      <w:r w:rsidR="00BC0D10">
        <w:rPr>
          <w:rFonts w:eastAsia="Calibri" w:cs="Times New Roman"/>
          <w:color w:val="000000"/>
          <w:szCs w:val="28"/>
        </w:rPr>
        <w:t>a</w:t>
      </w:r>
      <w:r w:rsidRPr="00CD7149">
        <w:rPr>
          <w:rFonts w:eastAsia="Calibri" w:cs="Times New Roman"/>
          <w:color w:val="000000"/>
          <w:szCs w:val="28"/>
        </w:rPr>
        <w:t>j</w:t>
      </w:r>
      <w:r w:rsidR="00BC0D10">
        <w:rPr>
          <w:rFonts w:eastAsia="Calibri" w:cs="Times New Roman"/>
          <w:color w:val="000000"/>
          <w:szCs w:val="28"/>
        </w:rPr>
        <w:t>ā</w:t>
      </w:r>
      <w:r w:rsidRPr="00CD7149">
        <w:rPr>
          <w:rFonts w:eastAsia="Calibri" w:cs="Times New Roman"/>
          <w:color w:val="000000"/>
          <w:szCs w:val="28"/>
        </w:rPr>
        <w:t xml:space="preserve"> ilgtermiņa politikas vadlīniju dokumenta projektā „Enerģētikas ilgtermiņa stratēģija 2030 – konkurētspējīga enerģētika sabiedrībai” noteiktais mērķis 2030.gadā sasniegt 20% apstrādes rūpniecības daļu </w:t>
      </w:r>
      <w:r w:rsidR="00DE35A5" w:rsidRPr="00DE35A5">
        <w:rPr>
          <w:rStyle w:val="st1"/>
          <w:rFonts w:cs="Times New Roman"/>
          <w:bCs/>
          <w:color w:val="000000"/>
        </w:rPr>
        <w:t>iekšzemes kopproduktā (</w:t>
      </w:r>
      <w:r w:rsidRPr="00DE35A5">
        <w:rPr>
          <w:rFonts w:eastAsia="Calibri" w:cs="Times New Roman"/>
          <w:color w:val="000000"/>
          <w:szCs w:val="28"/>
        </w:rPr>
        <w:t>IKP</w:t>
      </w:r>
      <w:r w:rsidR="00DE35A5" w:rsidRPr="00DE35A5">
        <w:rPr>
          <w:rFonts w:eastAsia="Calibri" w:cs="Times New Roman"/>
          <w:color w:val="000000"/>
          <w:szCs w:val="28"/>
        </w:rPr>
        <w:t>)</w:t>
      </w:r>
      <w:r w:rsidRPr="00CD7149">
        <w:rPr>
          <w:rFonts w:eastAsia="Calibri" w:cs="Times New Roman"/>
          <w:color w:val="000000"/>
          <w:szCs w:val="28"/>
        </w:rPr>
        <w:t xml:space="preserve"> būs realizējams, tikai vēl vairāk samazinot kapitāla importa barjeras un nodrošinot nozīmīgāko ražošanas resursu, tai skaitā elektroenerģijas, pieejamību un konkurētspējīgu cenu. </w:t>
      </w:r>
    </w:p>
    <w:p w:rsidR="00CD7149" w:rsidRPr="00CD7149" w:rsidRDefault="00CD7149" w:rsidP="00CD7149">
      <w:pPr>
        <w:spacing w:line="240" w:lineRule="auto"/>
        <w:ind w:firstLine="709"/>
        <w:rPr>
          <w:rFonts w:eastAsia="Calibri" w:cs="Times New Roman"/>
          <w:color w:val="000000"/>
          <w:szCs w:val="28"/>
        </w:rPr>
      </w:pPr>
      <w:r w:rsidRPr="00CD7149">
        <w:rPr>
          <w:rFonts w:eastAsia="Calibri" w:cs="Times New Roman"/>
          <w:color w:val="000000"/>
          <w:szCs w:val="28"/>
        </w:rPr>
        <w:t>Līdz 2035.</w:t>
      </w:r>
      <w:r w:rsidR="008D36F2">
        <w:rPr>
          <w:rFonts w:eastAsia="Calibri" w:cs="Times New Roman"/>
          <w:color w:val="000000"/>
          <w:szCs w:val="28"/>
        </w:rPr>
        <w:t> </w:t>
      </w:r>
      <w:r w:rsidRPr="00CD7149">
        <w:rPr>
          <w:rFonts w:eastAsia="Calibri" w:cs="Times New Roman"/>
          <w:color w:val="000000"/>
          <w:szCs w:val="28"/>
        </w:rPr>
        <w:t xml:space="preserve">gadam pasaulē elektroenerģijas cenas pieaugs, kas skaidrojams ar pieaugošām resursu izmaksām, </w:t>
      </w:r>
      <w:proofErr w:type="spellStart"/>
      <w:r w:rsidRPr="00CD7149">
        <w:rPr>
          <w:rFonts w:eastAsia="Calibri" w:cs="Times New Roman"/>
          <w:color w:val="000000"/>
          <w:szCs w:val="28"/>
        </w:rPr>
        <w:t>kapitālietilpīgākām</w:t>
      </w:r>
      <w:proofErr w:type="spellEnd"/>
      <w:r w:rsidRPr="00CD7149">
        <w:rPr>
          <w:rFonts w:eastAsia="Calibri" w:cs="Times New Roman"/>
          <w:color w:val="000000"/>
          <w:szCs w:val="28"/>
        </w:rPr>
        <w:t xml:space="preserve"> ģenerējošām jaudām, </w:t>
      </w:r>
      <w:r w:rsidR="00DE35A5" w:rsidRPr="00B94711">
        <w:rPr>
          <w:bCs/>
          <w:iCs/>
          <w:color w:val="000000"/>
          <w:szCs w:val="28"/>
        </w:rPr>
        <w:t>ogļskāb</w:t>
      </w:r>
      <w:r w:rsidR="00DE35A5">
        <w:rPr>
          <w:bCs/>
          <w:iCs/>
          <w:color w:val="000000"/>
          <w:szCs w:val="28"/>
        </w:rPr>
        <w:t>ās</w:t>
      </w:r>
      <w:r w:rsidR="00DE35A5" w:rsidRPr="00B94711">
        <w:rPr>
          <w:bCs/>
          <w:iCs/>
          <w:color w:val="000000"/>
          <w:szCs w:val="28"/>
        </w:rPr>
        <w:t xml:space="preserve"> gāz</w:t>
      </w:r>
      <w:r w:rsidR="00DE35A5">
        <w:rPr>
          <w:bCs/>
          <w:iCs/>
          <w:color w:val="000000"/>
          <w:szCs w:val="28"/>
        </w:rPr>
        <w:t>es</w:t>
      </w:r>
      <w:r w:rsidR="00DE35A5" w:rsidRPr="00B94711">
        <w:rPr>
          <w:color w:val="000000"/>
          <w:szCs w:val="28"/>
        </w:rPr>
        <w:t> </w:t>
      </w:r>
      <w:r w:rsidR="00DE35A5" w:rsidRPr="00CD7149">
        <w:rPr>
          <w:rFonts w:eastAsia="Calibri" w:cs="Times New Roman"/>
          <w:color w:val="000000"/>
          <w:szCs w:val="28"/>
        </w:rPr>
        <w:t xml:space="preserve"> </w:t>
      </w:r>
      <w:r w:rsidR="00DE35A5">
        <w:rPr>
          <w:rFonts w:eastAsia="Calibri" w:cs="Times New Roman"/>
          <w:color w:val="000000"/>
          <w:szCs w:val="28"/>
        </w:rPr>
        <w:t>(</w:t>
      </w:r>
      <w:r w:rsidRPr="00CD7149">
        <w:rPr>
          <w:rFonts w:eastAsia="Calibri" w:cs="Times New Roman"/>
          <w:color w:val="000000"/>
          <w:szCs w:val="28"/>
        </w:rPr>
        <w:t>CO</w:t>
      </w:r>
      <w:r w:rsidRPr="00A42DA7">
        <w:rPr>
          <w:rFonts w:eastAsia="Calibri" w:cs="Times New Roman"/>
          <w:color w:val="000000"/>
          <w:szCs w:val="28"/>
          <w:vertAlign w:val="subscript"/>
        </w:rPr>
        <w:t>2</w:t>
      </w:r>
      <w:r w:rsidR="00DE35A5" w:rsidRPr="00DE35A5">
        <w:rPr>
          <w:rFonts w:eastAsia="Calibri" w:cs="Times New Roman"/>
          <w:color w:val="000000"/>
          <w:szCs w:val="28"/>
        </w:rPr>
        <w:t>)</w:t>
      </w:r>
      <w:r w:rsidRPr="00CD7149">
        <w:rPr>
          <w:rFonts w:eastAsia="Calibri" w:cs="Times New Roman"/>
          <w:color w:val="000000"/>
          <w:szCs w:val="28"/>
        </w:rPr>
        <w:t xml:space="preserve"> emisiju izmaksām un </w:t>
      </w:r>
      <w:r w:rsidR="0095258B">
        <w:rPr>
          <w:rFonts w:eastAsia="Calibri" w:cs="Times New Roman"/>
          <w:color w:val="000000"/>
          <w:szCs w:val="28"/>
        </w:rPr>
        <w:t xml:space="preserve">atbalsta politikai. </w:t>
      </w:r>
      <w:r w:rsidRPr="00CD7149">
        <w:rPr>
          <w:rFonts w:eastAsia="Calibri" w:cs="Times New Roman"/>
          <w:color w:val="000000"/>
          <w:szCs w:val="28"/>
        </w:rPr>
        <w:t xml:space="preserve">Taču </w:t>
      </w:r>
      <w:r w:rsidR="00E02C93" w:rsidRPr="00CD7149">
        <w:rPr>
          <w:rFonts w:eastAsia="Calibri" w:cs="Times New Roman"/>
          <w:color w:val="000000"/>
          <w:szCs w:val="28"/>
        </w:rPr>
        <w:t xml:space="preserve">starp dažādiem pasaules reģioniem </w:t>
      </w:r>
      <w:r w:rsidRPr="00CD7149">
        <w:rPr>
          <w:rFonts w:eastAsia="Calibri" w:cs="Times New Roman"/>
          <w:color w:val="000000"/>
          <w:szCs w:val="28"/>
        </w:rPr>
        <w:t xml:space="preserve">pastāv būtiskas atšķirības, Eiropas Savienībā (ES) un Japānā saglabājoties ievērojami augstākam cenu līmenim nekā ASV un Ķīnā. Savukārt Ziemeļeiropas tirgū lielu lomu </w:t>
      </w:r>
      <w:r w:rsidR="00E02C93">
        <w:rPr>
          <w:rFonts w:eastAsia="Calibri" w:cs="Times New Roman"/>
          <w:color w:val="000000"/>
          <w:szCs w:val="28"/>
        </w:rPr>
        <w:t xml:space="preserve">nākotnē </w:t>
      </w:r>
      <w:r w:rsidRPr="00CD7149">
        <w:rPr>
          <w:rFonts w:eastAsia="Calibri" w:cs="Times New Roman"/>
          <w:color w:val="000000"/>
          <w:szCs w:val="28"/>
        </w:rPr>
        <w:t xml:space="preserve">spēlēs jaudu pieejamība tirgū un paredzams, ka jau </w:t>
      </w:r>
      <w:r w:rsidR="00E02C93">
        <w:rPr>
          <w:rFonts w:eastAsia="Calibri" w:cs="Times New Roman"/>
          <w:color w:val="000000"/>
          <w:szCs w:val="28"/>
        </w:rPr>
        <w:t>pavisam drīz</w:t>
      </w:r>
      <w:r w:rsidRPr="00CD7149">
        <w:rPr>
          <w:rFonts w:eastAsia="Calibri" w:cs="Times New Roman"/>
          <w:color w:val="000000"/>
          <w:szCs w:val="28"/>
        </w:rPr>
        <w:t xml:space="preserve"> piedāvājums pārsniegs pieprasījumu, nodrošinot salīdzinoši zemākas cenas nekā vidēji ES.</w:t>
      </w:r>
    </w:p>
    <w:p w:rsidR="00CD7149" w:rsidRPr="00CD7149" w:rsidRDefault="00CD7149" w:rsidP="00CD7149">
      <w:pPr>
        <w:spacing w:line="240" w:lineRule="auto"/>
        <w:ind w:firstLine="709"/>
        <w:rPr>
          <w:rFonts w:eastAsia="Calibri" w:cs="Times New Roman"/>
          <w:szCs w:val="28"/>
        </w:rPr>
      </w:pPr>
      <w:r w:rsidRPr="00CD7149">
        <w:rPr>
          <w:rFonts w:eastAsia="Calibri" w:cs="Times New Roman"/>
          <w:color w:val="000000"/>
          <w:szCs w:val="28"/>
        </w:rPr>
        <w:t xml:space="preserve">Ņemot vērā pieaugošos </w:t>
      </w:r>
      <w:r w:rsidR="0095258B">
        <w:rPr>
          <w:rFonts w:eastAsia="Calibri" w:cs="Times New Roman"/>
          <w:color w:val="000000"/>
          <w:szCs w:val="28"/>
        </w:rPr>
        <w:t xml:space="preserve">maksājumus saistībā ar esošo </w:t>
      </w:r>
      <w:r w:rsidRPr="00CD7149">
        <w:rPr>
          <w:rFonts w:eastAsia="Calibri" w:cs="Times New Roman"/>
          <w:color w:val="000000"/>
          <w:szCs w:val="28"/>
        </w:rPr>
        <w:t xml:space="preserve">subsīdiju </w:t>
      </w:r>
      <w:r w:rsidR="0095258B">
        <w:rPr>
          <w:rFonts w:eastAsia="Calibri" w:cs="Times New Roman"/>
          <w:color w:val="000000"/>
          <w:szCs w:val="28"/>
        </w:rPr>
        <w:t xml:space="preserve">politiku </w:t>
      </w:r>
      <w:r w:rsidRPr="00CD7149">
        <w:rPr>
          <w:rFonts w:eastAsia="Calibri" w:cs="Times New Roman"/>
          <w:color w:val="000000"/>
          <w:szCs w:val="28"/>
        </w:rPr>
        <w:t xml:space="preserve">gan atjaunojamajai, gan fosilajai enerģijai Latvijā, tuvākajā nākotnē pastāv augsti cenu pieauguma riski. Lai rastu iespējas šos riskus mazināt un ierobežot, visupirms jāizprot elektroenerģijas cenu ietekmējošie faktori. Šī informatīvā ziņojuma mērķis ir apzināt elektroenerģijas cenu veidošanās faktorus un ar tiem saistītos izmaksu pieauguma riskus nākotnē un </w:t>
      </w:r>
      <w:r w:rsidR="00A42DA7">
        <w:rPr>
          <w:rFonts w:eastAsia="Calibri" w:cs="Times New Roman"/>
          <w:color w:val="000000"/>
          <w:szCs w:val="28"/>
        </w:rPr>
        <w:t xml:space="preserve">iezīmēt </w:t>
      </w:r>
      <w:r w:rsidR="00E02C93" w:rsidRPr="00CD7149">
        <w:rPr>
          <w:rFonts w:eastAsia="Calibri" w:cs="Times New Roman"/>
          <w:color w:val="000000"/>
          <w:szCs w:val="28"/>
        </w:rPr>
        <w:t xml:space="preserve">risinājumus </w:t>
      </w:r>
      <w:r w:rsidRPr="00CD7149">
        <w:rPr>
          <w:rFonts w:eastAsia="Calibri" w:cs="Times New Roman"/>
          <w:color w:val="000000"/>
          <w:szCs w:val="28"/>
        </w:rPr>
        <w:t>šo risku ierobežošana</w:t>
      </w:r>
      <w:r w:rsidR="00E02C93">
        <w:rPr>
          <w:rFonts w:eastAsia="Calibri" w:cs="Times New Roman"/>
          <w:color w:val="000000"/>
          <w:szCs w:val="28"/>
        </w:rPr>
        <w:t>i</w:t>
      </w:r>
      <w:r w:rsidRPr="00CD7149">
        <w:rPr>
          <w:rFonts w:eastAsia="Calibri" w:cs="Times New Roman"/>
          <w:color w:val="000000"/>
          <w:szCs w:val="28"/>
        </w:rPr>
        <w:t>, lai novērstu potenciālo augsto elektroenerģijas cenu negatīvo ietekmi uz rūpniecību un ekonomikas attīstību kopumā.</w:t>
      </w:r>
    </w:p>
    <w:p w:rsidR="00CD7149" w:rsidRPr="00DC2C8A" w:rsidRDefault="00177849" w:rsidP="004A68C7">
      <w:pPr>
        <w:pStyle w:val="Heading1"/>
        <w:ind w:firstLine="0"/>
        <w:jc w:val="center"/>
        <w:rPr>
          <w:rFonts w:eastAsia="Times New Roman"/>
          <w:iCs/>
          <w:kern w:val="32"/>
        </w:rPr>
      </w:pPr>
      <w:bookmarkStart w:id="3" w:name="_Toc344901679"/>
      <w:bookmarkStart w:id="4" w:name="_Toc344901811"/>
      <w:bookmarkStart w:id="5" w:name="_Toc344907236"/>
      <w:r>
        <w:rPr>
          <w:rFonts w:eastAsia="Times New Roman"/>
          <w:kern w:val="32"/>
        </w:rPr>
        <w:lastRenderedPageBreak/>
        <w:t xml:space="preserve">1. </w:t>
      </w:r>
      <w:r w:rsidR="00CD7149" w:rsidRPr="00DC2C8A">
        <w:rPr>
          <w:rFonts w:eastAsia="Times New Roman"/>
          <w:kern w:val="32"/>
        </w:rPr>
        <w:t xml:space="preserve">Elektroenerģijas </w:t>
      </w:r>
      <w:r w:rsidR="00CD7149" w:rsidRPr="00177849">
        <w:rPr>
          <w:szCs w:val="32"/>
        </w:rPr>
        <w:t>kopējās</w:t>
      </w:r>
      <w:r w:rsidR="00CD7149" w:rsidRPr="00DC2C8A">
        <w:rPr>
          <w:rFonts w:eastAsia="Times New Roman"/>
          <w:kern w:val="32"/>
        </w:rPr>
        <w:t xml:space="preserve"> cenas veidošanās mehānisms</w:t>
      </w:r>
      <w:bookmarkEnd w:id="3"/>
      <w:bookmarkEnd w:id="4"/>
      <w:bookmarkEnd w:id="5"/>
    </w:p>
    <w:p w:rsidR="00CD7149" w:rsidRPr="00CD7149" w:rsidRDefault="00CD7149" w:rsidP="003545A9">
      <w:pPr>
        <w:spacing w:line="240" w:lineRule="auto"/>
        <w:ind w:firstLine="709"/>
        <w:rPr>
          <w:rFonts w:eastAsia="Calibri" w:cs="Times New Roman"/>
          <w:color w:val="000000"/>
          <w:szCs w:val="28"/>
        </w:rPr>
      </w:pPr>
      <w:r w:rsidRPr="00CD7149">
        <w:rPr>
          <w:rFonts w:eastAsia="Calibri" w:cs="Times New Roman"/>
          <w:color w:val="000000"/>
          <w:szCs w:val="28"/>
        </w:rPr>
        <w:t>Elektroenerģijas kopējo cenu veid</w:t>
      </w:r>
      <w:r w:rsidR="003545A9">
        <w:rPr>
          <w:rFonts w:eastAsia="Calibri" w:cs="Times New Roman"/>
          <w:color w:val="000000"/>
          <w:szCs w:val="28"/>
        </w:rPr>
        <w:t xml:space="preserve">o vairākas nozīmīgas pozīcijas. </w:t>
      </w:r>
      <w:r w:rsidRPr="00CD7149">
        <w:rPr>
          <w:rFonts w:eastAsia="Calibri" w:cs="Times New Roman"/>
          <w:color w:val="000000"/>
          <w:szCs w:val="28"/>
        </w:rPr>
        <w:t xml:space="preserve">Viena no šīm pozīcijām ir </w:t>
      </w:r>
      <w:r w:rsidRPr="00CD7149">
        <w:rPr>
          <w:rFonts w:eastAsia="Calibri" w:cs="Times New Roman"/>
          <w:b/>
          <w:i/>
          <w:color w:val="000000"/>
          <w:szCs w:val="28"/>
        </w:rPr>
        <w:t>elektroenerģijas vairumtirdzniecības cena</w:t>
      </w:r>
      <w:r w:rsidRPr="00CD7149">
        <w:rPr>
          <w:rFonts w:eastAsia="Calibri" w:cs="Times New Roman"/>
          <w:color w:val="000000"/>
          <w:szCs w:val="28"/>
        </w:rPr>
        <w:t xml:space="preserve">, kas, ņemot vērā elektroenerģijas tirgus liberalizāciju un plašāku integrāciju ES elektroenerģijas tirgū, </w:t>
      </w:r>
      <w:r w:rsidR="00BC0D10">
        <w:rPr>
          <w:rFonts w:eastAsia="Calibri" w:cs="Times New Roman"/>
          <w:color w:val="000000"/>
          <w:szCs w:val="28"/>
        </w:rPr>
        <w:t>nākotnē</w:t>
      </w:r>
      <w:r w:rsidRPr="00CD7149">
        <w:rPr>
          <w:rFonts w:eastAsia="Calibri" w:cs="Times New Roman"/>
          <w:color w:val="000000"/>
          <w:szCs w:val="28"/>
        </w:rPr>
        <w:t xml:space="preserve"> būs saistoša visiem elektroenerģijas lietotājiem, tostarp mājsaimniecībām, kas šobrīd vēl ir tiesīgas saņemt elektroenerģiju par regulētu cenu. Elektroenerģijas vairumtirdzniecības cena var ietvert ražošanas jaudu kapitālizmaksas, resursu pieejamības izmaksas, emisiju izmaksas un uzturēšanas izmaksas. Lai gan šī izmaksu pozīcija nav tieši atkarīga no valsts īstenotās enerģētikas politikas, vēl nesenā pagātnē ir tikuši pieņemti vairāki lēmumi, kas būtiski ietekmējuši elektroenerģijas cenas globālā mērogā, piemēram, </w:t>
      </w:r>
      <w:proofErr w:type="spellStart"/>
      <w:r w:rsidRPr="00CD7149">
        <w:rPr>
          <w:rFonts w:eastAsia="Calibri" w:cs="Times New Roman"/>
          <w:color w:val="000000"/>
          <w:szCs w:val="28"/>
        </w:rPr>
        <w:t>Fukušimas</w:t>
      </w:r>
      <w:proofErr w:type="spellEnd"/>
      <w:r w:rsidRPr="00CD7149">
        <w:rPr>
          <w:rFonts w:eastAsia="Calibri" w:cs="Times New Roman"/>
          <w:color w:val="000000"/>
          <w:szCs w:val="28"/>
        </w:rPr>
        <w:t xml:space="preserve"> traģēdijai sekojošie Japānas, Vācijas un citu valstu lēmumi būtiski ierobežot kodolenerģijas daļu kopējā </w:t>
      </w:r>
      <w:proofErr w:type="spellStart"/>
      <w:r w:rsidRPr="00CD7149">
        <w:rPr>
          <w:rFonts w:eastAsia="Calibri" w:cs="Times New Roman"/>
          <w:color w:val="000000"/>
          <w:szCs w:val="28"/>
        </w:rPr>
        <w:t>energoportfel</w:t>
      </w:r>
      <w:r w:rsidR="00E02C93">
        <w:rPr>
          <w:rFonts w:eastAsia="Calibri" w:cs="Times New Roman"/>
          <w:color w:val="000000"/>
          <w:szCs w:val="28"/>
        </w:rPr>
        <w:t>ī</w:t>
      </w:r>
      <w:proofErr w:type="spellEnd"/>
      <w:r w:rsidR="00E02C93">
        <w:rPr>
          <w:rFonts w:eastAsia="Calibri" w:cs="Times New Roman"/>
          <w:color w:val="000000"/>
          <w:szCs w:val="28"/>
        </w:rPr>
        <w:t xml:space="preserve">, tā </w:t>
      </w:r>
      <w:r w:rsidRPr="00CD7149">
        <w:rPr>
          <w:rFonts w:eastAsia="Calibri" w:cs="Times New Roman"/>
          <w:color w:val="000000"/>
          <w:szCs w:val="28"/>
        </w:rPr>
        <w:t xml:space="preserve"> strauji palielinot pieprasījumu pēc dabasgāzes. Gandrīz vienlaicīgi bija vērojams slānekļa gāzes ražošanas apjomu pieaugums ASV un valsts noteikto eksporta ierobežojumu dēļ gāzes cenas ASV tirgū (</w:t>
      </w:r>
      <w:proofErr w:type="spellStart"/>
      <w:r w:rsidRPr="00CD7149">
        <w:rPr>
          <w:rFonts w:eastAsia="Calibri" w:cs="Times New Roman"/>
          <w:i/>
          <w:color w:val="000000"/>
          <w:szCs w:val="28"/>
        </w:rPr>
        <w:t>Henry</w:t>
      </w:r>
      <w:proofErr w:type="spellEnd"/>
      <w:r w:rsidRPr="00CD7149">
        <w:rPr>
          <w:rFonts w:eastAsia="Calibri" w:cs="Times New Roman"/>
          <w:i/>
          <w:color w:val="000000"/>
          <w:szCs w:val="28"/>
        </w:rPr>
        <w:t xml:space="preserve"> </w:t>
      </w:r>
      <w:proofErr w:type="spellStart"/>
      <w:r w:rsidRPr="00CD7149">
        <w:rPr>
          <w:rFonts w:eastAsia="Calibri" w:cs="Times New Roman"/>
          <w:i/>
          <w:color w:val="000000"/>
          <w:szCs w:val="28"/>
        </w:rPr>
        <w:t>Hub</w:t>
      </w:r>
      <w:proofErr w:type="spellEnd"/>
      <w:r w:rsidRPr="00CD7149">
        <w:rPr>
          <w:rFonts w:eastAsia="Calibri" w:cs="Times New Roman"/>
          <w:color w:val="000000"/>
          <w:szCs w:val="28"/>
        </w:rPr>
        <w:t>), salīdzinot ar ES valstu un Japānas importa cenu 2012.</w:t>
      </w:r>
      <w:r w:rsidR="008D36F2">
        <w:rPr>
          <w:rFonts w:eastAsia="Calibri" w:cs="Times New Roman"/>
          <w:color w:val="000000"/>
          <w:szCs w:val="28"/>
        </w:rPr>
        <w:t> </w:t>
      </w:r>
      <w:r w:rsidRPr="00CD7149">
        <w:rPr>
          <w:rFonts w:eastAsia="Calibri" w:cs="Times New Roman"/>
          <w:color w:val="000000"/>
          <w:szCs w:val="28"/>
        </w:rPr>
        <w:t>gadā, bija pat attiecīgi 5 un 8 reizes zemākas. Tas savukārt radīja strauju ogļu pieprasījuma kritumu ASV, ietekmējot šī resursa cenu Eiropā un citviet pasaulē un veicinot strauju ogļu izmantošanas pieaugumu. Kopumā šo izmaksu pozīciju Latvijas mērogos ietekmēt ir salīdzinoši grūti, un lielākais potenciāls ir tieši izejvielu izmaksām, piemēram, gāzes cenu veidošanās mehānisma pārskatīšana, īstenojot importa diversifikācijas projektus reģionā.</w:t>
      </w:r>
    </w:p>
    <w:p w:rsidR="00CD7149" w:rsidRPr="00CD7149" w:rsidRDefault="00CD7149" w:rsidP="00CD7149">
      <w:pPr>
        <w:spacing w:line="240" w:lineRule="auto"/>
        <w:ind w:firstLine="709"/>
        <w:rPr>
          <w:rFonts w:eastAsia="Calibri" w:cs="Times New Roman"/>
          <w:color w:val="000000"/>
          <w:szCs w:val="28"/>
        </w:rPr>
      </w:pPr>
      <w:r w:rsidRPr="00CD7149">
        <w:rPr>
          <w:rFonts w:eastAsia="Calibri" w:cs="Times New Roman"/>
          <w:color w:val="000000"/>
          <w:szCs w:val="28"/>
        </w:rPr>
        <w:t>Būtisks postenis elektroenerģijas gala cenā ir arī</w:t>
      </w:r>
      <w:r w:rsidRPr="00CD7149">
        <w:rPr>
          <w:rFonts w:eastAsia="Calibri" w:cs="Times New Roman"/>
          <w:b/>
          <w:i/>
          <w:color w:val="000000"/>
          <w:szCs w:val="28"/>
        </w:rPr>
        <w:t xml:space="preserve"> </w:t>
      </w:r>
      <w:r w:rsidRPr="00CD7149">
        <w:rPr>
          <w:rFonts w:eastAsia="Calibri" w:cs="Times New Roman"/>
          <w:color w:val="000000"/>
          <w:szCs w:val="28"/>
        </w:rPr>
        <w:t>sistēmas pakalpojumu -</w:t>
      </w:r>
      <w:r w:rsidRPr="00CD7149">
        <w:rPr>
          <w:rFonts w:eastAsia="Calibri" w:cs="Times New Roman"/>
          <w:b/>
          <w:i/>
          <w:color w:val="000000"/>
          <w:szCs w:val="28"/>
        </w:rPr>
        <w:t xml:space="preserve"> pārvades un sadales </w:t>
      </w:r>
      <w:r w:rsidR="00E02C93">
        <w:rPr>
          <w:rFonts w:eastAsia="Calibri" w:cs="Times New Roman"/>
          <w:b/>
          <w:i/>
          <w:color w:val="000000"/>
          <w:szCs w:val="28"/>
        </w:rPr>
        <w:t xml:space="preserve">- </w:t>
      </w:r>
      <w:r w:rsidRPr="00CD7149">
        <w:rPr>
          <w:rFonts w:eastAsia="Calibri" w:cs="Times New Roman"/>
          <w:b/>
          <w:i/>
          <w:color w:val="000000"/>
          <w:szCs w:val="28"/>
        </w:rPr>
        <w:t xml:space="preserve">tarifs. </w:t>
      </w:r>
      <w:r w:rsidRPr="00CD7149">
        <w:rPr>
          <w:rFonts w:eastAsia="Calibri" w:cs="Times New Roman"/>
          <w:color w:val="000000"/>
          <w:szCs w:val="28"/>
        </w:rPr>
        <w:t>Pārvades un sadales</w:t>
      </w:r>
      <w:r w:rsidRPr="00CD7149">
        <w:rPr>
          <w:rFonts w:eastAsia="Calibri" w:cs="Times New Roman"/>
          <w:b/>
          <w:color w:val="000000"/>
          <w:szCs w:val="28"/>
        </w:rPr>
        <w:t xml:space="preserve"> </w:t>
      </w:r>
      <w:r w:rsidRPr="00CD7149">
        <w:rPr>
          <w:rFonts w:eastAsia="Calibri" w:cs="Times New Roman"/>
          <w:color w:val="000000"/>
          <w:szCs w:val="28"/>
        </w:rPr>
        <w:t xml:space="preserve">izmaksu galvenās pozīcijas ir tīkla infrastruktūras kapitāla izmaksas, mainīgās un uzturēšanas izmaksas, kā arī tīkla zudumi. Lai nodrošinātu šo izmaksu samērīgumu, būtiska ir atbilstoša regulatora loma šo izmaksu kontrolē, tai skaitā nākotnes investīciju plānu izvērtēšanā, kā arī ES publisko finanšu līdzekļu piesaistē jaunu projektu īstenošanai. Ņemot vērā augsto sadales izmaksu proporciju elektroenerģijas gala cenā, </w:t>
      </w:r>
      <w:r w:rsidR="00A31C72">
        <w:rPr>
          <w:rFonts w:eastAsia="Calibri" w:cs="Times New Roman"/>
          <w:color w:val="000000"/>
          <w:szCs w:val="28"/>
        </w:rPr>
        <w:t>ir nozīmīgs</w:t>
      </w:r>
      <w:r w:rsidRPr="00CD7149">
        <w:rPr>
          <w:rFonts w:eastAsia="Calibri" w:cs="Times New Roman"/>
          <w:color w:val="000000"/>
          <w:szCs w:val="28"/>
        </w:rPr>
        <w:t xml:space="preserve"> mehānisms, kā šīs izmaksas tiek atspoguļotas patērētāju gala tarifā. </w:t>
      </w:r>
      <w:r w:rsidRPr="000B6A98">
        <w:rPr>
          <w:rFonts w:eastAsia="Calibri" w:cs="Times New Roman"/>
          <w:color w:val="000000"/>
          <w:szCs w:val="28"/>
        </w:rPr>
        <w:t xml:space="preserve">Vienlaikus </w:t>
      </w:r>
      <w:r w:rsidR="00A31C72">
        <w:rPr>
          <w:rFonts w:eastAsia="Calibri" w:cs="Times New Roman"/>
          <w:color w:val="000000"/>
          <w:szCs w:val="28"/>
        </w:rPr>
        <w:t xml:space="preserve">Starptautiskās enerģētikas aģentūras </w:t>
      </w:r>
      <w:r w:rsidRPr="000B6A98">
        <w:rPr>
          <w:rFonts w:eastAsia="Calibri" w:cs="Times New Roman"/>
          <w:color w:val="000000"/>
          <w:szCs w:val="28"/>
        </w:rPr>
        <w:t>2012.</w:t>
      </w:r>
      <w:r w:rsidR="008D36F2">
        <w:rPr>
          <w:rFonts w:eastAsia="Calibri" w:cs="Times New Roman"/>
          <w:color w:val="000000"/>
          <w:szCs w:val="28"/>
        </w:rPr>
        <w:t> </w:t>
      </w:r>
      <w:r w:rsidRPr="000B6A98">
        <w:rPr>
          <w:rFonts w:eastAsia="Calibri" w:cs="Times New Roman"/>
          <w:color w:val="000000"/>
          <w:szCs w:val="28"/>
        </w:rPr>
        <w:t>gada Pasaules Enerģētikas Apskatā (</w:t>
      </w:r>
      <w:proofErr w:type="spellStart"/>
      <w:r w:rsidRPr="00E228D3">
        <w:rPr>
          <w:rFonts w:eastAsia="Calibri" w:cs="Times New Roman"/>
          <w:i/>
          <w:color w:val="000000"/>
          <w:szCs w:val="28"/>
        </w:rPr>
        <w:t>World</w:t>
      </w:r>
      <w:proofErr w:type="spellEnd"/>
      <w:r w:rsidRPr="00E228D3">
        <w:rPr>
          <w:rFonts w:eastAsia="Calibri" w:cs="Times New Roman"/>
          <w:i/>
          <w:color w:val="000000"/>
          <w:szCs w:val="28"/>
        </w:rPr>
        <w:t xml:space="preserve"> Energy Outlook</w:t>
      </w:r>
      <w:r w:rsidRPr="000B6A98">
        <w:rPr>
          <w:rFonts w:eastAsia="Calibri" w:cs="Times New Roman"/>
          <w:color w:val="000000"/>
          <w:szCs w:val="28"/>
        </w:rPr>
        <w:t xml:space="preserve">) norādīts, ka </w:t>
      </w:r>
      <w:r w:rsidRPr="000B6A98">
        <w:rPr>
          <w:rFonts w:eastAsia="Calibri" w:cs="Times New Roman"/>
          <w:b/>
          <w:i/>
          <w:color w:val="000000"/>
          <w:szCs w:val="28"/>
        </w:rPr>
        <w:t>elektroenerģijas piegādes</w:t>
      </w:r>
      <w:r w:rsidRPr="000B6A98">
        <w:rPr>
          <w:rFonts w:eastAsia="Calibri" w:cs="Times New Roman"/>
          <w:color w:val="000000"/>
          <w:szCs w:val="28"/>
        </w:rPr>
        <w:t xml:space="preserve"> izmaksas, kas šobrīd Latvijā varētu tikt identificētas galvenokārt kā sadales tarifs, ietver arī </w:t>
      </w:r>
      <w:r w:rsidR="00A42DA7">
        <w:rPr>
          <w:rFonts w:eastAsia="Calibri" w:cs="Times New Roman"/>
          <w:color w:val="000000"/>
          <w:szCs w:val="28"/>
        </w:rPr>
        <w:t xml:space="preserve">tādus </w:t>
      </w:r>
      <w:r w:rsidRPr="000B6A98">
        <w:rPr>
          <w:rFonts w:eastAsia="Calibri" w:cs="Times New Roman"/>
          <w:color w:val="000000"/>
          <w:szCs w:val="28"/>
        </w:rPr>
        <w:t xml:space="preserve">izmaksu elementus, </w:t>
      </w:r>
      <w:r w:rsidR="00A42DA7">
        <w:rPr>
          <w:rFonts w:eastAsia="Calibri" w:cs="Times New Roman"/>
          <w:color w:val="000000"/>
          <w:szCs w:val="28"/>
        </w:rPr>
        <w:t xml:space="preserve">kā </w:t>
      </w:r>
      <w:r w:rsidRPr="000B6A98">
        <w:rPr>
          <w:rFonts w:eastAsia="Calibri" w:cs="Times New Roman"/>
          <w:color w:val="000000"/>
          <w:szCs w:val="28"/>
        </w:rPr>
        <w:t xml:space="preserve">uzskaites, norēķinu, klientu apkalpošanas un citas komerciālās izmaksas. Šo izmaksu posteni faktiski </w:t>
      </w:r>
      <w:r w:rsidR="00A31C72">
        <w:rPr>
          <w:rFonts w:eastAsia="Calibri" w:cs="Times New Roman"/>
          <w:color w:val="000000"/>
          <w:szCs w:val="28"/>
        </w:rPr>
        <w:t>nosaka</w:t>
      </w:r>
      <w:r w:rsidR="00A31C72" w:rsidRPr="000B6A98">
        <w:rPr>
          <w:rFonts w:eastAsia="Calibri" w:cs="Times New Roman"/>
          <w:color w:val="000000"/>
          <w:szCs w:val="28"/>
        </w:rPr>
        <w:t xml:space="preserve"> </w:t>
      </w:r>
      <w:r w:rsidRPr="000B6A98">
        <w:rPr>
          <w:rFonts w:eastAsia="Calibri" w:cs="Times New Roman"/>
          <w:color w:val="000000"/>
          <w:szCs w:val="28"/>
        </w:rPr>
        <w:t>konkurence elektroenerģijas tirdzniecības uzņēmumu starpā, kā arī salīdzinoši nelielas izmaksas, kas saistītas ar uzskaiti.</w:t>
      </w:r>
      <w:r w:rsidR="001E576F">
        <w:rPr>
          <w:rFonts w:eastAsia="Calibri" w:cs="Times New Roman"/>
          <w:color w:val="000000"/>
          <w:szCs w:val="28"/>
        </w:rPr>
        <w:t xml:space="preserve"> </w:t>
      </w:r>
      <w:r w:rsidRPr="00CD7149">
        <w:rPr>
          <w:rFonts w:eastAsia="Calibri" w:cs="Times New Roman"/>
          <w:color w:val="000000"/>
          <w:szCs w:val="28"/>
        </w:rPr>
        <w:t>Viena no visstraujāk augošajām izmaksu pozīcijām atsevišķos pasaules reģionos, īpaši ES, ir</w:t>
      </w:r>
      <w:r w:rsidRPr="00CD7149">
        <w:rPr>
          <w:rFonts w:eastAsia="Calibri" w:cs="Times New Roman"/>
          <w:b/>
          <w:color w:val="000000"/>
          <w:szCs w:val="28"/>
        </w:rPr>
        <w:t xml:space="preserve"> </w:t>
      </w:r>
      <w:r w:rsidRPr="00CD7149">
        <w:rPr>
          <w:rFonts w:eastAsia="Calibri" w:cs="Times New Roman"/>
          <w:b/>
          <w:i/>
          <w:color w:val="000000"/>
          <w:szCs w:val="28"/>
        </w:rPr>
        <w:t>subsīdijas</w:t>
      </w:r>
      <w:r w:rsidRPr="00CD7149">
        <w:rPr>
          <w:rFonts w:eastAsia="Calibri" w:cs="Times New Roman"/>
          <w:color w:val="000000"/>
          <w:szCs w:val="28"/>
        </w:rPr>
        <w:t>. Šī izmaksu pozīcija ir ļoti nozīmīga elektroenerģijas cenu veidošanās mehānismā Latvijā, kur ir ievērojamas subsīdijas koģenerācijas stacijā</w:t>
      </w:r>
      <w:r w:rsidR="00A31C72">
        <w:rPr>
          <w:rFonts w:eastAsia="Calibri" w:cs="Times New Roman"/>
          <w:color w:val="000000"/>
          <w:szCs w:val="28"/>
        </w:rPr>
        <w:t>s</w:t>
      </w:r>
      <w:r w:rsidRPr="00CD7149">
        <w:rPr>
          <w:rFonts w:eastAsia="Calibri" w:cs="Times New Roman"/>
          <w:color w:val="000000"/>
          <w:szCs w:val="28"/>
        </w:rPr>
        <w:t xml:space="preserve"> saražotajai elektroenerģijai, it īpaši ražošanā izmantojot dabasgāzi. Vairumā citu ES dalībvalstu lielāko daļu no subsīdijām veido atbalsts atjaunojamai enerģijai, un </w:t>
      </w:r>
      <w:r w:rsidRPr="00CD7149">
        <w:rPr>
          <w:rFonts w:eastAsia="Calibri" w:cs="Times New Roman"/>
          <w:color w:val="000000"/>
          <w:szCs w:val="28"/>
        </w:rPr>
        <w:lastRenderedPageBreak/>
        <w:t xml:space="preserve">valstīs ar vislielāko subsīdiju proporciju elektroenerģijas kopējā cenā, piemēram, Vācijā liela loma ir tieši saules enerģijas ietekmei augsto tehnoloģiju izmaksu dēļ. Šīs izmaksu pozīcijas </w:t>
      </w:r>
      <w:r w:rsidR="00A31C72">
        <w:rPr>
          <w:rFonts w:eastAsia="Calibri" w:cs="Times New Roman"/>
          <w:color w:val="000000"/>
          <w:szCs w:val="28"/>
        </w:rPr>
        <w:t>nozīmīgums</w:t>
      </w:r>
      <w:r w:rsidRPr="00CD7149">
        <w:rPr>
          <w:rFonts w:eastAsia="Calibri" w:cs="Times New Roman"/>
          <w:color w:val="000000"/>
          <w:szCs w:val="28"/>
        </w:rPr>
        <w:t xml:space="preserve"> arī nosaka tās potenciālu ar regulācijas instrumentiem efekt</w:t>
      </w:r>
      <w:r w:rsidR="00A31C72">
        <w:rPr>
          <w:rFonts w:eastAsia="Calibri" w:cs="Times New Roman"/>
          <w:color w:val="000000"/>
          <w:szCs w:val="28"/>
        </w:rPr>
        <w:t>īvi</w:t>
      </w:r>
      <w:r w:rsidRPr="00CD7149">
        <w:rPr>
          <w:rFonts w:eastAsia="Calibri" w:cs="Times New Roman"/>
          <w:color w:val="000000"/>
          <w:szCs w:val="28"/>
        </w:rPr>
        <w:t xml:space="preserve"> ierobežot kopējo izmaksu pieauguma riskus gan īstermiņā, gan vidējā un ilgtermiņā.</w:t>
      </w:r>
    </w:p>
    <w:p w:rsidR="00CD7149" w:rsidRPr="00CD7149" w:rsidRDefault="00CD7149" w:rsidP="00CD7149">
      <w:pPr>
        <w:spacing w:after="0" w:line="240" w:lineRule="auto"/>
        <w:ind w:firstLine="709"/>
        <w:rPr>
          <w:rFonts w:eastAsia="Calibri" w:cs="Times New Roman"/>
          <w:color w:val="000000"/>
          <w:szCs w:val="28"/>
        </w:rPr>
      </w:pPr>
      <w:r w:rsidRPr="00CD7149">
        <w:rPr>
          <w:rFonts w:eastAsia="Calibri" w:cs="Times New Roman"/>
          <w:color w:val="000000"/>
          <w:szCs w:val="28"/>
        </w:rPr>
        <w:t xml:space="preserve">Tāpat būtisku izmaksu pozīciju kopējā elektroenerģijas cenā veido </w:t>
      </w:r>
      <w:r w:rsidRPr="00CD7149">
        <w:rPr>
          <w:rFonts w:eastAsia="Calibri" w:cs="Times New Roman"/>
          <w:b/>
          <w:i/>
          <w:color w:val="000000"/>
          <w:szCs w:val="28"/>
        </w:rPr>
        <w:t>nodokļi,</w:t>
      </w:r>
      <w:r w:rsidRPr="00CD7149">
        <w:rPr>
          <w:rFonts w:eastAsia="Calibri" w:cs="Times New Roman"/>
          <w:color w:val="000000"/>
          <w:szCs w:val="28"/>
        </w:rPr>
        <w:t xml:space="preserve"> kas pēdējo gadu laikā ir strauji auguši visā pasaulē, tostarp ES un Latvijā. Tradicionāli nozīmīgākās pozīcijas šajā izmaksu daļā ir pievienotās vērtības nodoklis</w:t>
      </w:r>
      <w:r w:rsidR="00B67D57">
        <w:rPr>
          <w:rFonts w:eastAsia="Calibri" w:cs="Times New Roman"/>
          <w:color w:val="000000"/>
          <w:szCs w:val="28"/>
        </w:rPr>
        <w:t xml:space="preserve"> (</w:t>
      </w:r>
      <w:r w:rsidR="00B67D57" w:rsidRPr="00FD0F29">
        <w:rPr>
          <w:rFonts w:eastAsia="Calibri" w:cs="Times New Roman"/>
          <w:color w:val="000000"/>
          <w:szCs w:val="28"/>
        </w:rPr>
        <w:t>PVN)</w:t>
      </w:r>
      <w:r w:rsidRPr="00FD0F29">
        <w:rPr>
          <w:rFonts w:eastAsia="Calibri" w:cs="Times New Roman"/>
          <w:color w:val="000000"/>
          <w:szCs w:val="28"/>
        </w:rPr>
        <w:t>, kā arī elektroenerģijas nodoklis un emisijas izmaksas.</w:t>
      </w:r>
      <w:r w:rsidR="00B67D57" w:rsidRPr="00FC4509">
        <w:rPr>
          <w:rFonts w:eastAsia="Calibri" w:cs="Times New Roman"/>
          <w:color w:val="000000"/>
          <w:szCs w:val="28"/>
        </w:rPr>
        <w:t xml:space="preserve"> </w:t>
      </w:r>
      <w:r w:rsidR="001B551D">
        <w:rPr>
          <w:rFonts w:eastAsia="Calibri" w:cs="Times New Roman"/>
          <w:color w:val="000000"/>
          <w:szCs w:val="28"/>
        </w:rPr>
        <w:t>Saskaņā ar Padomes 2003.</w:t>
      </w:r>
      <w:r w:rsidR="008D36F2">
        <w:rPr>
          <w:rFonts w:eastAsia="Calibri" w:cs="Times New Roman"/>
          <w:color w:val="000000"/>
          <w:szCs w:val="28"/>
        </w:rPr>
        <w:t> </w:t>
      </w:r>
      <w:r w:rsidR="001B551D">
        <w:rPr>
          <w:rFonts w:eastAsia="Calibri" w:cs="Times New Roman"/>
          <w:color w:val="000000"/>
          <w:szCs w:val="28"/>
        </w:rPr>
        <w:t>gada 27.</w:t>
      </w:r>
      <w:r w:rsidR="008D36F2">
        <w:rPr>
          <w:rFonts w:eastAsia="Calibri" w:cs="Times New Roman"/>
          <w:color w:val="000000"/>
          <w:szCs w:val="28"/>
        </w:rPr>
        <w:t> </w:t>
      </w:r>
      <w:r w:rsidR="001B551D">
        <w:rPr>
          <w:rFonts w:eastAsia="Calibri" w:cs="Times New Roman"/>
          <w:color w:val="000000"/>
          <w:szCs w:val="28"/>
        </w:rPr>
        <w:t xml:space="preserve">oktobra direktīvu 2003/96/EK, kas pakārto Kopienas noteikumus par nodokļu uzlikšanu energoproduktiem un elektroenerģijai </w:t>
      </w:r>
      <w:r w:rsidR="00D30284">
        <w:rPr>
          <w:rFonts w:eastAsia="Calibri" w:cs="Times New Roman"/>
          <w:color w:val="000000"/>
          <w:szCs w:val="28"/>
        </w:rPr>
        <w:t xml:space="preserve"> un attiecīgi </w:t>
      </w:r>
      <w:r w:rsidR="00D30284" w:rsidRPr="00D30284">
        <w:rPr>
          <w:rFonts w:eastAsia="Calibri" w:cs="Times New Roman"/>
          <w:color w:val="000000"/>
          <w:szCs w:val="28"/>
        </w:rPr>
        <w:t>Elektroenerģijas nodokļa likumu nodokļa likme elektroenerģijai ir 0,71 lats jeb 1,0 eiro par 1 megavats</w:t>
      </w:r>
      <w:r w:rsidR="003B4087">
        <w:rPr>
          <w:rFonts w:eastAsia="Calibri" w:cs="Times New Roman"/>
          <w:color w:val="000000"/>
          <w:szCs w:val="28"/>
        </w:rPr>
        <w:t>t</w:t>
      </w:r>
      <w:r w:rsidR="00D30284" w:rsidRPr="00D30284">
        <w:rPr>
          <w:rFonts w:eastAsia="Calibri" w:cs="Times New Roman"/>
          <w:color w:val="000000"/>
          <w:szCs w:val="28"/>
        </w:rPr>
        <w:t>undu (MWh).</w:t>
      </w:r>
      <w:r w:rsidR="001B551D">
        <w:rPr>
          <w:rFonts w:eastAsia="Calibri" w:cs="Times New Roman"/>
          <w:color w:val="000000"/>
          <w:szCs w:val="28"/>
        </w:rPr>
        <w:t xml:space="preserve"> </w:t>
      </w:r>
      <w:r w:rsidRPr="00FD0F29">
        <w:rPr>
          <w:rFonts w:eastAsia="Calibri" w:cs="Times New Roman"/>
          <w:color w:val="000000"/>
          <w:szCs w:val="28"/>
        </w:rPr>
        <w:t>Pārņemot</w:t>
      </w:r>
      <w:r w:rsidRPr="00CD7149">
        <w:rPr>
          <w:rFonts w:eastAsia="Calibri" w:cs="Times New Roman"/>
          <w:color w:val="000000"/>
          <w:szCs w:val="28"/>
        </w:rPr>
        <w:t xml:space="preserve"> ES tiesību aktus attiecībā uz elektroenerģijas nodokli</w:t>
      </w:r>
      <w:r w:rsidRPr="00CD7149">
        <w:rPr>
          <w:rFonts w:eastAsia="Calibri" w:cs="Times New Roman"/>
          <w:color w:val="000000"/>
          <w:szCs w:val="28"/>
          <w:vertAlign w:val="superscript"/>
        </w:rPr>
        <w:footnoteReference w:id="1"/>
      </w:r>
      <w:r w:rsidRPr="00CD7149">
        <w:rPr>
          <w:rFonts w:eastAsia="Calibri" w:cs="Times New Roman"/>
          <w:color w:val="000000"/>
          <w:szCs w:val="28"/>
        </w:rPr>
        <w:t xml:space="preserve">, Latvijā tas pēdējo 5 gadu laikā palielinājies 2 reizes un </w:t>
      </w:r>
      <w:r w:rsidR="00D30284">
        <w:rPr>
          <w:rFonts w:eastAsia="Calibri" w:cs="Times New Roman"/>
          <w:color w:val="000000"/>
          <w:szCs w:val="28"/>
        </w:rPr>
        <w:t xml:space="preserve">iespējams, ka pieaugs </w:t>
      </w:r>
      <w:r w:rsidRPr="00CD7149">
        <w:rPr>
          <w:rFonts w:eastAsia="Calibri" w:cs="Times New Roman"/>
          <w:color w:val="000000"/>
          <w:szCs w:val="28"/>
        </w:rPr>
        <w:t>arī nākotnē.</w:t>
      </w:r>
    </w:p>
    <w:p w:rsidR="00CD7149" w:rsidRPr="00CD7149" w:rsidRDefault="00CD7149" w:rsidP="00CD7149">
      <w:pPr>
        <w:spacing w:after="0" w:line="240" w:lineRule="auto"/>
        <w:rPr>
          <w:rFonts w:eastAsia="Calibri" w:cs="Times New Roman"/>
          <w:color w:val="000000"/>
          <w:szCs w:val="28"/>
        </w:rPr>
      </w:pPr>
    </w:p>
    <w:p w:rsidR="00DC2C8A" w:rsidRDefault="00DC2C8A" w:rsidP="00CD7149">
      <w:pPr>
        <w:spacing w:after="0" w:line="240" w:lineRule="auto"/>
        <w:rPr>
          <w:rFonts w:eastAsia="Calibri" w:cs="Times New Roman"/>
          <w:color w:val="000000"/>
          <w:szCs w:val="28"/>
        </w:rPr>
      </w:pPr>
    </w:p>
    <w:p w:rsidR="00DC2C8A" w:rsidRDefault="00DC2C8A" w:rsidP="00CD7149">
      <w:pPr>
        <w:spacing w:after="0" w:line="240" w:lineRule="auto"/>
        <w:rPr>
          <w:rFonts w:eastAsia="Calibri" w:cs="Times New Roman"/>
          <w:color w:val="000000"/>
          <w:szCs w:val="28"/>
        </w:rPr>
      </w:pPr>
    </w:p>
    <w:p w:rsidR="00DC2C8A" w:rsidRDefault="00DC2C8A" w:rsidP="00CD7149">
      <w:pPr>
        <w:spacing w:after="0" w:line="240" w:lineRule="auto"/>
        <w:rPr>
          <w:rFonts w:eastAsia="Calibri" w:cs="Times New Roman"/>
          <w:color w:val="000000"/>
          <w:szCs w:val="28"/>
        </w:rPr>
      </w:pPr>
    </w:p>
    <w:p w:rsidR="00DC2C8A" w:rsidRDefault="00DC2C8A" w:rsidP="00CD7149">
      <w:pPr>
        <w:spacing w:after="0" w:line="240" w:lineRule="auto"/>
        <w:rPr>
          <w:rFonts w:eastAsia="Calibri" w:cs="Times New Roman"/>
          <w:color w:val="000000"/>
          <w:szCs w:val="28"/>
        </w:rPr>
      </w:pPr>
    </w:p>
    <w:p w:rsidR="00DC2C8A" w:rsidRDefault="00DC2C8A" w:rsidP="00CD7149">
      <w:pPr>
        <w:spacing w:after="0" w:line="240" w:lineRule="auto"/>
        <w:rPr>
          <w:rFonts w:eastAsia="Calibri" w:cs="Times New Roman"/>
          <w:color w:val="000000"/>
          <w:szCs w:val="28"/>
        </w:rPr>
      </w:pPr>
    </w:p>
    <w:p w:rsidR="00DC2C8A" w:rsidRDefault="00DC2C8A" w:rsidP="00CD7149">
      <w:pPr>
        <w:spacing w:after="0" w:line="240" w:lineRule="auto"/>
        <w:rPr>
          <w:rFonts w:eastAsia="Calibri" w:cs="Times New Roman"/>
          <w:color w:val="000000"/>
          <w:szCs w:val="28"/>
        </w:rPr>
      </w:pPr>
    </w:p>
    <w:p w:rsidR="00DC2C8A" w:rsidRDefault="00DC2C8A" w:rsidP="00CD7149">
      <w:pPr>
        <w:spacing w:after="0" w:line="240" w:lineRule="auto"/>
        <w:rPr>
          <w:rFonts w:eastAsia="Calibri" w:cs="Times New Roman"/>
          <w:color w:val="000000"/>
          <w:szCs w:val="28"/>
        </w:rPr>
      </w:pPr>
    </w:p>
    <w:p w:rsidR="000B6A98" w:rsidRDefault="000B6A98" w:rsidP="00CD7149">
      <w:pPr>
        <w:spacing w:after="0" w:line="240" w:lineRule="auto"/>
        <w:rPr>
          <w:rFonts w:eastAsia="Calibri" w:cs="Times New Roman"/>
          <w:color w:val="000000"/>
          <w:szCs w:val="28"/>
        </w:rPr>
      </w:pPr>
    </w:p>
    <w:p w:rsidR="00785141" w:rsidRDefault="00785141" w:rsidP="00CD7149">
      <w:pPr>
        <w:spacing w:after="0" w:line="240" w:lineRule="auto"/>
        <w:rPr>
          <w:rFonts w:eastAsia="Calibri" w:cs="Times New Roman"/>
          <w:color w:val="000000"/>
          <w:szCs w:val="28"/>
        </w:rPr>
      </w:pPr>
    </w:p>
    <w:p w:rsidR="00785141" w:rsidRPr="00CD7149" w:rsidRDefault="00785141" w:rsidP="00CD7149">
      <w:pPr>
        <w:spacing w:after="0" w:line="240" w:lineRule="auto"/>
        <w:rPr>
          <w:rFonts w:eastAsia="Calibri" w:cs="Times New Roman"/>
          <w:color w:val="000000"/>
          <w:szCs w:val="28"/>
        </w:rPr>
      </w:pPr>
    </w:p>
    <w:p w:rsidR="00CD7149" w:rsidRPr="00DC2C8A" w:rsidRDefault="00CD7149" w:rsidP="004A68C7">
      <w:pPr>
        <w:pStyle w:val="Heading1"/>
        <w:numPr>
          <w:ilvl w:val="0"/>
          <w:numId w:val="23"/>
        </w:numPr>
        <w:ind w:left="0" w:firstLine="0"/>
        <w:jc w:val="center"/>
        <w:rPr>
          <w:rFonts w:eastAsia="Times New Roman" w:cs="Times New Roman"/>
        </w:rPr>
      </w:pPr>
      <w:bookmarkStart w:id="6" w:name="_Toc344901680"/>
      <w:bookmarkStart w:id="7" w:name="_Toc344901812"/>
      <w:bookmarkStart w:id="8" w:name="_Toc344907237"/>
      <w:r w:rsidRPr="00DC2C8A">
        <w:rPr>
          <w:rFonts w:eastAsia="Times New Roman" w:cs="Times New Roman"/>
        </w:rPr>
        <w:lastRenderedPageBreak/>
        <w:t>Elektroenerģijas tirgus</w:t>
      </w:r>
      <w:bookmarkEnd w:id="6"/>
      <w:bookmarkEnd w:id="7"/>
      <w:bookmarkEnd w:id="8"/>
    </w:p>
    <w:p w:rsidR="00CD7149" w:rsidRPr="00DC2C8A" w:rsidRDefault="00CD7149" w:rsidP="00177849">
      <w:pPr>
        <w:pStyle w:val="Heading2"/>
        <w:numPr>
          <w:ilvl w:val="1"/>
          <w:numId w:val="23"/>
        </w:numPr>
        <w:rPr>
          <w:rFonts w:eastAsia="Times New Roman"/>
        </w:rPr>
      </w:pPr>
      <w:bookmarkStart w:id="9" w:name="_Toc344901681"/>
      <w:bookmarkStart w:id="10" w:name="_Toc344901813"/>
      <w:bookmarkStart w:id="11" w:name="_Toc344907238"/>
      <w:r w:rsidRPr="00DC2C8A">
        <w:rPr>
          <w:rFonts w:eastAsia="Times New Roman"/>
        </w:rPr>
        <w:t>Ārējais tirgus</w:t>
      </w:r>
      <w:bookmarkEnd w:id="9"/>
      <w:bookmarkEnd w:id="10"/>
      <w:bookmarkEnd w:id="11"/>
      <w:r w:rsidRPr="00DC2C8A">
        <w:rPr>
          <w:rFonts w:eastAsia="Times New Roman"/>
        </w:rPr>
        <w:t xml:space="preserve"> </w:t>
      </w:r>
    </w:p>
    <w:p w:rsidR="00CD7149" w:rsidRDefault="004511B3" w:rsidP="00A6432D">
      <w:pPr>
        <w:spacing w:line="240" w:lineRule="auto"/>
        <w:rPr>
          <w:rFonts w:eastAsia="Calibri" w:cs="Times New Roman"/>
          <w:bCs/>
          <w:color w:val="000000"/>
          <w:szCs w:val="28"/>
        </w:rPr>
      </w:pPr>
      <w:r>
        <w:rPr>
          <w:rFonts w:ascii="Calibri" w:eastAsia="Calibri" w:hAnsi="Calibri" w:cs="Times New Roman"/>
          <w:noProof/>
          <w:lang w:eastAsia="lv-LV"/>
        </w:rPr>
        <w:drawing>
          <wp:anchor distT="0" distB="0" distL="114300" distR="114300" simplePos="0" relativeHeight="251667456" behindDoc="1" locked="0" layoutInCell="1" allowOverlap="1" wp14:anchorId="0B334786" wp14:editId="494B8631">
            <wp:simplePos x="0" y="0"/>
            <wp:positionH relativeFrom="column">
              <wp:posOffset>329565</wp:posOffset>
            </wp:positionH>
            <wp:positionV relativeFrom="paragraph">
              <wp:posOffset>2298065</wp:posOffset>
            </wp:positionV>
            <wp:extent cx="5191125" cy="1857375"/>
            <wp:effectExtent l="0" t="0" r="9525" b="9525"/>
            <wp:wrapThrough wrapText="bothSides">
              <wp:wrapPolygon edited="0">
                <wp:start x="0" y="0"/>
                <wp:lineTo x="0" y="21489"/>
                <wp:lineTo x="21560" y="21489"/>
                <wp:lineTo x="21560" y="0"/>
                <wp:lineTo x="0" y="0"/>
              </wp:wrapPolygon>
            </wp:wrapThrough>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CD7149" w:rsidRPr="00CD7149">
        <w:rPr>
          <w:rFonts w:eastAsia="Calibri" w:cs="Times New Roman"/>
          <w:color w:val="000000"/>
          <w:szCs w:val="28"/>
        </w:rPr>
        <w:t xml:space="preserve">Elektroenerģijas vairumtirdzniecības cenu var iedalīt īstermiņa un ilgtermiņa cenās. </w:t>
      </w:r>
      <w:r w:rsidR="00CD7149" w:rsidRPr="00CD7149">
        <w:rPr>
          <w:rFonts w:eastAsia="Calibri" w:cs="Times New Roman"/>
          <w:i/>
          <w:color w:val="000000"/>
          <w:szCs w:val="28"/>
        </w:rPr>
        <w:t>Īstermiņa cenas</w:t>
      </w:r>
      <w:r w:rsidR="00CD7149" w:rsidRPr="00CD7149">
        <w:rPr>
          <w:rFonts w:eastAsia="Calibri" w:cs="Times New Roman"/>
          <w:color w:val="000000"/>
          <w:szCs w:val="28"/>
        </w:rPr>
        <w:t xml:space="preserve"> ir tās e</w:t>
      </w:r>
      <w:r w:rsidR="00CD7149" w:rsidRPr="00CD7149">
        <w:rPr>
          <w:rFonts w:eastAsia="Calibri" w:cs="Times New Roman"/>
          <w:szCs w:val="28"/>
        </w:rPr>
        <w:t>lektroenerģijas nākotnes (</w:t>
      </w:r>
      <w:proofErr w:type="spellStart"/>
      <w:r w:rsidR="00CD7149" w:rsidRPr="00CD7149">
        <w:rPr>
          <w:rFonts w:eastAsia="Calibri" w:cs="Times New Roman"/>
          <w:i/>
          <w:szCs w:val="28"/>
        </w:rPr>
        <w:t>forward</w:t>
      </w:r>
      <w:proofErr w:type="spellEnd"/>
      <w:r w:rsidR="00CD7149" w:rsidRPr="00CD7149">
        <w:rPr>
          <w:rFonts w:eastAsia="Calibri" w:cs="Times New Roman"/>
          <w:szCs w:val="28"/>
        </w:rPr>
        <w:t xml:space="preserve">) cenas, kas tiek izmantotas darījumiem biržā. Tās ļauj prognozēt pietiekami ticamu un stabilu elektroenerģijas cenu noteiktam laika posmam (nedēļa, mēnesis, ceturksnis, gads) uz priekšu. Piemēram, Somijas cenu zonā, kurā, izmantojot esošo Somijas-Igaunijas starpsavienojumu </w:t>
      </w:r>
      <w:proofErr w:type="spellStart"/>
      <w:r w:rsidR="00CD7149" w:rsidRPr="00CD7149">
        <w:rPr>
          <w:rFonts w:eastAsia="Calibri" w:cs="Times New Roman"/>
          <w:szCs w:val="28"/>
        </w:rPr>
        <w:t>Estlink</w:t>
      </w:r>
      <w:proofErr w:type="spellEnd"/>
      <w:r w:rsidR="00CD7149" w:rsidRPr="00CD7149">
        <w:rPr>
          <w:rFonts w:eastAsia="Calibri" w:cs="Times New Roman"/>
          <w:szCs w:val="28"/>
        </w:rPr>
        <w:t xml:space="preserve"> 1 (350MW), šobrīd elektroenerģiju pērk arī Latvija, </w:t>
      </w:r>
      <w:r w:rsidR="00CD7149" w:rsidRPr="00CD7149">
        <w:rPr>
          <w:rFonts w:eastAsia="Calibri" w:cs="Times New Roman"/>
          <w:bCs/>
          <w:color w:val="000000"/>
          <w:szCs w:val="28"/>
        </w:rPr>
        <w:t>elektroenerģijas cenas piecu gadu perspektīvā saskaņā ar NASDAQ biržas mājas lapā atrodamajām prognozēm saglabāsies stabilas ar mērenu pieaugumu 7% apmērā (</w:t>
      </w:r>
      <w:r w:rsidR="00CD7149" w:rsidRPr="00CD7149">
        <w:rPr>
          <w:rFonts w:eastAsia="Calibri" w:cs="Times New Roman"/>
          <w:bCs/>
          <w:i/>
          <w:color w:val="000000"/>
          <w:szCs w:val="28"/>
        </w:rPr>
        <w:t>skat.1.attēlu</w:t>
      </w:r>
      <w:r w:rsidR="00CD7149" w:rsidRPr="00CD7149">
        <w:rPr>
          <w:rFonts w:eastAsia="Calibri" w:cs="Times New Roman"/>
          <w:bCs/>
          <w:color w:val="000000"/>
          <w:szCs w:val="28"/>
        </w:rPr>
        <w:t xml:space="preserve">). </w:t>
      </w:r>
    </w:p>
    <w:p w:rsidR="00CD7149" w:rsidRPr="004A68C7" w:rsidRDefault="00CD7149" w:rsidP="004A68C7">
      <w:pPr>
        <w:spacing w:after="0" w:line="240" w:lineRule="auto"/>
        <w:ind w:firstLine="0"/>
        <w:rPr>
          <w:rFonts w:eastAsia="Calibri" w:cs="Times New Roman"/>
          <w:b/>
          <w:sz w:val="24"/>
          <w:szCs w:val="24"/>
        </w:rPr>
      </w:pPr>
      <w:r w:rsidRPr="004A68C7">
        <w:rPr>
          <w:rFonts w:eastAsia="Calibri" w:cs="Times New Roman"/>
          <w:b/>
          <w:bCs/>
          <w:sz w:val="24"/>
          <w:szCs w:val="24"/>
        </w:rPr>
        <w:t>1.attēls. Elektroenerģijas nākotnes darījumu (</w:t>
      </w:r>
      <w:proofErr w:type="spellStart"/>
      <w:r w:rsidRPr="004A68C7">
        <w:rPr>
          <w:rFonts w:eastAsia="Calibri" w:cs="Times New Roman"/>
          <w:b/>
          <w:bCs/>
          <w:sz w:val="24"/>
          <w:szCs w:val="24"/>
        </w:rPr>
        <w:t>forward</w:t>
      </w:r>
      <w:proofErr w:type="spellEnd"/>
      <w:r w:rsidRPr="004A68C7">
        <w:rPr>
          <w:rFonts w:eastAsia="Calibri" w:cs="Times New Roman"/>
          <w:b/>
          <w:bCs/>
          <w:sz w:val="24"/>
          <w:szCs w:val="24"/>
        </w:rPr>
        <w:t>) cenas Somijas cenu zonā</w:t>
      </w:r>
    </w:p>
    <w:p w:rsidR="00CD7149" w:rsidRDefault="00CD7149" w:rsidP="004A68C7">
      <w:pPr>
        <w:spacing w:line="240" w:lineRule="auto"/>
        <w:ind w:right="-57" w:firstLine="0"/>
        <w:rPr>
          <w:rFonts w:eastAsia="Calibri" w:cs="Times New Roman"/>
          <w:bCs/>
          <w:color w:val="000000"/>
          <w:sz w:val="20"/>
          <w:szCs w:val="20"/>
        </w:rPr>
      </w:pPr>
      <w:r w:rsidRPr="004A68C7">
        <w:rPr>
          <w:rFonts w:eastAsia="Calibri" w:cs="Times New Roman"/>
          <w:sz w:val="20"/>
          <w:szCs w:val="20"/>
        </w:rPr>
        <w:t xml:space="preserve">Avots: </w:t>
      </w:r>
      <w:r w:rsidRPr="004A68C7">
        <w:rPr>
          <w:rFonts w:eastAsia="Calibri" w:cs="Times New Roman"/>
          <w:bCs/>
          <w:color w:val="000000"/>
          <w:sz w:val="20"/>
          <w:szCs w:val="20"/>
        </w:rPr>
        <w:t xml:space="preserve">Avots: </w:t>
      </w:r>
      <w:hyperlink r:id="rId10" w:history="1">
        <w:r w:rsidRPr="004A68C7">
          <w:rPr>
            <w:rFonts w:eastAsia="Calibri" w:cs="Times New Roman"/>
            <w:bCs/>
            <w:color w:val="000000"/>
            <w:sz w:val="20"/>
            <w:szCs w:val="20"/>
          </w:rPr>
          <w:t>http://www.nasdaqomx.com/commodities</w:t>
        </w:r>
      </w:hyperlink>
      <w:r w:rsidRPr="004A68C7">
        <w:rPr>
          <w:rFonts w:eastAsia="Calibri" w:cs="Times New Roman"/>
          <w:bCs/>
          <w:sz w:val="20"/>
          <w:szCs w:val="20"/>
        </w:rPr>
        <w:t xml:space="preserve"> </w:t>
      </w:r>
      <w:r w:rsidRPr="004A68C7">
        <w:rPr>
          <w:rFonts w:eastAsia="Calibri" w:cs="Times New Roman"/>
          <w:bCs/>
          <w:color w:val="000000"/>
          <w:sz w:val="20"/>
          <w:szCs w:val="20"/>
        </w:rPr>
        <w:t>(21</w:t>
      </w:r>
      <w:r w:rsidR="004A68C7">
        <w:rPr>
          <w:rFonts w:eastAsia="Calibri" w:cs="Times New Roman"/>
          <w:bCs/>
          <w:color w:val="000000"/>
          <w:sz w:val="20"/>
          <w:szCs w:val="20"/>
        </w:rPr>
        <w:t>.11.2012.</w:t>
      </w:r>
      <w:r w:rsidRPr="004A68C7">
        <w:rPr>
          <w:rFonts w:eastAsia="Calibri" w:cs="Times New Roman"/>
          <w:bCs/>
          <w:color w:val="000000"/>
          <w:sz w:val="20"/>
          <w:szCs w:val="20"/>
        </w:rPr>
        <w:t xml:space="preserve"> dati)</w:t>
      </w:r>
    </w:p>
    <w:p w:rsidR="004A68C7" w:rsidRPr="004A68C7" w:rsidRDefault="004A68C7" w:rsidP="004A68C7">
      <w:pPr>
        <w:spacing w:line="240" w:lineRule="auto"/>
        <w:ind w:right="-57" w:firstLine="0"/>
        <w:rPr>
          <w:rFonts w:eastAsia="Calibri" w:cs="Times New Roman"/>
          <w:bCs/>
          <w:color w:val="000000"/>
          <w:sz w:val="20"/>
          <w:szCs w:val="20"/>
        </w:rPr>
      </w:pPr>
    </w:p>
    <w:p w:rsidR="00CD7149" w:rsidRPr="00CD7149" w:rsidRDefault="00CD7149" w:rsidP="00DC2C8A">
      <w:pPr>
        <w:spacing w:line="240" w:lineRule="auto"/>
        <w:ind w:right="-57" w:firstLine="709"/>
        <w:rPr>
          <w:rFonts w:eastAsia="Calibri" w:cs="Times New Roman"/>
          <w:szCs w:val="28"/>
          <w:highlight w:val="yellow"/>
        </w:rPr>
      </w:pPr>
      <w:r w:rsidRPr="00A6432D">
        <w:rPr>
          <w:rFonts w:eastAsia="Calibri" w:cs="Times New Roman"/>
          <w:szCs w:val="28"/>
        </w:rPr>
        <w:t>Līdzīgu importa cenas pieaugumu nedaudz tālākā perspektīvā - līdz 2020.</w:t>
      </w:r>
      <w:r w:rsidR="008D36F2">
        <w:rPr>
          <w:rFonts w:eastAsia="Calibri" w:cs="Times New Roman"/>
          <w:szCs w:val="28"/>
        </w:rPr>
        <w:t> </w:t>
      </w:r>
      <w:r w:rsidRPr="00A6432D">
        <w:rPr>
          <w:rFonts w:eastAsia="Calibri" w:cs="Times New Roman"/>
          <w:szCs w:val="28"/>
        </w:rPr>
        <w:t>gadam 12,5% apmērā prognozē arī AS Latvenergo</w:t>
      </w:r>
      <w:r w:rsidR="00A6432D">
        <w:rPr>
          <w:rFonts w:eastAsia="Calibri" w:cs="Times New Roman"/>
          <w:szCs w:val="28"/>
        </w:rPr>
        <w:t xml:space="preserve"> (</w:t>
      </w:r>
      <w:r w:rsidR="00A6432D" w:rsidRPr="00A6432D">
        <w:rPr>
          <w:rFonts w:eastAsia="Calibri" w:cs="Times New Roman"/>
          <w:i/>
          <w:szCs w:val="28"/>
        </w:rPr>
        <w:t>skat.2.attēlu</w:t>
      </w:r>
      <w:r w:rsidR="00A6432D">
        <w:rPr>
          <w:rFonts w:eastAsia="Calibri" w:cs="Times New Roman"/>
          <w:szCs w:val="28"/>
        </w:rPr>
        <w:t>)</w:t>
      </w:r>
      <w:r w:rsidRPr="00A6432D">
        <w:rPr>
          <w:rFonts w:eastAsia="Calibri" w:cs="Times New Roman"/>
          <w:szCs w:val="28"/>
        </w:rPr>
        <w:t xml:space="preserve">. </w:t>
      </w:r>
      <w:r>
        <w:rPr>
          <w:rFonts w:ascii="Calibri" w:eastAsia="Calibri" w:hAnsi="Calibri" w:cs="Times New Roman"/>
          <w:noProof/>
          <w:lang w:eastAsia="lv-LV"/>
        </w:rPr>
        <w:drawing>
          <wp:inline distT="0" distB="0" distL="0" distR="0" wp14:anchorId="7167ED93" wp14:editId="3B121032">
            <wp:extent cx="5057775" cy="190500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7149" w:rsidRPr="004A68C7" w:rsidRDefault="00CD7149" w:rsidP="004A68C7">
      <w:pPr>
        <w:spacing w:after="0" w:line="240" w:lineRule="auto"/>
        <w:ind w:right="-57" w:firstLine="0"/>
        <w:rPr>
          <w:rFonts w:eastAsia="Calibri" w:cs="Times New Roman"/>
          <w:b/>
          <w:sz w:val="24"/>
          <w:szCs w:val="28"/>
        </w:rPr>
      </w:pPr>
      <w:r w:rsidRPr="004A68C7">
        <w:rPr>
          <w:rFonts w:eastAsia="Calibri" w:cs="Times New Roman"/>
          <w:b/>
          <w:sz w:val="24"/>
          <w:szCs w:val="28"/>
        </w:rPr>
        <w:t xml:space="preserve">2.attēls. Vidējās elektroenerģijas </w:t>
      </w:r>
      <w:r w:rsidR="001C72F1" w:rsidRPr="004A68C7">
        <w:rPr>
          <w:rFonts w:eastAsia="Calibri" w:cs="Times New Roman"/>
          <w:b/>
          <w:sz w:val="24"/>
          <w:szCs w:val="28"/>
        </w:rPr>
        <w:t xml:space="preserve">importa </w:t>
      </w:r>
      <w:r w:rsidRPr="004A68C7">
        <w:rPr>
          <w:rFonts w:eastAsia="Calibri" w:cs="Times New Roman"/>
          <w:b/>
          <w:sz w:val="24"/>
          <w:szCs w:val="28"/>
        </w:rPr>
        <w:t xml:space="preserve">cenas prognoze </w:t>
      </w:r>
      <w:r w:rsidR="00764DF4" w:rsidRPr="004A68C7">
        <w:rPr>
          <w:rFonts w:eastAsia="Calibri" w:cs="Times New Roman"/>
          <w:b/>
          <w:sz w:val="24"/>
          <w:szCs w:val="28"/>
        </w:rPr>
        <w:t xml:space="preserve">līdz </w:t>
      </w:r>
      <w:r w:rsidRPr="004A68C7">
        <w:rPr>
          <w:rFonts w:eastAsia="Calibri" w:cs="Times New Roman"/>
          <w:b/>
          <w:sz w:val="24"/>
          <w:szCs w:val="28"/>
        </w:rPr>
        <w:t>2020.gad</w:t>
      </w:r>
      <w:r w:rsidR="00764DF4" w:rsidRPr="004A68C7">
        <w:rPr>
          <w:rFonts w:eastAsia="Calibri" w:cs="Times New Roman"/>
          <w:b/>
          <w:sz w:val="24"/>
          <w:szCs w:val="28"/>
        </w:rPr>
        <w:t>am</w:t>
      </w:r>
    </w:p>
    <w:p w:rsidR="00A6432D" w:rsidRPr="004A68C7" w:rsidRDefault="00A6432D" w:rsidP="004A68C7">
      <w:pPr>
        <w:spacing w:after="240" w:line="240" w:lineRule="auto"/>
        <w:ind w:right="-57" w:firstLine="0"/>
        <w:rPr>
          <w:rFonts w:eastAsia="Calibri" w:cs="Times New Roman"/>
          <w:sz w:val="20"/>
          <w:szCs w:val="20"/>
        </w:rPr>
      </w:pPr>
      <w:r w:rsidRPr="004A68C7">
        <w:rPr>
          <w:rFonts w:eastAsia="Calibri" w:cs="Times New Roman"/>
          <w:sz w:val="20"/>
          <w:szCs w:val="20"/>
        </w:rPr>
        <w:t>Avots: AS „Latvenergo”, Ekonomikas ministrija</w:t>
      </w:r>
    </w:p>
    <w:p w:rsidR="00CD7149" w:rsidRPr="00CD7149" w:rsidRDefault="00CD7149" w:rsidP="00CD7149">
      <w:pPr>
        <w:spacing w:line="240" w:lineRule="auto"/>
        <w:ind w:right="-57" w:firstLine="709"/>
        <w:rPr>
          <w:rFonts w:eastAsia="Calibri" w:cs="Times New Roman"/>
          <w:szCs w:val="28"/>
        </w:rPr>
      </w:pPr>
      <w:r w:rsidRPr="00CD7149">
        <w:rPr>
          <w:rFonts w:eastAsia="Calibri" w:cs="Times New Roman"/>
          <w:szCs w:val="28"/>
        </w:rPr>
        <w:t>Infrastruktūras pieejamībai un t</w:t>
      </w:r>
      <w:r w:rsidR="00A31C72">
        <w:rPr>
          <w:rFonts w:eastAsia="Calibri" w:cs="Times New Roman"/>
          <w:szCs w:val="28"/>
        </w:rPr>
        <w:t>ās</w:t>
      </w:r>
      <w:r w:rsidRPr="00CD7149">
        <w:rPr>
          <w:rFonts w:eastAsia="Calibri" w:cs="Times New Roman"/>
          <w:szCs w:val="28"/>
        </w:rPr>
        <w:t xml:space="preserve"> caurlaides spējai ir būtiska nozīme elektroenerģijas tirdzniecībā un vairumtirdzniecības cenu noteikšanā. Latvijai un </w:t>
      </w:r>
      <w:r w:rsidRPr="00CD7149">
        <w:rPr>
          <w:rFonts w:eastAsia="Calibri" w:cs="Times New Roman"/>
          <w:szCs w:val="28"/>
        </w:rPr>
        <w:lastRenderedPageBreak/>
        <w:t xml:space="preserve">Baltijas </w:t>
      </w:r>
      <w:r w:rsidR="009B731B">
        <w:rPr>
          <w:rFonts w:eastAsia="Calibri" w:cs="Times New Roman"/>
          <w:szCs w:val="28"/>
        </w:rPr>
        <w:t>valstīm</w:t>
      </w:r>
      <w:r w:rsidR="009B731B" w:rsidRPr="00CD7149">
        <w:rPr>
          <w:rFonts w:eastAsia="Calibri" w:cs="Times New Roman"/>
          <w:szCs w:val="28"/>
        </w:rPr>
        <w:t xml:space="preserve"> </w:t>
      </w:r>
      <w:r w:rsidRPr="00CD7149">
        <w:rPr>
          <w:rFonts w:eastAsia="Calibri" w:cs="Times New Roman"/>
          <w:szCs w:val="28"/>
        </w:rPr>
        <w:t>nozīmīgākie enerģētikas infrastruktūras projekti definēti Baltijas enerģijas tirgu starpsavienojumu plānā (BEMIP), kura ietvaros ar ES līdzfinansējumu jau šobrīd tiek realizēti vairāki būtiski elektroenerģijas pārvades projekti - 2014.</w:t>
      </w:r>
      <w:r w:rsidR="008D36F2">
        <w:rPr>
          <w:rFonts w:eastAsia="Calibri" w:cs="Times New Roman"/>
          <w:szCs w:val="28"/>
        </w:rPr>
        <w:t> </w:t>
      </w:r>
      <w:r w:rsidRPr="00CD7149">
        <w:rPr>
          <w:rFonts w:eastAsia="Calibri" w:cs="Times New Roman"/>
          <w:szCs w:val="28"/>
        </w:rPr>
        <w:t>gadā tiks pabeigta Igaunijas–Somijas otrā starpsavienojuma (</w:t>
      </w:r>
      <w:proofErr w:type="spellStart"/>
      <w:r w:rsidRPr="00CD7149">
        <w:rPr>
          <w:rFonts w:eastAsia="Calibri" w:cs="Times New Roman"/>
          <w:szCs w:val="28"/>
        </w:rPr>
        <w:t>Estlink</w:t>
      </w:r>
      <w:proofErr w:type="spellEnd"/>
      <w:r w:rsidRPr="00CD7149">
        <w:rPr>
          <w:rFonts w:eastAsia="Calibri" w:cs="Times New Roman"/>
          <w:szCs w:val="28"/>
        </w:rPr>
        <w:t xml:space="preserve"> 2 - 650 MW) izbūve, līdz ar to kopējā pārvades jauda starp valstīm sasniegs 1000 MW, būtiski uzlabojot un nodrošinot tehnisk</w:t>
      </w:r>
      <w:r w:rsidR="009B731B">
        <w:rPr>
          <w:rFonts w:eastAsia="Calibri" w:cs="Times New Roman"/>
          <w:szCs w:val="28"/>
        </w:rPr>
        <w:t>ās</w:t>
      </w:r>
      <w:r w:rsidRPr="00CD7149">
        <w:rPr>
          <w:rFonts w:eastAsia="Calibri" w:cs="Times New Roman"/>
          <w:szCs w:val="28"/>
        </w:rPr>
        <w:t xml:space="preserve"> </w:t>
      </w:r>
      <w:r w:rsidR="009B731B">
        <w:rPr>
          <w:rFonts w:eastAsia="Calibri" w:cs="Times New Roman"/>
          <w:szCs w:val="28"/>
        </w:rPr>
        <w:t>iespējas</w:t>
      </w:r>
      <w:r w:rsidR="009B731B" w:rsidRPr="00CD7149">
        <w:rPr>
          <w:rFonts w:eastAsia="Calibri" w:cs="Times New Roman"/>
          <w:szCs w:val="28"/>
        </w:rPr>
        <w:t xml:space="preserve"> </w:t>
      </w:r>
      <w:r w:rsidRPr="00CD7149">
        <w:rPr>
          <w:rFonts w:eastAsia="Calibri" w:cs="Times New Roman"/>
          <w:szCs w:val="28"/>
        </w:rPr>
        <w:t>elektroenerģijas tirdzniecība</w:t>
      </w:r>
      <w:r w:rsidR="009B731B">
        <w:rPr>
          <w:rFonts w:eastAsia="Calibri" w:cs="Times New Roman"/>
          <w:szCs w:val="28"/>
        </w:rPr>
        <w:t>i</w:t>
      </w:r>
      <w:r w:rsidRPr="00CD7149">
        <w:rPr>
          <w:rFonts w:eastAsia="Calibri" w:cs="Times New Roman"/>
          <w:szCs w:val="28"/>
        </w:rPr>
        <w:t xml:space="preserve">. Baltijas elektroenerģijas sistēmas darbību uzlabos arī Zviedrijas-Lietuvas starpsavienojums </w:t>
      </w:r>
      <w:proofErr w:type="spellStart"/>
      <w:r w:rsidRPr="00CD7149">
        <w:rPr>
          <w:rFonts w:eastAsia="Calibri" w:cs="Times New Roman"/>
          <w:szCs w:val="28"/>
        </w:rPr>
        <w:t>NordBalt</w:t>
      </w:r>
      <w:proofErr w:type="spellEnd"/>
      <w:r w:rsidRPr="00CD7149">
        <w:rPr>
          <w:rFonts w:eastAsia="Calibri" w:cs="Times New Roman"/>
          <w:szCs w:val="28"/>
        </w:rPr>
        <w:t xml:space="preserve"> (700 MW), kura izbūvi plānots pabeigt 2016.</w:t>
      </w:r>
      <w:r w:rsidR="008D36F2">
        <w:rPr>
          <w:rFonts w:eastAsia="Calibri" w:cs="Times New Roman"/>
          <w:szCs w:val="28"/>
        </w:rPr>
        <w:t> </w:t>
      </w:r>
      <w:r w:rsidRPr="00CD7149">
        <w:rPr>
          <w:rFonts w:eastAsia="Calibri" w:cs="Times New Roman"/>
          <w:szCs w:val="28"/>
        </w:rPr>
        <w:t>gadā, savienojot Lietuvas elektrosistēmu ar Nord Pool Spot biržas Zviedrijas SE4 (</w:t>
      </w:r>
      <w:proofErr w:type="spellStart"/>
      <w:r w:rsidRPr="00CD7149">
        <w:rPr>
          <w:rFonts w:eastAsia="Calibri" w:cs="Times New Roman"/>
          <w:szCs w:val="28"/>
        </w:rPr>
        <w:t>Malmö</w:t>
      </w:r>
      <w:proofErr w:type="spellEnd"/>
      <w:r w:rsidRPr="00CD7149">
        <w:rPr>
          <w:rFonts w:eastAsia="Calibri" w:cs="Times New Roman"/>
          <w:szCs w:val="28"/>
        </w:rPr>
        <w:t>) cenu zonu. Zviedrijas SE4 cenu zonā, līdzīgi kā Somijas cenu zonā, saskaņā ar NASDAQ biržas mājas lapā pieejamajām cenu prognozēm elektroenerģijas cenas ir stabilas un pieaugums tiek prognozēts tikai 2016.</w:t>
      </w:r>
      <w:r w:rsidR="008D36F2">
        <w:rPr>
          <w:rFonts w:eastAsia="Calibri" w:cs="Times New Roman"/>
          <w:szCs w:val="28"/>
        </w:rPr>
        <w:t> </w:t>
      </w:r>
      <w:r w:rsidRPr="00CD7149">
        <w:rPr>
          <w:rFonts w:eastAsia="Calibri" w:cs="Times New Roman"/>
          <w:szCs w:val="28"/>
        </w:rPr>
        <w:t>gadā, 2017.</w:t>
      </w:r>
      <w:r w:rsidR="008D36F2">
        <w:rPr>
          <w:rFonts w:eastAsia="Calibri" w:cs="Times New Roman"/>
          <w:szCs w:val="28"/>
        </w:rPr>
        <w:t> </w:t>
      </w:r>
      <w:r w:rsidRPr="00CD7149">
        <w:rPr>
          <w:rFonts w:eastAsia="Calibri" w:cs="Times New Roman"/>
          <w:szCs w:val="28"/>
        </w:rPr>
        <w:t>gadā sasniedzot vien 10% pieaugumu salīdzinājumā ar 2013.</w:t>
      </w:r>
      <w:r w:rsidR="008D36F2">
        <w:rPr>
          <w:rFonts w:eastAsia="Calibri" w:cs="Times New Roman"/>
          <w:szCs w:val="28"/>
        </w:rPr>
        <w:t> </w:t>
      </w:r>
      <w:r w:rsidRPr="00CD7149">
        <w:rPr>
          <w:rFonts w:eastAsia="Calibri" w:cs="Times New Roman"/>
          <w:szCs w:val="28"/>
        </w:rPr>
        <w:t xml:space="preserve">gadu. </w:t>
      </w:r>
    </w:p>
    <w:p w:rsidR="00DC2C8A" w:rsidRDefault="004A68C7" w:rsidP="00DC2C8A">
      <w:pPr>
        <w:autoSpaceDE w:val="0"/>
        <w:autoSpaceDN w:val="0"/>
        <w:adjustRightInd w:val="0"/>
        <w:spacing w:after="0" w:line="240" w:lineRule="auto"/>
        <w:ind w:firstLine="709"/>
        <w:rPr>
          <w:rFonts w:eastAsia="Calibri" w:cs="Times New Roman"/>
          <w:szCs w:val="28"/>
          <w:lang w:eastAsia="lv-LV"/>
        </w:rPr>
      </w:pPr>
      <w:r>
        <w:rPr>
          <w:rFonts w:ascii="Calibri" w:eastAsia="Calibri" w:hAnsi="Calibri" w:cs="Times New Roman"/>
          <w:noProof/>
          <w:lang w:eastAsia="lv-LV"/>
        </w:rPr>
        <w:drawing>
          <wp:anchor distT="0" distB="9883" distL="114300" distR="124558" simplePos="0" relativeHeight="251645952" behindDoc="1" locked="0" layoutInCell="1" allowOverlap="1" wp14:anchorId="3F04284E" wp14:editId="1D8AFF85">
            <wp:simplePos x="0" y="0"/>
            <wp:positionH relativeFrom="column">
              <wp:posOffset>447675</wp:posOffset>
            </wp:positionH>
            <wp:positionV relativeFrom="paragraph">
              <wp:posOffset>3004820</wp:posOffset>
            </wp:positionV>
            <wp:extent cx="5305425" cy="1885950"/>
            <wp:effectExtent l="0" t="0" r="9525" b="19050"/>
            <wp:wrapTight wrapText="bothSides">
              <wp:wrapPolygon edited="0">
                <wp:start x="0" y="0"/>
                <wp:lineTo x="0" y="21600"/>
                <wp:lineTo x="21561" y="21600"/>
                <wp:lineTo x="21561" y="0"/>
                <wp:lineTo x="0" y="0"/>
              </wp:wrapPolygon>
            </wp:wrapTight>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CD7149" w:rsidRPr="00CD7149">
        <w:rPr>
          <w:rFonts w:eastAsia="Calibri" w:cs="Times New Roman"/>
          <w:i/>
          <w:szCs w:val="28"/>
          <w:lang w:eastAsia="lv-LV"/>
        </w:rPr>
        <w:t>Elektroenerģijas ilgtermiņa cenas</w:t>
      </w:r>
      <w:r w:rsidR="00CD7149" w:rsidRPr="00CD7149">
        <w:rPr>
          <w:rFonts w:eastAsia="Calibri" w:cs="Times New Roman"/>
          <w:szCs w:val="28"/>
          <w:lang w:eastAsia="lv-LV"/>
        </w:rPr>
        <w:t xml:space="preserve"> atšķirībā no īstermiņa cenām, ko ietekmē </w:t>
      </w:r>
      <w:r w:rsidR="009B731B">
        <w:rPr>
          <w:rFonts w:eastAsia="Calibri" w:cs="Times New Roman"/>
          <w:color w:val="000000" w:themeColor="text1"/>
          <w:szCs w:val="28"/>
          <w:lang w:eastAsia="lv-LV"/>
        </w:rPr>
        <w:t>ūdens resursu pieejamība</w:t>
      </w:r>
      <w:r w:rsidR="00CD7149" w:rsidRPr="009C550F">
        <w:rPr>
          <w:rFonts w:eastAsia="Calibri" w:cs="Times New Roman"/>
          <w:color w:val="000000" w:themeColor="text1"/>
          <w:szCs w:val="28"/>
          <w:lang w:eastAsia="lv-LV"/>
        </w:rPr>
        <w:t>, ogļu cenas, CO</w:t>
      </w:r>
      <w:r w:rsidR="00CD7149" w:rsidRPr="009C550F">
        <w:rPr>
          <w:rFonts w:eastAsia="Calibri" w:cs="Times New Roman"/>
          <w:color w:val="000000" w:themeColor="text1"/>
          <w:szCs w:val="28"/>
          <w:vertAlign w:val="subscript"/>
          <w:lang w:eastAsia="lv-LV"/>
        </w:rPr>
        <w:t>2</w:t>
      </w:r>
      <w:r w:rsidR="00CD7149" w:rsidRPr="009C550F">
        <w:rPr>
          <w:rFonts w:eastAsia="Calibri" w:cs="Times New Roman"/>
          <w:color w:val="000000" w:themeColor="text1"/>
          <w:szCs w:val="28"/>
          <w:lang w:eastAsia="lv-LV"/>
        </w:rPr>
        <w:t xml:space="preserve"> cenas, veidos nozīmīgi dažādu Eiropas elektroenerģijas tirgu apvienošanās procesi. Šobrīd tiek strādāts pie vienota Eiropas elektroenerģijas tirgus izveides un pašlaik Ziemeļvalstu un Eiropas centrālo valstu (Beniluksa valstis, Francija, Vācija) energosistēmas vieno 4 starpsavienojumi: </w:t>
      </w:r>
      <w:proofErr w:type="spellStart"/>
      <w:r w:rsidR="00CD7149" w:rsidRPr="009C550F">
        <w:rPr>
          <w:rFonts w:eastAsia="Calibri" w:cs="Times New Roman"/>
          <w:color w:val="000000" w:themeColor="text1"/>
          <w:szCs w:val="28"/>
          <w:lang w:eastAsia="lv-LV"/>
        </w:rPr>
        <w:t>NordNed</w:t>
      </w:r>
      <w:proofErr w:type="spellEnd"/>
      <w:r w:rsidR="00CD7149" w:rsidRPr="009C550F">
        <w:rPr>
          <w:rFonts w:eastAsia="Calibri" w:cs="Times New Roman"/>
          <w:color w:val="000000" w:themeColor="text1"/>
          <w:szCs w:val="28"/>
          <w:lang w:eastAsia="lv-LV"/>
        </w:rPr>
        <w:t xml:space="preserve"> 700 MW (No</w:t>
      </w:r>
      <w:r w:rsidR="00DE35A5" w:rsidRPr="009C550F">
        <w:rPr>
          <w:rFonts w:eastAsia="Calibri" w:cs="Times New Roman"/>
          <w:color w:val="000000" w:themeColor="text1"/>
          <w:szCs w:val="28"/>
          <w:lang w:eastAsia="lv-LV"/>
        </w:rPr>
        <w:t>r</w:t>
      </w:r>
      <w:r w:rsidR="00CD7149" w:rsidRPr="009C550F">
        <w:rPr>
          <w:rFonts w:eastAsia="Calibri" w:cs="Times New Roman"/>
          <w:color w:val="000000" w:themeColor="text1"/>
          <w:szCs w:val="28"/>
          <w:lang w:eastAsia="lv-LV"/>
        </w:rPr>
        <w:t xml:space="preserve">vēģija-Nīderlande), Baltic </w:t>
      </w:r>
      <w:proofErr w:type="spellStart"/>
      <w:r w:rsidR="00CD7149" w:rsidRPr="009C550F">
        <w:rPr>
          <w:rFonts w:eastAsia="Calibri" w:cs="Times New Roman"/>
          <w:color w:val="000000" w:themeColor="text1"/>
          <w:szCs w:val="28"/>
          <w:lang w:eastAsia="lv-LV"/>
        </w:rPr>
        <w:t>Cable</w:t>
      </w:r>
      <w:proofErr w:type="spellEnd"/>
      <w:r w:rsidR="00CD7149" w:rsidRPr="009C550F">
        <w:rPr>
          <w:rFonts w:eastAsia="Calibri" w:cs="Times New Roman"/>
          <w:color w:val="000000" w:themeColor="text1"/>
          <w:szCs w:val="28"/>
          <w:lang w:eastAsia="lv-LV"/>
        </w:rPr>
        <w:t xml:space="preserve"> 600 MW (Zviedrija-Vācija),  Dānijas cenu zona DK2 ar Vāciju - 600 MW un Dānijas cenu zona DK1 ar Vāciju un pārvades līniju kopumu, kuru nominālā jauda sasniedz 1500 MW. K</w:t>
      </w:r>
      <w:r w:rsidR="00A6432D" w:rsidRPr="009C550F">
        <w:rPr>
          <w:rFonts w:eastAsia="Calibri" w:cs="Times New Roman"/>
          <w:color w:val="000000" w:themeColor="text1"/>
          <w:szCs w:val="28"/>
          <w:lang w:eastAsia="lv-LV"/>
        </w:rPr>
        <w:t>ā redzams 3</w:t>
      </w:r>
      <w:r w:rsidR="00CD7149" w:rsidRPr="009C550F">
        <w:rPr>
          <w:rFonts w:eastAsia="Calibri" w:cs="Times New Roman"/>
          <w:color w:val="000000" w:themeColor="text1"/>
          <w:szCs w:val="28"/>
          <w:lang w:eastAsia="lv-LV"/>
        </w:rPr>
        <w:t xml:space="preserve">.attēlā, lielākajā Eiropas enerģijas tirgū – EPEX Spot, kas darbojas Vācijā, Francijā, Austrijā un Šveicē, elektroenerģijas cenas pēdējo piecu gadu periodā vidēji ir par 15 </w:t>
      </w:r>
      <w:r w:rsidR="00CD7149" w:rsidRPr="00CD7149">
        <w:rPr>
          <w:rFonts w:eastAsia="Calibri" w:cs="Times New Roman"/>
          <w:szCs w:val="28"/>
          <w:lang w:eastAsia="lv-LV"/>
        </w:rPr>
        <w:t>% augstākas nekā Nord Pool Spot biržā. Augstā cena skaidrojama ar ievērojamo elektroenerģijas pieprasījumu, jo uzskaitītās valstis patērē vienu trešdaļu no kopējā Eiropas elektroenerģijas patēriņa.</w:t>
      </w:r>
    </w:p>
    <w:p w:rsidR="00A6432D" w:rsidRPr="004A68C7" w:rsidRDefault="00A6432D" w:rsidP="004A68C7">
      <w:pPr>
        <w:autoSpaceDE w:val="0"/>
        <w:autoSpaceDN w:val="0"/>
        <w:adjustRightInd w:val="0"/>
        <w:spacing w:after="0" w:line="240" w:lineRule="auto"/>
        <w:ind w:firstLine="0"/>
        <w:rPr>
          <w:rFonts w:eastAsia="Calibri" w:cs="Times New Roman"/>
          <w:b/>
          <w:sz w:val="24"/>
          <w:szCs w:val="24"/>
        </w:rPr>
      </w:pPr>
      <w:r w:rsidRPr="004A68C7">
        <w:rPr>
          <w:rFonts w:eastAsia="Calibri" w:cs="Times New Roman"/>
          <w:b/>
          <w:sz w:val="24"/>
          <w:szCs w:val="24"/>
        </w:rPr>
        <w:t>3</w:t>
      </w:r>
      <w:r w:rsidR="00CD7149" w:rsidRPr="004A68C7">
        <w:rPr>
          <w:rFonts w:eastAsia="Calibri" w:cs="Times New Roman"/>
          <w:b/>
          <w:sz w:val="24"/>
          <w:szCs w:val="24"/>
        </w:rPr>
        <w:t>.attēls. Elektroenerģijas cena EPEX spot un Nord Pool Spot</w:t>
      </w:r>
    </w:p>
    <w:p w:rsidR="00CD7149" w:rsidRPr="004A68C7" w:rsidRDefault="00A6432D" w:rsidP="004A68C7">
      <w:pPr>
        <w:autoSpaceDE w:val="0"/>
        <w:autoSpaceDN w:val="0"/>
        <w:adjustRightInd w:val="0"/>
        <w:spacing w:after="0" w:line="240" w:lineRule="auto"/>
        <w:ind w:firstLine="0"/>
        <w:rPr>
          <w:rFonts w:eastAsia="Calibri" w:cs="Times New Roman"/>
          <w:sz w:val="20"/>
          <w:szCs w:val="20"/>
          <w:lang w:eastAsia="lv-LV"/>
        </w:rPr>
      </w:pPr>
      <w:r w:rsidRPr="004A68C7">
        <w:rPr>
          <w:rFonts w:eastAsia="Calibri" w:cs="Times New Roman"/>
          <w:sz w:val="20"/>
          <w:szCs w:val="20"/>
        </w:rPr>
        <w:t>Avots: Ekonomikas ministrija</w:t>
      </w:r>
      <w:r w:rsidR="00CA7E5C" w:rsidRPr="00CA7E5C">
        <w:rPr>
          <w:rFonts w:eastAsia="Calibri" w:cs="Times New Roman"/>
          <w:sz w:val="20"/>
          <w:szCs w:val="20"/>
        </w:rPr>
        <w:t xml:space="preserve">, </w:t>
      </w:r>
      <w:hyperlink r:id="rId13" w:history="1">
        <w:r w:rsidR="00CA7E5C" w:rsidRPr="00CA7E5C">
          <w:rPr>
            <w:rStyle w:val="Hyperlink"/>
            <w:rFonts w:eastAsia="Calibri" w:cs="Times New Roman"/>
            <w:sz w:val="20"/>
            <w:szCs w:val="20"/>
          </w:rPr>
          <w:t>www.epexspot.com</w:t>
        </w:r>
      </w:hyperlink>
      <w:r w:rsidR="00CA7E5C" w:rsidRPr="00CA7E5C">
        <w:rPr>
          <w:rFonts w:eastAsia="Calibri" w:cs="Times New Roman"/>
          <w:sz w:val="20"/>
          <w:szCs w:val="20"/>
        </w:rPr>
        <w:t xml:space="preserve">, </w:t>
      </w:r>
      <w:hyperlink r:id="rId14" w:history="1">
        <w:r w:rsidR="00943DDF" w:rsidRPr="00326542">
          <w:rPr>
            <w:rStyle w:val="Hyperlink"/>
            <w:rFonts w:cs="Times New Roman"/>
            <w:sz w:val="20"/>
            <w:szCs w:val="20"/>
          </w:rPr>
          <w:t>www.</w:t>
        </w:r>
        <w:r w:rsidR="00943DDF" w:rsidRPr="00326542">
          <w:rPr>
            <w:rStyle w:val="Hyperlink"/>
            <w:rFonts w:cs="Times New Roman"/>
            <w:bCs/>
            <w:sz w:val="20"/>
            <w:szCs w:val="20"/>
          </w:rPr>
          <w:t>nordpoolspot</w:t>
        </w:r>
        <w:r w:rsidR="00943DDF" w:rsidRPr="00326542">
          <w:rPr>
            <w:rStyle w:val="Hyperlink"/>
            <w:rFonts w:cs="Times New Roman"/>
            <w:sz w:val="20"/>
            <w:szCs w:val="20"/>
          </w:rPr>
          <w:t>.com</w:t>
        </w:r>
      </w:hyperlink>
      <w:r w:rsidR="00943DDF">
        <w:rPr>
          <w:rStyle w:val="HTMLCite"/>
          <w:rFonts w:cs="Times New Roman"/>
          <w:sz w:val="20"/>
          <w:szCs w:val="20"/>
        </w:rPr>
        <w:t xml:space="preserve"> </w:t>
      </w:r>
    </w:p>
    <w:p w:rsidR="00CD7149" w:rsidRPr="009C550F" w:rsidRDefault="000662C6" w:rsidP="00DC2C8A">
      <w:pPr>
        <w:spacing w:before="240" w:line="240" w:lineRule="auto"/>
        <w:ind w:firstLine="709"/>
        <w:rPr>
          <w:rFonts w:eastAsia="Calibri" w:cs="Times New Roman"/>
          <w:color w:val="000000" w:themeColor="text1"/>
          <w:szCs w:val="28"/>
        </w:rPr>
      </w:pPr>
      <w:r w:rsidRPr="009C550F">
        <w:rPr>
          <w:rFonts w:eastAsia="Calibri" w:cs="Times New Roman"/>
          <w:color w:val="000000" w:themeColor="text1"/>
          <w:szCs w:val="28"/>
        </w:rPr>
        <w:t>J</w:t>
      </w:r>
      <w:r w:rsidR="00CD7149" w:rsidRPr="009C550F">
        <w:rPr>
          <w:rFonts w:eastAsia="Calibri" w:cs="Times New Roman"/>
          <w:color w:val="000000" w:themeColor="text1"/>
          <w:szCs w:val="28"/>
        </w:rPr>
        <w:t>a Skandināvijas un Centrāleiropas energosistēmas tiks pilnībā integrētas, elektroenerģijas cenas Nord Pool Spot biržā</w:t>
      </w:r>
      <w:r w:rsidRPr="009C550F">
        <w:rPr>
          <w:rFonts w:eastAsia="Calibri" w:cs="Times New Roman"/>
          <w:color w:val="000000" w:themeColor="text1"/>
          <w:szCs w:val="28"/>
        </w:rPr>
        <w:t xml:space="preserve"> visticamāk</w:t>
      </w:r>
      <w:r w:rsidR="00CD7149" w:rsidRPr="009C550F">
        <w:rPr>
          <w:rFonts w:eastAsia="Calibri" w:cs="Times New Roman"/>
          <w:color w:val="000000" w:themeColor="text1"/>
          <w:szCs w:val="28"/>
        </w:rPr>
        <w:t xml:space="preserve"> pieaugs, izlīdzinoties ar EPEX Spot cenu. Savukārt, ja pilnīga energosistēmu apvienošana neīstenosies, </w:t>
      </w:r>
      <w:r w:rsidR="00CD7149" w:rsidRPr="009C550F">
        <w:rPr>
          <w:rFonts w:eastAsia="Calibri" w:cs="Times New Roman"/>
          <w:color w:val="000000" w:themeColor="text1"/>
          <w:szCs w:val="28"/>
        </w:rPr>
        <w:lastRenderedPageBreak/>
        <w:t xml:space="preserve">elektroenerģijas cenas Nord Pool Spot reģionā varētu samazināties, jo reģionā ir daudz </w:t>
      </w:r>
      <w:r w:rsidR="009B731B">
        <w:rPr>
          <w:rFonts w:eastAsia="Calibri" w:cs="Times New Roman"/>
          <w:color w:val="000000" w:themeColor="text1"/>
          <w:szCs w:val="28"/>
        </w:rPr>
        <w:t>ražošanas jaudu</w:t>
      </w:r>
      <w:r w:rsidR="00CD7149" w:rsidRPr="009C550F">
        <w:rPr>
          <w:rFonts w:eastAsia="Calibri" w:cs="Times New Roman"/>
          <w:color w:val="000000" w:themeColor="text1"/>
          <w:szCs w:val="28"/>
        </w:rPr>
        <w:t xml:space="preserve">, pēc kurām nebūs pieprasījuma. Elektroenerģijas cenai būtu jāsvārstās </w:t>
      </w:r>
      <w:r w:rsidR="004E37B0" w:rsidRPr="009C550F">
        <w:rPr>
          <w:rFonts w:eastAsia="Calibri" w:cs="Times New Roman"/>
          <w:color w:val="000000" w:themeColor="text1"/>
          <w:szCs w:val="28"/>
        </w:rPr>
        <w:t xml:space="preserve">31-38 LVL (45-55 EUR) </w:t>
      </w:r>
      <w:r w:rsidR="00CD7149" w:rsidRPr="009C550F">
        <w:rPr>
          <w:rFonts w:eastAsia="Calibri" w:cs="Times New Roman"/>
          <w:color w:val="000000" w:themeColor="text1"/>
          <w:szCs w:val="28"/>
        </w:rPr>
        <w:t>par MWh amplitūdā.</w:t>
      </w:r>
      <w:r w:rsidR="00A6432D" w:rsidRPr="009C550F">
        <w:rPr>
          <w:rFonts w:eastAsia="Calibri" w:cs="Times New Roman"/>
          <w:color w:val="000000" w:themeColor="text1"/>
          <w:szCs w:val="28"/>
        </w:rPr>
        <w:t xml:space="preserve"> </w:t>
      </w:r>
    </w:p>
    <w:p w:rsidR="00CD7149" w:rsidRPr="00CD7149" w:rsidRDefault="00CD7149" w:rsidP="00CD7149">
      <w:pPr>
        <w:spacing w:line="240" w:lineRule="auto"/>
        <w:rPr>
          <w:rFonts w:eastAsia="Calibri" w:cs="Times New Roman"/>
          <w:szCs w:val="28"/>
        </w:rPr>
      </w:pPr>
      <w:r w:rsidRPr="009C550F">
        <w:rPr>
          <w:rFonts w:eastAsia="Calibri" w:cs="Times New Roman"/>
          <w:color w:val="000000" w:themeColor="text1"/>
          <w:szCs w:val="28"/>
        </w:rPr>
        <w:t>Vienlaikus Baltij</w:t>
      </w:r>
      <w:r w:rsidR="009B731B">
        <w:rPr>
          <w:rFonts w:eastAsia="Calibri" w:cs="Times New Roman"/>
          <w:color w:val="000000" w:themeColor="text1"/>
          <w:szCs w:val="28"/>
        </w:rPr>
        <w:t>ā</w:t>
      </w:r>
      <w:r w:rsidRPr="009C550F">
        <w:rPr>
          <w:rFonts w:eastAsia="Calibri" w:cs="Times New Roman"/>
          <w:color w:val="000000" w:themeColor="text1"/>
          <w:szCs w:val="28"/>
        </w:rPr>
        <w:t xml:space="preserve"> elektroenerģijas cena varētu pieaugt straujāk nekā </w:t>
      </w:r>
      <w:r w:rsidR="009B731B">
        <w:rPr>
          <w:rFonts w:eastAsia="Calibri" w:cs="Times New Roman"/>
          <w:color w:val="000000" w:themeColor="text1"/>
          <w:szCs w:val="28"/>
        </w:rPr>
        <w:t>Zviedrijā un Somijā</w:t>
      </w:r>
      <w:r w:rsidRPr="009C550F">
        <w:rPr>
          <w:rFonts w:eastAsia="Calibri" w:cs="Times New Roman"/>
          <w:color w:val="000000" w:themeColor="text1"/>
          <w:szCs w:val="28"/>
        </w:rPr>
        <w:t xml:space="preserve">, ņemot vērā reģiona elektroenerģijas ražošanas un patēriņa struktūru. Līdz ar to </w:t>
      </w:r>
      <w:r w:rsidR="009B731B">
        <w:rPr>
          <w:rFonts w:eastAsia="Calibri" w:cs="Times New Roman"/>
          <w:color w:val="000000" w:themeColor="text1"/>
          <w:szCs w:val="28"/>
        </w:rPr>
        <w:t>Baltijas un Ziemeļvalstu</w:t>
      </w:r>
      <w:r w:rsidR="00C312AC">
        <w:rPr>
          <w:rFonts w:eastAsia="Calibri" w:cs="Times New Roman"/>
          <w:color w:val="000000" w:themeColor="text1"/>
          <w:szCs w:val="28"/>
        </w:rPr>
        <w:t xml:space="preserve"> </w:t>
      </w:r>
      <w:r w:rsidR="009B731B">
        <w:rPr>
          <w:rFonts w:eastAsia="Calibri" w:cs="Times New Roman"/>
          <w:color w:val="000000" w:themeColor="text1"/>
          <w:szCs w:val="28"/>
        </w:rPr>
        <w:t xml:space="preserve">tirgu </w:t>
      </w:r>
      <w:r w:rsidRPr="009C550F">
        <w:rPr>
          <w:rFonts w:eastAsia="Calibri" w:cs="Times New Roman"/>
          <w:color w:val="000000" w:themeColor="text1"/>
          <w:szCs w:val="28"/>
        </w:rPr>
        <w:t xml:space="preserve">integrācija varētu mazināt Latvijas elektroenerģijas tirgus cenas kāpumu īsā un vidējā termiņā – </w:t>
      </w:r>
      <w:r w:rsidRPr="00CD7149">
        <w:rPr>
          <w:rFonts w:eastAsia="Calibri" w:cs="Times New Roman"/>
          <w:szCs w:val="28"/>
        </w:rPr>
        <w:t xml:space="preserve">attiecīgi, tas tiktu ierobežots līdz Somijā un Zviedrijā plānotajam mērenajam tirgus cenas kāpumam. Tāpēc Latvijai un visam Baltijas reģionam ir ļoti svarīgi attīstīt elektroenerģijas infrastruktūru. </w:t>
      </w:r>
    </w:p>
    <w:p w:rsidR="00CD7149" w:rsidRPr="00CD7149" w:rsidRDefault="00CD7149" w:rsidP="00CD7149">
      <w:pPr>
        <w:spacing w:line="240" w:lineRule="auto"/>
        <w:rPr>
          <w:rFonts w:eastAsia="Calibri" w:cs="Times New Roman"/>
          <w:szCs w:val="28"/>
        </w:rPr>
      </w:pPr>
      <w:r w:rsidRPr="00CD7149">
        <w:rPr>
          <w:rFonts w:eastAsia="Calibri" w:cs="Times New Roman"/>
          <w:szCs w:val="28"/>
        </w:rPr>
        <w:t xml:space="preserve">Integrācija plašākā tirgū ir cieši saistīta arī ar konkurences veicināšanu, ko sekmēs jaunu dalībnieku ienākšanu tirgū. Arī vēsturiski svarīgais elektroenerģijas piegādātājs – Krievija - konkurences apstākļos, visticamāk, nevēlēsies zaudēt savu stabilo pozīciju Baltijas reģiona tirgū, tāpēc sagaidāms, ka Krievija strauji nepaaugstinās vai pat samazinās elektroenerģijas piegādes cenu, nolūkā saglabāt pozīcijas arī pēc Baltijas reģiona plašākas integrācijas Skandināvijas tirgū. </w:t>
      </w:r>
    </w:p>
    <w:p w:rsidR="00CD7149" w:rsidRPr="00CD7149" w:rsidRDefault="00CD7149" w:rsidP="00CD7149">
      <w:pPr>
        <w:spacing w:after="0" w:line="240" w:lineRule="auto"/>
        <w:ind w:firstLine="709"/>
        <w:rPr>
          <w:rFonts w:eastAsia="Calibri" w:cs="Times New Roman"/>
          <w:szCs w:val="28"/>
        </w:rPr>
      </w:pPr>
      <w:r w:rsidRPr="00CD7149">
        <w:rPr>
          <w:rFonts w:eastAsia="Calibri" w:cs="Times New Roman"/>
          <w:szCs w:val="28"/>
        </w:rPr>
        <w:t xml:space="preserve">Konkurence pozitīvi ietekmē cenu veidošanos, jo veicina uzņēmumu cīņu par katru tā klientu. Tāpēc jaunu tirgus dalībnieku piesaistei un konkurences veicināšanai nepieciešams arī pilnveidot tirgus regulējumu, turpinot Latvijas elektroenerģijas tirgus liberalizāciju, kas jau uzsākta </w:t>
      </w:r>
      <w:r w:rsidRPr="00CD7149">
        <w:rPr>
          <w:rFonts w:eastAsia="Calibri" w:cs="Times New Roman"/>
          <w:szCs w:val="24"/>
        </w:rPr>
        <w:t xml:space="preserve">ES Trešās enerģētikas paketes pārņemšanas ietvaros. Līdz ar to Ekonomikas ministrijai </w:t>
      </w:r>
      <w:r w:rsidRPr="00CD7149">
        <w:rPr>
          <w:rFonts w:eastAsia="Calibri" w:cs="Times New Roman"/>
          <w:szCs w:val="28"/>
        </w:rPr>
        <w:t>nepieciešams līdz 2015.</w:t>
      </w:r>
      <w:r w:rsidR="008D36F2">
        <w:rPr>
          <w:rFonts w:eastAsia="Calibri" w:cs="Times New Roman"/>
          <w:szCs w:val="28"/>
        </w:rPr>
        <w:t> </w:t>
      </w:r>
      <w:r w:rsidRPr="00CD7149">
        <w:rPr>
          <w:rFonts w:eastAsia="Calibri" w:cs="Times New Roman"/>
          <w:szCs w:val="28"/>
        </w:rPr>
        <w:t xml:space="preserve">gadam izvērtēt izvēlētā pārvades sistēmas operatora (PSO) īpašumtiesību nodalīšanas modeļa ietekmi uz Baltijas elektroenerģijas tirgus attīstību un </w:t>
      </w:r>
      <w:r w:rsidR="00DE35A5">
        <w:rPr>
          <w:rFonts w:eastAsia="Calibri" w:cs="Times New Roman"/>
          <w:szCs w:val="28"/>
        </w:rPr>
        <w:t xml:space="preserve">AS </w:t>
      </w:r>
      <w:r w:rsidRPr="00CD7149">
        <w:rPr>
          <w:rFonts w:eastAsia="Calibri" w:cs="Times New Roman"/>
          <w:szCs w:val="28"/>
        </w:rPr>
        <w:t>"Latvenergo" koncerna finanšu situāciju un izskatīt iespēju ieviest 1.modeli, veicot pilnīgu PSO īpašumtiesību nodalīšanu, kā tas noteikts 2011.</w:t>
      </w:r>
      <w:r w:rsidR="008D36F2">
        <w:rPr>
          <w:rFonts w:eastAsia="Calibri" w:cs="Times New Roman"/>
          <w:szCs w:val="28"/>
        </w:rPr>
        <w:t> </w:t>
      </w:r>
      <w:r w:rsidRPr="00CD7149">
        <w:rPr>
          <w:rFonts w:eastAsia="Calibri" w:cs="Times New Roman"/>
          <w:szCs w:val="28"/>
        </w:rPr>
        <w:t>gada 12.janvārī Ministru kabinetā apstiprinātajā koncepcijā „Par nepieciešamajām darbībām Eiropas Parlamenta un Padomes 2009.</w:t>
      </w:r>
      <w:r w:rsidR="008D36F2">
        <w:rPr>
          <w:rFonts w:eastAsia="Calibri" w:cs="Times New Roman"/>
          <w:szCs w:val="28"/>
        </w:rPr>
        <w:t> </w:t>
      </w:r>
      <w:r w:rsidRPr="00CD7149">
        <w:rPr>
          <w:rFonts w:eastAsia="Calibri" w:cs="Times New Roman"/>
          <w:szCs w:val="28"/>
        </w:rPr>
        <w:t>gada 13.</w:t>
      </w:r>
      <w:r w:rsidR="008D36F2">
        <w:rPr>
          <w:rFonts w:eastAsia="Calibri" w:cs="Times New Roman"/>
          <w:szCs w:val="28"/>
        </w:rPr>
        <w:t> </w:t>
      </w:r>
      <w:r w:rsidRPr="00CD7149">
        <w:rPr>
          <w:rFonts w:eastAsia="Calibri" w:cs="Times New Roman"/>
          <w:szCs w:val="28"/>
        </w:rPr>
        <w:t>jūlija Direktīvā 2009/72/EK par kopīgiem noteikumiem attiecībā uz elektroenerģijas iekšējo tirgu un par Direktīvas 2003/54/EK atcelšanu noteiktajai elektroenerģijas pārvades sistēmas operatora nodalīšanai". Tādējādi Latvijas elektroenerģijas tirgus tiks pilnībā liberalizēts, veicinot tā efektīvu darbību ne vien nacionālā, bet arī starptautiskā mērogā, un sekmēs konkurenci,</w:t>
      </w:r>
      <w:r w:rsidR="000662C6">
        <w:rPr>
          <w:rFonts w:eastAsia="Calibri" w:cs="Times New Roman"/>
          <w:szCs w:val="28"/>
        </w:rPr>
        <w:t xml:space="preserve"> </w:t>
      </w:r>
      <w:r w:rsidRPr="00CD7149">
        <w:rPr>
          <w:rFonts w:eastAsia="Calibri" w:cs="Times New Roman"/>
          <w:szCs w:val="28"/>
        </w:rPr>
        <w:t>pozitīvi ietekmējot elektroenerģijas cenas.</w:t>
      </w:r>
    </w:p>
    <w:p w:rsidR="00CD7149" w:rsidRPr="00CD7149" w:rsidRDefault="00CD7149" w:rsidP="00CD7149">
      <w:pPr>
        <w:spacing w:after="0" w:line="240" w:lineRule="auto"/>
        <w:ind w:firstLine="709"/>
        <w:rPr>
          <w:rFonts w:eastAsia="Calibri" w:cs="Times New Roman"/>
          <w:szCs w:val="28"/>
        </w:rPr>
      </w:pPr>
    </w:p>
    <w:p w:rsidR="00CD7149" w:rsidRPr="00177849" w:rsidRDefault="00CD7149" w:rsidP="00177849">
      <w:pPr>
        <w:pStyle w:val="Heading2"/>
        <w:numPr>
          <w:ilvl w:val="1"/>
          <w:numId w:val="23"/>
        </w:numPr>
        <w:spacing w:after="120"/>
        <w:rPr>
          <w:rFonts w:eastAsia="Times New Roman" w:cs="Times New Roman"/>
          <w:szCs w:val="28"/>
        </w:rPr>
      </w:pPr>
      <w:bookmarkStart w:id="12" w:name="_Toc344901682"/>
      <w:bookmarkStart w:id="13" w:name="_Toc344901814"/>
      <w:bookmarkStart w:id="14" w:name="_Toc344907239"/>
      <w:r w:rsidRPr="00177849">
        <w:rPr>
          <w:rFonts w:eastAsia="Times New Roman" w:cs="Times New Roman"/>
          <w:szCs w:val="28"/>
        </w:rPr>
        <w:t>Iekšējais tirgus</w:t>
      </w:r>
      <w:bookmarkEnd w:id="12"/>
      <w:bookmarkEnd w:id="13"/>
      <w:bookmarkEnd w:id="14"/>
      <w:r w:rsidRPr="00177849">
        <w:rPr>
          <w:rFonts w:eastAsia="Times New Roman" w:cs="Times New Roman"/>
          <w:szCs w:val="28"/>
        </w:rPr>
        <w:t xml:space="preserve"> </w:t>
      </w:r>
    </w:p>
    <w:p w:rsidR="00CD7149" w:rsidRPr="00CD7149" w:rsidRDefault="00CD7149" w:rsidP="004511B3">
      <w:pPr>
        <w:spacing w:line="240" w:lineRule="auto"/>
        <w:rPr>
          <w:rFonts w:eastAsia="Calibri" w:cs="Times New Roman"/>
          <w:szCs w:val="28"/>
        </w:rPr>
      </w:pPr>
      <w:r w:rsidRPr="00CD7149">
        <w:rPr>
          <w:rFonts w:eastAsia="Calibri" w:cs="Times New Roman"/>
          <w:szCs w:val="28"/>
        </w:rPr>
        <w:t>Latvija elektroenerģijas tirgus atvēršanas procesu uzsāka 2007.</w:t>
      </w:r>
      <w:r w:rsidR="008D36F2">
        <w:rPr>
          <w:rFonts w:eastAsia="Calibri" w:cs="Times New Roman"/>
          <w:szCs w:val="28"/>
        </w:rPr>
        <w:t> </w:t>
      </w:r>
      <w:r w:rsidRPr="00CD7149">
        <w:rPr>
          <w:rFonts w:eastAsia="Calibri" w:cs="Times New Roman"/>
          <w:szCs w:val="28"/>
        </w:rPr>
        <w:t>gada 1.</w:t>
      </w:r>
      <w:r w:rsidR="008D36F2">
        <w:rPr>
          <w:rFonts w:eastAsia="Calibri" w:cs="Times New Roman"/>
          <w:szCs w:val="28"/>
        </w:rPr>
        <w:t> </w:t>
      </w:r>
      <w:r w:rsidRPr="00CD7149">
        <w:rPr>
          <w:rFonts w:eastAsia="Calibri" w:cs="Times New Roman"/>
          <w:szCs w:val="28"/>
        </w:rPr>
        <w:t>jūlijā, kad</w:t>
      </w:r>
      <w:r w:rsidR="009B731B">
        <w:rPr>
          <w:rFonts w:eastAsia="Calibri" w:cs="Times New Roman"/>
          <w:szCs w:val="28"/>
        </w:rPr>
        <w:t>,</w:t>
      </w:r>
      <w:r w:rsidRPr="00CD7149">
        <w:rPr>
          <w:rFonts w:eastAsia="Calibri" w:cs="Times New Roman"/>
          <w:szCs w:val="28"/>
        </w:rPr>
        <w:t xml:space="preserve"> atbilstoši tobrīd spēkā esošās Eiropas Parlamenta un Padomes 2003.</w:t>
      </w:r>
      <w:r w:rsidR="008D36F2">
        <w:rPr>
          <w:rFonts w:eastAsia="Calibri" w:cs="Times New Roman"/>
          <w:szCs w:val="28"/>
        </w:rPr>
        <w:t> </w:t>
      </w:r>
      <w:r w:rsidRPr="00CD7149">
        <w:rPr>
          <w:rFonts w:eastAsia="Calibri" w:cs="Times New Roman"/>
          <w:szCs w:val="28"/>
        </w:rPr>
        <w:t>gada 26.</w:t>
      </w:r>
      <w:r w:rsidR="008D36F2">
        <w:rPr>
          <w:rFonts w:eastAsia="Calibri" w:cs="Times New Roman"/>
          <w:szCs w:val="28"/>
        </w:rPr>
        <w:t> </w:t>
      </w:r>
      <w:r w:rsidRPr="00CD7149">
        <w:rPr>
          <w:rFonts w:eastAsia="Calibri" w:cs="Times New Roman"/>
          <w:szCs w:val="28"/>
        </w:rPr>
        <w:t>jūnija direktīvas 2003/54/EK par elektroenerģijas tirgus kopīgiem noteikumiem prasībām, spēkā stājās Elektroenerģijas tirgus likum</w:t>
      </w:r>
      <w:r w:rsidR="009B731B">
        <w:rPr>
          <w:rFonts w:eastAsia="Calibri" w:cs="Times New Roman"/>
          <w:szCs w:val="28"/>
        </w:rPr>
        <w:t>a norma</w:t>
      </w:r>
      <w:r w:rsidRPr="00CD7149">
        <w:rPr>
          <w:rFonts w:eastAsia="Calibri" w:cs="Times New Roman"/>
          <w:szCs w:val="28"/>
        </w:rPr>
        <w:t xml:space="preserve">, paredzot, ka visiem elektroenerģijas galalietotājiem, kam ir pieslēgums pārvades sistēmai, ir tiesības bez ierobežojumiem mainīt elektroenerģijas tirgotāju. </w:t>
      </w:r>
      <w:r w:rsidR="009B731B">
        <w:rPr>
          <w:rFonts w:eastAsia="Calibri" w:cs="Times New Roman"/>
          <w:szCs w:val="28"/>
        </w:rPr>
        <w:t>N</w:t>
      </w:r>
      <w:r w:rsidRPr="00CD7149">
        <w:rPr>
          <w:rFonts w:eastAsia="Calibri" w:cs="Times New Roman"/>
          <w:szCs w:val="28"/>
        </w:rPr>
        <w:t xml:space="preserve">o </w:t>
      </w:r>
      <w:r w:rsidRPr="00CD7149">
        <w:rPr>
          <w:rFonts w:eastAsia="Calibri" w:cs="Times New Roman"/>
          <w:szCs w:val="28"/>
        </w:rPr>
        <w:lastRenderedPageBreak/>
        <w:t>2007.</w:t>
      </w:r>
      <w:r w:rsidR="008D36F2">
        <w:rPr>
          <w:rFonts w:eastAsia="Calibri" w:cs="Times New Roman"/>
          <w:szCs w:val="28"/>
        </w:rPr>
        <w:t> </w:t>
      </w:r>
      <w:r w:rsidRPr="00CD7149">
        <w:rPr>
          <w:rFonts w:eastAsia="Calibri" w:cs="Times New Roman"/>
          <w:szCs w:val="28"/>
        </w:rPr>
        <w:t>gada 1.</w:t>
      </w:r>
      <w:r w:rsidR="008D36F2">
        <w:rPr>
          <w:rFonts w:eastAsia="Calibri" w:cs="Times New Roman"/>
          <w:szCs w:val="28"/>
        </w:rPr>
        <w:t> </w:t>
      </w:r>
      <w:r w:rsidRPr="00CD7149">
        <w:rPr>
          <w:rFonts w:eastAsia="Calibri" w:cs="Times New Roman"/>
          <w:szCs w:val="28"/>
        </w:rPr>
        <w:t xml:space="preserve">jūlija </w:t>
      </w:r>
      <w:r w:rsidR="009B731B">
        <w:rPr>
          <w:rFonts w:eastAsia="Calibri" w:cs="Times New Roman"/>
          <w:szCs w:val="28"/>
        </w:rPr>
        <w:t xml:space="preserve">elektroenerģijas galalietotāji </w:t>
      </w:r>
      <w:r w:rsidRPr="00CD7149">
        <w:rPr>
          <w:rFonts w:eastAsia="Calibri" w:cs="Times New Roman"/>
          <w:szCs w:val="28"/>
        </w:rPr>
        <w:t xml:space="preserve">tika iedalīti divās kategorijās: saistītie lietotāji un elektroenerģijas tirgus dalībnieki. Saistītie lietotāji (šobrīd – mājsaimniecības) ir tās personas, kurām ir </w:t>
      </w:r>
      <w:r w:rsidR="000662C6">
        <w:rPr>
          <w:rFonts w:eastAsia="Calibri" w:cs="Times New Roman"/>
          <w:szCs w:val="28"/>
        </w:rPr>
        <w:t xml:space="preserve">gan </w:t>
      </w:r>
      <w:r w:rsidRPr="00CD7149">
        <w:rPr>
          <w:rFonts w:eastAsia="Calibri" w:cs="Times New Roman"/>
          <w:szCs w:val="28"/>
        </w:rPr>
        <w:t>tiesības pirkt elektroenerģiju tirgū par tirgus cenu, gan nekļūt par tirgus dalībniekiem, bet iegādāties elektroenerģiju no publisk</w:t>
      </w:r>
      <w:r w:rsidR="009B731B">
        <w:rPr>
          <w:rFonts w:eastAsia="Calibri" w:cs="Times New Roman"/>
          <w:szCs w:val="28"/>
        </w:rPr>
        <w:t>ā</w:t>
      </w:r>
      <w:r w:rsidRPr="00CD7149">
        <w:rPr>
          <w:rFonts w:eastAsia="Calibri" w:cs="Times New Roman"/>
          <w:szCs w:val="28"/>
        </w:rPr>
        <w:t xml:space="preserve"> tirgotāja (AS „Latvenergo”) par SPRK apstiprinātiem tarifiem. Savukārt elektroenerģijas tirgus dalībnieki ir lietotāji, kuriem nav tiesību iegādāties elektroenerģiju par regulētu cenu un kuriem attiecīgi ir pienākums elektroenerģiju pirkt brīvā tirgū. </w:t>
      </w:r>
    </w:p>
    <w:p w:rsidR="00CD7149" w:rsidRPr="00CD7149" w:rsidRDefault="00CD7149" w:rsidP="004511B3">
      <w:pPr>
        <w:spacing w:line="240" w:lineRule="auto"/>
        <w:rPr>
          <w:rFonts w:eastAsia="Calibri" w:cs="Times New Roman"/>
          <w:szCs w:val="28"/>
        </w:rPr>
      </w:pPr>
      <w:r w:rsidRPr="00CD7149">
        <w:rPr>
          <w:rFonts w:eastAsia="Calibri" w:cs="Times New Roman"/>
          <w:szCs w:val="28"/>
        </w:rPr>
        <w:t>Pašlaik vairāk nekā 90% Latvijā ražotās elektroenerģijas saražo AS „Latvenergo”, kas nodrošina arī elektroenerģijas importu un piegādi patērētājiem. Uz šo brīdi licences elektroenerģijas tirdzniecībai ir saņēmuši 46 tirgotāji. Tomēr elektroenerģijas tirgū aktīvi darbojas tikai septiņi tirgotāji, kas ir noslēguši sistēmas lietošanas līgumu ar AS „Sadales tīkls”.</w:t>
      </w:r>
    </w:p>
    <w:p w:rsidR="00CD7149" w:rsidRPr="00CD7149" w:rsidRDefault="00CD7149" w:rsidP="00CD7149">
      <w:pPr>
        <w:spacing w:after="0" w:line="240" w:lineRule="auto"/>
        <w:rPr>
          <w:rFonts w:eastAsia="Calibri" w:cs="Times New Roman"/>
          <w:szCs w:val="28"/>
        </w:rPr>
      </w:pPr>
      <w:r w:rsidRPr="00CD7149">
        <w:rPr>
          <w:rFonts w:eastAsia="Calibri" w:cs="Times New Roman"/>
          <w:szCs w:val="28"/>
        </w:rPr>
        <w:t xml:space="preserve">Latvijā elektroenerģijas tirgus atvēršana līdz šim brīdim notikusi </w:t>
      </w:r>
      <w:r w:rsidR="0083423F">
        <w:rPr>
          <w:rFonts w:eastAsia="Calibri" w:cs="Times New Roman"/>
          <w:szCs w:val="28"/>
        </w:rPr>
        <w:t>trīs</w:t>
      </w:r>
      <w:r w:rsidRPr="00CD7149">
        <w:rPr>
          <w:rFonts w:eastAsia="Calibri" w:cs="Times New Roman"/>
          <w:szCs w:val="28"/>
        </w:rPr>
        <w:t xml:space="preserve"> posmos </w:t>
      </w:r>
      <w:r w:rsidR="00A6432D">
        <w:rPr>
          <w:rFonts w:eastAsia="Calibri" w:cs="Times New Roman"/>
          <w:szCs w:val="28"/>
        </w:rPr>
        <w:t>un ceturto posmu – pilnīgu tirgus atvēršanu – plānots  īstenot 2013.</w:t>
      </w:r>
      <w:r w:rsidR="008D36F2">
        <w:rPr>
          <w:rFonts w:eastAsia="Calibri" w:cs="Times New Roman"/>
          <w:szCs w:val="28"/>
        </w:rPr>
        <w:t> </w:t>
      </w:r>
      <w:r w:rsidR="00A6432D">
        <w:rPr>
          <w:rFonts w:eastAsia="Calibri" w:cs="Times New Roman"/>
          <w:szCs w:val="28"/>
        </w:rPr>
        <w:t>gadā (</w:t>
      </w:r>
      <w:r w:rsidR="00A6432D" w:rsidRPr="00A6432D">
        <w:rPr>
          <w:rFonts w:eastAsia="Calibri" w:cs="Times New Roman"/>
          <w:i/>
          <w:szCs w:val="28"/>
        </w:rPr>
        <w:t>skat.4.</w:t>
      </w:r>
      <w:r w:rsidRPr="00A6432D">
        <w:rPr>
          <w:rFonts w:eastAsia="Calibri" w:cs="Times New Roman"/>
          <w:i/>
          <w:szCs w:val="28"/>
        </w:rPr>
        <w:t>attēlu</w:t>
      </w:r>
      <w:r w:rsidR="004511B3">
        <w:rPr>
          <w:rFonts w:eastAsia="Calibri" w:cs="Times New Roman"/>
          <w:szCs w:val="28"/>
        </w:rPr>
        <w:t>).</w:t>
      </w:r>
    </w:p>
    <w:p w:rsidR="0083423F" w:rsidRDefault="00802AF5" w:rsidP="004A68C7">
      <w:pPr>
        <w:spacing w:after="0" w:line="240" w:lineRule="auto"/>
        <w:ind w:firstLine="0"/>
        <w:jc w:val="center"/>
        <w:rPr>
          <w:rFonts w:ascii="Calibri" w:eastAsia="Calibri" w:hAnsi="Calibri" w:cs="Times New Roman"/>
          <w:noProof/>
          <w:lang w:eastAsia="lv-LV"/>
        </w:rPr>
      </w:pPr>
      <w:r>
        <w:rPr>
          <w:noProof/>
          <w:lang w:eastAsia="lv-LV"/>
        </w:rPr>
        <w:drawing>
          <wp:inline distT="0" distB="0" distL="0" distR="0" wp14:anchorId="78795A38" wp14:editId="62870C6E">
            <wp:extent cx="5276850" cy="21240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7149" w:rsidRPr="004A68C7" w:rsidRDefault="00A6432D" w:rsidP="004A68C7">
      <w:pPr>
        <w:spacing w:after="0" w:line="240" w:lineRule="auto"/>
        <w:ind w:firstLine="0"/>
        <w:rPr>
          <w:rFonts w:eastAsia="Calibri" w:cs="Times New Roman"/>
          <w:b/>
          <w:noProof/>
          <w:szCs w:val="28"/>
          <w:lang w:eastAsia="lv-LV"/>
        </w:rPr>
      </w:pPr>
      <w:r w:rsidRPr="004A68C7">
        <w:rPr>
          <w:rFonts w:eastAsia="Calibri" w:cs="Times New Roman"/>
          <w:b/>
          <w:noProof/>
          <w:sz w:val="24"/>
          <w:szCs w:val="28"/>
          <w:lang w:eastAsia="lv-LV"/>
        </w:rPr>
        <w:t>4</w:t>
      </w:r>
      <w:r w:rsidR="00CD7149" w:rsidRPr="004A68C7">
        <w:rPr>
          <w:rFonts w:eastAsia="Calibri" w:cs="Times New Roman"/>
          <w:b/>
          <w:noProof/>
          <w:sz w:val="24"/>
          <w:szCs w:val="28"/>
          <w:lang w:eastAsia="lv-LV"/>
        </w:rPr>
        <w:t>.attēls. Elektroenerģijas tirgus sadalījums</w:t>
      </w:r>
      <w:r w:rsidR="00CA7E5C">
        <w:rPr>
          <w:rFonts w:eastAsia="Calibri" w:cs="Times New Roman"/>
          <w:b/>
          <w:noProof/>
          <w:sz w:val="24"/>
          <w:szCs w:val="28"/>
          <w:lang w:eastAsia="lv-LV"/>
        </w:rPr>
        <w:t>, procentuāla tirgus daļa no kopējā patēriņa</w:t>
      </w:r>
    </w:p>
    <w:p w:rsidR="00CD7149" w:rsidRDefault="00CD7149" w:rsidP="004A68C7">
      <w:pPr>
        <w:spacing w:after="0" w:line="240" w:lineRule="auto"/>
        <w:ind w:firstLine="0"/>
        <w:rPr>
          <w:rFonts w:eastAsia="Calibri" w:cs="Times New Roman"/>
          <w:noProof/>
          <w:sz w:val="20"/>
          <w:szCs w:val="20"/>
          <w:lang w:eastAsia="lv-LV"/>
        </w:rPr>
      </w:pPr>
      <w:r w:rsidRPr="004A68C7">
        <w:rPr>
          <w:rFonts w:eastAsia="Calibri" w:cs="Times New Roman"/>
          <w:noProof/>
          <w:sz w:val="20"/>
          <w:szCs w:val="20"/>
          <w:lang w:eastAsia="lv-LV"/>
        </w:rPr>
        <w:t>Avots: Ekonomikas ministrija</w:t>
      </w:r>
    </w:p>
    <w:p w:rsidR="00CD7149" w:rsidRPr="00CD7149" w:rsidRDefault="00CD7149" w:rsidP="00CD7149">
      <w:pPr>
        <w:numPr>
          <w:ilvl w:val="0"/>
          <w:numId w:val="1"/>
        </w:numPr>
        <w:spacing w:before="240" w:after="0" w:line="240" w:lineRule="auto"/>
        <w:ind w:left="426"/>
        <w:rPr>
          <w:rFonts w:eastAsia="Calibri" w:cs="Times New Roman"/>
          <w:bCs/>
          <w:szCs w:val="28"/>
        </w:rPr>
      </w:pPr>
      <w:r w:rsidRPr="00CD7149">
        <w:rPr>
          <w:rFonts w:eastAsia="Calibri" w:cs="Times New Roman"/>
          <w:szCs w:val="28"/>
        </w:rPr>
        <w:t>1.posms. Saskaņā ar 2007.</w:t>
      </w:r>
      <w:r w:rsidR="008D36F2">
        <w:rPr>
          <w:rFonts w:eastAsia="Calibri" w:cs="Times New Roman"/>
          <w:szCs w:val="28"/>
        </w:rPr>
        <w:t> </w:t>
      </w:r>
      <w:r w:rsidRPr="00CD7149">
        <w:rPr>
          <w:rFonts w:eastAsia="Calibri" w:cs="Times New Roman"/>
          <w:szCs w:val="28"/>
        </w:rPr>
        <w:t xml:space="preserve">gadā spēkā esošajiem Elektroenerģijas tirdzniecības un </w:t>
      </w:r>
      <w:r w:rsidRPr="00943DDF">
        <w:rPr>
          <w:rFonts w:eastAsia="Calibri" w:cs="Times New Roman"/>
          <w:color w:val="000000" w:themeColor="text1"/>
          <w:szCs w:val="28"/>
        </w:rPr>
        <w:t>lietošanas noteikumiem (M</w:t>
      </w:r>
      <w:r w:rsidR="000662C6" w:rsidRPr="00943DDF">
        <w:rPr>
          <w:rFonts w:eastAsia="Calibri" w:cs="Times New Roman"/>
          <w:color w:val="000000" w:themeColor="text1"/>
          <w:szCs w:val="28"/>
        </w:rPr>
        <w:t>inistru kabineta 2007.</w:t>
      </w:r>
      <w:r w:rsidR="008D36F2">
        <w:rPr>
          <w:rFonts w:eastAsia="Calibri" w:cs="Times New Roman"/>
          <w:color w:val="000000" w:themeColor="text1"/>
          <w:szCs w:val="28"/>
        </w:rPr>
        <w:t> </w:t>
      </w:r>
      <w:r w:rsidR="000662C6" w:rsidRPr="00943DDF">
        <w:rPr>
          <w:rFonts w:eastAsia="Calibri" w:cs="Times New Roman"/>
          <w:color w:val="000000" w:themeColor="text1"/>
          <w:szCs w:val="28"/>
        </w:rPr>
        <w:t>gada 26.</w:t>
      </w:r>
      <w:r w:rsidR="008D36F2">
        <w:rPr>
          <w:rFonts w:eastAsia="Calibri" w:cs="Times New Roman"/>
          <w:color w:val="000000" w:themeColor="text1"/>
          <w:szCs w:val="28"/>
        </w:rPr>
        <w:t> </w:t>
      </w:r>
      <w:r w:rsidR="000662C6" w:rsidRPr="00943DDF">
        <w:rPr>
          <w:rFonts w:eastAsia="Calibri" w:cs="Times New Roman"/>
          <w:color w:val="000000" w:themeColor="text1"/>
          <w:szCs w:val="28"/>
        </w:rPr>
        <w:t xml:space="preserve">jūnija noteikumi </w:t>
      </w:r>
      <w:r w:rsidR="000662C6" w:rsidRPr="00943DDF">
        <w:rPr>
          <w:rStyle w:val="Emphasis"/>
          <w:rFonts w:cs="Times New Roman"/>
          <w:b w:val="0"/>
          <w:color w:val="000000" w:themeColor="text1"/>
          <w:szCs w:val="28"/>
        </w:rPr>
        <w:t>Nr</w:t>
      </w:r>
      <w:r w:rsidR="000662C6" w:rsidRPr="00943DDF">
        <w:rPr>
          <w:rStyle w:val="st"/>
          <w:rFonts w:cs="Times New Roman"/>
          <w:color w:val="000000" w:themeColor="text1"/>
          <w:szCs w:val="28"/>
        </w:rPr>
        <w:t>.</w:t>
      </w:r>
      <w:r w:rsidR="000662C6" w:rsidRPr="00943DDF">
        <w:rPr>
          <w:rStyle w:val="Emphasis"/>
          <w:rFonts w:cs="Times New Roman"/>
          <w:b w:val="0"/>
          <w:color w:val="000000" w:themeColor="text1"/>
          <w:szCs w:val="28"/>
        </w:rPr>
        <w:t>452</w:t>
      </w:r>
      <w:r w:rsidR="000662C6" w:rsidRPr="00943DDF">
        <w:rPr>
          <w:rStyle w:val="st"/>
          <w:rFonts w:cs="Times New Roman"/>
          <w:color w:val="000000" w:themeColor="text1"/>
          <w:szCs w:val="28"/>
        </w:rPr>
        <w:t xml:space="preserve"> "Elektroenerģijas tirdzniecības un lietošanas </w:t>
      </w:r>
      <w:r w:rsidR="000662C6" w:rsidRPr="00943DDF">
        <w:rPr>
          <w:rStyle w:val="Emphasis"/>
          <w:rFonts w:cs="Times New Roman"/>
          <w:b w:val="0"/>
          <w:color w:val="000000" w:themeColor="text1"/>
          <w:szCs w:val="28"/>
        </w:rPr>
        <w:t>noteikumi”</w:t>
      </w:r>
      <w:r w:rsidRPr="00943DDF">
        <w:rPr>
          <w:rFonts w:eastAsia="Calibri" w:cs="Times New Roman"/>
          <w:color w:val="000000" w:themeColor="text1"/>
          <w:szCs w:val="28"/>
        </w:rPr>
        <w:t xml:space="preserve">) </w:t>
      </w:r>
      <w:r w:rsidRPr="00943DDF">
        <w:rPr>
          <w:rFonts w:eastAsia="Calibri" w:cs="Times New Roman"/>
          <w:bCs/>
          <w:color w:val="000000" w:themeColor="text1"/>
          <w:szCs w:val="28"/>
        </w:rPr>
        <w:t xml:space="preserve">tiesības saņemt elektroenerģiju par regulētu cenu bija mājsaimniecībām </w:t>
      </w:r>
      <w:r w:rsidRPr="00CD7149">
        <w:rPr>
          <w:rFonts w:eastAsia="Calibri" w:cs="Times New Roman"/>
          <w:bCs/>
          <w:szCs w:val="28"/>
        </w:rPr>
        <w:t xml:space="preserve">un komersantiem, kuru gada apgrozījumus vai bilances kopsumma nepārsniedz 7 </w:t>
      </w:r>
      <w:proofErr w:type="spellStart"/>
      <w:r w:rsidRPr="00CD7149">
        <w:rPr>
          <w:rFonts w:eastAsia="Calibri" w:cs="Times New Roman"/>
          <w:bCs/>
          <w:szCs w:val="28"/>
        </w:rPr>
        <w:t>milj</w:t>
      </w:r>
      <w:proofErr w:type="spellEnd"/>
      <w:r w:rsidRPr="00CD7149">
        <w:rPr>
          <w:rFonts w:eastAsia="Calibri" w:cs="Times New Roman"/>
          <w:bCs/>
          <w:szCs w:val="28"/>
        </w:rPr>
        <w:t xml:space="preserve">. </w:t>
      </w:r>
      <w:r w:rsidR="00DE35A5" w:rsidRPr="00CD7149">
        <w:rPr>
          <w:rFonts w:eastAsia="Calibri" w:cs="Times New Roman"/>
          <w:bCs/>
          <w:szCs w:val="28"/>
        </w:rPr>
        <w:t>L</w:t>
      </w:r>
      <w:r w:rsidR="00DE35A5">
        <w:rPr>
          <w:rFonts w:eastAsia="Calibri" w:cs="Times New Roman"/>
          <w:bCs/>
          <w:szCs w:val="28"/>
        </w:rPr>
        <w:t>VL</w:t>
      </w:r>
      <w:r w:rsidR="00DE35A5" w:rsidRPr="00CD7149">
        <w:rPr>
          <w:rFonts w:eastAsia="Calibri" w:cs="Times New Roman"/>
          <w:bCs/>
          <w:szCs w:val="28"/>
        </w:rPr>
        <w:t xml:space="preserve"> </w:t>
      </w:r>
      <w:r w:rsidRPr="00CD7149">
        <w:rPr>
          <w:rFonts w:eastAsia="Calibri" w:cs="Times New Roman"/>
          <w:bCs/>
          <w:szCs w:val="28"/>
        </w:rPr>
        <w:t>un kuru algoto darbinieku skaits bija mazāks par 50 darbiniekiem. Pie šādiem nosacījumiem elektroenerģiju tirgū pirka aptuveni 1700 elektroenerģijas lietotāju (energoietilpīgie un lielie komersanti), kas veidoja ~ 35% no Latvijas gada elektroenerģijas patēriņa. Pirmie faktiskie darījumi elektroenerģijas tirgū saskaņā ar šiem nosacījumiem notika 2008.</w:t>
      </w:r>
      <w:r w:rsidR="008D36F2">
        <w:rPr>
          <w:rFonts w:eastAsia="Calibri" w:cs="Times New Roman"/>
          <w:bCs/>
          <w:szCs w:val="28"/>
        </w:rPr>
        <w:t> </w:t>
      </w:r>
      <w:r w:rsidRPr="00CD7149">
        <w:rPr>
          <w:rFonts w:eastAsia="Calibri" w:cs="Times New Roman"/>
          <w:bCs/>
          <w:szCs w:val="28"/>
        </w:rPr>
        <w:t>gadā.</w:t>
      </w:r>
    </w:p>
    <w:p w:rsidR="00CD7149" w:rsidRPr="00CD7149" w:rsidRDefault="00CD7149" w:rsidP="00CD7149">
      <w:pPr>
        <w:numPr>
          <w:ilvl w:val="0"/>
          <w:numId w:val="1"/>
        </w:numPr>
        <w:spacing w:before="240" w:after="0" w:line="240" w:lineRule="auto"/>
        <w:ind w:left="426"/>
        <w:rPr>
          <w:rFonts w:eastAsia="Calibri" w:cs="Times New Roman"/>
          <w:bCs/>
          <w:szCs w:val="28"/>
        </w:rPr>
      </w:pPr>
      <w:r w:rsidRPr="00CD7149">
        <w:rPr>
          <w:rFonts w:eastAsia="Calibri" w:cs="Times New Roman"/>
          <w:bCs/>
          <w:szCs w:val="28"/>
        </w:rPr>
        <w:lastRenderedPageBreak/>
        <w:t xml:space="preserve">2.posms. </w:t>
      </w:r>
      <w:r w:rsidRPr="00CD7149">
        <w:rPr>
          <w:rFonts w:eastAsia="Calibri" w:cs="Times New Roman"/>
          <w:szCs w:val="28"/>
        </w:rPr>
        <w:t xml:space="preserve">Pakāpeniski samazinot saistīto elektroenerģijas lietotāju loku Latvijā, saskaņā </w:t>
      </w:r>
      <w:r w:rsidRPr="00EC2B9C">
        <w:rPr>
          <w:rFonts w:eastAsia="Calibri" w:cs="Times New Roman"/>
          <w:color w:val="000000" w:themeColor="text1"/>
          <w:szCs w:val="28"/>
        </w:rPr>
        <w:t>ar spēkā esošajiem M</w:t>
      </w:r>
      <w:r w:rsidR="000662C6" w:rsidRPr="00EC2B9C">
        <w:rPr>
          <w:rFonts w:eastAsia="Calibri" w:cs="Times New Roman"/>
          <w:color w:val="000000" w:themeColor="text1"/>
          <w:szCs w:val="28"/>
        </w:rPr>
        <w:t>inistru kabineta 2011.</w:t>
      </w:r>
      <w:r w:rsidR="008D36F2">
        <w:rPr>
          <w:rFonts w:eastAsia="Calibri" w:cs="Times New Roman"/>
          <w:color w:val="000000" w:themeColor="text1"/>
          <w:szCs w:val="28"/>
        </w:rPr>
        <w:t> </w:t>
      </w:r>
      <w:r w:rsidR="000662C6" w:rsidRPr="00EC2B9C">
        <w:rPr>
          <w:rFonts w:eastAsia="Calibri" w:cs="Times New Roman"/>
          <w:color w:val="000000" w:themeColor="text1"/>
          <w:szCs w:val="28"/>
        </w:rPr>
        <w:t>gada 29.</w:t>
      </w:r>
      <w:r w:rsidR="008D36F2">
        <w:rPr>
          <w:rFonts w:eastAsia="Calibri" w:cs="Times New Roman"/>
          <w:color w:val="000000" w:themeColor="text1"/>
          <w:szCs w:val="28"/>
        </w:rPr>
        <w:t> </w:t>
      </w:r>
      <w:r w:rsidR="000662C6" w:rsidRPr="00EC2B9C">
        <w:rPr>
          <w:rFonts w:eastAsia="Calibri" w:cs="Times New Roman"/>
          <w:color w:val="000000" w:themeColor="text1"/>
          <w:szCs w:val="28"/>
        </w:rPr>
        <w:t>novembra</w:t>
      </w:r>
      <w:r w:rsidRPr="00EC2B9C">
        <w:rPr>
          <w:rFonts w:eastAsia="Calibri" w:cs="Times New Roman"/>
          <w:color w:val="000000" w:themeColor="text1"/>
          <w:szCs w:val="28"/>
        </w:rPr>
        <w:t xml:space="preserve"> noteikumi</w:t>
      </w:r>
      <w:r w:rsidR="000662C6" w:rsidRPr="00EC2B9C">
        <w:rPr>
          <w:rFonts w:eastAsia="Calibri" w:cs="Times New Roman"/>
          <w:color w:val="000000" w:themeColor="text1"/>
          <w:szCs w:val="28"/>
        </w:rPr>
        <w:t>em</w:t>
      </w:r>
      <w:r w:rsidRPr="00EC2B9C">
        <w:rPr>
          <w:rFonts w:eastAsia="Calibri" w:cs="Times New Roman"/>
          <w:color w:val="000000" w:themeColor="text1"/>
          <w:szCs w:val="28"/>
        </w:rPr>
        <w:t xml:space="preserve"> Nr.914</w:t>
      </w:r>
      <w:r w:rsidR="000662C6" w:rsidRPr="00EC2B9C">
        <w:rPr>
          <w:rFonts w:eastAsia="Calibri" w:cs="Times New Roman"/>
          <w:color w:val="000000" w:themeColor="text1"/>
          <w:szCs w:val="28"/>
        </w:rPr>
        <w:t xml:space="preserve"> </w:t>
      </w:r>
      <w:r w:rsidR="000662C6" w:rsidRPr="00EC2B9C">
        <w:rPr>
          <w:rStyle w:val="st"/>
          <w:rFonts w:cs="Times New Roman"/>
          <w:color w:val="000000" w:themeColor="text1"/>
          <w:szCs w:val="28"/>
        </w:rPr>
        <w:t xml:space="preserve">"Elektroenerģijas tirdzniecības un lietošanas </w:t>
      </w:r>
      <w:r w:rsidR="000662C6" w:rsidRPr="00EC2B9C">
        <w:rPr>
          <w:rStyle w:val="Emphasis"/>
          <w:rFonts w:cs="Times New Roman"/>
          <w:b w:val="0"/>
          <w:color w:val="000000" w:themeColor="text1"/>
          <w:szCs w:val="28"/>
        </w:rPr>
        <w:t>noteikumi</w:t>
      </w:r>
      <w:r w:rsidR="000662C6" w:rsidRPr="00EC2B9C">
        <w:rPr>
          <w:rFonts w:eastAsia="Calibri" w:cs="Times New Roman"/>
          <w:color w:val="000000" w:themeColor="text1"/>
          <w:szCs w:val="28"/>
        </w:rPr>
        <w:t>”</w:t>
      </w:r>
      <w:r w:rsidRPr="00EC2B9C">
        <w:rPr>
          <w:rFonts w:eastAsia="Calibri" w:cs="Times New Roman"/>
          <w:color w:val="000000" w:themeColor="text1"/>
          <w:szCs w:val="28"/>
        </w:rPr>
        <w:t>) kopš 2012.</w:t>
      </w:r>
      <w:r w:rsidR="008D36F2">
        <w:rPr>
          <w:rFonts w:eastAsia="Calibri" w:cs="Times New Roman"/>
          <w:color w:val="000000" w:themeColor="text1"/>
          <w:szCs w:val="28"/>
        </w:rPr>
        <w:t> </w:t>
      </w:r>
      <w:r w:rsidRPr="00EC2B9C">
        <w:rPr>
          <w:rFonts w:eastAsia="Calibri" w:cs="Times New Roman"/>
          <w:color w:val="000000" w:themeColor="text1"/>
          <w:szCs w:val="28"/>
        </w:rPr>
        <w:t>gada 1.</w:t>
      </w:r>
      <w:r w:rsidR="008D36F2">
        <w:rPr>
          <w:rFonts w:eastAsia="Calibri" w:cs="Times New Roman"/>
          <w:color w:val="000000" w:themeColor="text1"/>
          <w:szCs w:val="28"/>
        </w:rPr>
        <w:t> </w:t>
      </w:r>
      <w:r w:rsidRPr="00EC2B9C">
        <w:rPr>
          <w:rFonts w:eastAsia="Calibri" w:cs="Times New Roman"/>
          <w:color w:val="000000" w:themeColor="text1"/>
          <w:szCs w:val="28"/>
        </w:rPr>
        <w:t xml:space="preserve">aprīļa tirgū tika iesaistīti lietotāji, kuru pieslēguma spriegums pārsniedz 400 V un ievadaizsardzības aparāta nominālā strāva pārsniedz 100 A, proti, </w:t>
      </w:r>
      <w:r w:rsidR="000662C6" w:rsidRPr="00EC2B9C">
        <w:rPr>
          <w:rFonts w:eastAsia="Calibri" w:cs="Times New Roman"/>
          <w:color w:val="000000" w:themeColor="text1"/>
          <w:szCs w:val="28"/>
        </w:rPr>
        <w:t xml:space="preserve">aptuveni </w:t>
      </w:r>
      <w:r w:rsidR="000662C6">
        <w:rPr>
          <w:rFonts w:eastAsia="Calibri" w:cs="Times New Roman"/>
          <w:szCs w:val="28"/>
        </w:rPr>
        <w:t xml:space="preserve">4800 </w:t>
      </w:r>
      <w:r w:rsidRPr="00CD7149">
        <w:rPr>
          <w:rFonts w:eastAsia="Calibri" w:cs="Times New Roman"/>
          <w:szCs w:val="28"/>
        </w:rPr>
        <w:t>vidēji lieli elektroenerģijas patērētāji</w:t>
      </w:r>
      <w:r w:rsidR="000662C6" w:rsidRPr="000662C6">
        <w:rPr>
          <w:rFonts w:eastAsia="Calibri" w:cs="Times New Roman"/>
          <w:szCs w:val="28"/>
        </w:rPr>
        <w:t xml:space="preserve"> </w:t>
      </w:r>
      <w:r w:rsidR="000662C6" w:rsidRPr="00CD7149">
        <w:rPr>
          <w:rFonts w:eastAsia="Calibri" w:cs="Times New Roman"/>
          <w:szCs w:val="28"/>
        </w:rPr>
        <w:t>ar vidējo patēriņu 200</w:t>
      </w:r>
      <w:r w:rsidR="008D36F2">
        <w:rPr>
          <w:rFonts w:eastAsia="Calibri" w:cs="Times New Roman"/>
          <w:szCs w:val="28"/>
        </w:rPr>
        <w:t xml:space="preserve"> </w:t>
      </w:r>
      <w:r w:rsidR="000662C6" w:rsidRPr="00CD7149">
        <w:rPr>
          <w:rFonts w:eastAsia="Calibri" w:cs="Times New Roman"/>
          <w:szCs w:val="28"/>
        </w:rPr>
        <w:t>MWh/gadā, kas Latvijas elektroenerģijas tirgus brīvo daļu palielināja līdz ~ 66%</w:t>
      </w:r>
      <w:r w:rsidR="000662C6">
        <w:rPr>
          <w:rFonts w:eastAsia="Calibri" w:cs="Times New Roman"/>
          <w:szCs w:val="28"/>
        </w:rPr>
        <w:t>.</w:t>
      </w:r>
    </w:p>
    <w:p w:rsidR="0083423F" w:rsidRDefault="00CD7149" w:rsidP="00CD7149">
      <w:pPr>
        <w:numPr>
          <w:ilvl w:val="0"/>
          <w:numId w:val="1"/>
        </w:numPr>
        <w:spacing w:before="240" w:after="0" w:line="240" w:lineRule="auto"/>
        <w:ind w:left="426"/>
        <w:rPr>
          <w:rFonts w:eastAsia="Calibri" w:cs="Times New Roman"/>
          <w:bCs/>
          <w:szCs w:val="28"/>
        </w:rPr>
      </w:pPr>
      <w:r w:rsidRPr="00CD7149">
        <w:rPr>
          <w:rFonts w:eastAsia="Calibri" w:cs="Times New Roman"/>
          <w:szCs w:val="28"/>
        </w:rPr>
        <w:t>3.posms. 2012.</w:t>
      </w:r>
      <w:r w:rsidR="008D36F2">
        <w:rPr>
          <w:rFonts w:eastAsia="Calibri" w:cs="Times New Roman"/>
          <w:szCs w:val="28"/>
        </w:rPr>
        <w:t> </w:t>
      </w:r>
      <w:r w:rsidRPr="00CD7149">
        <w:rPr>
          <w:rFonts w:eastAsia="Calibri" w:cs="Times New Roman"/>
          <w:szCs w:val="28"/>
        </w:rPr>
        <w:t>gada 31.</w:t>
      </w:r>
      <w:r w:rsidR="008D36F2">
        <w:rPr>
          <w:rFonts w:eastAsia="Calibri" w:cs="Times New Roman"/>
          <w:szCs w:val="28"/>
        </w:rPr>
        <w:t> </w:t>
      </w:r>
      <w:r w:rsidRPr="00CD7149">
        <w:rPr>
          <w:rFonts w:eastAsia="Calibri" w:cs="Times New Roman"/>
          <w:szCs w:val="28"/>
        </w:rPr>
        <w:t>augustā spēkā stājās Ministru kabineta noteikumi Nr.579 „Grozījumi Ministru kabineta 2011.</w:t>
      </w:r>
      <w:r w:rsidR="008D36F2">
        <w:rPr>
          <w:rFonts w:eastAsia="Calibri" w:cs="Times New Roman"/>
          <w:szCs w:val="28"/>
        </w:rPr>
        <w:t> </w:t>
      </w:r>
      <w:r w:rsidRPr="00CD7149">
        <w:rPr>
          <w:rFonts w:eastAsia="Calibri" w:cs="Times New Roman"/>
          <w:szCs w:val="28"/>
        </w:rPr>
        <w:t>gada 29.</w:t>
      </w:r>
      <w:r w:rsidR="008D36F2">
        <w:rPr>
          <w:rFonts w:eastAsia="Calibri" w:cs="Times New Roman"/>
          <w:szCs w:val="28"/>
        </w:rPr>
        <w:t> </w:t>
      </w:r>
      <w:r w:rsidRPr="00CD7149">
        <w:rPr>
          <w:rFonts w:eastAsia="Calibri" w:cs="Times New Roman"/>
          <w:szCs w:val="28"/>
        </w:rPr>
        <w:t>novembra noteikumos Nr.914 „</w:t>
      </w:r>
      <w:r w:rsidRPr="00CD7149">
        <w:rPr>
          <w:rFonts w:eastAsia="Calibri" w:cs="Times New Roman"/>
          <w:bCs/>
          <w:szCs w:val="28"/>
        </w:rPr>
        <w:t>Elektroenerģijas tirdzniecības un lietošanas noteikumi””, kas paredz, ka tiesības saņemt universālo pakalpojumu ir tikai tiem lietotājiem, kas elektroenerģiju patērē mājsaimniecības vajadzībām. Pārējie lietotāji no 2012.</w:t>
      </w:r>
      <w:r w:rsidR="008D36F2">
        <w:rPr>
          <w:rFonts w:eastAsia="Calibri" w:cs="Times New Roman"/>
          <w:bCs/>
          <w:szCs w:val="28"/>
        </w:rPr>
        <w:t> </w:t>
      </w:r>
      <w:r w:rsidRPr="00CD7149">
        <w:rPr>
          <w:rFonts w:eastAsia="Calibri" w:cs="Times New Roman"/>
          <w:bCs/>
          <w:szCs w:val="28"/>
        </w:rPr>
        <w:t>gada 1.</w:t>
      </w:r>
      <w:r w:rsidR="008D36F2">
        <w:rPr>
          <w:rFonts w:eastAsia="Calibri" w:cs="Times New Roman"/>
          <w:bCs/>
          <w:szCs w:val="28"/>
        </w:rPr>
        <w:t> </w:t>
      </w:r>
      <w:r w:rsidRPr="00CD7149">
        <w:rPr>
          <w:rFonts w:eastAsia="Calibri" w:cs="Times New Roman"/>
          <w:bCs/>
          <w:szCs w:val="28"/>
        </w:rPr>
        <w:t>novembra zaudē</w:t>
      </w:r>
      <w:r w:rsidR="000662C6">
        <w:rPr>
          <w:rFonts w:eastAsia="Calibri" w:cs="Times New Roman"/>
          <w:bCs/>
          <w:szCs w:val="28"/>
        </w:rPr>
        <w:t>ja</w:t>
      </w:r>
      <w:r w:rsidRPr="00CD7149">
        <w:rPr>
          <w:rFonts w:eastAsia="Calibri" w:cs="Times New Roman"/>
          <w:bCs/>
          <w:szCs w:val="28"/>
        </w:rPr>
        <w:t xml:space="preserve"> tiesības saņemt universālo pakalpojumu. Ar šādu universāla pakalpojuma regulējumu elektroenerģijas tirgū tik</w:t>
      </w:r>
      <w:r w:rsidR="000662C6">
        <w:rPr>
          <w:rFonts w:eastAsia="Calibri" w:cs="Times New Roman"/>
          <w:bCs/>
          <w:szCs w:val="28"/>
        </w:rPr>
        <w:t>a</w:t>
      </w:r>
      <w:r w:rsidRPr="00CD7149">
        <w:rPr>
          <w:rFonts w:eastAsia="Calibri" w:cs="Times New Roman"/>
          <w:bCs/>
          <w:szCs w:val="28"/>
        </w:rPr>
        <w:t xml:space="preserve"> iesaistīti vēl aptuveni 20 000 lietotāju, kas ir 2</w:t>
      </w:r>
      <w:r w:rsidR="008D36F2">
        <w:rPr>
          <w:rFonts w:eastAsia="Calibri" w:cs="Times New Roman"/>
          <w:bCs/>
          <w:szCs w:val="28"/>
        </w:rPr>
        <w:t>,</w:t>
      </w:r>
      <w:r w:rsidRPr="00CD7149">
        <w:rPr>
          <w:rFonts w:eastAsia="Calibri" w:cs="Times New Roman"/>
          <w:bCs/>
          <w:szCs w:val="28"/>
        </w:rPr>
        <w:t xml:space="preserve">3% no lietotājiem un patērē ap 9% no Latvijā kopā patērētās elektroenerģijas, līdz ar to Latvijas atvērtā elektroenerģijas tirgus daļa </w:t>
      </w:r>
      <w:r w:rsidR="000662C6">
        <w:rPr>
          <w:rFonts w:eastAsia="Calibri" w:cs="Times New Roman"/>
          <w:bCs/>
          <w:szCs w:val="28"/>
        </w:rPr>
        <w:t xml:space="preserve">pašlaik </w:t>
      </w:r>
      <w:r w:rsidRPr="00CD7149">
        <w:rPr>
          <w:rFonts w:eastAsia="Calibri" w:cs="Times New Roman"/>
          <w:bCs/>
          <w:szCs w:val="28"/>
        </w:rPr>
        <w:t>sasnie</w:t>
      </w:r>
      <w:r w:rsidR="000662C6">
        <w:rPr>
          <w:rFonts w:eastAsia="Calibri" w:cs="Times New Roman"/>
          <w:bCs/>
          <w:szCs w:val="28"/>
        </w:rPr>
        <w:t>dz</w:t>
      </w:r>
      <w:r w:rsidRPr="00CD7149">
        <w:rPr>
          <w:rFonts w:eastAsia="Calibri" w:cs="Times New Roman"/>
          <w:bCs/>
          <w:szCs w:val="28"/>
        </w:rPr>
        <w:t xml:space="preserve"> 75% no kopējā patēriņa.  </w:t>
      </w:r>
    </w:p>
    <w:p w:rsidR="00CD7149" w:rsidRPr="00CD7149" w:rsidRDefault="0083423F" w:rsidP="006C034F">
      <w:pPr>
        <w:numPr>
          <w:ilvl w:val="0"/>
          <w:numId w:val="1"/>
        </w:numPr>
        <w:spacing w:before="240" w:after="0" w:line="240" w:lineRule="auto"/>
        <w:ind w:left="426"/>
        <w:rPr>
          <w:rFonts w:eastAsia="Calibri" w:cs="Times New Roman"/>
          <w:bCs/>
          <w:szCs w:val="28"/>
        </w:rPr>
      </w:pPr>
      <w:r>
        <w:rPr>
          <w:rFonts w:eastAsia="Calibri" w:cs="Times New Roman"/>
          <w:bCs/>
          <w:szCs w:val="28"/>
        </w:rPr>
        <w:t>4.posms</w:t>
      </w:r>
      <w:r w:rsidR="00A6432D">
        <w:rPr>
          <w:rFonts w:eastAsia="Calibri" w:cs="Times New Roman"/>
          <w:bCs/>
          <w:szCs w:val="28"/>
        </w:rPr>
        <w:t xml:space="preserve"> – </w:t>
      </w:r>
      <w:r w:rsidR="00E160B4" w:rsidRPr="00E160B4">
        <w:rPr>
          <w:rFonts w:eastAsia="Calibri" w:cs="Times New Roman"/>
          <w:bCs/>
          <w:szCs w:val="28"/>
        </w:rPr>
        <w:t>2012.gada 20.n</w:t>
      </w:r>
      <w:r w:rsidR="00E160B4">
        <w:rPr>
          <w:rFonts w:eastAsia="Calibri" w:cs="Times New Roman"/>
          <w:bCs/>
          <w:szCs w:val="28"/>
        </w:rPr>
        <w:t xml:space="preserve">ovembrī </w:t>
      </w:r>
      <w:r w:rsidR="00E160B4" w:rsidRPr="00E160B4">
        <w:rPr>
          <w:rFonts w:eastAsia="Calibri" w:cs="Times New Roman"/>
          <w:bCs/>
          <w:szCs w:val="28"/>
        </w:rPr>
        <w:t xml:space="preserve">Ministru kabinets akceptēja Ekonomikas ministrijas ierosinājumu Latvijas elektroenerģijas tirgus atvēršanu pabeigt līdz 2013.gada 1.septembrim. </w:t>
      </w:r>
    </w:p>
    <w:p w:rsidR="002D6158" w:rsidRDefault="004511B3" w:rsidP="00CD7149">
      <w:pPr>
        <w:spacing w:before="240" w:after="0" w:line="240" w:lineRule="auto"/>
        <w:ind w:left="66" w:firstLine="643"/>
        <w:rPr>
          <w:rFonts w:eastAsia="Calibri" w:cs="Times New Roman"/>
          <w:szCs w:val="28"/>
        </w:rPr>
      </w:pPr>
      <w:r w:rsidRPr="004511B3">
        <w:rPr>
          <w:rFonts w:eastAsia="Calibri" w:cs="Times New Roman"/>
          <w:szCs w:val="28"/>
        </w:rPr>
        <w:t xml:space="preserve">Baltijas reģiona valstis cieši sadarbojas reģiona elektroenerģijas tirgu integrācijā ES tirgū - </w:t>
      </w:r>
      <w:r>
        <w:rPr>
          <w:rFonts w:eastAsia="Calibri" w:cs="Times New Roman"/>
          <w:szCs w:val="28"/>
        </w:rPr>
        <w:t xml:space="preserve">BEMIP ietvaros tiek plānota harmonizēta elektroenerģijas tirgu atvēršana visā reģionā. Tāpēc </w:t>
      </w:r>
      <w:r w:rsidR="003545A9">
        <w:rPr>
          <w:rFonts w:eastAsia="Calibri" w:cs="Times New Roman"/>
          <w:szCs w:val="28"/>
        </w:rPr>
        <w:t xml:space="preserve">citu reģiona valstu pieredze tirgus liberalizācijas procesā ir ļoti nozīmīga. </w:t>
      </w:r>
    </w:p>
    <w:p w:rsidR="00CD7149" w:rsidRPr="00CD7149" w:rsidRDefault="00CD7149" w:rsidP="004511B3">
      <w:pPr>
        <w:spacing w:after="0" w:line="240" w:lineRule="auto"/>
        <w:ind w:left="68" w:firstLine="641"/>
        <w:rPr>
          <w:rFonts w:eastAsia="Calibri" w:cs="Times New Roman"/>
          <w:szCs w:val="28"/>
        </w:rPr>
      </w:pPr>
      <w:r w:rsidRPr="00CD7149">
        <w:rPr>
          <w:rFonts w:eastAsia="Calibri" w:cs="Times New Roman"/>
          <w:szCs w:val="28"/>
        </w:rPr>
        <w:t>Igaunija savu elektroenerģijas tirgus atvēršanu ir veikusi pakāpeniski jau no 2004.</w:t>
      </w:r>
      <w:r w:rsidR="008D36F2">
        <w:rPr>
          <w:rFonts w:eastAsia="Calibri" w:cs="Times New Roman"/>
          <w:szCs w:val="28"/>
        </w:rPr>
        <w:t> </w:t>
      </w:r>
      <w:r w:rsidRPr="00CD7149">
        <w:rPr>
          <w:rFonts w:eastAsia="Calibri" w:cs="Times New Roman"/>
          <w:szCs w:val="28"/>
        </w:rPr>
        <w:t>gada, taču citādāk nekā Latvija - Igaunijā tiesības izvēlēties elektroenerģijas tirgotāju brīvā tirgū ir elektroenerģijas lietotājiem, kuri atbilst noteiktiem kritērijiem (elektroenerģijas patēriņa apjoms), pārējiem elektroenerģijas lietotājiem šādas tiesības netiek dotas. Šis noteiktais patēriņa apjoms ir ticis vairakkārt mainīts un, sākot ar 2013.</w:t>
      </w:r>
      <w:r w:rsidR="008D36F2">
        <w:rPr>
          <w:rFonts w:eastAsia="Calibri" w:cs="Times New Roman"/>
          <w:szCs w:val="28"/>
        </w:rPr>
        <w:t> </w:t>
      </w:r>
      <w:r w:rsidRPr="00CD7149">
        <w:rPr>
          <w:rFonts w:eastAsia="Calibri" w:cs="Times New Roman"/>
          <w:szCs w:val="28"/>
        </w:rPr>
        <w:t>gada 1.</w:t>
      </w:r>
      <w:r w:rsidR="008D36F2">
        <w:rPr>
          <w:rFonts w:eastAsia="Calibri" w:cs="Times New Roman"/>
          <w:szCs w:val="28"/>
        </w:rPr>
        <w:t> </w:t>
      </w:r>
      <w:r w:rsidRPr="00CD7149">
        <w:rPr>
          <w:rFonts w:eastAsia="Calibri" w:cs="Times New Roman"/>
          <w:szCs w:val="28"/>
        </w:rPr>
        <w:t xml:space="preserve">janvāri, Igaunijas elektroenerģijas tirgus tiks pilnībā atvērts un pienākums pirkt elektroenerģiju brīvajā tirgū būs visiem elektroenerģijas lietotājiem, ieskaitot mājsaimniecības. Būtiski, ka Igaunijā ir paredzēta mazo lietotāju (ievadaizsardzības aparāta nominālā strāva nepārsniedz 63A) aizsardzība, nodrošinot, elektroenerģijas </w:t>
      </w:r>
      <w:r w:rsidR="000662C6">
        <w:rPr>
          <w:rFonts w:eastAsia="Calibri" w:cs="Times New Roman"/>
          <w:szCs w:val="28"/>
        </w:rPr>
        <w:t xml:space="preserve">piegādi </w:t>
      </w:r>
      <w:r w:rsidRPr="00CD7149">
        <w:rPr>
          <w:rFonts w:eastAsia="Calibri" w:cs="Times New Roman"/>
          <w:szCs w:val="28"/>
        </w:rPr>
        <w:t>gadījumā, ja līdz 2013.</w:t>
      </w:r>
      <w:r w:rsidR="008D36F2">
        <w:rPr>
          <w:rFonts w:eastAsia="Calibri" w:cs="Times New Roman"/>
          <w:szCs w:val="28"/>
        </w:rPr>
        <w:t> </w:t>
      </w:r>
      <w:r w:rsidRPr="00CD7149">
        <w:rPr>
          <w:rFonts w:eastAsia="Calibri" w:cs="Times New Roman"/>
          <w:szCs w:val="28"/>
        </w:rPr>
        <w:t>gada 1.</w:t>
      </w:r>
      <w:r w:rsidR="008D36F2">
        <w:rPr>
          <w:rFonts w:eastAsia="Calibri" w:cs="Times New Roman"/>
          <w:szCs w:val="28"/>
        </w:rPr>
        <w:t> </w:t>
      </w:r>
      <w:r w:rsidRPr="00CD7149">
        <w:rPr>
          <w:rFonts w:eastAsia="Calibri" w:cs="Times New Roman"/>
          <w:szCs w:val="28"/>
        </w:rPr>
        <w:t xml:space="preserve">janvārim </w:t>
      </w:r>
      <w:r w:rsidR="000662C6">
        <w:rPr>
          <w:rFonts w:eastAsia="Calibri" w:cs="Times New Roman"/>
          <w:szCs w:val="28"/>
        </w:rPr>
        <w:t xml:space="preserve">lietotājs </w:t>
      </w:r>
      <w:r w:rsidRPr="00CD7149">
        <w:rPr>
          <w:rFonts w:eastAsia="Calibri" w:cs="Times New Roman"/>
          <w:szCs w:val="28"/>
        </w:rPr>
        <w:t>nepagūst noslēgt līgumu ar kādu elektroenerģijas piegādātāju.</w:t>
      </w:r>
    </w:p>
    <w:p w:rsidR="004511B3" w:rsidRPr="00CD7149" w:rsidRDefault="00CD7149" w:rsidP="003545A9">
      <w:pPr>
        <w:spacing w:before="240" w:after="0" w:line="240" w:lineRule="auto"/>
        <w:ind w:firstLine="709"/>
        <w:rPr>
          <w:rFonts w:eastAsia="Calibri" w:cs="Times New Roman"/>
          <w:szCs w:val="28"/>
        </w:rPr>
      </w:pPr>
      <w:r w:rsidRPr="00CD7149">
        <w:rPr>
          <w:rFonts w:eastAsia="Calibri" w:cs="Times New Roman"/>
          <w:bCs/>
          <w:szCs w:val="28"/>
        </w:rPr>
        <w:t xml:space="preserve">Savukārt Lietuvā </w:t>
      </w:r>
      <w:r w:rsidRPr="00CD7149">
        <w:rPr>
          <w:rFonts w:eastAsia="Calibri" w:cs="Times New Roman"/>
          <w:szCs w:val="28"/>
        </w:rPr>
        <w:t>elektroenerģijas tirgus tika atvērts 2010.</w:t>
      </w:r>
      <w:r w:rsidR="008D36F2">
        <w:rPr>
          <w:rFonts w:eastAsia="Calibri" w:cs="Times New Roman"/>
          <w:szCs w:val="28"/>
        </w:rPr>
        <w:t> </w:t>
      </w:r>
      <w:r w:rsidRPr="00CD7149">
        <w:rPr>
          <w:rFonts w:eastAsia="Calibri" w:cs="Times New Roman"/>
          <w:szCs w:val="28"/>
        </w:rPr>
        <w:t>gadā, nosakot, ka lietotājiem, kuru atļautā maksimālā slodze ir lielāka par 400</w:t>
      </w:r>
      <w:r w:rsidR="008D36F2">
        <w:rPr>
          <w:rFonts w:eastAsia="Calibri" w:cs="Times New Roman"/>
          <w:szCs w:val="28"/>
        </w:rPr>
        <w:t xml:space="preserve"> </w:t>
      </w:r>
      <w:r w:rsidRPr="00CD7149">
        <w:rPr>
          <w:rFonts w:eastAsia="Calibri" w:cs="Times New Roman"/>
          <w:szCs w:val="28"/>
        </w:rPr>
        <w:t xml:space="preserve">kW, ir pienākums pirkt elektroenerģiju atvērtajā tirgū. Pie šādiem nosacījumiem brīvā tirgus daļa </w:t>
      </w:r>
      <w:r w:rsidRPr="00CD7149">
        <w:rPr>
          <w:rFonts w:eastAsia="Calibri" w:cs="Times New Roman"/>
          <w:szCs w:val="28"/>
        </w:rPr>
        <w:lastRenderedPageBreak/>
        <w:t>bija 35% no kopējā patēriņa. Šie kritēriji tika pakāpeniski samazināti un šobrīd Lietuvā elektroenerģija par tirgus cenu ir jāpērk lietotājiem, kuru atļautā maksimālā slodze ir lielāka par 30</w:t>
      </w:r>
      <w:r w:rsidR="00B57248">
        <w:rPr>
          <w:rFonts w:eastAsia="Calibri" w:cs="Times New Roman"/>
          <w:szCs w:val="28"/>
        </w:rPr>
        <w:t xml:space="preserve"> </w:t>
      </w:r>
      <w:r w:rsidRPr="00CD7149">
        <w:rPr>
          <w:rFonts w:eastAsia="Calibri" w:cs="Times New Roman"/>
          <w:szCs w:val="28"/>
        </w:rPr>
        <w:t>kW un tas ir 55% no kopējā tirgus.</w:t>
      </w:r>
      <w:r w:rsidRPr="00CD7149">
        <w:rPr>
          <w:rFonts w:eastAsia="Arial Unicode MS" w:cs="Times New Roman"/>
          <w:szCs w:val="28"/>
        </w:rPr>
        <w:t xml:space="preserve"> Lietuvas tirgus tiks </w:t>
      </w:r>
      <w:r w:rsidR="00E41E90">
        <w:rPr>
          <w:rFonts w:eastAsia="Arial Unicode MS" w:cs="Times New Roman"/>
          <w:szCs w:val="28"/>
        </w:rPr>
        <w:t xml:space="preserve">vēl </w:t>
      </w:r>
      <w:r w:rsidR="000662C6">
        <w:rPr>
          <w:rFonts w:eastAsia="Arial Unicode MS" w:cs="Times New Roman"/>
          <w:szCs w:val="28"/>
        </w:rPr>
        <w:t>paplašināts</w:t>
      </w:r>
      <w:r w:rsidRPr="00CD7149">
        <w:rPr>
          <w:rFonts w:eastAsia="Arial Unicode MS" w:cs="Times New Roman"/>
          <w:szCs w:val="28"/>
        </w:rPr>
        <w:t xml:space="preserve"> </w:t>
      </w:r>
      <w:r w:rsidRPr="00CD7149">
        <w:rPr>
          <w:rFonts w:eastAsia="Calibri" w:cs="Times New Roman"/>
          <w:szCs w:val="28"/>
        </w:rPr>
        <w:t>no 2013.</w:t>
      </w:r>
      <w:r w:rsidR="008D36F2">
        <w:rPr>
          <w:rFonts w:eastAsia="Calibri" w:cs="Times New Roman"/>
          <w:szCs w:val="28"/>
        </w:rPr>
        <w:t> </w:t>
      </w:r>
      <w:r w:rsidRPr="00CD7149">
        <w:rPr>
          <w:rFonts w:eastAsia="Calibri" w:cs="Times New Roman"/>
          <w:szCs w:val="28"/>
        </w:rPr>
        <w:t>gada 1.</w:t>
      </w:r>
      <w:r w:rsidR="008D36F2">
        <w:rPr>
          <w:rFonts w:eastAsia="Calibri" w:cs="Times New Roman"/>
          <w:szCs w:val="28"/>
        </w:rPr>
        <w:t> </w:t>
      </w:r>
      <w:r w:rsidRPr="00CD7149">
        <w:rPr>
          <w:rFonts w:eastAsia="Calibri" w:cs="Times New Roman"/>
          <w:szCs w:val="28"/>
        </w:rPr>
        <w:t>janvāra, kad elektroenerģija brīvā tirgū būs jāpērk visiem lietotājiem, izņemot mājsaimniecības, kurām tiesības saņemt elektroenerģiju par regulētu cenu tiks saglabātas līdz 2015.</w:t>
      </w:r>
      <w:r w:rsidR="008D36F2">
        <w:rPr>
          <w:rFonts w:eastAsia="Calibri" w:cs="Times New Roman"/>
          <w:szCs w:val="28"/>
        </w:rPr>
        <w:t> </w:t>
      </w:r>
      <w:r w:rsidRPr="00CD7149">
        <w:rPr>
          <w:rFonts w:eastAsia="Calibri" w:cs="Times New Roman"/>
          <w:szCs w:val="28"/>
        </w:rPr>
        <w:t>gadam.</w:t>
      </w:r>
    </w:p>
    <w:p w:rsidR="00CD7149" w:rsidRPr="00DC2C8A" w:rsidRDefault="00DC2C8A" w:rsidP="00DC2C8A">
      <w:pPr>
        <w:pStyle w:val="Heading3"/>
        <w:ind w:left="709"/>
        <w:rPr>
          <w:rFonts w:eastAsia="Times New Roman" w:cs="Times New Roman"/>
          <w:szCs w:val="24"/>
        </w:rPr>
      </w:pPr>
      <w:bookmarkStart w:id="15" w:name="_Toc344901683"/>
      <w:bookmarkStart w:id="16" w:name="_Toc344901815"/>
      <w:bookmarkStart w:id="17" w:name="_Toc344907240"/>
      <w:r w:rsidRPr="00DC2C8A">
        <w:rPr>
          <w:rFonts w:eastAsia="Times New Roman" w:cs="Times New Roman"/>
          <w:szCs w:val="24"/>
        </w:rPr>
        <w:t>2.2.</w:t>
      </w:r>
      <w:r w:rsidR="00CD7149" w:rsidRPr="00DC2C8A">
        <w:rPr>
          <w:rFonts w:eastAsia="Times New Roman" w:cs="Times New Roman"/>
          <w:szCs w:val="24"/>
        </w:rPr>
        <w:t>1.Mājsaimniecības</w:t>
      </w:r>
      <w:bookmarkEnd w:id="15"/>
      <w:bookmarkEnd w:id="16"/>
      <w:bookmarkEnd w:id="17"/>
      <w:r w:rsidR="00CD7149" w:rsidRPr="00DC2C8A">
        <w:rPr>
          <w:rFonts w:eastAsia="Times New Roman" w:cs="Times New Roman"/>
          <w:szCs w:val="24"/>
        </w:rPr>
        <w:t xml:space="preserve"> </w:t>
      </w:r>
    </w:p>
    <w:p w:rsidR="00CD7149" w:rsidRPr="00CD7149" w:rsidRDefault="00CD7149" w:rsidP="00CD7149">
      <w:pPr>
        <w:spacing w:line="240" w:lineRule="auto"/>
        <w:ind w:firstLine="709"/>
        <w:rPr>
          <w:rFonts w:eastAsia="Calibri" w:cs="Times New Roman"/>
          <w:szCs w:val="28"/>
        </w:rPr>
      </w:pPr>
      <w:r w:rsidRPr="00CD7149">
        <w:rPr>
          <w:rFonts w:eastAsia="Calibri" w:cs="Times New Roman"/>
          <w:bCs/>
          <w:szCs w:val="28"/>
        </w:rPr>
        <w:t xml:space="preserve">Mājsaimniecībām jeb saistītajiem lietotājiem, kas </w:t>
      </w:r>
      <w:r w:rsidRPr="00CD7149">
        <w:rPr>
          <w:rFonts w:eastAsia="Calibri" w:cs="Times New Roman"/>
          <w:szCs w:val="28"/>
        </w:rPr>
        <w:t>veido 25% no Latvijas kopējā elektroenerģija patēriņā,</w:t>
      </w:r>
      <w:r w:rsidRPr="00CD7149">
        <w:rPr>
          <w:rFonts w:eastAsia="Calibri" w:cs="Times New Roman"/>
          <w:bCs/>
          <w:szCs w:val="28"/>
        </w:rPr>
        <w:t xml:space="preserve"> joprojām ir tiesības iegādāties elektroenerģiju par regulētu cenu. </w:t>
      </w:r>
      <w:r w:rsidRPr="00CD7149">
        <w:rPr>
          <w:rFonts w:eastAsia="Calibri" w:cs="Times New Roman"/>
          <w:szCs w:val="28"/>
        </w:rPr>
        <w:t>Lai pilnībā atvērtu tirgu un izbeigtu elektroenerģijas cen</w:t>
      </w:r>
      <w:r w:rsidR="00FB3924">
        <w:rPr>
          <w:rFonts w:eastAsia="Calibri" w:cs="Times New Roman"/>
          <w:szCs w:val="28"/>
        </w:rPr>
        <w:t>as</w:t>
      </w:r>
      <w:r w:rsidRPr="00CD7149">
        <w:rPr>
          <w:rFonts w:eastAsia="Calibri" w:cs="Times New Roman"/>
          <w:szCs w:val="28"/>
        </w:rPr>
        <w:t xml:space="preserve"> regulāciju, nepieciešams noteikt, ka visiem elektroenerģijas lietotājiem, ieskaitot mājsaimniecības, tā ir jāpērk tirgū. </w:t>
      </w:r>
      <w:r w:rsidR="00E160B4">
        <w:rPr>
          <w:rFonts w:eastAsia="Calibri" w:cs="Times New Roman"/>
          <w:szCs w:val="28"/>
        </w:rPr>
        <w:t xml:space="preserve">Saskaņā ar </w:t>
      </w:r>
      <w:r w:rsidR="00E160B4" w:rsidRPr="00E160B4">
        <w:rPr>
          <w:rFonts w:eastAsia="Calibri" w:cs="Times New Roman"/>
          <w:szCs w:val="28"/>
        </w:rPr>
        <w:t>Ekonomikas ministrijas sagatavotajā Informatīvajā ziņojumā „Par Latvijas elektroenerģijas tirgus pilnīgu atvēršanu” iekļautajiem priekšlikumiem par tālākajiem soļiem elektroenerģijas</w:t>
      </w:r>
      <w:r w:rsidR="00171490">
        <w:rPr>
          <w:rFonts w:eastAsia="Calibri" w:cs="Times New Roman"/>
          <w:szCs w:val="28"/>
        </w:rPr>
        <w:t xml:space="preserve"> tirgus atvēršanā, kas tika skatīts</w:t>
      </w:r>
      <w:r w:rsidR="00E160B4">
        <w:rPr>
          <w:rFonts w:eastAsia="Calibri" w:cs="Times New Roman"/>
          <w:szCs w:val="28"/>
        </w:rPr>
        <w:t xml:space="preserve"> Ministru kabinetā  2012.gada 20.novembrī, </w:t>
      </w:r>
      <w:r w:rsidR="00E160B4" w:rsidRPr="00E160B4">
        <w:rPr>
          <w:rFonts w:eastAsia="Calibri" w:cs="Times New Roman"/>
          <w:szCs w:val="28"/>
        </w:rPr>
        <w:t xml:space="preserve">Latvijas elektroenerģijas </w:t>
      </w:r>
      <w:r w:rsidR="00171490">
        <w:rPr>
          <w:rFonts w:eastAsia="Calibri" w:cs="Times New Roman"/>
          <w:szCs w:val="28"/>
        </w:rPr>
        <w:t xml:space="preserve"> tirgus atvēršanu </w:t>
      </w:r>
      <w:r w:rsidR="00E160B4">
        <w:rPr>
          <w:rFonts w:eastAsia="Calibri" w:cs="Times New Roman"/>
          <w:szCs w:val="28"/>
        </w:rPr>
        <w:t xml:space="preserve">plānots </w:t>
      </w:r>
      <w:r w:rsidR="00E160B4" w:rsidRPr="00E160B4">
        <w:rPr>
          <w:rFonts w:eastAsia="Calibri" w:cs="Times New Roman"/>
          <w:szCs w:val="28"/>
        </w:rPr>
        <w:t>pabeigt līdz 2013.gada 1.septembrim</w:t>
      </w:r>
      <w:r w:rsidR="00E160B4">
        <w:rPr>
          <w:rFonts w:eastAsia="Calibri" w:cs="Times New Roman"/>
          <w:szCs w:val="28"/>
        </w:rPr>
        <w:t xml:space="preserve">. </w:t>
      </w:r>
      <w:r w:rsidR="00FB3924">
        <w:rPr>
          <w:rFonts w:eastAsia="Calibri" w:cs="Times New Roman"/>
          <w:szCs w:val="28"/>
        </w:rPr>
        <w:t>Paredzams</w:t>
      </w:r>
      <w:r w:rsidR="0066233C">
        <w:rPr>
          <w:rFonts w:eastAsia="Calibri" w:cs="Times New Roman"/>
          <w:szCs w:val="28"/>
        </w:rPr>
        <w:t xml:space="preserve">, ka </w:t>
      </w:r>
      <w:r w:rsidRPr="00CD7149">
        <w:rPr>
          <w:rFonts w:eastAsia="Calibri" w:cs="Times New Roman"/>
          <w:szCs w:val="28"/>
        </w:rPr>
        <w:t>līdz tam būs uzsākusi darboties elektroenerģijas vairumtirdzniecības birža</w:t>
      </w:r>
      <w:r w:rsidR="00E160B4">
        <w:rPr>
          <w:rFonts w:eastAsia="Calibri" w:cs="Times New Roman"/>
          <w:szCs w:val="28"/>
        </w:rPr>
        <w:t>s</w:t>
      </w:r>
      <w:r w:rsidRPr="00CD7149">
        <w:rPr>
          <w:rFonts w:eastAsia="Calibri" w:cs="Times New Roman"/>
          <w:szCs w:val="28"/>
        </w:rPr>
        <w:t xml:space="preserve"> </w:t>
      </w:r>
      <w:r w:rsidRPr="005E7C5A">
        <w:rPr>
          <w:rFonts w:eastAsia="Calibri" w:cs="Times New Roman"/>
          <w:i/>
          <w:szCs w:val="28"/>
        </w:rPr>
        <w:t>Nord Pool Spot</w:t>
      </w:r>
      <w:r w:rsidR="00FB3924">
        <w:rPr>
          <w:rFonts w:eastAsia="Calibri" w:cs="Times New Roman"/>
          <w:i/>
          <w:szCs w:val="28"/>
        </w:rPr>
        <w:t xml:space="preserve"> </w:t>
      </w:r>
      <w:r w:rsidR="00FB3924">
        <w:rPr>
          <w:rFonts w:eastAsia="Calibri" w:cs="Times New Roman"/>
          <w:szCs w:val="28"/>
        </w:rPr>
        <w:t>Latvijas cenu zona</w:t>
      </w:r>
      <w:r w:rsidR="0066233C">
        <w:rPr>
          <w:rFonts w:eastAsia="Calibri" w:cs="Times New Roman"/>
          <w:szCs w:val="28"/>
        </w:rPr>
        <w:t>,</w:t>
      </w:r>
      <w:r w:rsidR="00FB3924">
        <w:rPr>
          <w:rFonts w:eastAsia="Calibri" w:cs="Times New Roman"/>
          <w:szCs w:val="28"/>
        </w:rPr>
        <w:t xml:space="preserve"> kuras atvēršana plānota 2013. gada </w:t>
      </w:r>
      <w:r w:rsidR="00614E55">
        <w:rPr>
          <w:rFonts w:eastAsia="Calibri" w:cs="Times New Roman"/>
          <w:szCs w:val="28"/>
        </w:rPr>
        <w:t>3. jūnijā un</w:t>
      </w:r>
      <w:r w:rsidR="0066233C">
        <w:rPr>
          <w:rFonts w:eastAsia="Calibri" w:cs="Times New Roman"/>
          <w:szCs w:val="28"/>
        </w:rPr>
        <w:t xml:space="preserve"> kas nodrošinās labākus tirgus apstākļus. </w:t>
      </w:r>
      <w:r w:rsidR="00E41E90">
        <w:rPr>
          <w:rFonts w:eastAsia="Calibri" w:cs="Times New Roman"/>
          <w:szCs w:val="28"/>
        </w:rPr>
        <w:t>Turklāt</w:t>
      </w:r>
      <w:r w:rsidRPr="00CD7149">
        <w:rPr>
          <w:rFonts w:eastAsia="Calibri" w:cs="Times New Roman"/>
          <w:szCs w:val="28"/>
        </w:rPr>
        <w:t xml:space="preserve"> jau 2013.</w:t>
      </w:r>
      <w:r w:rsidR="008D36F2">
        <w:rPr>
          <w:rFonts w:eastAsia="Calibri" w:cs="Times New Roman"/>
          <w:szCs w:val="28"/>
        </w:rPr>
        <w:t> </w:t>
      </w:r>
      <w:r w:rsidRPr="00CD7149">
        <w:rPr>
          <w:rFonts w:eastAsia="Calibri" w:cs="Times New Roman"/>
          <w:szCs w:val="28"/>
        </w:rPr>
        <w:t xml:space="preserve">gada sākumā Latvija varēs iepazīties ar pilnīgas tirgus atvēršanas  praksi Igaunijā, kas varētu palīdzēt Latvijā novērst ar tirgus atvēršanu saistītus neprognozējamus riskus un neveiksmes. </w:t>
      </w:r>
      <w:r w:rsidR="0095258B">
        <w:rPr>
          <w:rFonts w:eastAsia="Calibri" w:cs="Times New Roman"/>
          <w:szCs w:val="28"/>
        </w:rPr>
        <w:t>Igaunijā ģimenes ar zemu maksātspēju tiek atbalstītas sociālās politikas ietvaros, nepastāv atsevišķ</w:t>
      </w:r>
      <w:r w:rsidR="00614E55">
        <w:rPr>
          <w:rFonts w:eastAsia="Calibri" w:cs="Times New Roman"/>
          <w:szCs w:val="28"/>
        </w:rPr>
        <w:t>i</w:t>
      </w:r>
      <w:r w:rsidR="0095258B">
        <w:rPr>
          <w:rFonts w:eastAsia="Calibri" w:cs="Times New Roman"/>
          <w:szCs w:val="28"/>
        </w:rPr>
        <w:t xml:space="preserve"> instrument</w:t>
      </w:r>
      <w:r w:rsidR="00614E55">
        <w:rPr>
          <w:rFonts w:eastAsia="Calibri" w:cs="Times New Roman"/>
          <w:szCs w:val="28"/>
        </w:rPr>
        <w:t>i</w:t>
      </w:r>
      <w:r w:rsidR="0095258B">
        <w:rPr>
          <w:rFonts w:eastAsia="Calibri" w:cs="Times New Roman"/>
          <w:szCs w:val="28"/>
        </w:rPr>
        <w:t>, kas paredz tieši atbalstīt maksājumus par elektroenerģiju.</w:t>
      </w:r>
      <w:r w:rsidRPr="00CD7149">
        <w:rPr>
          <w:rFonts w:eastAsia="Calibri" w:cs="Times New Roman"/>
          <w:szCs w:val="28"/>
        </w:rPr>
        <w:t xml:space="preserve">  </w:t>
      </w:r>
    </w:p>
    <w:p w:rsidR="00CD7149" w:rsidRPr="002D6158" w:rsidRDefault="00CD7149" w:rsidP="002D6158">
      <w:pPr>
        <w:autoSpaceDE w:val="0"/>
        <w:autoSpaceDN w:val="0"/>
        <w:adjustRightInd w:val="0"/>
        <w:spacing w:line="240" w:lineRule="auto"/>
        <w:rPr>
          <w:rFonts w:eastAsia="Calibri" w:cs="Times New Roman"/>
          <w:color w:val="000000"/>
          <w:szCs w:val="28"/>
          <w:lang w:eastAsia="lv-LV"/>
        </w:rPr>
      </w:pPr>
      <w:r w:rsidRPr="00CD7149">
        <w:rPr>
          <w:rFonts w:eastAsia="Calibri" w:cs="Arial"/>
          <w:color w:val="000000"/>
          <w:szCs w:val="28"/>
          <w:lang w:eastAsia="lv-LV"/>
        </w:rPr>
        <w:t>Būtisks aspekts tirgus atvēršanas kontekstā</w:t>
      </w:r>
      <w:r w:rsidR="002D6158">
        <w:rPr>
          <w:rFonts w:eastAsia="Calibri" w:cs="Arial"/>
          <w:color w:val="000000"/>
          <w:szCs w:val="28"/>
          <w:lang w:eastAsia="lv-LV"/>
        </w:rPr>
        <w:t xml:space="preserve"> ir mājsaimniecību aizsardzība.</w:t>
      </w:r>
      <w:r w:rsidR="002D6158">
        <w:rPr>
          <w:rFonts w:eastAsia="Calibri" w:cs="Times New Roman"/>
          <w:color w:val="000000"/>
          <w:szCs w:val="28"/>
          <w:lang w:eastAsia="lv-LV"/>
        </w:rPr>
        <w:t xml:space="preserve"> </w:t>
      </w:r>
      <w:r w:rsidRPr="00CD7149">
        <w:rPr>
          <w:rFonts w:eastAsia="Calibri" w:cs="Times New Roman"/>
          <w:szCs w:val="28"/>
          <w:lang w:eastAsia="lv-LV"/>
        </w:rPr>
        <w:t xml:space="preserve">Publiskais elektroenerģijas tirgotājs AS „Latvenergo” </w:t>
      </w:r>
      <w:r w:rsidRPr="00CD7149">
        <w:rPr>
          <w:rFonts w:eastAsia="Arial Unicode MS" w:cs="Times New Roman"/>
          <w:szCs w:val="28"/>
          <w:lang w:eastAsia="lv-LV"/>
        </w:rPr>
        <w:t>jau no 2009.</w:t>
      </w:r>
      <w:r w:rsidR="008D36F2">
        <w:rPr>
          <w:rFonts w:eastAsia="Arial Unicode MS" w:cs="Times New Roman"/>
          <w:szCs w:val="28"/>
          <w:lang w:eastAsia="lv-LV"/>
        </w:rPr>
        <w:t> </w:t>
      </w:r>
      <w:r w:rsidRPr="00CD7149">
        <w:rPr>
          <w:rFonts w:eastAsia="Arial Unicode MS" w:cs="Times New Roman"/>
          <w:szCs w:val="28"/>
          <w:lang w:eastAsia="lv-LV"/>
        </w:rPr>
        <w:t>gada rudens īsteno korporatīvās sociālās atbildības kampaņu, atbalstot sociāli mazaizsargātas iedzīvotāju grupas.</w:t>
      </w:r>
      <w:r w:rsidRPr="00CD7149">
        <w:rPr>
          <w:rFonts w:eastAsia="Calibri" w:cs="Times New Roman"/>
          <w:szCs w:val="28"/>
          <w:lang w:eastAsia="lv-LV"/>
        </w:rPr>
        <w:t xml:space="preserve"> Šis programmas ietvaros par trūcīgām atzītas  personas, kuras ir tiesīgas saņemt garantētā minimāla ienākumu pabalstu (GMI), var saņemt elektroenerģijas norēķinu karti, kas garantē 500 kWh elektroenerģijas saņemšanu bez maksas. Daudzbērnu ģimenes sociāla atbalsta programmas ietvaros papildus sākotnējām Starta tarifa 1200 kWh, kas dod iespēju par elektroenerģiju norēķināties pēc pazemināta tarifa, saņem tiesības par pazeminātu tarifu patērēt vēl 2400 kWh elektroenerģijas.</w:t>
      </w:r>
    </w:p>
    <w:p w:rsidR="00CD7149" w:rsidRDefault="00CD7149" w:rsidP="0051177C">
      <w:pPr>
        <w:spacing w:line="240" w:lineRule="auto"/>
        <w:rPr>
          <w:rFonts w:eastAsia="Calibri" w:cs="Times New Roman"/>
          <w:bCs/>
          <w:color w:val="000000"/>
          <w:szCs w:val="28"/>
          <w:lang w:eastAsia="lv-LV"/>
        </w:rPr>
      </w:pPr>
      <w:r w:rsidRPr="00CD7149">
        <w:rPr>
          <w:rFonts w:eastAsia="Calibri" w:cs="Times New Roman"/>
          <w:color w:val="000000"/>
          <w:szCs w:val="28"/>
          <w:lang w:eastAsia="lv-LV"/>
        </w:rPr>
        <w:t>Laikā posmā no 2009.</w:t>
      </w:r>
      <w:r w:rsidR="008D36F2">
        <w:rPr>
          <w:rFonts w:eastAsia="Calibri" w:cs="Times New Roman"/>
          <w:color w:val="000000"/>
          <w:szCs w:val="28"/>
          <w:lang w:eastAsia="lv-LV"/>
        </w:rPr>
        <w:t> </w:t>
      </w:r>
      <w:r w:rsidRPr="00CD7149">
        <w:rPr>
          <w:rFonts w:eastAsia="Calibri" w:cs="Times New Roman"/>
          <w:color w:val="000000"/>
          <w:szCs w:val="28"/>
          <w:lang w:eastAsia="lv-LV"/>
        </w:rPr>
        <w:t xml:space="preserve">gada </w:t>
      </w:r>
      <w:r w:rsidRPr="00CD7149">
        <w:rPr>
          <w:rFonts w:eastAsia="Calibri" w:cs="Times New Roman"/>
          <w:szCs w:val="28"/>
          <w:lang w:eastAsia="lv-LV"/>
        </w:rPr>
        <w:t xml:space="preserve">publiskais elektroenerģijas tirgotājs AS „Latvenergo” </w:t>
      </w:r>
      <w:r w:rsidRPr="00CD7149">
        <w:rPr>
          <w:rFonts w:eastAsia="Calibri" w:cs="Times New Roman"/>
          <w:color w:val="000000"/>
          <w:szCs w:val="28"/>
          <w:lang w:eastAsia="lv-LV"/>
        </w:rPr>
        <w:t>veicis divus dāvinājumus Latvijas Pašvaldību savienībai un nodevis 100</w:t>
      </w:r>
      <w:r w:rsidR="008D36F2">
        <w:rPr>
          <w:rFonts w:eastAsia="Calibri" w:cs="Times New Roman"/>
          <w:color w:val="000000"/>
          <w:szCs w:val="28"/>
          <w:lang w:eastAsia="lv-LV"/>
        </w:rPr>
        <w:t> </w:t>
      </w:r>
      <w:r w:rsidRPr="00CD7149">
        <w:rPr>
          <w:rFonts w:eastAsia="Calibri" w:cs="Times New Roman"/>
          <w:color w:val="000000"/>
          <w:szCs w:val="28"/>
          <w:lang w:eastAsia="lv-LV"/>
        </w:rPr>
        <w:t>000 Elektrības norēķinu kartes 500 kWh vērtībā. 2010.</w:t>
      </w:r>
      <w:r w:rsidR="008D36F2">
        <w:rPr>
          <w:rFonts w:eastAsia="Calibri" w:cs="Times New Roman"/>
          <w:color w:val="000000"/>
          <w:szCs w:val="28"/>
          <w:lang w:eastAsia="lv-LV"/>
        </w:rPr>
        <w:t> </w:t>
      </w:r>
      <w:r w:rsidRPr="00CD7149">
        <w:rPr>
          <w:rFonts w:eastAsia="Calibri" w:cs="Times New Roman"/>
          <w:color w:val="000000"/>
          <w:szCs w:val="28"/>
          <w:lang w:eastAsia="lv-LV"/>
        </w:rPr>
        <w:t xml:space="preserve">gadā sociālā atbalsta programmas izmaksas sasniedza 3,7 </w:t>
      </w:r>
      <w:proofErr w:type="spellStart"/>
      <w:r w:rsidRPr="00CD7149">
        <w:rPr>
          <w:rFonts w:eastAsia="Calibri" w:cs="Times New Roman"/>
          <w:color w:val="000000"/>
          <w:szCs w:val="28"/>
          <w:lang w:eastAsia="lv-LV"/>
        </w:rPr>
        <w:t>milj</w:t>
      </w:r>
      <w:proofErr w:type="spellEnd"/>
      <w:r w:rsidRPr="00CD7149">
        <w:rPr>
          <w:rFonts w:eastAsia="Calibri" w:cs="Times New Roman"/>
          <w:color w:val="000000"/>
          <w:szCs w:val="28"/>
          <w:lang w:eastAsia="lv-LV"/>
        </w:rPr>
        <w:t>. L</w:t>
      </w:r>
      <w:r w:rsidR="001C72F1">
        <w:rPr>
          <w:rFonts w:eastAsia="Calibri" w:cs="Times New Roman"/>
          <w:color w:val="000000"/>
          <w:szCs w:val="28"/>
          <w:lang w:eastAsia="lv-LV"/>
        </w:rPr>
        <w:t>VL</w:t>
      </w:r>
      <w:r w:rsidRPr="00CD7149">
        <w:rPr>
          <w:rFonts w:eastAsia="Calibri" w:cs="Times New Roman"/>
          <w:color w:val="000000"/>
          <w:szCs w:val="28"/>
          <w:lang w:eastAsia="lv-LV"/>
        </w:rPr>
        <w:t xml:space="preserve"> un 2011.</w:t>
      </w:r>
      <w:r w:rsidR="008D36F2">
        <w:rPr>
          <w:rFonts w:eastAsia="Calibri" w:cs="Times New Roman"/>
          <w:color w:val="000000"/>
          <w:szCs w:val="28"/>
          <w:lang w:eastAsia="lv-LV"/>
        </w:rPr>
        <w:t> </w:t>
      </w:r>
      <w:r w:rsidRPr="00CD7149">
        <w:rPr>
          <w:rFonts w:eastAsia="Calibri" w:cs="Times New Roman"/>
          <w:color w:val="000000"/>
          <w:szCs w:val="28"/>
          <w:lang w:eastAsia="lv-LV"/>
        </w:rPr>
        <w:t xml:space="preserve">gadā 2,3 </w:t>
      </w:r>
      <w:proofErr w:type="spellStart"/>
      <w:r w:rsidRPr="00CD7149">
        <w:rPr>
          <w:rFonts w:eastAsia="Calibri" w:cs="Times New Roman"/>
          <w:color w:val="000000"/>
          <w:szCs w:val="28"/>
          <w:lang w:eastAsia="lv-LV"/>
        </w:rPr>
        <w:t>milj</w:t>
      </w:r>
      <w:proofErr w:type="spellEnd"/>
      <w:r w:rsidRPr="00CD7149">
        <w:rPr>
          <w:rFonts w:eastAsia="Calibri" w:cs="Times New Roman"/>
          <w:color w:val="000000"/>
          <w:szCs w:val="28"/>
          <w:lang w:eastAsia="lv-LV"/>
        </w:rPr>
        <w:t>. L</w:t>
      </w:r>
      <w:r w:rsidR="001C72F1">
        <w:rPr>
          <w:rFonts w:eastAsia="Calibri" w:cs="Times New Roman"/>
          <w:color w:val="000000"/>
          <w:szCs w:val="28"/>
          <w:lang w:eastAsia="lv-LV"/>
        </w:rPr>
        <w:t>VL</w:t>
      </w:r>
      <w:r w:rsidRPr="00CD7149">
        <w:rPr>
          <w:rFonts w:eastAsia="Calibri" w:cs="Times New Roman"/>
          <w:color w:val="000000"/>
          <w:szCs w:val="28"/>
          <w:lang w:eastAsia="lv-LV"/>
        </w:rPr>
        <w:t>. 2012.</w:t>
      </w:r>
      <w:r w:rsidR="008D36F2">
        <w:rPr>
          <w:rFonts w:eastAsia="Calibri" w:cs="Times New Roman"/>
          <w:color w:val="000000"/>
          <w:szCs w:val="28"/>
          <w:lang w:eastAsia="lv-LV"/>
        </w:rPr>
        <w:t xml:space="preserve"> gadā </w:t>
      </w:r>
      <w:r w:rsidRPr="00CD7149">
        <w:rPr>
          <w:rFonts w:eastAsia="Calibri" w:cs="Times New Roman"/>
          <w:color w:val="000000"/>
          <w:szCs w:val="28"/>
          <w:lang w:eastAsia="lv-LV"/>
        </w:rPr>
        <w:t>Latvijas Pašvaldību savienībai dāvinātas 40</w:t>
      </w:r>
      <w:r w:rsidR="008D36F2">
        <w:rPr>
          <w:rFonts w:eastAsia="Calibri" w:cs="Times New Roman"/>
          <w:color w:val="000000"/>
          <w:szCs w:val="28"/>
          <w:lang w:eastAsia="lv-LV"/>
        </w:rPr>
        <w:t> </w:t>
      </w:r>
      <w:r w:rsidRPr="00CD7149">
        <w:rPr>
          <w:rFonts w:eastAsia="Calibri" w:cs="Times New Roman"/>
          <w:color w:val="000000"/>
          <w:szCs w:val="28"/>
          <w:lang w:eastAsia="lv-LV"/>
        </w:rPr>
        <w:t xml:space="preserve">000 </w:t>
      </w:r>
      <w:r w:rsidR="00E41E90">
        <w:rPr>
          <w:rFonts w:eastAsia="Calibri" w:cs="Times New Roman"/>
          <w:color w:val="000000"/>
          <w:szCs w:val="28"/>
          <w:lang w:eastAsia="lv-LV"/>
        </w:rPr>
        <w:t>e</w:t>
      </w:r>
      <w:r w:rsidRPr="00CD7149">
        <w:rPr>
          <w:rFonts w:eastAsia="Calibri" w:cs="Times New Roman"/>
          <w:color w:val="000000"/>
          <w:szCs w:val="28"/>
          <w:lang w:eastAsia="lv-LV"/>
        </w:rPr>
        <w:t>lektrības norēķinu kartes 53,70 LVL vērtībā (kopā 2 148 000 L</w:t>
      </w:r>
      <w:r w:rsidR="001C72F1">
        <w:rPr>
          <w:rFonts w:eastAsia="Calibri" w:cs="Times New Roman"/>
          <w:color w:val="000000"/>
          <w:szCs w:val="28"/>
          <w:lang w:eastAsia="lv-LV"/>
        </w:rPr>
        <w:t>VL</w:t>
      </w:r>
      <w:r w:rsidRPr="00CD7149">
        <w:rPr>
          <w:rFonts w:eastAsia="Calibri" w:cs="Times New Roman"/>
          <w:color w:val="000000"/>
          <w:szCs w:val="28"/>
          <w:lang w:eastAsia="lv-LV"/>
        </w:rPr>
        <w:t xml:space="preserve">). Latvijas pilsētu un novadu pašvaldību sociālie dienesti mērķa grupu mājsaimniecībām izsnieguši 98 647 </w:t>
      </w:r>
      <w:r w:rsidRPr="00CD7149">
        <w:rPr>
          <w:rFonts w:eastAsia="Calibri" w:cs="Times New Roman"/>
          <w:color w:val="000000"/>
          <w:szCs w:val="28"/>
          <w:lang w:eastAsia="lv-LV"/>
        </w:rPr>
        <w:lastRenderedPageBreak/>
        <w:t>elektrības norēķinu kartes 500 kWh vērtībā un 15</w:t>
      </w:r>
      <w:r w:rsidR="008D36F2">
        <w:rPr>
          <w:rFonts w:eastAsia="Calibri" w:cs="Times New Roman"/>
          <w:color w:val="000000"/>
          <w:szCs w:val="28"/>
          <w:lang w:eastAsia="lv-LV"/>
        </w:rPr>
        <w:t> </w:t>
      </w:r>
      <w:r w:rsidRPr="00CD7149">
        <w:rPr>
          <w:rFonts w:eastAsia="Calibri" w:cs="Times New Roman"/>
          <w:color w:val="000000"/>
          <w:szCs w:val="28"/>
          <w:lang w:eastAsia="lv-LV"/>
        </w:rPr>
        <w:t>892 elektrības norēķinu kartes 53,70 L</w:t>
      </w:r>
      <w:r w:rsidR="001C72F1">
        <w:rPr>
          <w:rFonts w:eastAsia="Calibri" w:cs="Times New Roman"/>
          <w:color w:val="000000"/>
          <w:szCs w:val="28"/>
          <w:lang w:eastAsia="lv-LV"/>
        </w:rPr>
        <w:t>VL</w:t>
      </w:r>
      <w:r w:rsidRPr="00CD7149">
        <w:rPr>
          <w:rFonts w:eastAsia="Calibri" w:cs="Times New Roman"/>
          <w:color w:val="000000"/>
          <w:szCs w:val="28"/>
          <w:lang w:eastAsia="lv-LV"/>
        </w:rPr>
        <w:t xml:space="preserve"> vērtībā. Tomēr </w:t>
      </w:r>
      <w:r w:rsidRPr="00CD7149">
        <w:rPr>
          <w:rFonts w:eastAsia="Calibri" w:cs="Times New Roman"/>
          <w:szCs w:val="28"/>
          <w:lang w:eastAsia="lv-LV"/>
        </w:rPr>
        <w:t xml:space="preserve">pēc pilnīgas tirgus atvēršanas, kas paredz elektroenerģijas diferencēto tirdzniecības tarifu piemērošanas izbeigšanu, </w:t>
      </w:r>
      <w:r w:rsidR="00E41E90" w:rsidRPr="00CD7149">
        <w:rPr>
          <w:rFonts w:eastAsia="Calibri" w:cs="Times New Roman"/>
          <w:szCs w:val="28"/>
          <w:lang w:eastAsia="lv-LV"/>
        </w:rPr>
        <w:t xml:space="preserve">darbību pārtrauks </w:t>
      </w:r>
      <w:r w:rsidRPr="00CD7149">
        <w:rPr>
          <w:rFonts w:eastAsia="Calibri" w:cs="Times New Roman"/>
          <w:szCs w:val="28"/>
          <w:lang w:eastAsia="lv-LV"/>
        </w:rPr>
        <w:t>arī publiskā tirgotāja īstenotā sociāla atbalsta programma</w:t>
      </w:r>
      <w:r w:rsidR="00E41E90">
        <w:rPr>
          <w:rFonts w:eastAsia="Calibri" w:cs="Times New Roman"/>
          <w:szCs w:val="28"/>
          <w:lang w:eastAsia="lv-LV"/>
        </w:rPr>
        <w:t>,</w:t>
      </w:r>
      <w:r w:rsidRPr="00CD7149">
        <w:rPr>
          <w:rFonts w:eastAsia="Calibri" w:cs="Times New Roman"/>
          <w:szCs w:val="28"/>
          <w:lang w:eastAsia="lv-LV"/>
        </w:rPr>
        <w:t xml:space="preserve"> tāpēc būtiska loma būs valsts sociālajai politikai, proti, atbalstam atsevišķām lietotāju grupām, lai valsts spētu garantēt, ka elektroenerģiju saņem ikviens lietotājs. Vienlaikus </w:t>
      </w:r>
      <w:r w:rsidRPr="00CD7149">
        <w:rPr>
          <w:rFonts w:eastAsia="Calibri" w:cs="Times New Roman"/>
          <w:bCs/>
          <w:color w:val="000000"/>
          <w:szCs w:val="28"/>
          <w:lang w:eastAsia="lv-LV"/>
        </w:rPr>
        <w:t>normālos apstākļos šī nosacījuma ievērošanai nav vajadzīga aktīva valsts rīcība, jo iekšējā enerģijas tirgus būtība ir nodrošināt konkurētspējīgas enerģijas cenas un augstu pakalpojumu kvalitāti. Tādejādi efektīva tirgus gadījumā valstij obligāti nebūtu jānosaka enerģijas cenu griesti kādai no lietotāju grupām vai jāapstiprina galalietotāju tarifi.</w:t>
      </w:r>
      <w:r w:rsidR="0051177C">
        <w:rPr>
          <w:rFonts w:eastAsia="Calibri" w:cs="Times New Roman"/>
          <w:bCs/>
          <w:color w:val="000000"/>
          <w:szCs w:val="28"/>
          <w:lang w:eastAsia="lv-LV"/>
        </w:rPr>
        <w:t xml:space="preserve"> </w:t>
      </w:r>
      <w:r w:rsidR="00D87DFA" w:rsidRPr="0051177C">
        <w:rPr>
          <w:rFonts w:eastAsia="Calibri" w:cs="Times New Roman"/>
          <w:bCs/>
          <w:color w:val="000000"/>
          <w:szCs w:val="28"/>
          <w:lang w:eastAsia="lv-LV"/>
        </w:rPr>
        <w:t>5.attēl</w:t>
      </w:r>
      <w:r w:rsidR="00EC7AFC">
        <w:rPr>
          <w:rFonts w:eastAsia="Calibri" w:cs="Times New Roman"/>
          <w:bCs/>
          <w:color w:val="000000"/>
          <w:szCs w:val="28"/>
          <w:lang w:eastAsia="lv-LV"/>
        </w:rPr>
        <w:t>ā</w:t>
      </w:r>
      <w:r w:rsidR="00D87DFA" w:rsidRPr="0051177C">
        <w:rPr>
          <w:rFonts w:eastAsia="Calibri" w:cs="Times New Roman"/>
          <w:bCs/>
          <w:color w:val="000000"/>
          <w:szCs w:val="28"/>
          <w:lang w:eastAsia="lv-LV"/>
        </w:rPr>
        <w:t xml:space="preserve"> redzams, </w:t>
      </w:r>
      <w:r w:rsidR="006A338B">
        <w:rPr>
          <w:rFonts w:eastAsia="Calibri" w:cs="Times New Roman"/>
          <w:bCs/>
          <w:color w:val="000000"/>
          <w:szCs w:val="28"/>
          <w:lang w:eastAsia="lv-LV"/>
        </w:rPr>
        <w:t>ka</w:t>
      </w:r>
      <w:r w:rsidR="00FC4509">
        <w:rPr>
          <w:rFonts w:eastAsia="Calibri" w:cs="Times New Roman"/>
          <w:bCs/>
          <w:color w:val="000000"/>
          <w:szCs w:val="28"/>
          <w:lang w:eastAsia="lv-LV"/>
        </w:rPr>
        <w:t xml:space="preserve"> 2011.</w:t>
      </w:r>
      <w:r w:rsidR="00EC7AFC">
        <w:t> </w:t>
      </w:r>
      <w:r w:rsidR="00D87DFA" w:rsidRPr="0051177C">
        <w:rPr>
          <w:rFonts w:eastAsia="Calibri" w:cs="Times New Roman"/>
          <w:bCs/>
          <w:color w:val="000000"/>
          <w:szCs w:val="28"/>
          <w:lang w:eastAsia="lv-LV"/>
        </w:rPr>
        <w:t>gadā Latvijā 3,2% no mājsaimniecības patēriņa izdevumiem tika izlietot</w:t>
      </w:r>
      <w:r w:rsidR="006A338B">
        <w:rPr>
          <w:rFonts w:eastAsia="Calibri" w:cs="Times New Roman"/>
          <w:bCs/>
          <w:color w:val="000000"/>
          <w:szCs w:val="28"/>
          <w:lang w:eastAsia="lv-LV"/>
        </w:rPr>
        <w:t>i</w:t>
      </w:r>
      <w:r w:rsidR="00D87DFA" w:rsidRPr="0051177C">
        <w:rPr>
          <w:rFonts w:eastAsia="Calibri" w:cs="Times New Roman"/>
          <w:bCs/>
          <w:color w:val="000000"/>
          <w:szCs w:val="28"/>
          <w:lang w:eastAsia="lv-LV"/>
        </w:rPr>
        <w:t xml:space="preserve"> maksājumos par elektroenerģiju.</w:t>
      </w:r>
      <w:r w:rsidR="006F2C6E">
        <w:rPr>
          <w:rFonts w:eastAsia="Calibri" w:cs="Times New Roman"/>
          <w:bCs/>
          <w:color w:val="000000"/>
          <w:szCs w:val="28"/>
          <w:lang w:eastAsia="lv-LV"/>
        </w:rPr>
        <w:t xml:space="preserve"> Savukārt </w:t>
      </w:r>
      <w:r w:rsidR="00EC7AFC">
        <w:rPr>
          <w:rFonts w:eastAsia="Calibri" w:cs="Times New Roman"/>
          <w:bCs/>
          <w:color w:val="000000"/>
          <w:szCs w:val="28"/>
          <w:lang w:eastAsia="lv-LV"/>
        </w:rPr>
        <w:t xml:space="preserve">kopējā </w:t>
      </w:r>
      <w:r w:rsidR="006F2C6E">
        <w:rPr>
          <w:rFonts w:eastAsia="Calibri" w:cs="Times New Roman"/>
          <w:bCs/>
          <w:color w:val="000000"/>
          <w:szCs w:val="28"/>
          <w:lang w:eastAsia="lv-LV"/>
        </w:rPr>
        <w:t xml:space="preserve">maksa par </w:t>
      </w:r>
      <w:r w:rsidR="005E7C5A">
        <w:rPr>
          <w:rFonts w:eastAsia="Calibri" w:cs="Times New Roman"/>
          <w:bCs/>
          <w:color w:val="000000"/>
          <w:szCs w:val="28"/>
          <w:lang w:eastAsia="lv-LV"/>
        </w:rPr>
        <w:t>m</w:t>
      </w:r>
      <w:r w:rsidR="005E7C5A" w:rsidRPr="005E7C5A">
        <w:rPr>
          <w:rFonts w:eastAsia="Calibri" w:cs="Times New Roman"/>
          <w:bCs/>
          <w:color w:val="000000"/>
          <w:szCs w:val="28"/>
          <w:lang w:eastAsia="lv-LV"/>
        </w:rPr>
        <w:t>ājokli, ūden</w:t>
      </w:r>
      <w:r w:rsidR="005E7C5A">
        <w:rPr>
          <w:rFonts w:eastAsia="Calibri" w:cs="Times New Roman"/>
          <w:bCs/>
          <w:color w:val="000000"/>
          <w:szCs w:val="28"/>
          <w:lang w:eastAsia="lv-LV"/>
        </w:rPr>
        <w:t>i</w:t>
      </w:r>
      <w:r w:rsidR="005E7C5A" w:rsidRPr="005E7C5A">
        <w:rPr>
          <w:rFonts w:eastAsia="Calibri" w:cs="Times New Roman"/>
          <w:bCs/>
          <w:color w:val="000000"/>
          <w:szCs w:val="28"/>
          <w:lang w:eastAsia="lv-LV"/>
        </w:rPr>
        <w:t>, elektroenerģij</w:t>
      </w:r>
      <w:r w:rsidR="005E7C5A">
        <w:rPr>
          <w:rFonts w:eastAsia="Calibri" w:cs="Times New Roman"/>
          <w:bCs/>
          <w:color w:val="000000"/>
          <w:szCs w:val="28"/>
          <w:lang w:eastAsia="lv-LV"/>
        </w:rPr>
        <w:t>u</w:t>
      </w:r>
      <w:r w:rsidR="005E7C5A" w:rsidRPr="005E7C5A">
        <w:rPr>
          <w:rFonts w:eastAsia="Calibri" w:cs="Times New Roman"/>
          <w:bCs/>
          <w:color w:val="000000"/>
          <w:szCs w:val="28"/>
          <w:lang w:eastAsia="lv-LV"/>
        </w:rPr>
        <w:t>, gāz</w:t>
      </w:r>
      <w:r w:rsidR="005E7C5A">
        <w:rPr>
          <w:rFonts w:eastAsia="Calibri" w:cs="Times New Roman"/>
          <w:bCs/>
          <w:color w:val="000000"/>
          <w:szCs w:val="28"/>
          <w:lang w:eastAsia="lv-LV"/>
        </w:rPr>
        <w:t>i</w:t>
      </w:r>
      <w:r w:rsidR="005E7C5A" w:rsidRPr="005E7C5A">
        <w:rPr>
          <w:rFonts w:eastAsia="Calibri" w:cs="Times New Roman"/>
          <w:bCs/>
          <w:color w:val="000000"/>
          <w:szCs w:val="28"/>
          <w:lang w:eastAsia="lv-LV"/>
        </w:rPr>
        <w:t xml:space="preserve"> un cit</w:t>
      </w:r>
      <w:r w:rsidR="005E7C5A">
        <w:rPr>
          <w:rFonts w:eastAsia="Calibri" w:cs="Times New Roman"/>
          <w:bCs/>
          <w:color w:val="000000"/>
          <w:szCs w:val="28"/>
          <w:lang w:eastAsia="lv-LV"/>
        </w:rPr>
        <w:t>u</w:t>
      </w:r>
      <w:r w:rsidR="005E7C5A" w:rsidRPr="005E7C5A">
        <w:rPr>
          <w:rFonts w:eastAsia="Calibri" w:cs="Times New Roman"/>
          <w:bCs/>
          <w:color w:val="000000"/>
          <w:szCs w:val="28"/>
          <w:lang w:eastAsia="lv-LV"/>
        </w:rPr>
        <w:t xml:space="preserve"> kurinām</w:t>
      </w:r>
      <w:r w:rsidR="005E7C5A">
        <w:rPr>
          <w:rFonts w:eastAsia="Calibri" w:cs="Times New Roman"/>
          <w:bCs/>
          <w:color w:val="000000"/>
          <w:szCs w:val="28"/>
          <w:lang w:eastAsia="lv-LV"/>
        </w:rPr>
        <w:t>o</w:t>
      </w:r>
      <w:r w:rsidR="006F2C6E">
        <w:rPr>
          <w:rFonts w:eastAsia="Calibri" w:cs="Times New Roman"/>
          <w:bCs/>
          <w:color w:val="000000"/>
          <w:szCs w:val="28"/>
          <w:lang w:eastAsia="lv-LV"/>
        </w:rPr>
        <w:t xml:space="preserve"> </w:t>
      </w:r>
      <w:r w:rsidR="005E7C5A">
        <w:rPr>
          <w:rFonts w:eastAsia="Calibri" w:cs="Times New Roman"/>
          <w:bCs/>
          <w:color w:val="000000"/>
          <w:szCs w:val="28"/>
          <w:lang w:eastAsia="lv-LV"/>
        </w:rPr>
        <w:t>2011.</w:t>
      </w:r>
      <w:r w:rsidR="008D36F2">
        <w:rPr>
          <w:rFonts w:eastAsia="Calibri" w:cs="Times New Roman"/>
          <w:bCs/>
          <w:color w:val="000000"/>
          <w:szCs w:val="28"/>
          <w:lang w:eastAsia="lv-LV"/>
        </w:rPr>
        <w:t> </w:t>
      </w:r>
      <w:r w:rsidR="005E7C5A">
        <w:rPr>
          <w:rFonts w:eastAsia="Calibri" w:cs="Times New Roman"/>
          <w:bCs/>
          <w:color w:val="000000"/>
          <w:szCs w:val="28"/>
          <w:lang w:eastAsia="lv-LV"/>
        </w:rPr>
        <w:t xml:space="preserve">gadā </w:t>
      </w:r>
      <w:r w:rsidR="00EC7AFC">
        <w:rPr>
          <w:rFonts w:eastAsia="Calibri" w:cs="Times New Roman"/>
          <w:bCs/>
          <w:color w:val="000000"/>
          <w:szCs w:val="28"/>
          <w:lang w:eastAsia="lv-LV"/>
        </w:rPr>
        <w:t>veidoj</w:t>
      </w:r>
      <w:r w:rsidR="005E7C5A">
        <w:rPr>
          <w:rFonts w:eastAsia="Calibri" w:cs="Times New Roman"/>
          <w:bCs/>
          <w:color w:val="000000"/>
          <w:szCs w:val="28"/>
          <w:lang w:eastAsia="lv-LV"/>
        </w:rPr>
        <w:t>a 16,6% mājsaimniecības patēriņa</w:t>
      </w:r>
      <w:r w:rsidR="00EC7AFC">
        <w:rPr>
          <w:rFonts w:eastAsia="Calibri" w:cs="Times New Roman"/>
          <w:bCs/>
          <w:color w:val="000000"/>
          <w:szCs w:val="28"/>
          <w:lang w:eastAsia="lv-LV"/>
        </w:rPr>
        <w:t xml:space="preserve"> izdevumu</w:t>
      </w:r>
      <w:r w:rsidR="005E7C5A">
        <w:rPr>
          <w:rFonts w:eastAsia="Calibri" w:cs="Times New Roman"/>
          <w:bCs/>
          <w:color w:val="000000"/>
          <w:szCs w:val="28"/>
          <w:lang w:eastAsia="lv-LV"/>
        </w:rPr>
        <w:t>.</w:t>
      </w:r>
    </w:p>
    <w:p w:rsidR="00DE4A95" w:rsidRPr="00DE4A95" w:rsidRDefault="00DE4A95" w:rsidP="0051177C">
      <w:pPr>
        <w:spacing w:line="240" w:lineRule="auto"/>
        <w:rPr>
          <w:rFonts w:eastAsia="Calibri" w:cs="Times New Roman"/>
          <w:bCs/>
          <w:color w:val="000000"/>
          <w:sz w:val="20"/>
          <w:szCs w:val="20"/>
          <w:lang w:eastAsia="lv-LV"/>
        </w:rPr>
      </w:pPr>
    </w:p>
    <w:p w:rsidR="00EC2B9C" w:rsidRDefault="00D87DFA" w:rsidP="0051177C">
      <w:pPr>
        <w:autoSpaceDE w:val="0"/>
        <w:autoSpaceDN w:val="0"/>
        <w:adjustRightInd w:val="0"/>
        <w:spacing w:before="0" w:after="0" w:line="240" w:lineRule="auto"/>
        <w:ind w:firstLine="0"/>
        <w:jc w:val="center"/>
        <w:rPr>
          <w:rFonts w:eastAsia="Calibri" w:cs="Times New Roman"/>
          <w:bCs/>
          <w:color w:val="000000"/>
          <w:szCs w:val="28"/>
          <w:lang w:eastAsia="lv-LV"/>
        </w:rPr>
      </w:pPr>
      <w:r>
        <w:rPr>
          <w:noProof/>
          <w:lang w:eastAsia="lv-LV"/>
        </w:rPr>
        <w:drawing>
          <wp:inline distT="0" distB="0" distL="0" distR="0" wp14:anchorId="71F4BBFD" wp14:editId="54DCC58E">
            <wp:extent cx="4562475" cy="2402711"/>
            <wp:effectExtent l="0" t="0" r="0" b="0"/>
            <wp:docPr id="9" name="Picture 9" descr="cid:image001.png@01CDDD05.32770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DDD05.32770BD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569603" cy="2406465"/>
                    </a:xfrm>
                    <a:prstGeom prst="rect">
                      <a:avLst/>
                    </a:prstGeom>
                    <a:noFill/>
                    <a:ln>
                      <a:noFill/>
                    </a:ln>
                  </pic:spPr>
                </pic:pic>
              </a:graphicData>
            </a:graphic>
          </wp:inline>
        </w:drawing>
      </w:r>
    </w:p>
    <w:p w:rsidR="00EC2B9C" w:rsidRPr="005E7C5A" w:rsidRDefault="00EC2B9C" w:rsidP="00DE4A95">
      <w:pPr>
        <w:autoSpaceDE w:val="0"/>
        <w:autoSpaceDN w:val="0"/>
        <w:adjustRightInd w:val="0"/>
        <w:spacing w:line="240" w:lineRule="auto"/>
        <w:ind w:firstLine="0"/>
        <w:rPr>
          <w:rFonts w:cs="Times New Roman"/>
          <w:b/>
          <w:sz w:val="20"/>
          <w:szCs w:val="20"/>
        </w:rPr>
      </w:pPr>
      <w:r w:rsidRPr="005E7C5A">
        <w:rPr>
          <w:rFonts w:cs="Times New Roman"/>
          <w:b/>
          <w:sz w:val="20"/>
          <w:szCs w:val="20"/>
        </w:rPr>
        <w:t xml:space="preserve">5.attēls. </w:t>
      </w:r>
      <w:r w:rsidR="00D87DFA" w:rsidRPr="005E7C5A">
        <w:rPr>
          <w:rFonts w:cs="Times New Roman"/>
          <w:b/>
          <w:sz w:val="20"/>
          <w:szCs w:val="20"/>
        </w:rPr>
        <w:t>Maksājumu par elektroenerģiju īpatsvars mājsaimniecību patēriņa izdevumos</w:t>
      </w:r>
      <w:r w:rsidR="006A338B" w:rsidRPr="005E7C5A">
        <w:rPr>
          <w:rFonts w:cs="Times New Roman"/>
          <w:b/>
          <w:sz w:val="20"/>
          <w:szCs w:val="20"/>
        </w:rPr>
        <w:t xml:space="preserve"> </w:t>
      </w:r>
      <w:r w:rsidR="00F958C0" w:rsidRPr="005E7C5A">
        <w:rPr>
          <w:rFonts w:cs="Times New Roman"/>
          <w:b/>
          <w:sz w:val="20"/>
          <w:szCs w:val="20"/>
        </w:rPr>
        <w:t xml:space="preserve">Latvijā </w:t>
      </w:r>
      <w:r w:rsidR="006A338B" w:rsidRPr="005E7C5A">
        <w:rPr>
          <w:rFonts w:cs="Times New Roman"/>
          <w:b/>
          <w:sz w:val="20"/>
          <w:szCs w:val="20"/>
        </w:rPr>
        <w:t>2011.</w:t>
      </w:r>
      <w:r w:rsidR="008D36F2">
        <w:rPr>
          <w:rFonts w:cs="Times New Roman"/>
          <w:b/>
          <w:sz w:val="20"/>
          <w:szCs w:val="20"/>
        </w:rPr>
        <w:t> </w:t>
      </w:r>
      <w:r w:rsidR="006A338B" w:rsidRPr="005E7C5A">
        <w:rPr>
          <w:rFonts w:cs="Times New Roman"/>
          <w:b/>
          <w:sz w:val="20"/>
          <w:szCs w:val="20"/>
        </w:rPr>
        <w:t>gadā</w:t>
      </w:r>
    </w:p>
    <w:p w:rsidR="00EC2B9C" w:rsidRPr="005E7C5A" w:rsidRDefault="00EC2B9C" w:rsidP="00DE4A95">
      <w:pPr>
        <w:autoSpaceDE w:val="0"/>
        <w:autoSpaceDN w:val="0"/>
        <w:adjustRightInd w:val="0"/>
        <w:spacing w:line="240" w:lineRule="auto"/>
        <w:ind w:firstLine="0"/>
        <w:rPr>
          <w:rFonts w:cs="Times New Roman"/>
          <w:sz w:val="20"/>
          <w:szCs w:val="20"/>
        </w:rPr>
      </w:pPr>
      <w:r w:rsidRPr="005E7C5A">
        <w:rPr>
          <w:rFonts w:cs="Times New Roman"/>
          <w:sz w:val="20"/>
          <w:szCs w:val="20"/>
        </w:rPr>
        <w:t>Avots: Centrālā statistikas pārvalde</w:t>
      </w:r>
    </w:p>
    <w:p w:rsidR="006F2C6E" w:rsidRPr="005E7C5A" w:rsidRDefault="006F2C6E" w:rsidP="0051177C">
      <w:pPr>
        <w:autoSpaceDE w:val="0"/>
        <w:autoSpaceDN w:val="0"/>
        <w:adjustRightInd w:val="0"/>
        <w:spacing w:before="0" w:after="0" w:line="240" w:lineRule="auto"/>
        <w:ind w:firstLine="0"/>
        <w:rPr>
          <w:rFonts w:cs="Times New Roman"/>
          <w:sz w:val="20"/>
          <w:szCs w:val="20"/>
        </w:rPr>
      </w:pPr>
    </w:p>
    <w:p w:rsidR="006F2C6E" w:rsidRPr="005E7C5A" w:rsidRDefault="006F2C6E" w:rsidP="0051177C">
      <w:pPr>
        <w:autoSpaceDE w:val="0"/>
        <w:autoSpaceDN w:val="0"/>
        <w:adjustRightInd w:val="0"/>
        <w:spacing w:before="0" w:after="0" w:line="240" w:lineRule="auto"/>
        <w:ind w:firstLine="0"/>
        <w:rPr>
          <w:rFonts w:eastAsia="Calibri" w:cs="Times New Roman"/>
          <w:bCs/>
          <w:color w:val="000000"/>
          <w:szCs w:val="28"/>
          <w:lang w:eastAsia="lv-LV"/>
        </w:rPr>
      </w:pPr>
      <w:r w:rsidRPr="005E7C5A">
        <w:rPr>
          <w:rFonts w:eastAsia="Calibri" w:cs="Times New Roman"/>
          <w:bCs/>
          <w:szCs w:val="28"/>
          <w:lang w:eastAsia="lv-LV"/>
        </w:rPr>
        <w:t xml:space="preserve">6.attēlā aplūkoti </w:t>
      </w:r>
      <w:r w:rsidR="00614E55">
        <w:rPr>
          <w:rFonts w:eastAsia="Calibri" w:cs="Times New Roman"/>
          <w:bCs/>
          <w:szCs w:val="28"/>
          <w:lang w:eastAsia="lv-LV"/>
        </w:rPr>
        <w:t>jaunākie</w:t>
      </w:r>
      <w:r w:rsidR="00614E55" w:rsidRPr="005E7C5A">
        <w:rPr>
          <w:rFonts w:eastAsia="Calibri" w:cs="Times New Roman"/>
          <w:bCs/>
          <w:szCs w:val="28"/>
          <w:lang w:eastAsia="lv-LV"/>
        </w:rPr>
        <w:t xml:space="preserve"> </w:t>
      </w:r>
      <w:r w:rsidRPr="005E7C5A">
        <w:rPr>
          <w:rFonts w:eastAsia="Calibri" w:cs="Times New Roman"/>
          <w:bCs/>
          <w:szCs w:val="28"/>
          <w:lang w:eastAsia="lv-LV"/>
        </w:rPr>
        <w:t xml:space="preserve">Eurostat sistēmā </w:t>
      </w:r>
      <w:r w:rsidRPr="005E7C5A">
        <w:rPr>
          <w:rFonts w:eastAsia="Calibri" w:cs="Times New Roman"/>
          <w:bCs/>
          <w:color w:val="000000"/>
          <w:szCs w:val="28"/>
          <w:lang w:eastAsia="lv-LV"/>
        </w:rPr>
        <w:t>pieejamie dati par maksājumu par elektroenerģiju īpatsvaru mājsaimniecību patēriņa izdevumos 2005.</w:t>
      </w:r>
      <w:r w:rsidR="00EC7AFC">
        <w:rPr>
          <w:rFonts w:eastAsia="Calibri" w:cs="Times New Roman"/>
          <w:bCs/>
          <w:color w:val="000000"/>
          <w:szCs w:val="28"/>
          <w:lang w:eastAsia="lv-LV"/>
        </w:rPr>
        <w:t> </w:t>
      </w:r>
      <w:r w:rsidRPr="005E7C5A">
        <w:rPr>
          <w:rFonts w:eastAsia="Calibri" w:cs="Times New Roman"/>
          <w:bCs/>
          <w:color w:val="000000"/>
          <w:szCs w:val="28"/>
          <w:lang w:eastAsia="lv-LV"/>
        </w:rPr>
        <w:t>gad</w:t>
      </w:r>
      <w:r w:rsidR="00EC7AFC">
        <w:rPr>
          <w:rFonts w:eastAsia="Calibri" w:cs="Times New Roman"/>
          <w:bCs/>
          <w:color w:val="000000"/>
          <w:szCs w:val="28"/>
          <w:lang w:eastAsia="lv-LV"/>
        </w:rPr>
        <w:t>ā, kas Latvijā attiecīgi veido</w:t>
      </w:r>
      <w:r w:rsidRPr="005E7C5A">
        <w:rPr>
          <w:rFonts w:eastAsia="Calibri" w:cs="Times New Roman"/>
          <w:bCs/>
          <w:color w:val="000000"/>
          <w:szCs w:val="28"/>
          <w:lang w:eastAsia="lv-LV"/>
        </w:rPr>
        <w:t xml:space="preserve">ja 2,5%. Salīdzinot ar citām </w:t>
      </w:r>
      <w:r w:rsidR="00614E55">
        <w:rPr>
          <w:rFonts w:eastAsia="Calibri" w:cs="Times New Roman"/>
          <w:bCs/>
          <w:color w:val="000000"/>
          <w:szCs w:val="28"/>
          <w:lang w:eastAsia="lv-LV"/>
        </w:rPr>
        <w:t>dalībvalstīm,</w:t>
      </w:r>
      <w:r w:rsidRPr="005E7C5A">
        <w:rPr>
          <w:rFonts w:eastAsia="Calibri" w:cs="Times New Roman"/>
          <w:bCs/>
          <w:color w:val="000000"/>
          <w:szCs w:val="28"/>
          <w:lang w:eastAsia="lv-LV"/>
        </w:rPr>
        <w:t xml:space="preserve"> Latvijai ir bijis viens no zemākajiem īpatsvariem līdzīgi kā Somijai, Beļģijai, Nīderlandei un Kiprai.</w:t>
      </w:r>
    </w:p>
    <w:p w:rsidR="006F2C6E" w:rsidRPr="005E7C5A" w:rsidRDefault="006F2C6E" w:rsidP="0051177C">
      <w:pPr>
        <w:autoSpaceDE w:val="0"/>
        <w:autoSpaceDN w:val="0"/>
        <w:adjustRightInd w:val="0"/>
        <w:spacing w:before="0" w:after="0" w:line="240" w:lineRule="auto"/>
        <w:ind w:firstLine="0"/>
        <w:rPr>
          <w:rFonts w:eastAsia="Calibri" w:cs="Times New Roman"/>
          <w:bCs/>
          <w:color w:val="000000"/>
          <w:szCs w:val="28"/>
          <w:lang w:eastAsia="lv-LV"/>
        </w:rPr>
      </w:pPr>
    </w:p>
    <w:p w:rsidR="0051177C" w:rsidRDefault="0051177C" w:rsidP="0051177C">
      <w:pPr>
        <w:spacing w:before="0" w:after="0" w:line="240" w:lineRule="auto"/>
        <w:ind w:firstLine="0"/>
        <w:jc w:val="center"/>
      </w:pPr>
      <w:r>
        <w:rPr>
          <w:noProof/>
          <w:lang w:eastAsia="lv-LV"/>
        </w:rPr>
        <w:lastRenderedPageBreak/>
        <w:drawing>
          <wp:inline distT="0" distB="0" distL="0" distR="0" wp14:anchorId="3493C0F6" wp14:editId="235E782F">
            <wp:extent cx="5333044" cy="3114675"/>
            <wp:effectExtent l="0" t="0" r="1270" b="0"/>
            <wp:docPr id="8" name="Picture 8" descr="cid:image001.png@01CDDD0C.9AF9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DDD0C.9AF9553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33033" cy="3114668"/>
                    </a:xfrm>
                    <a:prstGeom prst="rect">
                      <a:avLst/>
                    </a:prstGeom>
                    <a:noFill/>
                    <a:ln>
                      <a:noFill/>
                    </a:ln>
                  </pic:spPr>
                </pic:pic>
              </a:graphicData>
            </a:graphic>
          </wp:inline>
        </w:drawing>
      </w:r>
    </w:p>
    <w:p w:rsidR="0051177C" w:rsidRPr="0051177C" w:rsidRDefault="0051177C" w:rsidP="00DE4A95">
      <w:pPr>
        <w:spacing w:line="240" w:lineRule="auto"/>
        <w:ind w:firstLine="0"/>
        <w:rPr>
          <w:b/>
          <w:bCs/>
          <w:sz w:val="20"/>
          <w:szCs w:val="20"/>
          <w:lang w:eastAsia="lv-LV"/>
        </w:rPr>
      </w:pPr>
      <w:r>
        <w:rPr>
          <w:b/>
          <w:bCs/>
          <w:sz w:val="20"/>
          <w:szCs w:val="20"/>
        </w:rPr>
        <w:t xml:space="preserve">6. attēls. </w:t>
      </w:r>
      <w:r w:rsidRPr="0051177C">
        <w:rPr>
          <w:b/>
          <w:bCs/>
          <w:sz w:val="20"/>
          <w:szCs w:val="20"/>
        </w:rPr>
        <w:t>Maksājumu par elektroenerģiju īpatsvars mājsaimniecību patēriņa izdevumos</w:t>
      </w:r>
      <w:r w:rsidRPr="0051177C">
        <w:rPr>
          <w:b/>
          <w:bCs/>
          <w:sz w:val="20"/>
          <w:szCs w:val="20"/>
          <w:lang w:eastAsia="lv-LV"/>
        </w:rPr>
        <w:t xml:space="preserve"> 2005.</w:t>
      </w:r>
      <w:r w:rsidR="008D36F2">
        <w:rPr>
          <w:b/>
          <w:bCs/>
          <w:sz w:val="20"/>
          <w:szCs w:val="20"/>
          <w:lang w:eastAsia="lv-LV"/>
        </w:rPr>
        <w:t> </w:t>
      </w:r>
      <w:r w:rsidRPr="0051177C">
        <w:rPr>
          <w:b/>
          <w:bCs/>
          <w:sz w:val="20"/>
          <w:szCs w:val="20"/>
          <w:lang w:eastAsia="lv-LV"/>
        </w:rPr>
        <w:t>gadā</w:t>
      </w:r>
    </w:p>
    <w:p w:rsidR="0051177C" w:rsidRPr="0051177C" w:rsidRDefault="0051177C" w:rsidP="00DE4A95">
      <w:pPr>
        <w:spacing w:line="240" w:lineRule="auto"/>
        <w:ind w:firstLine="0"/>
        <w:rPr>
          <w:sz w:val="20"/>
          <w:szCs w:val="20"/>
        </w:rPr>
      </w:pPr>
      <w:r w:rsidRPr="0051177C">
        <w:rPr>
          <w:bCs/>
          <w:sz w:val="20"/>
          <w:szCs w:val="20"/>
          <w:lang w:eastAsia="lv-LV"/>
        </w:rPr>
        <w:t>Avots: Eurostat</w:t>
      </w:r>
    </w:p>
    <w:p w:rsidR="00FE74DD" w:rsidRPr="004A68C7" w:rsidRDefault="00FE74DD" w:rsidP="00DE4A95">
      <w:pPr>
        <w:autoSpaceDE w:val="0"/>
        <w:autoSpaceDN w:val="0"/>
        <w:adjustRightInd w:val="0"/>
        <w:spacing w:before="0" w:after="0" w:line="240" w:lineRule="auto"/>
        <w:ind w:firstLine="0"/>
        <w:rPr>
          <w:rFonts w:eastAsia="Calibri" w:cs="Times New Roman"/>
          <w:sz w:val="20"/>
          <w:szCs w:val="20"/>
          <w:lang w:eastAsia="lv-LV"/>
        </w:rPr>
      </w:pPr>
    </w:p>
    <w:p w:rsidR="00CD7149" w:rsidRPr="004511B3" w:rsidRDefault="00DC2C8A" w:rsidP="004511B3">
      <w:pPr>
        <w:pStyle w:val="Heading3"/>
        <w:ind w:left="709"/>
        <w:rPr>
          <w:rFonts w:eastAsia="Times New Roman" w:cs="Times New Roman"/>
        </w:rPr>
      </w:pPr>
      <w:bookmarkStart w:id="18" w:name="_Toc344901684"/>
      <w:bookmarkStart w:id="19" w:name="_Toc344901816"/>
      <w:bookmarkStart w:id="20" w:name="_Toc344907241"/>
      <w:r w:rsidRPr="00DC2C8A">
        <w:rPr>
          <w:rFonts w:eastAsia="Times New Roman" w:cs="Times New Roman"/>
        </w:rPr>
        <w:t>2.2.2.</w:t>
      </w:r>
      <w:r w:rsidR="00CD7149" w:rsidRPr="00DC2C8A">
        <w:rPr>
          <w:rFonts w:eastAsia="Times New Roman" w:cs="Times New Roman"/>
        </w:rPr>
        <w:t>Juridiskas personas</w:t>
      </w:r>
      <w:bookmarkEnd w:id="18"/>
      <w:bookmarkEnd w:id="19"/>
      <w:bookmarkEnd w:id="20"/>
    </w:p>
    <w:p w:rsidR="00E75746" w:rsidRDefault="00CD7149" w:rsidP="004511B3">
      <w:pPr>
        <w:spacing w:after="0" w:line="240" w:lineRule="auto"/>
        <w:ind w:firstLine="709"/>
        <w:rPr>
          <w:rFonts w:eastAsia="Calibri" w:cs="Times New Roman"/>
          <w:szCs w:val="28"/>
        </w:rPr>
      </w:pPr>
      <w:r w:rsidRPr="00CD7149">
        <w:rPr>
          <w:rFonts w:eastAsia="Calibri" w:cs="Times New Roman"/>
          <w:szCs w:val="28"/>
        </w:rPr>
        <w:t xml:space="preserve">Juridiskām personām, tostarp visiem komersantiem, elektroenerģija jau šobrīd jāpērk brīvā tirgū par vienošanās cenu, slēdzot līgumu ar izvēlēto elektroenerģijas piegādātāju. Šobrīd Latvijas elektroenerģijas tirgū darbojas 7 komersanti, un katrs tirgus dalībnieks var izvēlēties sev tīkamāko un piemērotāko elektroenerģijas piegādātāju. Šobrīd jaunu tirgotāju ienākšanu Latvijas elektroenerģijas tirgū kavē starpsavienojumu trūkums, taču </w:t>
      </w:r>
      <w:r w:rsidR="00614E55">
        <w:rPr>
          <w:rFonts w:eastAsia="Calibri" w:cs="Times New Roman"/>
          <w:szCs w:val="28"/>
        </w:rPr>
        <w:t>p</w:t>
      </w:r>
      <w:r w:rsidRPr="00CD7149">
        <w:rPr>
          <w:rFonts w:eastAsia="Calibri" w:cs="Times New Roman"/>
          <w:szCs w:val="28"/>
        </w:rPr>
        <w:t xml:space="preserve">aredzams, ka līdz ar starpsavienojumu izbūvi, kā arī līdz ar Latvijas pievienošanos Nord Pool Spot elektroenerģijas biržas cenu zonai Latvijas elektroenerģijas tirgus paplašināsies, līdz ar to </w:t>
      </w:r>
      <w:r w:rsidR="00E41E90" w:rsidRPr="00CD7149">
        <w:rPr>
          <w:rFonts w:eastAsia="Calibri" w:cs="Times New Roman"/>
          <w:szCs w:val="28"/>
        </w:rPr>
        <w:t>pa</w:t>
      </w:r>
      <w:r w:rsidR="00E41E90">
        <w:rPr>
          <w:rFonts w:eastAsia="Calibri" w:cs="Times New Roman"/>
          <w:szCs w:val="28"/>
        </w:rPr>
        <w:t>lielinoties</w:t>
      </w:r>
      <w:r w:rsidR="00E41E90" w:rsidRPr="00CD7149">
        <w:rPr>
          <w:rFonts w:eastAsia="Calibri" w:cs="Times New Roman"/>
          <w:szCs w:val="28"/>
        </w:rPr>
        <w:t xml:space="preserve"> </w:t>
      </w:r>
      <w:r w:rsidRPr="00CD7149">
        <w:rPr>
          <w:rFonts w:eastAsia="Calibri" w:cs="Times New Roman"/>
          <w:szCs w:val="28"/>
        </w:rPr>
        <w:t>arī elektroenerģijas tirgus dalībnieku skaitam un attiecīgi – konkurencei. Konkurence un integrācija Ziemeļvalstu elektroenerģijas tirgū nodrošinās konkurētspējīgas elektroenerģijas cenas, līdz ar to prognozējams, ka lietotājiem, kas ir brīvā tirgus dalībnieki, elektroenerģijas cena nākotnē būs stabila un tās mēreno pieaugumu galvenokārt raksturo Zviedrijas un Somijas elektroenerģijas tirgus cenu prognozes, kas laika periodā līdz 2017</w:t>
      </w:r>
      <w:r w:rsidR="008D36F2">
        <w:rPr>
          <w:rFonts w:eastAsia="Calibri" w:cs="Times New Roman"/>
          <w:szCs w:val="28"/>
        </w:rPr>
        <w:t> </w:t>
      </w:r>
      <w:r w:rsidRPr="00CD7149">
        <w:rPr>
          <w:rFonts w:eastAsia="Calibri" w:cs="Times New Roman"/>
          <w:szCs w:val="28"/>
        </w:rPr>
        <w:t xml:space="preserve">gadam paredz elektroenerģijas cenu pieaugumu vien 7-10% apmērā. </w:t>
      </w:r>
    </w:p>
    <w:p w:rsidR="00CD7149" w:rsidRPr="00DC2C8A" w:rsidRDefault="00CD7149" w:rsidP="004A68C7">
      <w:pPr>
        <w:pStyle w:val="Heading1"/>
        <w:numPr>
          <w:ilvl w:val="0"/>
          <w:numId w:val="23"/>
        </w:numPr>
        <w:ind w:left="0" w:firstLine="0"/>
        <w:jc w:val="center"/>
        <w:rPr>
          <w:rFonts w:eastAsia="Times New Roman"/>
        </w:rPr>
      </w:pPr>
      <w:bookmarkStart w:id="21" w:name="_Toc344901685"/>
      <w:bookmarkStart w:id="22" w:name="_Toc344901817"/>
      <w:bookmarkStart w:id="23" w:name="_Toc344907242"/>
      <w:r w:rsidRPr="001F57E9">
        <w:lastRenderedPageBreak/>
        <w:t>Pārvades</w:t>
      </w:r>
      <w:r w:rsidRPr="00DC2C8A">
        <w:rPr>
          <w:rFonts w:eastAsia="Times New Roman"/>
        </w:rPr>
        <w:t xml:space="preserve"> un sadales tīklu struktūra un izmaksas</w:t>
      </w:r>
      <w:bookmarkEnd w:id="21"/>
      <w:bookmarkEnd w:id="22"/>
      <w:bookmarkEnd w:id="23"/>
    </w:p>
    <w:p w:rsidR="00CD7149" w:rsidRPr="00CD7149" w:rsidRDefault="00CD7149" w:rsidP="00E228D3">
      <w:pPr>
        <w:autoSpaceDE w:val="0"/>
        <w:autoSpaceDN w:val="0"/>
        <w:adjustRightInd w:val="0"/>
        <w:spacing w:after="0" w:line="240" w:lineRule="auto"/>
        <w:ind w:firstLine="714"/>
        <w:rPr>
          <w:rFonts w:eastAsia="Calibri" w:cs="Times New Roman"/>
          <w:color w:val="222222"/>
          <w:szCs w:val="28"/>
          <w:lang w:eastAsia="lv-LV"/>
        </w:rPr>
      </w:pPr>
      <w:r w:rsidRPr="00CD7149">
        <w:rPr>
          <w:rFonts w:eastAsia="Calibri" w:cs="Times New Roman"/>
          <w:color w:val="000000"/>
          <w:szCs w:val="28"/>
          <w:lang w:eastAsia="lv-LV"/>
        </w:rPr>
        <w:t xml:space="preserve">Galalietotāju elektroenerģijas kopējā cenā iekļauti arī sistēmas pakalpojumu - sadales un pārvades </w:t>
      </w:r>
      <w:r w:rsidR="00E41E90">
        <w:rPr>
          <w:rFonts w:eastAsia="Calibri" w:cs="Times New Roman"/>
          <w:color w:val="000000"/>
          <w:szCs w:val="28"/>
          <w:lang w:eastAsia="lv-LV"/>
        </w:rPr>
        <w:t xml:space="preserve">- </w:t>
      </w:r>
      <w:r w:rsidRPr="00CD7149">
        <w:rPr>
          <w:rFonts w:eastAsia="Calibri" w:cs="Times New Roman"/>
          <w:color w:val="000000"/>
          <w:szCs w:val="28"/>
          <w:lang w:eastAsia="lv-LV"/>
        </w:rPr>
        <w:t xml:space="preserve">tarifi, kurus apstiprina Sabiedrisko pakalpojumu regulēšanas komisija (turpmāk - SPRK). 5256 km garā Latvijas pārvades tīkla un 264 pārvades tīkla transformatoru darbību un attīstību nodrošina AS „Augstsprieguma tīkls”, kas ik gadu tīkla sakārtošanā un attīstībā investē finanšu līdzekļus, ko gūst no </w:t>
      </w:r>
      <w:r w:rsidRPr="00CD7149">
        <w:rPr>
          <w:rFonts w:eastAsia="Calibri" w:cs="Times New Roman"/>
          <w:b/>
          <w:bCs/>
          <w:i/>
          <w:iCs/>
          <w:color w:val="000000"/>
          <w:szCs w:val="28"/>
          <w:lang w:eastAsia="lv-LV"/>
        </w:rPr>
        <w:t>pārvades tarifa</w:t>
      </w:r>
      <w:r w:rsidRPr="00CD7149">
        <w:rPr>
          <w:rFonts w:eastAsia="Calibri" w:cs="Times New Roman"/>
          <w:color w:val="000000"/>
          <w:szCs w:val="28"/>
          <w:lang w:eastAsia="lv-LV"/>
        </w:rPr>
        <w:t xml:space="preserve">. Pārvades tarifs Latvijā tiek </w:t>
      </w:r>
      <w:r w:rsidR="00614E55">
        <w:rPr>
          <w:rFonts w:eastAsia="Calibri" w:cs="Times New Roman"/>
          <w:color w:val="000000"/>
          <w:szCs w:val="28"/>
          <w:lang w:eastAsia="lv-LV"/>
        </w:rPr>
        <w:t>ap</w:t>
      </w:r>
      <w:r w:rsidRPr="00CD7149">
        <w:rPr>
          <w:rFonts w:eastAsia="Calibri" w:cs="Times New Roman"/>
          <w:color w:val="000000"/>
          <w:szCs w:val="28"/>
          <w:lang w:eastAsia="lv-LV"/>
        </w:rPr>
        <w:t xml:space="preserve">rēķināts, ņemot vērā pārvades sistēmas operatora izmaksas, kas saistītas gan ar elektroenerģijas pārvadīšanu (maksa par kWh), gan pārvades sistēmas uzturēšanu (maksa par jaudu kW), līdz ar to pārvades sistēmas operators saņem samaksu ne vien par pakalpojumiem, bet arī par pārvades jaudas uzturēšanu un attīstīšanu. Pārvades </w:t>
      </w:r>
      <w:r w:rsidRPr="003A3FD0">
        <w:rPr>
          <w:rFonts w:eastAsia="Calibri" w:cs="Times New Roman"/>
          <w:color w:val="000000" w:themeColor="text1"/>
          <w:szCs w:val="28"/>
          <w:lang w:eastAsia="lv-LV"/>
        </w:rPr>
        <w:t>tarifs Latvijā ir viens no zemākajiem Eiropā (</w:t>
      </w:r>
      <w:r w:rsidR="00E75746" w:rsidRPr="003A3FD0">
        <w:rPr>
          <w:rFonts w:eastAsia="Calibri" w:cs="Times New Roman"/>
          <w:i/>
          <w:color w:val="000000" w:themeColor="text1"/>
          <w:szCs w:val="28"/>
          <w:lang w:eastAsia="lv-LV"/>
        </w:rPr>
        <w:t>skat.</w:t>
      </w:r>
      <w:r w:rsidR="003A3FD0" w:rsidRPr="003A3FD0">
        <w:rPr>
          <w:rFonts w:eastAsia="Calibri" w:cs="Times New Roman"/>
          <w:i/>
          <w:color w:val="000000" w:themeColor="text1"/>
          <w:szCs w:val="28"/>
          <w:lang w:eastAsia="lv-LV"/>
        </w:rPr>
        <w:t>7</w:t>
      </w:r>
      <w:r w:rsidRPr="003A3FD0">
        <w:rPr>
          <w:rFonts w:eastAsia="Calibri" w:cs="Times New Roman"/>
          <w:i/>
          <w:color w:val="000000" w:themeColor="text1"/>
          <w:szCs w:val="28"/>
          <w:lang w:eastAsia="lv-LV"/>
        </w:rPr>
        <w:t>.attēlu</w:t>
      </w:r>
      <w:r w:rsidRPr="003A3FD0">
        <w:rPr>
          <w:rFonts w:eastAsia="Calibri" w:cs="Times New Roman"/>
          <w:color w:val="000000" w:themeColor="text1"/>
          <w:szCs w:val="28"/>
          <w:lang w:eastAsia="lv-LV"/>
        </w:rPr>
        <w:t>), tomēr AS „Augstsprieguma tīkls” ieņēmumi 2011.</w:t>
      </w:r>
      <w:r w:rsidR="008D36F2">
        <w:rPr>
          <w:rFonts w:eastAsia="Calibri" w:cs="Times New Roman"/>
          <w:color w:val="000000" w:themeColor="text1"/>
          <w:szCs w:val="28"/>
          <w:lang w:eastAsia="lv-LV"/>
        </w:rPr>
        <w:t> </w:t>
      </w:r>
      <w:r w:rsidRPr="003A3FD0">
        <w:rPr>
          <w:rFonts w:eastAsia="Calibri" w:cs="Times New Roman"/>
          <w:color w:val="000000" w:themeColor="text1"/>
          <w:szCs w:val="28"/>
          <w:lang w:eastAsia="lv-LV"/>
        </w:rPr>
        <w:t>gadā bija 8 894 LVL/km (Igaunijā - 10 277 LVL/km, Lietuvā - 6 253 LVL/km) un saskaņā ar 2012.</w:t>
      </w:r>
      <w:r w:rsidR="008D36F2">
        <w:rPr>
          <w:rFonts w:eastAsia="Calibri" w:cs="Times New Roman"/>
          <w:color w:val="000000" w:themeColor="text1"/>
          <w:szCs w:val="28"/>
          <w:lang w:eastAsia="lv-LV"/>
        </w:rPr>
        <w:t> </w:t>
      </w:r>
      <w:r w:rsidRPr="003A3FD0">
        <w:rPr>
          <w:rFonts w:eastAsia="Calibri" w:cs="Times New Roman"/>
          <w:color w:val="000000" w:themeColor="text1"/>
          <w:szCs w:val="28"/>
          <w:lang w:eastAsia="lv-LV"/>
        </w:rPr>
        <w:t xml:space="preserve">gadā apstiprināto tarifu - 10 356 LVL/km, kas līdz šim bijis pietiekami pārvades tīklu uzturēšanai. Pārvades tarifs Latvijā tiek noteikts atkarībā no </w:t>
      </w:r>
      <w:r w:rsidRPr="003A3FD0">
        <w:rPr>
          <w:rFonts w:eastAsia="Calibri" w:cs="Times New Roman"/>
          <w:bCs/>
          <w:color w:val="000000" w:themeColor="text1"/>
          <w:szCs w:val="28"/>
          <w:lang w:eastAsia="lv-LV"/>
        </w:rPr>
        <w:t>tīklu piederības robeža</w:t>
      </w:r>
      <w:r w:rsidRPr="003A3FD0">
        <w:rPr>
          <w:rFonts w:eastAsia="Calibri" w:cs="Times New Roman"/>
          <w:color w:val="000000" w:themeColor="text1"/>
          <w:szCs w:val="28"/>
          <w:lang w:eastAsia="lv-LV"/>
        </w:rPr>
        <w:t xml:space="preserve">s līniju sprieguma, taču saskaņā ar Eiropas </w:t>
      </w:r>
      <w:r w:rsidRPr="003A3FD0">
        <w:rPr>
          <w:rFonts w:eastAsia="Calibri" w:cs="Times New Roman"/>
          <w:bCs/>
          <w:color w:val="000000" w:themeColor="text1"/>
          <w:szCs w:val="28"/>
          <w:lang w:eastAsia="lv-LV"/>
        </w:rPr>
        <w:t>Elektroenerģijas</w:t>
      </w:r>
      <w:r w:rsidRPr="003A3FD0">
        <w:rPr>
          <w:rFonts w:eastAsia="Calibri" w:cs="Times New Roman"/>
          <w:color w:val="000000" w:themeColor="text1"/>
          <w:szCs w:val="28"/>
          <w:lang w:eastAsia="lv-LV"/>
        </w:rPr>
        <w:t xml:space="preserve"> pārvades sistēmu operatoru tīkla (“</w:t>
      </w:r>
      <w:r w:rsidRPr="003A3FD0">
        <w:rPr>
          <w:rFonts w:eastAsia="Calibri" w:cs="Times New Roman"/>
          <w:bCs/>
          <w:color w:val="000000" w:themeColor="text1"/>
          <w:szCs w:val="28"/>
          <w:lang w:eastAsia="lv-LV"/>
        </w:rPr>
        <w:t>ENTSO</w:t>
      </w:r>
      <w:r w:rsidRPr="003A3FD0">
        <w:rPr>
          <w:rFonts w:eastAsia="Calibri" w:cs="Times New Roman"/>
          <w:color w:val="000000" w:themeColor="text1"/>
          <w:szCs w:val="28"/>
          <w:lang w:eastAsia="lv-LV"/>
        </w:rPr>
        <w:t>-</w:t>
      </w:r>
      <w:r w:rsidRPr="003A3FD0">
        <w:rPr>
          <w:rFonts w:eastAsia="Calibri" w:cs="Times New Roman"/>
          <w:bCs/>
          <w:color w:val="000000" w:themeColor="text1"/>
          <w:szCs w:val="28"/>
          <w:lang w:eastAsia="lv-LV"/>
        </w:rPr>
        <w:t>E</w:t>
      </w:r>
      <w:r w:rsidRPr="003A3FD0">
        <w:rPr>
          <w:rFonts w:eastAsia="Calibri" w:cs="Times New Roman"/>
          <w:color w:val="000000" w:themeColor="text1"/>
          <w:szCs w:val="28"/>
          <w:lang w:eastAsia="lv-LV"/>
        </w:rPr>
        <w:t>”) aprēķiniem 2012.</w:t>
      </w:r>
      <w:r w:rsidR="008D36F2">
        <w:rPr>
          <w:rFonts w:eastAsia="Calibri" w:cs="Times New Roman"/>
          <w:color w:val="000000" w:themeColor="text1"/>
          <w:szCs w:val="28"/>
          <w:lang w:eastAsia="lv-LV"/>
        </w:rPr>
        <w:t> </w:t>
      </w:r>
      <w:r w:rsidRPr="003A3FD0">
        <w:rPr>
          <w:rFonts w:eastAsia="Calibri" w:cs="Times New Roman"/>
          <w:color w:val="000000" w:themeColor="text1"/>
          <w:szCs w:val="28"/>
          <w:lang w:eastAsia="lv-LV"/>
        </w:rPr>
        <w:t>gadā vidējais Latvijas pārvades tarifs ir</w:t>
      </w:r>
      <w:r w:rsidR="00E41E90" w:rsidRPr="003A3FD0">
        <w:rPr>
          <w:rFonts w:eastAsia="Calibri" w:cs="Times New Roman"/>
          <w:color w:val="000000" w:themeColor="text1"/>
          <w:szCs w:val="28"/>
          <w:lang w:eastAsia="lv-LV"/>
        </w:rPr>
        <w:t xml:space="preserve"> bijis</w:t>
      </w:r>
      <w:r w:rsidRPr="003A3FD0">
        <w:rPr>
          <w:rFonts w:eastAsia="Calibri" w:cs="Times New Roman"/>
          <w:color w:val="000000" w:themeColor="text1"/>
          <w:szCs w:val="28"/>
          <w:lang w:eastAsia="lv-LV"/>
        </w:rPr>
        <w:t xml:space="preserve"> 5.6 EUR/MWh (3.9 L</w:t>
      </w:r>
      <w:r w:rsidR="00601214" w:rsidRPr="003A3FD0">
        <w:rPr>
          <w:rFonts w:eastAsia="Calibri" w:cs="Times New Roman"/>
          <w:color w:val="000000" w:themeColor="text1"/>
          <w:szCs w:val="28"/>
          <w:lang w:eastAsia="lv-LV"/>
        </w:rPr>
        <w:t>VL</w:t>
      </w:r>
      <w:r w:rsidRPr="003A3FD0">
        <w:rPr>
          <w:rFonts w:eastAsia="Calibri" w:cs="Times New Roman"/>
          <w:color w:val="000000" w:themeColor="text1"/>
          <w:szCs w:val="28"/>
          <w:lang w:eastAsia="lv-LV"/>
        </w:rPr>
        <w:t>/MWh).</w:t>
      </w:r>
    </w:p>
    <w:p w:rsidR="004A68C7" w:rsidRPr="00844BBC" w:rsidRDefault="004A68C7" w:rsidP="00CD7149">
      <w:pPr>
        <w:autoSpaceDE w:val="0"/>
        <w:autoSpaceDN w:val="0"/>
        <w:adjustRightInd w:val="0"/>
        <w:spacing w:after="0" w:line="240" w:lineRule="auto"/>
        <w:rPr>
          <w:rFonts w:eastAsia="Calibri" w:cs="Times New Roman"/>
          <w:b/>
          <w:i/>
          <w:color w:val="000000"/>
          <w:szCs w:val="24"/>
          <w:lang w:eastAsia="lv-LV"/>
        </w:rPr>
      </w:pPr>
      <w:r>
        <w:rPr>
          <w:rFonts w:ascii="Arial" w:eastAsia="Calibri" w:hAnsi="Arial" w:cs="Arial"/>
          <w:noProof/>
          <w:color w:val="000000"/>
          <w:sz w:val="24"/>
          <w:szCs w:val="24"/>
          <w:lang w:eastAsia="lv-LV"/>
        </w:rPr>
        <w:drawing>
          <wp:anchor distT="0" distB="0" distL="114300" distR="114300" simplePos="0" relativeHeight="251653120" behindDoc="1" locked="0" layoutInCell="1" allowOverlap="1" wp14:anchorId="7A355C3E" wp14:editId="6C20A710">
            <wp:simplePos x="0" y="0"/>
            <wp:positionH relativeFrom="column">
              <wp:posOffset>307340</wp:posOffset>
            </wp:positionH>
            <wp:positionV relativeFrom="paragraph">
              <wp:posOffset>175895</wp:posOffset>
            </wp:positionV>
            <wp:extent cx="5274310" cy="2305050"/>
            <wp:effectExtent l="0" t="0" r="2540" b="0"/>
            <wp:wrapTight wrapText="bothSides">
              <wp:wrapPolygon edited="0">
                <wp:start x="0" y="0"/>
                <wp:lineTo x="0" y="21421"/>
                <wp:lineTo x="21532" y="21421"/>
                <wp:lineTo x="215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305050"/>
                    </a:xfrm>
                    <a:prstGeom prst="rect">
                      <a:avLst/>
                    </a:prstGeom>
                    <a:noFill/>
                    <a:ln>
                      <a:noFill/>
                    </a:ln>
                  </pic:spPr>
                </pic:pic>
              </a:graphicData>
            </a:graphic>
          </wp:anchor>
        </w:drawing>
      </w:r>
    </w:p>
    <w:p w:rsidR="00CD7149" w:rsidRPr="00844BBC" w:rsidRDefault="003A3FD0" w:rsidP="00844BBC">
      <w:pPr>
        <w:autoSpaceDE w:val="0"/>
        <w:autoSpaceDN w:val="0"/>
        <w:adjustRightInd w:val="0"/>
        <w:spacing w:after="0" w:line="240" w:lineRule="auto"/>
        <w:ind w:firstLine="0"/>
        <w:rPr>
          <w:rFonts w:eastAsia="Calibri" w:cs="Times New Roman"/>
          <w:b/>
          <w:color w:val="000000"/>
          <w:sz w:val="24"/>
          <w:szCs w:val="24"/>
          <w:lang w:eastAsia="lv-LV"/>
        </w:rPr>
      </w:pPr>
      <w:r>
        <w:rPr>
          <w:rFonts w:eastAsia="Calibri" w:cs="Times New Roman"/>
          <w:b/>
          <w:color w:val="000000"/>
          <w:sz w:val="24"/>
          <w:szCs w:val="24"/>
          <w:lang w:eastAsia="lv-LV"/>
        </w:rPr>
        <w:t>7</w:t>
      </w:r>
      <w:r w:rsidR="00CD7149" w:rsidRPr="00844BBC">
        <w:rPr>
          <w:rFonts w:eastAsia="Calibri" w:cs="Times New Roman"/>
          <w:b/>
          <w:color w:val="000000"/>
          <w:sz w:val="24"/>
          <w:szCs w:val="24"/>
          <w:lang w:eastAsia="lv-LV"/>
        </w:rPr>
        <w:t>.attēls. Pārvades tīkla tarifs Eiropas valstīs</w:t>
      </w:r>
    </w:p>
    <w:p w:rsidR="00CD7149" w:rsidRDefault="00CD7149" w:rsidP="00844BBC">
      <w:pPr>
        <w:autoSpaceDE w:val="0"/>
        <w:autoSpaceDN w:val="0"/>
        <w:adjustRightInd w:val="0"/>
        <w:spacing w:line="240" w:lineRule="auto"/>
        <w:ind w:firstLine="0"/>
        <w:rPr>
          <w:rFonts w:eastAsia="Calibri" w:cs="Times New Roman"/>
          <w:color w:val="000000"/>
          <w:sz w:val="20"/>
          <w:szCs w:val="20"/>
          <w:lang w:eastAsia="lv-LV"/>
        </w:rPr>
      </w:pPr>
      <w:r w:rsidRPr="00844BBC">
        <w:rPr>
          <w:rFonts w:eastAsia="Calibri" w:cs="Times New Roman"/>
          <w:color w:val="000000"/>
          <w:sz w:val="20"/>
          <w:szCs w:val="20"/>
          <w:lang w:eastAsia="lv-LV"/>
        </w:rPr>
        <w:t>Avots: ENTSO-E</w:t>
      </w:r>
    </w:p>
    <w:p w:rsidR="00FE74DD" w:rsidRPr="00844BBC" w:rsidRDefault="00FE74DD" w:rsidP="00844BBC">
      <w:pPr>
        <w:autoSpaceDE w:val="0"/>
        <w:autoSpaceDN w:val="0"/>
        <w:adjustRightInd w:val="0"/>
        <w:spacing w:line="240" w:lineRule="auto"/>
        <w:ind w:firstLine="0"/>
        <w:rPr>
          <w:rFonts w:eastAsia="Calibri" w:cs="Times New Roman"/>
          <w:color w:val="000000"/>
          <w:sz w:val="20"/>
          <w:szCs w:val="20"/>
          <w:lang w:eastAsia="lv-LV"/>
        </w:rPr>
      </w:pPr>
    </w:p>
    <w:p w:rsidR="00771703" w:rsidRDefault="00771703" w:rsidP="00771703">
      <w:pPr>
        <w:autoSpaceDE w:val="0"/>
        <w:autoSpaceDN w:val="0"/>
        <w:adjustRightInd w:val="0"/>
        <w:spacing w:line="240" w:lineRule="auto"/>
        <w:ind w:firstLine="709"/>
        <w:rPr>
          <w:rFonts w:eastAsia="Calibri" w:cs="Times New Roman"/>
          <w:color w:val="000000"/>
          <w:szCs w:val="28"/>
          <w:lang w:eastAsia="lv-LV"/>
        </w:rPr>
      </w:pPr>
      <w:r w:rsidRPr="00771703">
        <w:rPr>
          <w:rFonts w:eastAsia="Calibri" w:cs="Times New Roman"/>
          <w:color w:val="000000"/>
          <w:szCs w:val="28"/>
          <w:lang w:eastAsia="lv-LV"/>
        </w:rPr>
        <w:t xml:space="preserve">Latvijas </w:t>
      </w:r>
      <w:r>
        <w:rPr>
          <w:rFonts w:eastAsia="Calibri" w:cs="Times New Roman"/>
          <w:color w:val="000000"/>
          <w:szCs w:val="28"/>
          <w:lang w:eastAsia="lv-LV"/>
        </w:rPr>
        <w:t xml:space="preserve">pārvades sistēmas operators (turpmāk - PSO) </w:t>
      </w:r>
      <w:r w:rsidRPr="00771703">
        <w:rPr>
          <w:rFonts w:eastAsia="Calibri" w:cs="Times New Roman"/>
          <w:color w:val="000000"/>
          <w:szCs w:val="28"/>
          <w:lang w:eastAsia="lv-LV"/>
        </w:rPr>
        <w:t xml:space="preserve">ITC </w:t>
      </w:r>
      <w:r w:rsidRPr="00EC7AFC">
        <w:rPr>
          <w:rFonts w:eastAsia="Calibri" w:cs="Times New Roman"/>
          <w:i/>
          <w:color w:val="000000"/>
          <w:szCs w:val="28"/>
          <w:lang w:eastAsia="lv-LV"/>
        </w:rPr>
        <w:t xml:space="preserve">(Internal </w:t>
      </w:r>
      <w:proofErr w:type="spellStart"/>
      <w:r w:rsidRPr="00EC7AFC">
        <w:rPr>
          <w:rFonts w:eastAsia="Calibri" w:cs="Times New Roman"/>
          <w:i/>
          <w:color w:val="000000"/>
          <w:szCs w:val="28"/>
          <w:lang w:eastAsia="lv-LV"/>
        </w:rPr>
        <w:t>Transit</w:t>
      </w:r>
      <w:proofErr w:type="spellEnd"/>
      <w:r w:rsidRPr="00EC7AFC">
        <w:rPr>
          <w:rFonts w:eastAsia="Calibri" w:cs="Times New Roman"/>
          <w:i/>
          <w:color w:val="000000"/>
          <w:szCs w:val="28"/>
          <w:lang w:eastAsia="lv-LV"/>
        </w:rPr>
        <w:t xml:space="preserve"> </w:t>
      </w:r>
      <w:proofErr w:type="spellStart"/>
      <w:r w:rsidRPr="00EC7AFC">
        <w:rPr>
          <w:rFonts w:eastAsia="Calibri" w:cs="Times New Roman"/>
          <w:i/>
          <w:color w:val="000000"/>
          <w:szCs w:val="28"/>
          <w:lang w:eastAsia="lv-LV"/>
        </w:rPr>
        <w:t>Compensation</w:t>
      </w:r>
      <w:proofErr w:type="spellEnd"/>
      <w:r w:rsidRPr="00EC7AFC">
        <w:rPr>
          <w:rFonts w:eastAsia="Calibri" w:cs="Times New Roman"/>
          <w:i/>
          <w:color w:val="000000"/>
          <w:szCs w:val="28"/>
          <w:lang w:eastAsia="lv-LV"/>
        </w:rPr>
        <w:t>)</w:t>
      </w:r>
      <w:r>
        <w:rPr>
          <w:rFonts w:eastAsia="Calibri" w:cs="Times New Roman"/>
          <w:color w:val="000000"/>
          <w:szCs w:val="28"/>
          <w:lang w:eastAsia="lv-LV"/>
        </w:rPr>
        <w:t xml:space="preserve"> </w:t>
      </w:r>
      <w:r w:rsidRPr="00771703">
        <w:rPr>
          <w:rFonts w:eastAsia="Calibri" w:cs="Times New Roman"/>
          <w:color w:val="000000"/>
          <w:szCs w:val="28"/>
          <w:lang w:eastAsia="lv-LV"/>
        </w:rPr>
        <w:t>mehānisma ietvaros kompensē Latvijas elektroenerģijas tirgotāju radītos zudumus no pārrobežu importa/eksporta plūsmām ar citām valstīm. Latvijas PSO par katru Latvijas elektroenerģijas tirgotāja rādīto importa/eksporta plūsmu (MWh) maksā kopējā ITC infrastruktūras kompensācijas fondā (</w:t>
      </w:r>
      <w:r w:rsidRPr="00EC7AFC">
        <w:rPr>
          <w:rFonts w:eastAsia="Calibri" w:cs="Times New Roman"/>
          <w:i/>
          <w:color w:val="000000"/>
          <w:szCs w:val="28"/>
          <w:lang w:eastAsia="lv-LV"/>
        </w:rPr>
        <w:t xml:space="preserve">Framework </w:t>
      </w:r>
      <w:proofErr w:type="spellStart"/>
      <w:r w:rsidRPr="00EC7AFC">
        <w:rPr>
          <w:rFonts w:eastAsia="Calibri" w:cs="Times New Roman"/>
          <w:i/>
          <w:color w:val="000000"/>
          <w:szCs w:val="28"/>
          <w:lang w:eastAsia="lv-LV"/>
        </w:rPr>
        <w:t>Fund</w:t>
      </w:r>
      <w:proofErr w:type="spellEnd"/>
      <w:r w:rsidRPr="00771703">
        <w:rPr>
          <w:rFonts w:eastAsia="Calibri" w:cs="Times New Roman"/>
          <w:color w:val="000000"/>
          <w:szCs w:val="28"/>
          <w:lang w:eastAsia="lv-LV"/>
        </w:rPr>
        <w:t xml:space="preserve">). Fonda lielumu nosaka Eiropas Komisija un atbilstoši fonda </w:t>
      </w:r>
      <w:r w:rsidRPr="00771703">
        <w:rPr>
          <w:rFonts w:eastAsia="Calibri" w:cs="Times New Roman"/>
          <w:color w:val="000000"/>
          <w:szCs w:val="28"/>
          <w:lang w:eastAsia="lv-LV"/>
        </w:rPr>
        <w:lastRenderedPageBreak/>
        <w:t>lielumam katru mēnesi tiek aprēķināta importa/eksporta plūsmas maksa. Latvijas elektroenerģijas tirgotājs ar savām pārrobežu importa/eksporta plūsmām rada papildus zudumus gan Latvijas</w:t>
      </w:r>
      <w:r>
        <w:rPr>
          <w:rFonts w:eastAsia="Calibri" w:cs="Times New Roman"/>
          <w:color w:val="000000"/>
          <w:szCs w:val="28"/>
          <w:lang w:eastAsia="lv-LV"/>
        </w:rPr>
        <w:t>,</w:t>
      </w:r>
      <w:r w:rsidRPr="00771703">
        <w:rPr>
          <w:rFonts w:eastAsia="Calibri" w:cs="Times New Roman"/>
          <w:color w:val="000000"/>
          <w:szCs w:val="28"/>
          <w:lang w:eastAsia="lv-LV"/>
        </w:rPr>
        <w:t xml:space="preserve"> gan kaimiņu valstu pārvades tīkliem. AS „Augstsprieguma tīkls” kompensē Latvijas elektroenerģijas tirgotāju rādītos zudumus kaimiņu pārvades operatoriem ITC mehānisma ietvaros. Tā kā Latvijas pārvades tarifs sastāv tikai no slodzes (L) komponentes un tajā nav ģenerācijas (G) komponente, elektroenerģijas</w:t>
      </w:r>
      <w:r>
        <w:rPr>
          <w:rFonts w:eastAsia="Calibri" w:cs="Times New Roman"/>
          <w:color w:val="000000"/>
          <w:szCs w:val="28"/>
          <w:lang w:eastAsia="lv-LV"/>
        </w:rPr>
        <w:t xml:space="preserve"> </w:t>
      </w:r>
      <w:r w:rsidRPr="00771703">
        <w:rPr>
          <w:rFonts w:eastAsia="Calibri" w:cs="Times New Roman"/>
          <w:color w:val="000000"/>
          <w:szCs w:val="28"/>
          <w:lang w:eastAsia="lv-LV"/>
        </w:rPr>
        <w:t>ražotāji  nekompensē ieguldījumus tīklā un rada papildus zudumus pārvades sistēmas operatoram, par kuriem rezultātā maksā elektroenerģijas gala lietotājs.</w:t>
      </w:r>
      <w:r w:rsidRPr="00771703">
        <w:t xml:space="preserve"> </w:t>
      </w:r>
      <w:r>
        <w:t>P</w:t>
      </w:r>
      <w:r w:rsidRPr="00771703">
        <w:t xml:space="preserve">ārvades tarifā tiek iekļauts ITC ieņēmumu/izdevumu saldo </w:t>
      </w:r>
      <w:proofErr w:type="spellStart"/>
      <w:r w:rsidRPr="00771703">
        <w:t>t.i</w:t>
      </w:r>
      <w:proofErr w:type="spellEnd"/>
      <w:r w:rsidRPr="00771703">
        <w:t>. tarifā tiek iekļauti ne tikai izdevumi, bet arī ieņēmumi</w:t>
      </w:r>
      <w:r>
        <w:t xml:space="preserve">. </w:t>
      </w:r>
    </w:p>
    <w:p w:rsidR="00CD7149" w:rsidRPr="00CD7149" w:rsidRDefault="00CD7149" w:rsidP="00CD7149">
      <w:pPr>
        <w:autoSpaceDE w:val="0"/>
        <w:autoSpaceDN w:val="0"/>
        <w:adjustRightInd w:val="0"/>
        <w:spacing w:line="240" w:lineRule="auto"/>
        <w:ind w:firstLine="709"/>
        <w:rPr>
          <w:rFonts w:eastAsia="Calibri" w:cs="Times New Roman"/>
          <w:color w:val="000000"/>
          <w:szCs w:val="28"/>
          <w:lang w:eastAsia="lv-LV"/>
        </w:rPr>
      </w:pPr>
      <w:r w:rsidRPr="00CD7149">
        <w:rPr>
          <w:rFonts w:eastAsia="Calibri" w:cs="Times New Roman"/>
          <w:color w:val="000000"/>
          <w:szCs w:val="28"/>
          <w:lang w:eastAsia="lv-LV"/>
        </w:rPr>
        <w:t xml:space="preserve">Pārvades sistēmas attīstības ietvaros tuvāko 10 gadu laikā plānots īstenot vairākus stratēģiski svarīgus projektus, tostarp 330kV Kurzemes loka projekta 3. posmu </w:t>
      </w:r>
      <w:r w:rsidR="00E41E90">
        <w:rPr>
          <w:rFonts w:eastAsia="Calibri" w:cs="Times New Roman"/>
          <w:color w:val="000000"/>
          <w:szCs w:val="28"/>
          <w:lang w:eastAsia="lv-LV"/>
        </w:rPr>
        <w:t xml:space="preserve">- </w:t>
      </w:r>
      <w:r w:rsidRPr="00CD7149">
        <w:rPr>
          <w:rFonts w:eastAsia="Calibri" w:cs="Times New Roman"/>
          <w:color w:val="000000"/>
          <w:szCs w:val="28"/>
          <w:lang w:eastAsia="lv-LV"/>
        </w:rPr>
        <w:t>330 kV pārvades līnija Ventspils</w:t>
      </w:r>
      <w:r w:rsidR="00E41E90">
        <w:rPr>
          <w:rFonts w:eastAsia="Calibri" w:cs="Times New Roman"/>
          <w:color w:val="000000"/>
          <w:szCs w:val="28"/>
          <w:lang w:eastAsia="lv-LV"/>
        </w:rPr>
        <w:t>-</w:t>
      </w:r>
      <w:r w:rsidRPr="00CD7149">
        <w:rPr>
          <w:rFonts w:eastAsia="Calibri" w:cs="Times New Roman"/>
          <w:color w:val="000000"/>
          <w:szCs w:val="28"/>
          <w:lang w:eastAsia="lv-LV"/>
        </w:rPr>
        <w:t>Dundaga</w:t>
      </w:r>
      <w:r w:rsidR="00E41E90">
        <w:rPr>
          <w:rFonts w:eastAsia="Calibri" w:cs="Times New Roman"/>
          <w:color w:val="000000"/>
          <w:szCs w:val="28"/>
          <w:lang w:eastAsia="lv-LV"/>
        </w:rPr>
        <w:t>-</w:t>
      </w:r>
      <w:r w:rsidRPr="00CD7149">
        <w:rPr>
          <w:rFonts w:eastAsia="Calibri" w:cs="Times New Roman"/>
          <w:color w:val="000000"/>
          <w:szCs w:val="28"/>
          <w:lang w:eastAsia="lv-LV"/>
        </w:rPr>
        <w:t>Tume-</w:t>
      </w:r>
      <w:r w:rsidR="00E41E90">
        <w:rPr>
          <w:rFonts w:eastAsia="Calibri" w:cs="Times New Roman"/>
          <w:color w:val="000000"/>
          <w:szCs w:val="28"/>
          <w:lang w:eastAsia="lv-LV"/>
        </w:rPr>
        <w:t>Rīga (</w:t>
      </w:r>
      <w:r w:rsidRPr="00CD7149">
        <w:rPr>
          <w:rFonts w:eastAsia="Calibri" w:cs="Times New Roman"/>
          <w:color w:val="000000"/>
          <w:szCs w:val="28"/>
          <w:lang w:eastAsia="lv-LV"/>
        </w:rPr>
        <w:t>Imanta</w:t>
      </w:r>
      <w:r w:rsidR="00E41E90">
        <w:rPr>
          <w:rFonts w:eastAsia="Calibri" w:cs="Times New Roman"/>
          <w:color w:val="000000"/>
          <w:szCs w:val="28"/>
          <w:lang w:eastAsia="lv-LV"/>
        </w:rPr>
        <w:t>)</w:t>
      </w:r>
      <w:r w:rsidRPr="00CD7149">
        <w:rPr>
          <w:rFonts w:eastAsia="Calibri" w:cs="Times New Roman"/>
          <w:color w:val="000000"/>
          <w:szCs w:val="28"/>
          <w:lang w:eastAsia="lv-LV"/>
        </w:rPr>
        <w:t xml:space="preserve"> un Latvijas-Igaunijas 3. starpsavienojuma izbūvi. Tiem plānots piesaistīt ES līdzfinansējumu jaunā Eiropas Savienojuma instrumenta (</w:t>
      </w:r>
      <w:proofErr w:type="spellStart"/>
      <w:r w:rsidRPr="00A6432D">
        <w:rPr>
          <w:rFonts w:eastAsia="Calibri" w:cs="Times New Roman"/>
          <w:i/>
          <w:color w:val="000000"/>
          <w:szCs w:val="28"/>
          <w:lang w:eastAsia="lv-LV"/>
        </w:rPr>
        <w:t>Connecting</w:t>
      </w:r>
      <w:proofErr w:type="spellEnd"/>
      <w:r w:rsidRPr="00A6432D">
        <w:rPr>
          <w:rFonts w:eastAsia="Calibri" w:cs="Times New Roman"/>
          <w:i/>
          <w:color w:val="000000"/>
          <w:szCs w:val="28"/>
          <w:lang w:eastAsia="lv-LV"/>
        </w:rPr>
        <w:t xml:space="preserve"> Europe </w:t>
      </w:r>
      <w:proofErr w:type="spellStart"/>
      <w:r w:rsidRPr="00A6432D">
        <w:rPr>
          <w:rFonts w:eastAsia="Calibri" w:cs="Times New Roman"/>
          <w:i/>
          <w:color w:val="000000"/>
          <w:szCs w:val="28"/>
          <w:lang w:eastAsia="lv-LV"/>
        </w:rPr>
        <w:t>Facility</w:t>
      </w:r>
      <w:proofErr w:type="spellEnd"/>
      <w:r w:rsidRPr="00CD7149">
        <w:rPr>
          <w:rFonts w:eastAsia="Calibri" w:cs="Times New Roman"/>
          <w:color w:val="000000"/>
          <w:szCs w:val="28"/>
          <w:lang w:eastAsia="lv-LV"/>
        </w:rPr>
        <w:t>) ietvaros, kas izveidots kontekstā ar jauno ES daudzgadu budžetu 2014.-2020.</w:t>
      </w:r>
      <w:r w:rsidR="008D36F2">
        <w:rPr>
          <w:rFonts w:eastAsia="Calibri" w:cs="Times New Roman"/>
          <w:color w:val="000000"/>
          <w:szCs w:val="28"/>
          <w:lang w:eastAsia="lv-LV"/>
        </w:rPr>
        <w:t> </w:t>
      </w:r>
      <w:r w:rsidRPr="00CD7149">
        <w:rPr>
          <w:rFonts w:eastAsia="Calibri" w:cs="Times New Roman"/>
          <w:color w:val="000000"/>
          <w:szCs w:val="28"/>
          <w:lang w:eastAsia="lv-LV"/>
        </w:rPr>
        <w:t>gadam un piešķirs ES līdzfinansējumu enerģētikas projektiem šajā laika periodā. Ja plānotajiem projektiem neizdodas piesaistīt ES līdzfinansējumu, kā tas ir Kurzemes loka projekta īstenošanas gadījumā, kur ES līdzfinansējums piešķirts projekta 1.posma (Rīgas 330kV kabelis Rīgas</w:t>
      </w:r>
      <w:r w:rsidR="00DE35A5">
        <w:rPr>
          <w:rFonts w:eastAsia="Calibri" w:cs="Times New Roman"/>
          <w:color w:val="000000"/>
          <w:szCs w:val="28"/>
          <w:lang w:eastAsia="lv-LV"/>
        </w:rPr>
        <w:t xml:space="preserve"> </w:t>
      </w:r>
      <w:r w:rsidRPr="00CD7149">
        <w:rPr>
          <w:rFonts w:eastAsia="Calibri" w:cs="Times New Roman"/>
          <w:color w:val="000000"/>
          <w:szCs w:val="28"/>
          <w:lang w:eastAsia="lv-LV"/>
        </w:rPr>
        <w:t xml:space="preserve">TEC1-Imanta) un 2.posma (330kV pārvades līnija Grobiņa-Ventspils) realizācijai, projektu attīstība prasīs lielākas investīcijas no pārvades sistēmas operatora, kā rezultātā nākotnē pārvades tarifs pieaugs straujāk. </w:t>
      </w:r>
    </w:p>
    <w:p w:rsidR="00CD7149" w:rsidRPr="00CD7149" w:rsidRDefault="00CD7149" w:rsidP="00CD7149">
      <w:pPr>
        <w:spacing w:line="240" w:lineRule="auto"/>
        <w:ind w:firstLine="709"/>
        <w:rPr>
          <w:rFonts w:ascii="Calibri" w:eastAsia="Calibri" w:hAnsi="Calibri" w:cs="Times New Roman"/>
          <w:sz w:val="20"/>
          <w:szCs w:val="21"/>
        </w:rPr>
      </w:pPr>
      <w:r w:rsidRPr="00CD7149">
        <w:rPr>
          <w:rFonts w:eastAsia="Calibri" w:cs="Times New Roman"/>
          <w:szCs w:val="28"/>
        </w:rPr>
        <w:t xml:space="preserve">Pārvades tarifu nākotnē ietekmēs arī šobrīd Jelgavā celtā 23 MW biomasas koģenerācijas stacija, kas saskaņā ar </w:t>
      </w:r>
      <w:r w:rsidR="00DE35A5" w:rsidRPr="007E12A7">
        <w:rPr>
          <w:color w:val="000000"/>
          <w:szCs w:val="28"/>
        </w:rPr>
        <w:t>Ministru kabineta 2009.</w:t>
      </w:r>
      <w:r w:rsidR="008D36F2">
        <w:rPr>
          <w:color w:val="000000"/>
          <w:szCs w:val="28"/>
        </w:rPr>
        <w:t> </w:t>
      </w:r>
      <w:r w:rsidR="00DE35A5" w:rsidRPr="007E12A7">
        <w:rPr>
          <w:color w:val="000000"/>
          <w:szCs w:val="28"/>
        </w:rPr>
        <w:t>gada 10.</w:t>
      </w:r>
      <w:r w:rsidR="008D36F2">
        <w:rPr>
          <w:color w:val="000000"/>
          <w:szCs w:val="28"/>
        </w:rPr>
        <w:t> </w:t>
      </w:r>
      <w:r w:rsidR="00DE35A5" w:rsidRPr="007E12A7">
        <w:rPr>
          <w:color w:val="000000"/>
          <w:szCs w:val="28"/>
        </w:rPr>
        <w:t xml:space="preserve">marta noteikumiem Nr.221 „Noteikumi par elektroenerģijas ražošanu un cenu noteikšanu, ražojot elektroenerģiju koģenerācijā” (turpmāk – MK noteikumi Nr.221) </w:t>
      </w:r>
      <w:r w:rsidRPr="00CD7149">
        <w:rPr>
          <w:rFonts w:eastAsia="Calibri" w:cs="Times New Roman"/>
          <w:szCs w:val="28"/>
        </w:rPr>
        <w:t>2010.</w:t>
      </w:r>
      <w:r w:rsidR="008D36F2">
        <w:rPr>
          <w:rFonts w:eastAsia="Calibri" w:cs="Times New Roman"/>
          <w:szCs w:val="28"/>
        </w:rPr>
        <w:t> </w:t>
      </w:r>
      <w:r w:rsidRPr="00CD7149">
        <w:rPr>
          <w:rFonts w:eastAsia="Calibri" w:cs="Times New Roman"/>
          <w:szCs w:val="28"/>
        </w:rPr>
        <w:t xml:space="preserve">gadā </w:t>
      </w:r>
      <w:r w:rsidR="00601214">
        <w:rPr>
          <w:rFonts w:eastAsia="Calibri" w:cs="Times New Roman"/>
          <w:szCs w:val="28"/>
        </w:rPr>
        <w:t>ieguva</w:t>
      </w:r>
      <w:r w:rsidR="00601214" w:rsidRPr="00CD7149">
        <w:rPr>
          <w:rFonts w:eastAsia="Calibri" w:cs="Times New Roman"/>
          <w:szCs w:val="28"/>
        </w:rPr>
        <w:t xml:space="preserve"> </w:t>
      </w:r>
      <w:r w:rsidRPr="00CD7149">
        <w:rPr>
          <w:rFonts w:eastAsia="Calibri" w:cs="Times New Roman"/>
          <w:szCs w:val="28"/>
        </w:rPr>
        <w:t xml:space="preserve">tiesības saņemt garantēto maksu par elektrostacijā uzstādīto elektrisko jaudu. Saskaņā ar Elektroenerģijas tirgus likuma 28.1 panta 4. daļu garantētā maksa par uzstādīto elektrisko jaudu tiek iekļauta pārvades tarifos, līdz ar to šī stacija, kas varētu </w:t>
      </w:r>
      <w:r w:rsidR="008D36F2">
        <w:rPr>
          <w:rFonts w:eastAsia="Calibri" w:cs="Times New Roman"/>
          <w:szCs w:val="28"/>
        </w:rPr>
        <w:t>tikt nodota ekspluatācijā 2013. </w:t>
      </w:r>
      <w:r w:rsidRPr="00CD7149">
        <w:rPr>
          <w:rFonts w:eastAsia="Calibri" w:cs="Times New Roman"/>
          <w:szCs w:val="28"/>
        </w:rPr>
        <w:t xml:space="preserve">gada beigās, pēc provizoriskām aplēsēm </w:t>
      </w:r>
      <w:r w:rsidR="00614E55">
        <w:rPr>
          <w:rFonts w:eastAsia="Calibri" w:cs="Times New Roman"/>
          <w:szCs w:val="28"/>
        </w:rPr>
        <w:t>veidos</w:t>
      </w:r>
      <w:r w:rsidR="00614E55" w:rsidRPr="00CD7149">
        <w:rPr>
          <w:rFonts w:eastAsia="Calibri" w:cs="Times New Roman"/>
          <w:szCs w:val="28"/>
        </w:rPr>
        <w:t xml:space="preserve"> </w:t>
      </w:r>
      <w:r w:rsidRPr="00CD7149">
        <w:rPr>
          <w:rFonts w:eastAsia="Calibri" w:cs="Times New Roman"/>
          <w:szCs w:val="28"/>
        </w:rPr>
        <w:t xml:space="preserve">7 % no lietotāju pārvades gala tarifa. Saskaņā ar MK noteikumu Nr.221 prasībām tiesības saņemt garantēto maksu par elektrisko jaudu tiek piešķirtas uz 15 gadiem, un pēc noteikumos </w:t>
      </w:r>
      <w:r w:rsidR="00614E55">
        <w:rPr>
          <w:rFonts w:eastAsia="Calibri" w:cs="Times New Roman"/>
          <w:szCs w:val="28"/>
        </w:rPr>
        <w:t>iekļautās</w:t>
      </w:r>
      <w:r w:rsidR="00614E55" w:rsidRPr="00CD7149">
        <w:rPr>
          <w:rFonts w:eastAsia="Calibri" w:cs="Times New Roman"/>
          <w:szCs w:val="28"/>
        </w:rPr>
        <w:t xml:space="preserve"> </w:t>
      </w:r>
      <w:r w:rsidRPr="00CD7149">
        <w:rPr>
          <w:rFonts w:eastAsia="Calibri" w:cs="Times New Roman"/>
          <w:szCs w:val="28"/>
        </w:rPr>
        <w:t>garantētās samaksas formulas AS „</w:t>
      </w:r>
      <w:proofErr w:type="spellStart"/>
      <w:r w:rsidRPr="00CD7149">
        <w:rPr>
          <w:rFonts w:eastAsia="Calibri" w:cs="Times New Roman"/>
          <w:szCs w:val="28"/>
        </w:rPr>
        <w:t>Augstprieguma</w:t>
      </w:r>
      <w:proofErr w:type="spellEnd"/>
      <w:r w:rsidRPr="00CD7149">
        <w:rPr>
          <w:rFonts w:eastAsia="Calibri" w:cs="Times New Roman"/>
          <w:szCs w:val="28"/>
        </w:rPr>
        <w:t xml:space="preserve"> tīkls” katru gadu 15 gadu periodā par šajā stacijā saražoto elektrisko jaudu maksās 3.6 </w:t>
      </w:r>
      <w:proofErr w:type="spellStart"/>
      <w:r w:rsidRPr="00CD7149">
        <w:rPr>
          <w:rFonts w:eastAsia="Calibri" w:cs="Times New Roman"/>
          <w:szCs w:val="28"/>
        </w:rPr>
        <w:t>milj</w:t>
      </w:r>
      <w:proofErr w:type="spellEnd"/>
      <w:r w:rsidRPr="00CD7149">
        <w:rPr>
          <w:rFonts w:eastAsia="Calibri" w:cs="Times New Roman"/>
          <w:szCs w:val="28"/>
        </w:rPr>
        <w:t>.</w:t>
      </w:r>
      <w:r w:rsidR="00601214">
        <w:rPr>
          <w:rFonts w:eastAsia="Calibri" w:cs="Times New Roman"/>
          <w:szCs w:val="28"/>
        </w:rPr>
        <w:t xml:space="preserve"> </w:t>
      </w:r>
      <w:r w:rsidRPr="00CD7149">
        <w:rPr>
          <w:rFonts w:eastAsia="Calibri" w:cs="Times New Roman"/>
          <w:szCs w:val="28"/>
        </w:rPr>
        <w:t>L</w:t>
      </w:r>
      <w:r w:rsidR="00601214">
        <w:rPr>
          <w:rFonts w:eastAsia="Calibri" w:cs="Times New Roman"/>
          <w:szCs w:val="28"/>
        </w:rPr>
        <w:t>VL</w:t>
      </w:r>
      <w:r w:rsidR="004E37B0" w:rsidRPr="004E37B0">
        <w:rPr>
          <w:rFonts w:eastAsia="Calibri" w:cs="Times New Roman"/>
          <w:color w:val="000000"/>
          <w:szCs w:val="28"/>
          <w:lang w:eastAsia="lv-LV"/>
        </w:rPr>
        <w:t xml:space="preserve"> </w:t>
      </w:r>
      <w:r w:rsidR="004E37B0">
        <w:rPr>
          <w:rFonts w:eastAsia="Calibri" w:cs="Times New Roman"/>
          <w:color w:val="000000"/>
          <w:szCs w:val="28"/>
          <w:lang w:eastAsia="lv-LV"/>
        </w:rPr>
        <w:t>(15</w:t>
      </w:r>
      <w:r w:rsidR="008D36F2">
        <w:rPr>
          <w:rFonts w:eastAsia="Calibri" w:cs="Times New Roman"/>
          <w:color w:val="000000"/>
          <w:szCs w:val="28"/>
          <w:lang w:eastAsia="lv-LV"/>
        </w:rPr>
        <w:t xml:space="preserve"> gadu periodā izmaksas </w:t>
      </w:r>
      <w:r w:rsidR="004E37B0">
        <w:rPr>
          <w:rFonts w:eastAsia="Calibri" w:cs="Times New Roman"/>
          <w:color w:val="000000"/>
          <w:szCs w:val="28"/>
          <w:lang w:eastAsia="lv-LV"/>
        </w:rPr>
        <w:t>sasniegs 54 milj.LVL).</w:t>
      </w:r>
    </w:p>
    <w:p w:rsidR="00CD7149" w:rsidRPr="00CD7149" w:rsidRDefault="00CD7149" w:rsidP="00CD7149">
      <w:pPr>
        <w:autoSpaceDE w:val="0"/>
        <w:autoSpaceDN w:val="0"/>
        <w:adjustRightInd w:val="0"/>
        <w:spacing w:line="240" w:lineRule="auto"/>
        <w:ind w:firstLine="709"/>
        <w:rPr>
          <w:rFonts w:ascii="Arial" w:eastAsia="Calibri" w:hAnsi="Arial" w:cs="Arial"/>
          <w:color w:val="000000"/>
          <w:sz w:val="24"/>
          <w:szCs w:val="24"/>
          <w:lang w:eastAsia="lv-LV"/>
        </w:rPr>
      </w:pPr>
      <w:r w:rsidRPr="00CD7149">
        <w:rPr>
          <w:rFonts w:eastAsia="Calibri" w:cs="Times New Roman"/>
          <w:color w:val="000000"/>
          <w:szCs w:val="28"/>
          <w:lang w:eastAsia="lv-LV"/>
        </w:rPr>
        <w:t xml:space="preserve">Savukārt 90928 km garā sadales tīkla (46% zemsprieguma, 16% - </w:t>
      </w:r>
      <w:proofErr w:type="spellStart"/>
      <w:r w:rsidRPr="00CD7149">
        <w:rPr>
          <w:rFonts w:eastAsia="Calibri" w:cs="Times New Roman"/>
          <w:color w:val="000000"/>
          <w:szCs w:val="28"/>
          <w:lang w:eastAsia="lv-LV"/>
        </w:rPr>
        <w:t>vidsprieguma</w:t>
      </w:r>
      <w:proofErr w:type="spellEnd"/>
      <w:r w:rsidRPr="00CD7149">
        <w:rPr>
          <w:rFonts w:eastAsia="Calibri" w:cs="Times New Roman"/>
          <w:color w:val="000000"/>
          <w:szCs w:val="28"/>
          <w:lang w:eastAsia="lv-LV"/>
        </w:rPr>
        <w:t xml:space="preserve">) darbību un attīstību Latvijā nodrošina AS „Sadales tīkls”, kas ieņēmumus gūst no </w:t>
      </w:r>
      <w:r w:rsidRPr="00CD7149">
        <w:rPr>
          <w:rFonts w:eastAsia="Calibri" w:cs="Times New Roman"/>
          <w:b/>
          <w:bCs/>
          <w:i/>
          <w:iCs/>
          <w:color w:val="000000"/>
          <w:szCs w:val="28"/>
          <w:lang w:eastAsia="lv-LV"/>
        </w:rPr>
        <w:t xml:space="preserve">sadales tarifa. </w:t>
      </w:r>
      <w:r w:rsidRPr="00CD7149">
        <w:rPr>
          <w:rFonts w:eastAsia="Calibri" w:cs="Times New Roman"/>
          <w:color w:val="000000"/>
          <w:szCs w:val="28"/>
          <w:lang w:eastAsia="lv-LV"/>
        </w:rPr>
        <w:t xml:space="preserve">Latvijā sadales tarifs iekļauj tikai ar sadales sistēmas pakalpojumiem saistītos aktīvus un izmaksas (maksa par kWh), kā </w:t>
      </w:r>
      <w:r w:rsidRPr="00CD7149">
        <w:rPr>
          <w:rFonts w:eastAsia="Calibri" w:cs="Times New Roman"/>
          <w:color w:val="000000"/>
          <w:szCs w:val="28"/>
          <w:lang w:eastAsia="lv-LV"/>
        </w:rPr>
        <w:lastRenderedPageBreak/>
        <w:t>rezultātā Latvijas sadales operatora ienākumi, no kuriem jāplāno arī Latvijas elektroenerģijas sadales tīkla uzturēšana un rekonstrukcija, pie esošā sadales tarifa 0</w:t>
      </w:r>
      <w:r w:rsidR="006C2E00">
        <w:rPr>
          <w:rFonts w:eastAsia="Calibri" w:cs="Times New Roman"/>
          <w:color w:val="000000"/>
          <w:szCs w:val="28"/>
          <w:lang w:eastAsia="lv-LV"/>
        </w:rPr>
        <w:t>,</w:t>
      </w:r>
      <w:r w:rsidRPr="00CD7149">
        <w:rPr>
          <w:rFonts w:eastAsia="Calibri" w:cs="Times New Roman"/>
          <w:color w:val="000000"/>
          <w:szCs w:val="28"/>
          <w:lang w:eastAsia="lv-LV"/>
        </w:rPr>
        <w:t>0394 L</w:t>
      </w:r>
      <w:r w:rsidR="00601214">
        <w:rPr>
          <w:rFonts w:eastAsia="Calibri" w:cs="Times New Roman"/>
          <w:color w:val="000000"/>
          <w:szCs w:val="28"/>
          <w:lang w:eastAsia="lv-LV"/>
        </w:rPr>
        <w:t>VL</w:t>
      </w:r>
      <w:r w:rsidRPr="00CD7149">
        <w:rPr>
          <w:rFonts w:eastAsia="Calibri" w:cs="Times New Roman"/>
          <w:color w:val="000000"/>
          <w:szCs w:val="28"/>
          <w:lang w:eastAsia="lv-LV"/>
        </w:rPr>
        <w:t>/kWh</w:t>
      </w:r>
      <w:r w:rsidRPr="00CD7149">
        <w:rPr>
          <w:rFonts w:ascii="Arial" w:eastAsia="Calibri" w:hAnsi="Arial" w:cs="Arial"/>
          <w:b/>
          <w:bCs/>
          <w:color w:val="000000"/>
          <w:sz w:val="16"/>
          <w:szCs w:val="16"/>
          <w:lang w:eastAsia="lv-LV"/>
        </w:rPr>
        <w:t xml:space="preserve"> </w:t>
      </w:r>
      <w:r w:rsidRPr="00CD7149">
        <w:rPr>
          <w:rFonts w:eastAsia="Calibri" w:cs="Times New Roman"/>
          <w:color w:val="000000"/>
          <w:szCs w:val="28"/>
          <w:lang w:eastAsia="lv-LV"/>
        </w:rPr>
        <w:t>ir vieni no vismazākajiem visā Eiropā – tikai 1</w:t>
      </w:r>
      <w:r w:rsidR="006C2E00">
        <w:rPr>
          <w:rFonts w:eastAsia="Calibri" w:cs="Times New Roman"/>
          <w:color w:val="000000"/>
          <w:szCs w:val="28"/>
          <w:lang w:eastAsia="lv-LV"/>
        </w:rPr>
        <w:t>,</w:t>
      </w:r>
      <w:r w:rsidRPr="00CD7149">
        <w:rPr>
          <w:rFonts w:eastAsia="Calibri" w:cs="Times New Roman"/>
          <w:color w:val="000000"/>
          <w:szCs w:val="28"/>
          <w:lang w:eastAsia="lv-LV"/>
        </w:rPr>
        <w:t>723 L</w:t>
      </w:r>
      <w:r w:rsidR="00601214">
        <w:rPr>
          <w:rFonts w:eastAsia="Calibri" w:cs="Times New Roman"/>
          <w:color w:val="000000"/>
          <w:szCs w:val="28"/>
          <w:lang w:eastAsia="lv-LV"/>
        </w:rPr>
        <w:t>VL</w:t>
      </w:r>
      <w:r w:rsidR="004E37B0">
        <w:rPr>
          <w:rFonts w:eastAsia="Calibri" w:cs="Times New Roman"/>
          <w:color w:val="000000"/>
          <w:szCs w:val="28"/>
          <w:lang w:eastAsia="lv-LV"/>
        </w:rPr>
        <w:t>/km.</w:t>
      </w:r>
    </w:p>
    <w:p w:rsidR="00CD7149" w:rsidRPr="00CD7149" w:rsidRDefault="00CD7149" w:rsidP="00DC2C8A">
      <w:pPr>
        <w:autoSpaceDE w:val="0"/>
        <w:autoSpaceDN w:val="0"/>
        <w:adjustRightInd w:val="0"/>
        <w:spacing w:line="240" w:lineRule="auto"/>
        <w:ind w:firstLine="709"/>
        <w:rPr>
          <w:rFonts w:eastAsia="Calibri" w:cs="Times New Roman"/>
          <w:color w:val="000000"/>
          <w:szCs w:val="28"/>
          <w:lang w:eastAsia="lv-LV"/>
        </w:rPr>
      </w:pPr>
      <w:r w:rsidRPr="00CD7149">
        <w:rPr>
          <w:rFonts w:eastAsia="Calibri" w:cs="Times New Roman"/>
          <w:color w:val="000000"/>
          <w:szCs w:val="28"/>
          <w:lang w:eastAsia="lv-LV"/>
        </w:rPr>
        <w:t>Sadales tīkla operatora lielās izmaksas un zemos ieņēmumus daļēji var izskaidrot ar salīdzinoši nelielo iedzīvotāju blīvumu Latvijā - 37 iedzīvotāji uz km</w:t>
      </w:r>
      <w:r w:rsidRPr="00CD7149">
        <w:rPr>
          <w:rFonts w:eastAsia="Calibri" w:cs="Times New Roman"/>
          <w:color w:val="000000"/>
          <w:szCs w:val="28"/>
          <w:vertAlign w:val="superscript"/>
          <w:lang w:eastAsia="lv-LV"/>
        </w:rPr>
        <w:t>2</w:t>
      </w:r>
      <w:r w:rsidRPr="00CD7149">
        <w:rPr>
          <w:rFonts w:eastAsia="Calibri" w:cs="Times New Roman"/>
          <w:color w:val="000000"/>
          <w:szCs w:val="28"/>
          <w:lang w:eastAsia="lv-LV"/>
        </w:rPr>
        <w:t>, un zemo elektroenerģijas patēriņu uz platību - tikai 110</w:t>
      </w:r>
      <w:r w:rsidR="006C2E00">
        <w:rPr>
          <w:rFonts w:eastAsia="Calibri" w:cs="Times New Roman"/>
          <w:color w:val="000000"/>
          <w:szCs w:val="28"/>
          <w:lang w:eastAsia="lv-LV"/>
        </w:rPr>
        <w:t>,</w:t>
      </w:r>
      <w:r w:rsidRPr="00CD7149">
        <w:rPr>
          <w:rFonts w:eastAsia="Calibri" w:cs="Times New Roman"/>
          <w:color w:val="000000"/>
          <w:szCs w:val="28"/>
          <w:lang w:eastAsia="lv-LV"/>
        </w:rPr>
        <w:t>8 MWh/km</w:t>
      </w:r>
      <w:r w:rsidRPr="00CD7149">
        <w:rPr>
          <w:rFonts w:eastAsia="Calibri" w:cs="Times New Roman"/>
          <w:color w:val="000000"/>
          <w:szCs w:val="28"/>
          <w:vertAlign w:val="superscript"/>
          <w:lang w:eastAsia="lv-LV"/>
        </w:rPr>
        <w:t>2</w:t>
      </w:r>
      <w:r w:rsidRPr="00CD7149">
        <w:rPr>
          <w:rFonts w:eastAsia="Calibri" w:cs="Times New Roman"/>
          <w:color w:val="000000"/>
          <w:szCs w:val="28"/>
          <w:lang w:eastAsia="lv-LV"/>
        </w:rPr>
        <w:t xml:space="preserve"> (Igaunijā </w:t>
      </w:r>
      <w:r w:rsidR="006C2E00">
        <w:rPr>
          <w:rFonts w:eastAsia="Calibri" w:cs="Times New Roman"/>
          <w:color w:val="000000"/>
          <w:szCs w:val="28"/>
          <w:lang w:eastAsia="lv-LV"/>
        </w:rPr>
        <w:t>–</w:t>
      </w:r>
      <w:r w:rsidRPr="00CD7149">
        <w:rPr>
          <w:rFonts w:eastAsia="Calibri" w:cs="Times New Roman"/>
          <w:color w:val="000000"/>
          <w:szCs w:val="28"/>
          <w:lang w:eastAsia="lv-LV"/>
        </w:rPr>
        <w:t xml:space="preserve"> 172</w:t>
      </w:r>
      <w:r w:rsidR="006C2E00">
        <w:rPr>
          <w:rFonts w:eastAsia="Calibri" w:cs="Times New Roman"/>
          <w:color w:val="000000"/>
          <w:szCs w:val="28"/>
          <w:lang w:eastAsia="lv-LV"/>
        </w:rPr>
        <w:t>,</w:t>
      </w:r>
      <w:r w:rsidRPr="00CD7149">
        <w:rPr>
          <w:rFonts w:eastAsia="Calibri" w:cs="Times New Roman"/>
          <w:color w:val="000000"/>
          <w:szCs w:val="28"/>
          <w:lang w:eastAsia="lv-LV"/>
        </w:rPr>
        <w:t xml:space="preserve">6 MWh/km2 un Lietuvā </w:t>
      </w:r>
      <w:r w:rsidR="006C2E00">
        <w:rPr>
          <w:rFonts w:eastAsia="Calibri" w:cs="Times New Roman"/>
          <w:color w:val="000000"/>
          <w:szCs w:val="28"/>
          <w:lang w:eastAsia="lv-LV"/>
        </w:rPr>
        <w:t>–</w:t>
      </w:r>
      <w:r w:rsidRPr="00CD7149">
        <w:rPr>
          <w:rFonts w:eastAsia="Calibri" w:cs="Times New Roman"/>
          <w:color w:val="000000"/>
          <w:szCs w:val="28"/>
          <w:lang w:eastAsia="lv-LV"/>
        </w:rPr>
        <w:t xml:space="preserve"> 148</w:t>
      </w:r>
      <w:r w:rsidR="006C2E00">
        <w:rPr>
          <w:rFonts w:eastAsia="Calibri" w:cs="Times New Roman"/>
          <w:color w:val="000000"/>
          <w:szCs w:val="28"/>
          <w:lang w:eastAsia="lv-LV"/>
        </w:rPr>
        <w:t>,</w:t>
      </w:r>
      <w:r w:rsidRPr="00CD7149">
        <w:rPr>
          <w:rFonts w:eastAsia="Calibri" w:cs="Times New Roman"/>
          <w:color w:val="000000"/>
          <w:szCs w:val="28"/>
          <w:lang w:eastAsia="lv-LV"/>
        </w:rPr>
        <w:t>2 MWh/km</w:t>
      </w:r>
      <w:r w:rsidRPr="00CD7149">
        <w:rPr>
          <w:rFonts w:eastAsia="Calibri" w:cs="Times New Roman"/>
          <w:color w:val="000000"/>
          <w:szCs w:val="28"/>
          <w:vertAlign w:val="superscript"/>
          <w:lang w:eastAsia="lv-LV"/>
        </w:rPr>
        <w:t>2</w:t>
      </w:r>
      <w:r w:rsidRPr="00CD7149">
        <w:rPr>
          <w:rFonts w:eastAsia="Calibri" w:cs="Times New Roman"/>
          <w:color w:val="000000"/>
          <w:szCs w:val="28"/>
          <w:lang w:eastAsia="lv-LV"/>
        </w:rPr>
        <w:t>). Turklāt, ņemot vērā zemo iedzīvotāju blīvumu un salīdzinoši nelielo apdzīvotību ārpus pilsētām, liela daļa investīciju jāveic tādu elektroenerģijas sadales tīklu uzturēšanā, kuri šķērso lielas neapdzīvotas platības, tostarp mežus, un kurus izmanto vien neliels skaits iedzīvotāju, proti, vairāk nekā 12% iedzīvotāju elektroenerģijas patēriņš nepārsniedz 100 kWh (</w:t>
      </w:r>
      <w:r w:rsidRPr="00A6432D">
        <w:rPr>
          <w:rFonts w:eastAsia="Calibri" w:cs="Times New Roman"/>
          <w:i/>
          <w:color w:val="000000"/>
          <w:szCs w:val="28"/>
          <w:lang w:eastAsia="lv-LV"/>
        </w:rPr>
        <w:t>skat.1.tabulu</w:t>
      </w:r>
      <w:r w:rsidRPr="00CD7149">
        <w:rPr>
          <w:rFonts w:eastAsia="Calibri" w:cs="Times New Roman"/>
          <w:color w:val="000000"/>
          <w:szCs w:val="28"/>
          <w:lang w:eastAsia="lv-LV"/>
        </w:rPr>
        <w:t>). Taču, tā kā sadales tarifi nav atkarīgi no attāluma starp lietotāja un ražotāja atrašanās vietām un iedzīvotāji norēķinās par sadales pakalpojumu proporcionāli patērētās elektroenerģijas apjomam, tad klienti ar nelielu elektroenerģijas patēriņu nesedz faktiskās sadales operatora izmaksas viņu elektrotīkla pieslēguma uzturēšanai.</w:t>
      </w:r>
    </w:p>
    <w:p w:rsidR="00CD7149" w:rsidRPr="00844BBC" w:rsidRDefault="00CD7149" w:rsidP="00844BBC">
      <w:pPr>
        <w:spacing w:after="0" w:line="240" w:lineRule="auto"/>
        <w:ind w:firstLine="0"/>
        <w:jc w:val="right"/>
        <w:rPr>
          <w:rFonts w:eastAsia="Calibri" w:cs="Times New Roman"/>
          <w:iCs/>
          <w:szCs w:val="24"/>
        </w:rPr>
      </w:pPr>
      <w:r w:rsidRPr="00844BBC">
        <w:rPr>
          <w:rFonts w:eastAsia="Calibri" w:cs="Times New Roman"/>
          <w:iCs/>
          <w:szCs w:val="24"/>
        </w:rPr>
        <w:t xml:space="preserve">1.tabula </w:t>
      </w:r>
    </w:p>
    <w:p w:rsidR="00CD7149" w:rsidRPr="00844BBC" w:rsidRDefault="00CD7149" w:rsidP="00844BBC">
      <w:pPr>
        <w:spacing w:after="0" w:line="240" w:lineRule="auto"/>
        <w:ind w:firstLine="0"/>
        <w:jc w:val="center"/>
        <w:rPr>
          <w:rFonts w:ascii="Calibri" w:eastAsia="Calibri" w:hAnsi="Calibri" w:cs="Calibri"/>
          <w:sz w:val="20"/>
        </w:rPr>
      </w:pPr>
      <w:r w:rsidRPr="00844BBC">
        <w:rPr>
          <w:rFonts w:eastAsia="Calibri" w:cs="Times New Roman"/>
          <w:iCs/>
          <w:szCs w:val="24"/>
        </w:rPr>
        <w:t>Iedzīvotāju sadalījums pa elektroenerģijas patēriņa grupām 2011.</w:t>
      </w:r>
      <w:r w:rsidR="006C2E00">
        <w:rPr>
          <w:rFonts w:eastAsia="Calibri" w:cs="Times New Roman"/>
          <w:iCs/>
          <w:szCs w:val="24"/>
        </w:rPr>
        <w:t> </w:t>
      </w:r>
      <w:r w:rsidRPr="00844BBC">
        <w:rPr>
          <w:rFonts w:eastAsia="Calibri" w:cs="Times New Roman"/>
          <w:iCs/>
          <w:szCs w:val="24"/>
        </w:rPr>
        <w:t>gadā (kWh/gadā)</w:t>
      </w:r>
    </w:p>
    <w:tbl>
      <w:tblPr>
        <w:tblW w:w="0" w:type="auto"/>
        <w:jc w:val="center"/>
        <w:tblCellMar>
          <w:left w:w="0" w:type="dxa"/>
          <w:right w:w="0" w:type="dxa"/>
        </w:tblCellMar>
        <w:tblLook w:val="04A0" w:firstRow="1" w:lastRow="0" w:firstColumn="1" w:lastColumn="0" w:noHBand="0" w:noVBand="1"/>
      </w:tblPr>
      <w:tblGrid>
        <w:gridCol w:w="2840"/>
        <w:gridCol w:w="2841"/>
        <w:gridCol w:w="2841"/>
      </w:tblGrid>
      <w:tr w:rsidR="00CD7149" w:rsidRPr="00CD7149" w:rsidTr="00632861">
        <w:trPr>
          <w:trHeight w:val="403"/>
          <w:jc w:val="center"/>
        </w:trPr>
        <w:tc>
          <w:tcPr>
            <w:tcW w:w="2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autoSpaceDE w:val="0"/>
              <w:autoSpaceDN w:val="0"/>
              <w:adjustRightInd w:val="0"/>
              <w:spacing w:line="240" w:lineRule="auto"/>
              <w:ind w:firstLine="0"/>
              <w:jc w:val="center"/>
              <w:rPr>
                <w:rFonts w:ascii="Arial" w:eastAsia="Calibri" w:hAnsi="Arial" w:cs="Arial"/>
                <w:color w:val="000000"/>
                <w:sz w:val="24"/>
                <w:szCs w:val="24"/>
                <w:lang w:eastAsia="lv-LV"/>
              </w:rPr>
            </w:pPr>
            <w:r w:rsidRPr="00CD7149">
              <w:rPr>
                <w:rFonts w:eastAsia="Calibri" w:cs="Times New Roman"/>
                <w:b/>
                <w:bCs/>
                <w:color w:val="000000"/>
                <w:sz w:val="24"/>
                <w:szCs w:val="24"/>
              </w:rPr>
              <w:t>Klientu grupa</w:t>
            </w:r>
          </w:p>
        </w:tc>
        <w:tc>
          <w:tcPr>
            <w:tcW w:w="28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autoSpaceDE w:val="0"/>
              <w:autoSpaceDN w:val="0"/>
              <w:adjustRightInd w:val="0"/>
              <w:spacing w:line="240" w:lineRule="auto"/>
              <w:ind w:firstLine="0"/>
              <w:jc w:val="center"/>
              <w:rPr>
                <w:rFonts w:ascii="Arial" w:eastAsia="Calibri" w:hAnsi="Arial" w:cs="Arial"/>
                <w:color w:val="000000"/>
                <w:sz w:val="24"/>
                <w:szCs w:val="24"/>
                <w:lang w:eastAsia="lv-LV"/>
              </w:rPr>
            </w:pPr>
            <w:r w:rsidRPr="00CD7149">
              <w:rPr>
                <w:rFonts w:eastAsia="Calibri" w:cs="Times New Roman"/>
                <w:b/>
                <w:bCs/>
                <w:color w:val="000000"/>
                <w:sz w:val="24"/>
                <w:szCs w:val="24"/>
              </w:rPr>
              <w:t>Klientu skaits</w:t>
            </w:r>
          </w:p>
        </w:tc>
        <w:tc>
          <w:tcPr>
            <w:tcW w:w="28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autoSpaceDE w:val="0"/>
              <w:autoSpaceDN w:val="0"/>
              <w:adjustRightInd w:val="0"/>
              <w:spacing w:line="240" w:lineRule="auto"/>
              <w:ind w:firstLine="0"/>
              <w:jc w:val="center"/>
              <w:rPr>
                <w:rFonts w:ascii="Arial" w:eastAsia="Calibri" w:hAnsi="Arial" w:cs="Arial"/>
                <w:color w:val="000000"/>
                <w:sz w:val="24"/>
                <w:szCs w:val="24"/>
                <w:lang w:eastAsia="lv-LV"/>
              </w:rPr>
            </w:pPr>
            <w:r w:rsidRPr="00CD7149">
              <w:rPr>
                <w:rFonts w:eastAsia="Calibri" w:cs="Times New Roman"/>
                <w:b/>
                <w:bCs/>
                <w:color w:val="000000"/>
                <w:sz w:val="24"/>
                <w:szCs w:val="24"/>
              </w:rPr>
              <w:t>% no kopējā skaita</w:t>
            </w:r>
          </w:p>
        </w:tc>
      </w:tr>
      <w:tr w:rsidR="00CD7149" w:rsidRPr="00CD7149" w:rsidTr="00844BBC">
        <w:trPr>
          <w:jc w:val="center"/>
        </w:trPr>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bez patēriņa</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83 619</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7.5%</w:t>
            </w:r>
          </w:p>
        </w:tc>
      </w:tr>
      <w:tr w:rsidR="00CD7149" w:rsidRPr="00CD7149" w:rsidTr="00844BBC">
        <w:trPr>
          <w:jc w:val="center"/>
        </w:trPr>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1…10 kWh</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10 376</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0.9%</w:t>
            </w:r>
          </w:p>
        </w:tc>
      </w:tr>
      <w:tr w:rsidR="00CD7149" w:rsidRPr="00CD7149" w:rsidTr="00844BBC">
        <w:trPr>
          <w:jc w:val="center"/>
        </w:trPr>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11…100 kWh</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47 786</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4.3%</w:t>
            </w:r>
          </w:p>
        </w:tc>
      </w:tr>
      <w:tr w:rsidR="00CD7149" w:rsidRPr="00CD7149" w:rsidTr="00844BBC">
        <w:trPr>
          <w:jc w:val="center"/>
        </w:trPr>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101…1000 kWh</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343 747</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30.6%</w:t>
            </w:r>
          </w:p>
        </w:tc>
      </w:tr>
      <w:tr w:rsidR="00CD7149" w:rsidRPr="00CD7149" w:rsidTr="00844BBC">
        <w:trPr>
          <w:jc w:val="center"/>
        </w:trPr>
        <w:tc>
          <w:tcPr>
            <w:tcW w:w="2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1001… kWh</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636 602</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rsidR="00CD7149" w:rsidRPr="00CD7149" w:rsidRDefault="00CD7149" w:rsidP="00844BBC">
            <w:pPr>
              <w:spacing w:after="0" w:line="240" w:lineRule="auto"/>
              <w:ind w:firstLine="0"/>
              <w:jc w:val="center"/>
              <w:rPr>
                <w:rFonts w:ascii="Calibri" w:eastAsia="Calibri" w:hAnsi="Calibri" w:cs="Calibri"/>
              </w:rPr>
            </w:pPr>
            <w:r w:rsidRPr="00CD7149">
              <w:rPr>
                <w:rFonts w:eastAsia="Calibri" w:cs="Times New Roman"/>
                <w:sz w:val="24"/>
                <w:szCs w:val="24"/>
              </w:rPr>
              <w:t>56.7%</w:t>
            </w:r>
          </w:p>
        </w:tc>
      </w:tr>
    </w:tbl>
    <w:p w:rsidR="002D6158" w:rsidRDefault="003545A9" w:rsidP="00844BBC">
      <w:pPr>
        <w:autoSpaceDE w:val="0"/>
        <w:autoSpaceDN w:val="0"/>
        <w:adjustRightInd w:val="0"/>
        <w:spacing w:after="0" w:line="240" w:lineRule="auto"/>
        <w:ind w:firstLine="0"/>
        <w:rPr>
          <w:rFonts w:eastAsia="Calibri" w:cs="Times New Roman"/>
          <w:color w:val="000000"/>
          <w:sz w:val="20"/>
          <w:szCs w:val="20"/>
          <w:lang w:eastAsia="lv-LV"/>
        </w:rPr>
      </w:pPr>
      <w:r w:rsidRPr="00844BBC">
        <w:rPr>
          <w:rFonts w:eastAsia="Calibri" w:cs="Times New Roman"/>
          <w:color w:val="000000"/>
          <w:sz w:val="20"/>
          <w:szCs w:val="20"/>
          <w:lang w:eastAsia="lv-LV"/>
        </w:rPr>
        <w:t>Avots: AS „Sadales tīkls”</w:t>
      </w:r>
    </w:p>
    <w:p w:rsidR="00FE74DD" w:rsidRPr="00844BBC" w:rsidRDefault="00FE74DD" w:rsidP="00844BBC">
      <w:pPr>
        <w:autoSpaceDE w:val="0"/>
        <w:autoSpaceDN w:val="0"/>
        <w:adjustRightInd w:val="0"/>
        <w:spacing w:after="0" w:line="240" w:lineRule="auto"/>
        <w:ind w:firstLine="0"/>
        <w:rPr>
          <w:rFonts w:eastAsia="Calibri" w:cs="Times New Roman"/>
          <w:color w:val="000000"/>
          <w:sz w:val="20"/>
          <w:szCs w:val="20"/>
          <w:lang w:eastAsia="lv-LV"/>
        </w:rPr>
      </w:pPr>
    </w:p>
    <w:p w:rsidR="00DC2C8A" w:rsidRDefault="00CD7149" w:rsidP="002D6158">
      <w:pPr>
        <w:autoSpaceDE w:val="0"/>
        <w:autoSpaceDN w:val="0"/>
        <w:adjustRightInd w:val="0"/>
        <w:spacing w:after="0" w:line="240" w:lineRule="auto"/>
        <w:rPr>
          <w:rFonts w:eastAsia="Calibri" w:cs="Times New Roman"/>
          <w:color w:val="000000"/>
          <w:szCs w:val="28"/>
          <w:lang w:eastAsia="lv-LV"/>
        </w:rPr>
      </w:pPr>
      <w:r w:rsidRPr="00CD7149">
        <w:rPr>
          <w:rFonts w:eastAsia="Calibri" w:cs="Times New Roman"/>
          <w:color w:val="000000"/>
          <w:szCs w:val="28"/>
          <w:lang w:eastAsia="lv-LV"/>
        </w:rPr>
        <w:t>Sadales tīklu tehnisko stāvokli un darbības kvalitāti nosaka arī sadales sistēmas operatoram saistošie standarti – SAIDI (</w:t>
      </w:r>
      <w:r w:rsidRPr="00CD7149">
        <w:rPr>
          <w:rFonts w:eastAsia="Calibri" w:cs="Times New Roman"/>
          <w:i/>
          <w:iCs/>
          <w:color w:val="000000"/>
          <w:szCs w:val="28"/>
          <w:lang w:eastAsia="lv-LV"/>
        </w:rPr>
        <w:t xml:space="preserve">System </w:t>
      </w:r>
      <w:proofErr w:type="spellStart"/>
      <w:r w:rsidRPr="00CD7149">
        <w:rPr>
          <w:rFonts w:eastAsia="Calibri" w:cs="Times New Roman"/>
          <w:i/>
          <w:iCs/>
          <w:color w:val="000000"/>
          <w:szCs w:val="28"/>
          <w:lang w:eastAsia="lv-LV"/>
        </w:rPr>
        <w:t>Average</w:t>
      </w:r>
      <w:proofErr w:type="spellEnd"/>
      <w:r w:rsidRPr="00CD7149">
        <w:rPr>
          <w:rFonts w:eastAsia="Calibri" w:cs="Times New Roman"/>
          <w:i/>
          <w:iCs/>
          <w:color w:val="000000"/>
          <w:szCs w:val="28"/>
          <w:lang w:eastAsia="lv-LV"/>
        </w:rPr>
        <w:t xml:space="preserve"> </w:t>
      </w:r>
      <w:proofErr w:type="spellStart"/>
      <w:r w:rsidRPr="00CD7149">
        <w:rPr>
          <w:rFonts w:eastAsia="Calibri" w:cs="Times New Roman"/>
          <w:i/>
          <w:iCs/>
          <w:color w:val="000000"/>
          <w:szCs w:val="28"/>
          <w:lang w:eastAsia="lv-LV"/>
        </w:rPr>
        <w:t>Interruption</w:t>
      </w:r>
      <w:proofErr w:type="spellEnd"/>
      <w:r w:rsidRPr="00CD7149">
        <w:rPr>
          <w:rFonts w:eastAsia="Calibri" w:cs="Times New Roman"/>
          <w:i/>
          <w:iCs/>
          <w:color w:val="000000"/>
          <w:szCs w:val="28"/>
          <w:lang w:eastAsia="lv-LV"/>
        </w:rPr>
        <w:t xml:space="preserve"> </w:t>
      </w:r>
      <w:proofErr w:type="spellStart"/>
      <w:r w:rsidRPr="00CD7149">
        <w:rPr>
          <w:rFonts w:eastAsia="Calibri" w:cs="Times New Roman"/>
          <w:i/>
          <w:iCs/>
          <w:color w:val="000000"/>
          <w:szCs w:val="28"/>
          <w:lang w:eastAsia="lv-LV"/>
        </w:rPr>
        <w:t>Duration</w:t>
      </w:r>
      <w:proofErr w:type="spellEnd"/>
      <w:r w:rsidRPr="00CD7149">
        <w:rPr>
          <w:rFonts w:eastAsia="Calibri" w:cs="Times New Roman"/>
          <w:i/>
          <w:iCs/>
          <w:color w:val="000000"/>
          <w:szCs w:val="28"/>
          <w:lang w:eastAsia="lv-LV"/>
        </w:rPr>
        <w:t xml:space="preserve"> </w:t>
      </w:r>
      <w:proofErr w:type="spellStart"/>
      <w:r w:rsidRPr="00CD7149">
        <w:rPr>
          <w:rFonts w:eastAsia="Calibri" w:cs="Times New Roman"/>
          <w:i/>
          <w:iCs/>
          <w:color w:val="000000"/>
          <w:szCs w:val="28"/>
          <w:lang w:eastAsia="lv-LV"/>
        </w:rPr>
        <w:t>Index</w:t>
      </w:r>
      <w:proofErr w:type="spellEnd"/>
      <w:r w:rsidRPr="00CD7149">
        <w:rPr>
          <w:rFonts w:eastAsia="Calibri" w:cs="Times New Roman"/>
          <w:color w:val="000000"/>
          <w:szCs w:val="28"/>
          <w:lang w:eastAsia="lv-LV"/>
        </w:rPr>
        <w:t>) un SAIFI (</w:t>
      </w:r>
      <w:r w:rsidRPr="00CD7149">
        <w:rPr>
          <w:rFonts w:eastAsia="Calibri" w:cs="Times New Roman"/>
          <w:i/>
          <w:iCs/>
          <w:szCs w:val="28"/>
        </w:rPr>
        <w:t xml:space="preserve">System </w:t>
      </w:r>
      <w:proofErr w:type="spellStart"/>
      <w:r w:rsidRPr="00CD7149">
        <w:rPr>
          <w:rFonts w:eastAsia="Calibri" w:cs="Times New Roman"/>
          <w:i/>
          <w:iCs/>
          <w:szCs w:val="28"/>
        </w:rPr>
        <w:t>Average</w:t>
      </w:r>
      <w:proofErr w:type="spellEnd"/>
      <w:r w:rsidRPr="00CD7149">
        <w:rPr>
          <w:rFonts w:eastAsia="Calibri" w:cs="Times New Roman"/>
          <w:i/>
          <w:iCs/>
          <w:szCs w:val="28"/>
        </w:rPr>
        <w:t xml:space="preserve"> </w:t>
      </w:r>
      <w:proofErr w:type="spellStart"/>
      <w:r w:rsidRPr="00CD7149">
        <w:rPr>
          <w:rFonts w:eastAsia="Calibri" w:cs="Times New Roman"/>
          <w:i/>
          <w:iCs/>
          <w:szCs w:val="28"/>
        </w:rPr>
        <w:t>Interruption</w:t>
      </w:r>
      <w:proofErr w:type="spellEnd"/>
      <w:r w:rsidRPr="00CD7149">
        <w:rPr>
          <w:rFonts w:eastAsia="Calibri" w:cs="Times New Roman"/>
          <w:i/>
          <w:iCs/>
          <w:szCs w:val="28"/>
        </w:rPr>
        <w:t xml:space="preserve"> </w:t>
      </w:r>
      <w:proofErr w:type="spellStart"/>
      <w:r w:rsidRPr="00CD7149">
        <w:rPr>
          <w:rFonts w:eastAsia="Calibri" w:cs="Times New Roman"/>
          <w:i/>
          <w:iCs/>
          <w:szCs w:val="28"/>
        </w:rPr>
        <w:t>Frequency</w:t>
      </w:r>
      <w:proofErr w:type="spellEnd"/>
      <w:r w:rsidRPr="00CD7149">
        <w:rPr>
          <w:rFonts w:eastAsia="Calibri" w:cs="Times New Roman"/>
          <w:i/>
          <w:iCs/>
          <w:szCs w:val="28"/>
        </w:rPr>
        <w:t xml:space="preserve"> </w:t>
      </w:r>
      <w:proofErr w:type="spellStart"/>
      <w:r w:rsidRPr="00CD7149">
        <w:rPr>
          <w:rFonts w:eastAsia="Calibri" w:cs="Times New Roman"/>
          <w:i/>
          <w:iCs/>
          <w:szCs w:val="28"/>
        </w:rPr>
        <w:t>Index</w:t>
      </w:r>
      <w:proofErr w:type="spellEnd"/>
      <w:r w:rsidRPr="00CD7149">
        <w:rPr>
          <w:rFonts w:eastAsia="Calibri" w:cs="Times New Roman"/>
          <w:szCs w:val="28"/>
        </w:rPr>
        <w:t xml:space="preserve">), kuru ievērošana Latvijā šobrīd nav vērtējama kā pietiekami efektīva – Latvijā neplānoto pārtraukumu biežums un ilgums atbilstoši abu standartu prasībām šobrīd ir neapmierinoši augsts, ierindojot Latviju starp </w:t>
      </w:r>
      <w:r w:rsidR="00601214">
        <w:rPr>
          <w:rFonts w:eastAsia="Calibri" w:cs="Times New Roman"/>
          <w:szCs w:val="28"/>
        </w:rPr>
        <w:t xml:space="preserve">valstīm </w:t>
      </w:r>
      <w:r w:rsidRPr="00CD7149">
        <w:rPr>
          <w:rFonts w:eastAsia="Calibri" w:cs="Times New Roman"/>
          <w:szCs w:val="28"/>
        </w:rPr>
        <w:t xml:space="preserve">ar visbiežākajiem un visilgākajiem elektroenerģijas piegādes pārtraukumiem. Lai ievērotu standartus un uzlabotu sistēmas darbību un reakciju uz pārtraukumiem, nepieciešams veikt būtiskas investīcijas tīklā, galvenokārt tīklu rekonstrukcijā, kas ilgtermiņā ir daudz efektīvāks risinājums nekā regulāri tīklu remonti. Piemēram, Igaunijā jau šobrīd ir ieviesta maksa par </w:t>
      </w:r>
      <w:r w:rsidRPr="00CD7149">
        <w:rPr>
          <w:rFonts w:eastAsia="Calibri" w:cs="Times New Roman"/>
          <w:color w:val="000000"/>
          <w:szCs w:val="28"/>
          <w:lang w:eastAsia="lv-LV"/>
        </w:rPr>
        <w:t xml:space="preserve">pieļaujamā bojājumu </w:t>
      </w:r>
      <w:r w:rsidRPr="00CD7149">
        <w:rPr>
          <w:rFonts w:eastAsia="Calibri" w:cs="Times New Roman"/>
          <w:color w:val="000000"/>
          <w:szCs w:val="28"/>
          <w:lang w:eastAsia="lv-LV"/>
        </w:rPr>
        <w:lastRenderedPageBreak/>
        <w:t xml:space="preserve">novēršanas laika pārsniegšanu, kas sadales operatoram jāizmaksā klientam kā kompensācija, ja ir pārsniegts pieļaujamais elektroenerģijas piegādes atjaunošanas laiks bojājuma gadījumā. Šāds maksājums vienlaikus uzlabotu elektroapgādes kvalitāti un novērstu tīkla bojājumus, taču prasītu arī ievērojamas investīcijas </w:t>
      </w:r>
      <w:r w:rsidR="00DC2C8A" w:rsidRPr="00CD7149">
        <w:rPr>
          <w:rFonts w:eastAsia="Calibri" w:cs="Times New Roman"/>
          <w:color w:val="000000"/>
          <w:szCs w:val="28"/>
          <w:lang w:eastAsia="lv-LV"/>
        </w:rPr>
        <w:t>t</w:t>
      </w:r>
      <w:r w:rsidR="00E75746">
        <w:rPr>
          <w:rFonts w:eastAsia="Calibri" w:cs="Times New Roman"/>
          <w:color w:val="000000"/>
          <w:szCs w:val="28"/>
          <w:lang w:eastAsia="lv-LV"/>
        </w:rPr>
        <w:t xml:space="preserve">īklos to stāvokļa uzlabošanai. </w:t>
      </w:r>
      <w:r w:rsidR="003A3FD0">
        <w:rPr>
          <w:rFonts w:eastAsia="Calibri" w:cs="Times New Roman"/>
          <w:color w:val="000000"/>
          <w:szCs w:val="28"/>
          <w:lang w:eastAsia="lv-LV"/>
        </w:rPr>
        <w:t>8</w:t>
      </w:r>
      <w:r w:rsidR="00DC2C8A" w:rsidRPr="00CD7149">
        <w:rPr>
          <w:rFonts w:eastAsia="Calibri" w:cs="Times New Roman"/>
          <w:color w:val="000000"/>
          <w:szCs w:val="28"/>
          <w:lang w:eastAsia="lv-LV"/>
        </w:rPr>
        <w:t>.</w:t>
      </w:r>
      <w:r w:rsidR="006C2E00">
        <w:rPr>
          <w:rFonts w:eastAsia="Calibri" w:cs="Times New Roman"/>
          <w:color w:val="000000"/>
          <w:szCs w:val="28"/>
          <w:lang w:eastAsia="lv-LV"/>
        </w:rPr>
        <w:t> </w:t>
      </w:r>
      <w:r w:rsidR="00DC2C8A" w:rsidRPr="00CD7149">
        <w:rPr>
          <w:rFonts w:eastAsia="Calibri" w:cs="Times New Roman"/>
          <w:color w:val="000000"/>
          <w:szCs w:val="28"/>
          <w:lang w:eastAsia="lv-LV"/>
        </w:rPr>
        <w:t>attēlā attēlo</w:t>
      </w:r>
      <w:r w:rsidR="00DE35A5">
        <w:rPr>
          <w:rFonts w:eastAsia="Calibri" w:cs="Times New Roman"/>
          <w:color w:val="000000"/>
          <w:szCs w:val="28"/>
          <w:lang w:eastAsia="lv-LV"/>
        </w:rPr>
        <w:t>t</w:t>
      </w:r>
      <w:r w:rsidR="00DC2C8A" w:rsidRPr="00CD7149">
        <w:rPr>
          <w:rFonts w:eastAsia="Calibri" w:cs="Times New Roman"/>
          <w:color w:val="000000"/>
          <w:szCs w:val="28"/>
          <w:lang w:eastAsia="lv-LV"/>
        </w:rPr>
        <w:t>s šā brīža sadales tīklu tehniskais stāvoklis.</w:t>
      </w:r>
    </w:p>
    <w:p w:rsidR="00A6432D" w:rsidRDefault="00A6432D" w:rsidP="00844BBC">
      <w:pPr>
        <w:autoSpaceDE w:val="0"/>
        <w:autoSpaceDN w:val="0"/>
        <w:adjustRightInd w:val="0"/>
        <w:spacing w:after="0" w:line="240" w:lineRule="auto"/>
        <w:ind w:firstLine="0"/>
        <w:jc w:val="center"/>
        <w:rPr>
          <w:rFonts w:eastAsia="Calibri" w:cs="Times New Roman"/>
          <w:i/>
          <w:iCs/>
          <w:color w:val="000000"/>
          <w:sz w:val="24"/>
          <w:szCs w:val="24"/>
          <w:lang w:eastAsia="lv-LV"/>
        </w:rPr>
      </w:pPr>
      <w:r>
        <w:rPr>
          <w:rFonts w:eastAsia="Calibri" w:cs="Times New Roman"/>
          <w:i/>
          <w:iCs/>
          <w:noProof/>
          <w:color w:val="000000"/>
          <w:sz w:val="24"/>
          <w:szCs w:val="24"/>
          <w:lang w:eastAsia="lv-LV"/>
        </w:rPr>
        <w:drawing>
          <wp:inline distT="0" distB="0" distL="0" distR="0" wp14:anchorId="3BB60A46" wp14:editId="51B4E3D7">
            <wp:extent cx="4657725" cy="20028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3473" cy="2018194"/>
                    </a:xfrm>
                    <a:prstGeom prst="rect">
                      <a:avLst/>
                    </a:prstGeom>
                  </pic:spPr>
                </pic:pic>
              </a:graphicData>
            </a:graphic>
          </wp:inline>
        </w:drawing>
      </w:r>
    </w:p>
    <w:p w:rsidR="00CD7149" w:rsidRPr="00844BBC" w:rsidRDefault="003A3FD0" w:rsidP="00844BBC">
      <w:pPr>
        <w:autoSpaceDE w:val="0"/>
        <w:autoSpaceDN w:val="0"/>
        <w:adjustRightInd w:val="0"/>
        <w:spacing w:after="0" w:line="240" w:lineRule="auto"/>
        <w:ind w:firstLine="0"/>
        <w:rPr>
          <w:rFonts w:eastAsia="Calibri" w:cs="Times New Roman"/>
          <w:b/>
          <w:iCs/>
          <w:color w:val="000000"/>
          <w:sz w:val="24"/>
          <w:szCs w:val="24"/>
          <w:lang w:eastAsia="lv-LV"/>
        </w:rPr>
      </w:pPr>
      <w:r>
        <w:rPr>
          <w:rFonts w:eastAsia="Calibri" w:cs="Times New Roman"/>
          <w:b/>
          <w:iCs/>
          <w:color w:val="000000"/>
          <w:sz w:val="24"/>
          <w:szCs w:val="24"/>
          <w:lang w:eastAsia="lv-LV"/>
        </w:rPr>
        <w:t>8</w:t>
      </w:r>
      <w:r w:rsidR="00CD7149" w:rsidRPr="00844BBC">
        <w:rPr>
          <w:rFonts w:eastAsia="Calibri" w:cs="Times New Roman"/>
          <w:b/>
          <w:iCs/>
          <w:color w:val="000000"/>
          <w:sz w:val="24"/>
          <w:szCs w:val="24"/>
          <w:lang w:eastAsia="lv-LV"/>
        </w:rPr>
        <w:t xml:space="preserve">.attēls. Sadales tīklu stāvoklis </w:t>
      </w:r>
    </w:p>
    <w:p w:rsidR="00DC2C8A" w:rsidRDefault="00DC2C8A" w:rsidP="00844BBC">
      <w:pPr>
        <w:autoSpaceDE w:val="0"/>
        <w:autoSpaceDN w:val="0"/>
        <w:adjustRightInd w:val="0"/>
        <w:spacing w:after="0" w:line="240" w:lineRule="auto"/>
        <w:ind w:firstLine="0"/>
        <w:rPr>
          <w:rFonts w:eastAsia="Calibri" w:cs="Times New Roman"/>
          <w:iCs/>
          <w:color w:val="000000"/>
          <w:sz w:val="20"/>
          <w:szCs w:val="24"/>
          <w:lang w:eastAsia="lv-LV"/>
        </w:rPr>
      </w:pPr>
      <w:r w:rsidRPr="00844BBC">
        <w:rPr>
          <w:rFonts w:eastAsia="Calibri" w:cs="Times New Roman"/>
          <w:iCs/>
          <w:color w:val="000000"/>
          <w:sz w:val="20"/>
          <w:szCs w:val="24"/>
          <w:lang w:eastAsia="lv-LV"/>
        </w:rPr>
        <w:t>Avots: AS „Sadales tīkls”</w:t>
      </w:r>
    </w:p>
    <w:p w:rsidR="000660F3" w:rsidRDefault="000660F3" w:rsidP="00844BBC">
      <w:pPr>
        <w:autoSpaceDE w:val="0"/>
        <w:autoSpaceDN w:val="0"/>
        <w:adjustRightInd w:val="0"/>
        <w:spacing w:after="0" w:line="240" w:lineRule="auto"/>
        <w:ind w:firstLine="0"/>
        <w:rPr>
          <w:rFonts w:eastAsia="Calibri" w:cs="Times New Roman"/>
          <w:iCs/>
          <w:color w:val="000000"/>
          <w:sz w:val="20"/>
          <w:szCs w:val="24"/>
          <w:lang w:eastAsia="lv-LV"/>
        </w:rPr>
      </w:pPr>
    </w:p>
    <w:p w:rsidR="00CD7149" w:rsidRPr="00DC2C8A" w:rsidRDefault="00CD7149" w:rsidP="00E228D3">
      <w:pPr>
        <w:autoSpaceDE w:val="0"/>
        <w:autoSpaceDN w:val="0"/>
        <w:adjustRightInd w:val="0"/>
        <w:spacing w:line="240" w:lineRule="auto"/>
        <w:rPr>
          <w:rFonts w:eastAsia="Calibri" w:cs="Times New Roman"/>
          <w:i/>
          <w:iCs/>
          <w:color w:val="000000"/>
          <w:sz w:val="24"/>
          <w:szCs w:val="24"/>
          <w:lang w:eastAsia="lv-LV"/>
        </w:rPr>
      </w:pPr>
      <w:r w:rsidRPr="00CD7149">
        <w:rPr>
          <w:rFonts w:eastAsia="Calibri" w:cs="Times New Roman"/>
          <w:szCs w:val="28"/>
        </w:rPr>
        <w:t>Sadales tīkla uzturēšanas izmaksas nākotnē palielinās arī nepieciešamība uzlabot piegādes kvalitāti – šobrīd tīklos joprojām novērojami sprieguma pārtraukumi un iekritumi, kas skaidrojami ar tīklu nepietiekamo kvalitāti. Lietotājiem, kur</w:t>
      </w:r>
      <w:r w:rsidR="00614E55">
        <w:rPr>
          <w:rFonts w:eastAsia="Calibri" w:cs="Times New Roman"/>
          <w:szCs w:val="28"/>
        </w:rPr>
        <w:t>u</w:t>
      </w:r>
      <w:r w:rsidRPr="00CD7149">
        <w:rPr>
          <w:rFonts w:eastAsia="Calibri" w:cs="Times New Roman"/>
          <w:szCs w:val="28"/>
        </w:rPr>
        <w:t xml:space="preserve"> lietošanā ir elektroietaises, kuru darbībā nav pieļaujami elektroapgādes pārtraukumi, saskaņā ar Elektroenerģijas tirgus likumu ir pienākums nodrošināt, ka šīs ietaises netiek atstātas bez elektroenerģijas, tomēr nākotnē vajadzētu pēc iespējas minimizēt sprieguma pārtraukuma un iekrituma riskus, kas savukārt prasa sadales tīklu rekonstrukciju un līdz ar to - investīcijas.</w:t>
      </w:r>
    </w:p>
    <w:p w:rsidR="00CA6568" w:rsidRDefault="00CD7149" w:rsidP="00E228D3">
      <w:pPr>
        <w:spacing w:after="0" w:line="240" w:lineRule="auto"/>
        <w:rPr>
          <w:rFonts w:eastAsia="Calibri" w:cs="Times New Roman"/>
          <w:szCs w:val="28"/>
          <w:lang w:eastAsia="lv-LV"/>
        </w:rPr>
      </w:pPr>
      <w:r w:rsidRPr="00CD7149">
        <w:rPr>
          <w:rFonts w:eastAsia="Calibri" w:cs="Times New Roman"/>
          <w:szCs w:val="28"/>
          <w:lang w:eastAsia="lv-LV"/>
        </w:rPr>
        <w:t>Pārvades un sadales tīkla uzlabošana nav atliekama vai novēršama, līdz ar to jārēķinās ar izmaksu pieaugumu elektrotīklu attīstībā. Tomēr ir iespēja ierobežot elektrotīklu tarifu strauju pieaugumu, rūpīgi plānojot ieņēmumu un izmaksu atbilstību mērķiem.</w:t>
      </w:r>
      <w:r w:rsidRPr="00CD7149">
        <w:rPr>
          <w:rFonts w:eastAsia="Calibri" w:cs="Times New Roman"/>
          <w:szCs w:val="28"/>
        </w:rPr>
        <w:t xml:space="preserve"> Viena no iespējām iegūt līdzekļus </w:t>
      </w:r>
      <w:r w:rsidRPr="00CD7149">
        <w:rPr>
          <w:rFonts w:eastAsia="Calibri" w:cs="Times New Roman"/>
          <w:szCs w:val="28"/>
          <w:lang w:eastAsia="lv-LV"/>
        </w:rPr>
        <w:t xml:space="preserve">sadales tīkla darbības uzlabošanai būtu tarifa paaugstināšana, taču, ņemot vērā ievērojamās investīcijas tīklu rekonstrukcijā un salīdzinoši nelielos šā brīža ieņēmumus, tarifa paaugstināšana līdz nepieciešamo sadales sistēmas operatora ieņēmumu apjomam radītu būtisku izmaksu pieaugumu visiem lietotājiem. Turklāt tas nerisinātu problēmas, kas saistītas ar neefektīviem un nevajadzīgiem pieslēgumiem objektos, kas elektroenerģiju nepatērē. Tāpēc par piemērotu risinājumu sadales operatora iemaksu paaugstināšanai kalpotu abonēšanas maksas ieviešana mājsaimniecības lietotājiem, kā rezultātā samazinātos to klientu skaits, kas </w:t>
      </w:r>
      <w:r w:rsidR="002D6158">
        <w:rPr>
          <w:rFonts w:eastAsia="Calibri" w:cs="Times New Roman"/>
          <w:szCs w:val="28"/>
          <w:lang w:eastAsia="lv-LV"/>
        </w:rPr>
        <w:t>praktiski nepatērē elektroenerģiju</w:t>
      </w:r>
      <w:r w:rsidRPr="00CD7149">
        <w:rPr>
          <w:rFonts w:eastAsia="Calibri" w:cs="Times New Roman"/>
          <w:szCs w:val="28"/>
          <w:lang w:eastAsia="lv-LV"/>
        </w:rPr>
        <w:t xml:space="preserve">. Šī abonēšanas maksa būtu fiksēts maksājums sistēmas pakalpojuma tarifā, un tā lielums būtu atkarīgs no pieslēguma jaudas. Šādas maksas ieviešana veicinātu mājsaimniecības lietotāju efektīvāku tīkla </w:t>
      </w:r>
      <w:r w:rsidRPr="00CD7149">
        <w:rPr>
          <w:rFonts w:eastAsia="Calibri" w:cs="Times New Roman"/>
          <w:szCs w:val="28"/>
          <w:lang w:eastAsia="lv-LV"/>
        </w:rPr>
        <w:lastRenderedPageBreak/>
        <w:t>izmantošanu, atsakoties no tādiem pieslēgumiem, kuros elektroenerģija praktiski netiek tērēta, vai arī maksājot abonēšanas maksu par šo īpašumu, ja tas nepieciešams. Savukārt sadales tīklam pie šādas objektu optimizācijas vairs nevajadzētu investēt nenoslogotos tīklos, padarot iespējamu papildu līdzekļu ieguldīšanu vietās ar augstu iedzīvotāju blīvumu un ražošanas attīstību.</w:t>
      </w:r>
    </w:p>
    <w:p w:rsidR="00E75746" w:rsidRDefault="00E75746" w:rsidP="00E228D3">
      <w:pPr>
        <w:spacing w:after="0" w:line="240" w:lineRule="auto"/>
      </w:pPr>
    </w:p>
    <w:p w:rsidR="002C29CA" w:rsidRPr="002C29CA" w:rsidRDefault="002C29CA" w:rsidP="00844BBC">
      <w:pPr>
        <w:pStyle w:val="Heading1"/>
        <w:numPr>
          <w:ilvl w:val="0"/>
          <w:numId w:val="23"/>
        </w:numPr>
        <w:ind w:left="0" w:firstLine="0"/>
        <w:jc w:val="center"/>
        <w:rPr>
          <w:rFonts w:cs="Times New Roman"/>
        </w:rPr>
      </w:pPr>
      <w:bookmarkStart w:id="24" w:name="_Toc344901686"/>
      <w:bookmarkStart w:id="25" w:name="_Toc344901818"/>
      <w:bookmarkStart w:id="26" w:name="_Toc344907243"/>
      <w:r w:rsidRPr="002C29CA">
        <w:rPr>
          <w:rFonts w:cs="Times New Roman"/>
        </w:rPr>
        <w:lastRenderedPageBreak/>
        <w:t>Elektroenerģijas obligātais iepirkums</w:t>
      </w:r>
      <w:bookmarkEnd w:id="24"/>
      <w:bookmarkEnd w:id="25"/>
      <w:bookmarkEnd w:id="26"/>
    </w:p>
    <w:p w:rsidR="00DE5581" w:rsidRPr="00C25291" w:rsidRDefault="002C29CA" w:rsidP="00221144">
      <w:pPr>
        <w:pStyle w:val="PlainText"/>
        <w:spacing w:after="120"/>
        <w:rPr>
          <w:rFonts w:ascii="Times New Roman" w:hAnsi="Times New Roman" w:cs="Times New Roman"/>
          <w:color w:val="000000" w:themeColor="text1"/>
          <w:szCs w:val="28"/>
        </w:rPr>
      </w:pPr>
      <w:r>
        <w:rPr>
          <w:rFonts w:ascii="Times New Roman" w:hAnsi="Times New Roman"/>
          <w:szCs w:val="28"/>
        </w:rPr>
        <w:t>A</w:t>
      </w:r>
      <w:r w:rsidRPr="00C67574">
        <w:rPr>
          <w:rFonts w:ascii="Times New Roman" w:hAnsi="Times New Roman"/>
          <w:szCs w:val="28"/>
        </w:rPr>
        <w:t xml:space="preserve">tbalsts elektroenerģijas ražošanai no atjaunojamajiem energoresursiem (turpmāk – AER) Latvijā tiek īstenots jau vairāk kā 10 gadus, taču </w:t>
      </w:r>
      <w:r>
        <w:rPr>
          <w:rFonts w:ascii="Times New Roman" w:hAnsi="Times New Roman"/>
          <w:szCs w:val="28"/>
        </w:rPr>
        <w:t xml:space="preserve">tas </w:t>
      </w:r>
      <w:r w:rsidRPr="00C67574">
        <w:rPr>
          <w:rFonts w:ascii="Times New Roman" w:hAnsi="Times New Roman"/>
          <w:szCs w:val="28"/>
        </w:rPr>
        <w:t>vair</w:t>
      </w:r>
      <w:r>
        <w:rPr>
          <w:rFonts w:ascii="Times New Roman" w:hAnsi="Times New Roman"/>
          <w:szCs w:val="28"/>
        </w:rPr>
        <w:t>ā</w:t>
      </w:r>
      <w:r w:rsidRPr="00C67574">
        <w:rPr>
          <w:rFonts w:ascii="Times New Roman" w:hAnsi="Times New Roman"/>
          <w:szCs w:val="28"/>
        </w:rPr>
        <w:t xml:space="preserve">kkārt ticis mainīts un papildināts, tādējādi būtiski mainot ietekmi uz elektroenerģijas gala cenu </w:t>
      </w:r>
      <w:r w:rsidR="00031E9C">
        <w:rPr>
          <w:rFonts w:ascii="Times New Roman" w:hAnsi="Times New Roman"/>
          <w:szCs w:val="28"/>
        </w:rPr>
        <w:t>lietotājiem</w:t>
      </w:r>
      <w:r w:rsidRPr="00C67574">
        <w:rPr>
          <w:rFonts w:ascii="Times New Roman" w:hAnsi="Times New Roman"/>
          <w:szCs w:val="28"/>
        </w:rPr>
        <w:t>.</w:t>
      </w:r>
      <w:r>
        <w:rPr>
          <w:rFonts w:ascii="Times New Roman" w:hAnsi="Times New Roman"/>
          <w:szCs w:val="28"/>
        </w:rPr>
        <w:t xml:space="preserve"> 2001.</w:t>
      </w:r>
      <w:r w:rsidR="006C2E00">
        <w:rPr>
          <w:rFonts w:ascii="Times New Roman" w:hAnsi="Times New Roman"/>
          <w:szCs w:val="28"/>
        </w:rPr>
        <w:t> </w:t>
      </w:r>
      <w:r>
        <w:rPr>
          <w:rFonts w:ascii="Times New Roman" w:hAnsi="Times New Roman"/>
          <w:szCs w:val="28"/>
        </w:rPr>
        <w:t xml:space="preserve">gadā </w:t>
      </w:r>
      <w:r w:rsidRPr="00C67574">
        <w:rPr>
          <w:rFonts w:ascii="Times New Roman" w:hAnsi="Times New Roman"/>
          <w:szCs w:val="28"/>
        </w:rPr>
        <w:t>Enerģētikas likumā pirmo reizi tika noteikts pienākums licencētam elektroenerģijas sadales uzņēmumam iepirkt  elektroenerģiju no ražotājiem, kuri izmanto AER.</w:t>
      </w:r>
      <w:r>
        <w:rPr>
          <w:rFonts w:ascii="Times New Roman" w:hAnsi="Times New Roman"/>
          <w:szCs w:val="28"/>
        </w:rPr>
        <w:t xml:space="preserve"> </w:t>
      </w:r>
      <w:r w:rsidRPr="00C67574">
        <w:rPr>
          <w:rFonts w:ascii="Times New Roman" w:hAnsi="Times New Roman"/>
          <w:szCs w:val="28"/>
        </w:rPr>
        <w:t>2005.</w:t>
      </w:r>
      <w:r w:rsidR="006C2E00">
        <w:rPr>
          <w:rFonts w:ascii="Times New Roman" w:hAnsi="Times New Roman"/>
          <w:szCs w:val="28"/>
        </w:rPr>
        <w:t> </w:t>
      </w:r>
      <w:r w:rsidRPr="00C67574">
        <w:rPr>
          <w:rFonts w:ascii="Times New Roman" w:hAnsi="Times New Roman"/>
          <w:szCs w:val="28"/>
        </w:rPr>
        <w:t xml:space="preserve">gadā spēkā stājās Elektroenerģijas tirgus likums, kurā noteikts, ka ražotājs, kas elektroenerģiju ražo koģenerācijas procesā vai izmantojot AER, var iegūt tiesības pārdot saražoto elektroenerģiju obligātā iepirkuma ietvaros </w:t>
      </w:r>
      <w:r w:rsidR="00031E9C">
        <w:rPr>
          <w:rFonts w:ascii="Times New Roman" w:hAnsi="Times New Roman"/>
          <w:szCs w:val="28"/>
        </w:rPr>
        <w:t xml:space="preserve">par </w:t>
      </w:r>
      <w:r w:rsidR="002D6158">
        <w:rPr>
          <w:rFonts w:ascii="Times New Roman" w:hAnsi="Times New Roman"/>
          <w:szCs w:val="28"/>
        </w:rPr>
        <w:t xml:space="preserve">garantēto </w:t>
      </w:r>
      <w:r w:rsidR="00E94993">
        <w:rPr>
          <w:rFonts w:ascii="Times New Roman" w:hAnsi="Times New Roman"/>
          <w:szCs w:val="28"/>
        </w:rPr>
        <w:t xml:space="preserve">obligāto </w:t>
      </w:r>
      <w:r w:rsidR="002D6158">
        <w:rPr>
          <w:rFonts w:ascii="Times New Roman" w:hAnsi="Times New Roman"/>
          <w:szCs w:val="28"/>
        </w:rPr>
        <w:t>iepirkuma cenu</w:t>
      </w:r>
      <w:r w:rsidR="00031E9C">
        <w:rPr>
          <w:rFonts w:ascii="Times New Roman" w:hAnsi="Times New Roman"/>
          <w:szCs w:val="28"/>
        </w:rPr>
        <w:t xml:space="preserve"> </w:t>
      </w:r>
      <w:r w:rsidRPr="00C92E8C">
        <w:rPr>
          <w:rFonts w:ascii="Times New Roman" w:hAnsi="Times New Roman"/>
          <w:i/>
          <w:szCs w:val="28"/>
        </w:rPr>
        <w:t>(feed-in</w:t>
      </w:r>
      <w:r>
        <w:rPr>
          <w:rFonts w:ascii="Times New Roman" w:hAnsi="Times New Roman"/>
          <w:i/>
          <w:szCs w:val="28"/>
        </w:rPr>
        <w:t xml:space="preserve"> </w:t>
      </w:r>
      <w:proofErr w:type="spellStart"/>
      <w:r w:rsidRPr="00C92E8C">
        <w:rPr>
          <w:rFonts w:ascii="Times New Roman" w:hAnsi="Times New Roman"/>
          <w:i/>
          <w:szCs w:val="28"/>
        </w:rPr>
        <w:t>tariff</w:t>
      </w:r>
      <w:proofErr w:type="spellEnd"/>
      <w:r w:rsidRPr="00C92E8C">
        <w:rPr>
          <w:rFonts w:ascii="Times New Roman" w:hAnsi="Times New Roman"/>
          <w:i/>
          <w:szCs w:val="28"/>
        </w:rPr>
        <w:t>)</w:t>
      </w:r>
      <w:r w:rsidRPr="00C67574">
        <w:rPr>
          <w:rFonts w:ascii="Times New Roman" w:hAnsi="Times New Roman"/>
          <w:szCs w:val="28"/>
        </w:rPr>
        <w:t xml:space="preserve">. Obligātā iepirkuma ietvaros iepirktās elektroenerģijas cenas ir </w:t>
      </w:r>
      <w:r w:rsidR="00031E9C">
        <w:rPr>
          <w:rFonts w:ascii="Times New Roman" w:hAnsi="Times New Roman" w:cs="Times New Roman"/>
          <w:szCs w:val="28"/>
        </w:rPr>
        <w:t xml:space="preserve">atkarīgas no </w:t>
      </w:r>
      <w:r w:rsidR="00031E9C" w:rsidRPr="00C25291">
        <w:rPr>
          <w:rFonts w:ascii="Times New Roman" w:hAnsi="Times New Roman" w:cs="Times New Roman"/>
          <w:color w:val="000000" w:themeColor="text1"/>
          <w:szCs w:val="28"/>
        </w:rPr>
        <w:t>izmantotā energoresursa</w:t>
      </w:r>
      <w:r w:rsidRPr="00C25291">
        <w:rPr>
          <w:rFonts w:ascii="Times New Roman" w:hAnsi="Times New Roman" w:cs="Times New Roman"/>
          <w:color w:val="000000" w:themeColor="text1"/>
          <w:szCs w:val="28"/>
        </w:rPr>
        <w:t xml:space="preserve"> veida, uzstādītās jaudas,</w:t>
      </w:r>
      <w:r w:rsidR="00031E9C" w:rsidRPr="00C25291">
        <w:rPr>
          <w:rFonts w:ascii="Times New Roman" w:hAnsi="Times New Roman" w:cs="Times New Roman"/>
          <w:color w:val="000000" w:themeColor="text1"/>
          <w:szCs w:val="28"/>
        </w:rPr>
        <w:t xml:space="preserve"> stacijas nostrādāto stundu skaita</w:t>
      </w:r>
      <w:r w:rsidRPr="00C25291">
        <w:rPr>
          <w:rFonts w:ascii="Times New Roman" w:hAnsi="Times New Roman" w:cs="Times New Roman"/>
          <w:color w:val="000000" w:themeColor="text1"/>
          <w:szCs w:val="28"/>
        </w:rPr>
        <w:t xml:space="preserve"> kā arī dabasgāzes </w:t>
      </w:r>
      <w:r w:rsidR="00031E9C" w:rsidRPr="00C25291">
        <w:rPr>
          <w:rFonts w:ascii="Times New Roman" w:hAnsi="Times New Roman" w:cs="Times New Roman"/>
          <w:color w:val="000000" w:themeColor="text1"/>
          <w:szCs w:val="28"/>
        </w:rPr>
        <w:t xml:space="preserve">tirdzniecības </w:t>
      </w:r>
      <w:r w:rsidRPr="00C25291">
        <w:rPr>
          <w:rFonts w:ascii="Times New Roman" w:hAnsi="Times New Roman" w:cs="Times New Roman"/>
          <w:color w:val="000000" w:themeColor="text1"/>
          <w:szCs w:val="28"/>
        </w:rPr>
        <w:t xml:space="preserve">cenas. </w:t>
      </w:r>
    </w:p>
    <w:p w:rsidR="00221144" w:rsidRPr="00C25291" w:rsidRDefault="00221144" w:rsidP="00221144">
      <w:pPr>
        <w:pStyle w:val="PlainText"/>
        <w:spacing w:after="120"/>
        <w:rPr>
          <w:rFonts w:ascii="Times New Roman" w:eastAsia="Times New Roman" w:hAnsi="Times New Roman" w:cs="Times New Roman"/>
          <w:color w:val="000000" w:themeColor="text1"/>
          <w:szCs w:val="28"/>
          <w:lang w:eastAsia="lv-LV"/>
        </w:rPr>
      </w:pPr>
      <w:r w:rsidRPr="00C25291">
        <w:rPr>
          <w:rFonts w:ascii="Times New Roman" w:eastAsia="Times New Roman" w:hAnsi="Times New Roman" w:cs="Times New Roman"/>
          <w:color w:val="000000" w:themeColor="text1"/>
          <w:szCs w:val="28"/>
          <w:lang w:eastAsia="lv-LV"/>
        </w:rPr>
        <w:t xml:space="preserve">Ņemot vērā, ka elektroenerģijai konkrētajā ražošanas brīdī ir sava tirgus vērtība, kompensēta jeb subsidēta tiek starpība starp saražotās elektroenerģijas obligātā iepirkuma </w:t>
      </w:r>
      <w:r w:rsidR="00E94993" w:rsidRPr="00C25291">
        <w:rPr>
          <w:rFonts w:ascii="Times New Roman" w:eastAsia="Times New Roman" w:hAnsi="Times New Roman" w:cs="Times New Roman"/>
          <w:color w:val="000000" w:themeColor="text1"/>
          <w:szCs w:val="28"/>
          <w:lang w:eastAsia="lv-LV"/>
        </w:rPr>
        <w:t xml:space="preserve">cenu </w:t>
      </w:r>
      <w:r w:rsidRPr="00C25291">
        <w:rPr>
          <w:rFonts w:ascii="Times New Roman" w:eastAsia="Times New Roman" w:hAnsi="Times New Roman" w:cs="Times New Roman"/>
          <w:color w:val="000000" w:themeColor="text1"/>
          <w:szCs w:val="28"/>
          <w:lang w:eastAsia="lv-LV"/>
        </w:rPr>
        <w:t>un tirgus cenu</w:t>
      </w:r>
      <w:r w:rsidR="00E94993" w:rsidRPr="00C25291">
        <w:rPr>
          <w:rFonts w:ascii="Times New Roman" w:eastAsia="Times New Roman" w:hAnsi="Times New Roman" w:cs="Times New Roman"/>
          <w:color w:val="000000" w:themeColor="text1"/>
          <w:szCs w:val="28"/>
          <w:lang w:eastAsia="lv-LV"/>
        </w:rPr>
        <w:t>. T</w:t>
      </w:r>
      <w:r w:rsidRPr="00C25291">
        <w:rPr>
          <w:rFonts w:ascii="Times New Roman" w:eastAsia="Times New Roman" w:hAnsi="Times New Roman" w:cs="Times New Roman"/>
          <w:color w:val="000000" w:themeColor="text1"/>
          <w:szCs w:val="28"/>
          <w:lang w:eastAsia="lv-LV"/>
        </w:rPr>
        <w:t>as nodrošina</w:t>
      </w:r>
      <w:r w:rsidR="00E94993" w:rsidRPr="00C25291">
        <w:rPr>
          <w:rFonts w:ascii="Times New Roman" w:eastAsia="Times New Roman" w:hAnsi="Times New Roman" w:cs="Times New Roman"/>
          <w:color w:val="000000" w:themeColor="text1"/>
          <w:szCs w:val="28"/>
          <w:lang w:eastAsia="lv-LV"/>
        </w:rPr>
        <w:t xml:space="preserve"> elektroenerģijas ražotājam konkrētu iepirkuma cenu neatkarīgi no tirgus cenas.</w:t>
      </w:r>
      <w:r w:rsidRPr="00C25291">
        <w:rPr>
          <w:rFonts w:ascii="Times New Roman" w:eastAsia="Times New Roman" w:hAnsi="Times New Roman" w:cs="Times New Roman"/>
          <w:color w:val="000000" w:themeColor="text1"/>
          <w:szCs w:val="28"/>
          <w:lang w:eastAsia="lv-LV"/>
        </w:rPr>
        <w:t> </w:t>
      </w:r>
      <w:r w:rsidR="00E94993" w:rsidRPr="00C25291">
        <w:rPr>
          <w:rFonts w:ascii="Times New Roman" w:eastAsia="Times New Roman" w:hAnsi="Times New Roman" w:cs="Times New Roman"/>
          <w:color w:val="000000" w:themeColor="text1"/>
          <w:szCs w:val="28"/>
          <w:lang w:eastAsia="lv-LV"/>
        </w:rPr>
        <w:t xml:space="preserve">OIK </w:t>
      </w:r>
      <w:r w:rsidR="003F7466" w:rsidRPr="00C25291">
        <w:rPr>
          <w:rFonts w:ascii="Times New Roman" w:eastAsia="Times New Roman" w:hAnsi="Times New Roman" w:cs="Times New Roman"/>
          <w:color w:val="000000" w:themeColor="text1"/>
          <w:szCs w:val="28"/>
          <w:lang w:eastAsia="lv-LV"/>
        </w:rPr>
        <w:t xml:space="preserve">maksājumu </w:t>
      </w:r>
      <w:r w:rsidR="00E94993" w:rsidRPr="00C25291">
        <w:rPr>
          <w:rFonts w:ascii="Times New Roman" w:eastAsia="Times New Roman" w:hAnsi="Times New Roman" w:cs="Times New Roman"/>
          <w:color w:val="000000" w:themeColor="text1"/>
          <w:szCs w:val="28"/>
          <w:lang w:eastAsia="lv-LV"/>
        </w:rPr>
        <w:t xml:space="preserve">apmērs ir tieši saistīts ar elektroenerģijas cenu </w:t>
      </w:r>
      <w:r w:rsidR="009557C7" w:rsidRPr="00C25291">
        <w:rPr>
          <w:rFonts w:ascii="Times New Roman" w:hAnsi="Times New Roman" w:cs="Times New Roman"/>
          <w:color w:val="000000" w:themeColor="text1"/>
        </w:rPr>
        <w:t>elektroenerģijas biržā, jo augstāka ir elektroenerģijas cena elektroenerģijas biržā, jo mazāks par attiecīgo laika periodu būs OIK apmērs.</w:t>
      </w:r>
    </w:p>
    <w:p w:rsidR="00C66BFA" w:rsidRPr="001F57E9" w:rsidRDefault="00C66BFA" w:rsidP="001F57E9">
      <w:pPr>
        <w:pStyle w:val="Heading2"/>
        <w:numPr>
          <w:ilvl w:val="1"/>
          <w:numId w:val="23"/>
        </w:numPr>
        <w:spacing w:after="240"/>
        <w:ind w:left="1077"/>
        <w:rPr>
          <w:rFonts w:cs="Times New Roman"/>
        </w:rPr>
      </w:pPr>
      <w:bookmarkStart w:id="27" w:name="_Toc344901687"/>
      <w:bookmarkStart w:id="28" w:name="_Toc344901819"/>
      <w:bookmarkStart w:id="29" w:name="_Toc344907244"/>
      <w:r w:rsidRPr="001F57E9">
        <w:rPr>
          <w:rFonts w:cs="Times New Roman"/>
        </w:rPr>
        <w:t>Juridiskais ietvars</w:t>
      </w:r>
      <w:bookmarkEnd w:id="27"/>
      <w:bookmarkEnd w:id="28"/>
      <w:bookmarkEnd w:id="29"/>
    </w:p>
    <w:p w:rsidR="00DB709F" w:rsidRDefault="006C2E00" w:rsidP="006B14A9">
      <w:pPr>
        <w:spacing w:line="240" w:lineRule="auto"/>
        <w:rPr>
          <w:color w:val="000000"/>
          <w:szCs w:val="28"/>
        </w:rPr>
      </w:pPr>
      <w:r>
        <w:rPr>
          <w:color w:val="000000"/>
          <w:szCs w:val="28"/>
        </w:rPr>
        <w:t>Eiropadome 2007. </w:t>
      </w:r>
      <w:r w:rsidR="00B01D94" w:rsidRPr="00B01D94">
        <w:rPr>
          <w:color w:val="000000"/>
          <w:szCs w:val="28"/>
        </w:rPr>
        <w:t xml:space="preserve">gada marta sanāksmē atkārtoti apstiprināja </w:t>
      </w:r>
      <w:r w:rsidR="006B14A9">
        <w:rPr>
          <w:color w:val="000000"/>
          <w:szCs w:val="28"/>
        </w:rPr>
        <w:t xml:space="preserve">ES </w:t>
      </w:r>
      <w:r>
        <w:rPr>
          <w:color w:val="000000"/>
          <w:szCs w:val="28"/>
        </w:rPr>
        <w:t>saistības pēc 2010. </w:t>
      </w:r>
      <w:r w:rsidR="00B01D94" w:rsidRPr="00B01D94">
        <w:rPr>
          <w:color w:val="000000"/>
          <w:szCs w:val="28"/>
        </w:rPr>
        <w:t>gada ieviest enerģijas ražošanu no atjaunojamajiem energoresursiem</w:t>
      </w:r>
      <w:r w:rsidR="006B14A9">
        <w:rPr>
          <w:color w:val="000000"/>
          <w:szCs w:val="28"/>
        </w:rPr>
        <w:t xml:space="preserve">. Tā </w:t>
      </w:r>
      <w:r w:rsidR="00B01D94" w:rsidRPr="00B01D94">
        <w:rPr>
          <w:color w:val="000000"/>
          <w:szCs w:val="28"/>
        </w:rPr>
        <w:t>apstiprināja obligāto mē</w:t>
      </w:r>
      <w:r>
        <w:rPr>
          <w:color w:val="000000"/>
          <w:szCs w:val="28"/>
        </w:rPr>
        <w:t>rķi, saskaņā ar kuru līdz 2020. </w:t>
      </w:r>
      <w:r w:rsidR="00B01D94" w:rsidRPr="00B01D94">
        <w:rPr>
          <w:color w:val="000000"/>
          <w:szCs w:val="28"/>
        </w:rPr>
        <w:t xml:space="preserve">gadam jāpanāk 20% atjaunojamo energoresursu īpatsvars kopējā </w:t>
      </w:r>
      <w:r w:rsidR="006B14A9">
        <w:rPr>
          <w:color w:val="000000"/>
          <w:szCs w:val="28"/>
        </w:rPr>
        <w:t xml:space="preserve">ES </w:t>
      </w:r>
      <w:proofErr w:type="spellStart"/>
      <w:r w:rsidR="00B01D94" w:rsidRPr="00B01D94">
        <w:rPr>
          <w:color w:val="000000"/>
          <w:szCs w:val="28"/>
        </w:rPr>
        <w:t>energopatēriņā</w:t>
      </w:r>
      <w:proofErr w:type="spellEnd"/>
      <w:r w:rsidR="006B14A9">
        <w:rPr>
          <w:color w:val="000000"/>
          <w:szCs w:val="28"/>
        </w:rPr>
        <w:t xml:space="preserve">, kā arī norādīja, ka </w:t>
      </w:r>
      <w:r w:rsidR="00B01D94" w:rsidRPr="006B14A9">
        <w:rPr>
          <w:b/>
          <w:color w:val="000000"/>
          <w:szCs w:val="28"/>
        </w:rPr>
        <w:t>minētie mērķi jāsasniedz, izmantojot izmaksu efektīvus paņēmienus.</w:t>
      </w:r>
      <w:r w:rsidR="00B01D94">
        <w:rPr>
          <w:b/>
          <w:color w:val="000000"/>
          <w:szCs w:val="28"/>
        </w:rPr>
        <w:t xml:space="preserve"> </w:t>
      </w:r>
      <w:r w:rsidR="00990DA0">
        <w:rPr>
          <w:color w:val="000000"/>
          <w:szCs w:val="28"/>
        </w:rPr>
        <w:t xml:space="preserve">Latvijas pienākumu palielināt atjaunojamās enerģijas īpatsvaru kopējā enerģijas galapatēriņā </w:t>
      </w:r>
      <w:r w:rsidR="00B01D94">
        <w:rPr>
          <w:color w:val="000000"/>
          <w:szCs w:val="28"/>
        </w:rPr>
        <w:t xml:space="preserve">līdz 40% </w:t>
      </w:r>
      <w:r w:rsidR="00990DA0">
        <w:rPr>
          <w:color w:val="000000"/>
          <w:szCs w:val="28"/>
        </w:rPr>
        <w:t xml:space="preserve">nosaka Eiropas Parlamenta un Padomes </w:t>
      </w:r>
      <w:r w:rsidR="00990DA0" w:rsidRPr="00990DA0">
        <w:rPr>
          <w:color w:val="000000"/>
          <w:szCs w:val="28"/>
        </w:rPr>
        <w:t>Direktīva 2009/28/EK par atjaunojamo energoresursu izmantošanas veicināšanu un ar ko groza un sekojoši atceļ Direktīvas 2001/77/EK un 2003/30/EK</w:t>
      </w:r>
      <w:r w:rsidR="00990DA0">
        <w:rPr>
          <w:color w:val="000000"/>
          <w:szCs w:val="28"/>
        </w:rPr>
        <w:t xml:space="preserve"> (turpmāk - Direktīva 2009/28/EK). </w:t>
      </w:r>
    </w:p>
    <w:p w:rsidR="00085F48" w:rsidRDefault="00085F48" w:rsidP="006B14A9">
      <w:pPr>
        <w:pStyle w:val="Heading3"/>
        <w:numPr>
          <w:ilvl w:val="2"/>
          <w:numId w:val="23"/>
        </w:numPr>
      </w:pPr>
      <w:bookmarkStart w:id="30" w:name="_Toc344901688"/>
      <w:bookmarkStart w:id="31" w:name="_Toc344901820"/>
      <w:bookmarkStart w:id="32" w:name="_Toc344907245"/>
      <w:r>
        <w:t>Koģenerācijas stacijās saražotā elektroenerģija</w:t>
      </w:r>
      <w:bookmarkEnd w:id="30"/>
      <w:bookmarkEnd w:id="31"/>
      <w:bookmarkEnd w:id="32"/>
      <w:r>
        <w:t xml:space="preserve"> </w:t>
      </w:r>
    </w:p>
    <w:p w:rsidR="00395833" w:rsidRDefault="00395833" w:rsidP="00B01D94">
      <w:pPr>
        <w:spacing w:line="240" w:lineRule="auto"/>
        <w:rPr>
          <w:color w:val="000000"/>
          <w:szCs w:val="28"/>
        </w:rPr>
      </w:pPr>
      <w:r w:rsidRPr="00395833">
        <w:rPr>
          <w:color w:val="000000"/>
          <w:szCs w:val="28"/>
        </w:rPr>
        <w:t>MK noteikumi Nr.221 regulē koģenerācijas procesā saražotās elektroenerģijas obligāto iepirkumu par noteiktu cenu, kā arī tiesības uz garantētas maksas par koģenerācijas elektrostacijā uzstādīto elektrisko jaudu saņemšanu. 2010.</w:t>
      </w:r>
      <w:r w:rsidR="006C2E00">
        <w:rPr>
          <w:color w:val="000000"/>
          <w:szCs w:val="28"/>
        </w:rPr>
        <w:t> </w:t>
      </w:r>
      <w:r w:rsidRPr="00395833">
        <w:rPr>
          <w:color w:val="000000"/>
          <w:szCs w:val="28"/>
        </w:rPr>
        <w:t>gadā ar Ministru kabineta 2010.</w:t>
      </w:r>
      <w:r w:rsidR="006C2E00">
        <w:rPr>
          <w:color w:val="000000"/>
          <w:szCs w:val="28"/>
        </w:rPr>
        <w:t> </w:t>
      </w:r>
      <w:r w:rsidRPr="00395833">
        <w:rPr>
          <w:color w:val="000000"/>
          <w:szCs w:val="28"/>
        </w:rPr>
        <w:t>gada 7.</w:t>
      </w:r>
      <w:r w:rsidR="006C2E00">
        <w:rPr>
          <w:color w:val="000000"/>
          <w:szCs w:val="28"/>
        </w:rPr>
        <w:t> </w:t>
      </w:r>
      <w:r w:rsidRPr="00395833">
        <w:rPr>
          <w:color w:val="000000"/>
          <w:szCs w:val="28"/>
        </w:rPr>
        <w:t>septembra noteikumiem Nr.841 tika izdarīti grozījumi MK noteikumos Nr.221, nosakot, ka no 2010.</w:t>
      </w:r>
      <w:r w:rsidR="006C2E00">
        <w:rPr>
          <w:color w:val="000000"/>
          <w:szCs w:val="28"/>
        </w:rPr>
        <w:t> </w:t>
      </w:r>
      <w:r w:rsidRPr="00395833">
        <w:rPr>
          <w:color w:val="000000"/>
          <w:szCs w:val="28"/>
        </w:rPr>
        <w:t>gada 1.</w:t>
      </w:r>
      <w:r w:rsidR="006C2E00">
        <w:rPr>
          <w:color w:val="000000"/>
          <w:szCs w:val="28"/>
        </w:rPr>
        <w:t> </w:t>
      </w:r>
      <w:r w:rsidRPr="00395833">
        <w:rPr>
          <w:color w:val="000000"/>
          <w:szCs w:val="28"/>
        </w:rPr>
        <w:t xml:space="preserve">novembra pretendēt uz tiesību iegūšanu pārdot koģenerācijā saražoto elektroenerģiju obligātā iepirkuma ietvaros vai garantētas maksas </w:t>
      </w:r>
      <w:r w:rsidRPr="00395833">
        <w:rPr>
          <w:color w:val="000000"/>
          <w:szCs w:val="28"/>
        </w:rPr>
        <w:lastRenderedPageBreak/>
        <w:t xml:space="preserve">saņemšanai par uzstādīto elektrisko jaudu var tikai komersanti, kuri elektroenerģijas ražošanai izmanto vai plāno izmantot AER. Līdz tam uz atbalstu obligātā iepirkuma veidā varēja pretendēt arī augstas efektivitātes koģenerācijas elektrostacijas, kas enerģijas ražošanai izmanto fosilos energoresursus. </w:t>
      </w:r>
      <w:r w:rsidR="00DF765A">
        <w:rPr>
          <w:color w:val="000000"/>
          <w:szCs w:val="28"/>
        </w:rPr>
        <w:t xml:space="preserve">Taču </w:t>
      </w:r>
      <w:r w:rsidRPr="00395833">
        <w:rPr>
          <w:color w:val="000000"/>
          <w:szCs w:val="28"/>
        </w:rPr>
        <w:t>pieprasījums pēc atbalsta koģenerācijas staciju attīstībai, kas plāno izmantot dabasgāzi, paredzot staciju attīstību pārsvarā reģionos ar attīstītu dabas gāzes apgādes infrastruktūru</w:t>
      </w:r>
      <w:r w:rsidR="006B14A9">
        <w:rPr>
          <w:color w:val="000000"/>
          <w:szCs w:val="28"/>
        </w:rPr>
        <w:t xml:space="preserve">, bija nesamērīgi liels. </w:t>
      </w:r>
      <w:r w:rsidR="00E72F4E" w:rsidRPr="00E72F4E">
        <w:rPr>
          <w:color w:val="000000"/>
          <w:szCs w:val="28"/>
        </w:rPr>
        <w:t>Dabasgāzes koģenerācijas stacijas, kuras līdz 2010.</w:t>
      </w:r>
      <w:r w:rsidR="006C2E00">
        <w:rPr>
          <w:color w:val="000000"/>
          <w:szCs w:val="28"/>
        </w:rPr>
        <w:t> </w:t>
      </w:r>
      <w:r w:rsidR="00E72F4E" w:rsidRPr="00E72F4E">
        <w:rPr>
          <w:color w:val="000000"/>
          <w:szCs w:val="28"/>
        </w:rPr>
        <w:t>gada 31.</w:t>
      </w:r>
      <w:r w:rsidR="006C2E00">
        <w:rPr>
          <w:color w:val="000000"/>
          <w:szCs w:val="28"/>
        </w:rPr>
        <w:t> </w:t>
      </w:r>
      <w:r w:rsidR="00E72F4E" w:rsidRPr="00E72F4E">
        <w:rPr>
          <w:color w:val="000000"/>
          <w:szCs w:val="28"/>
        </w:rPr>
        <w:t xml:space="preserve">oktobrim jau bija ieguvušas obligātā iepirkuma tiesības, saglabāja iepriekšējos elektroenerģijas pārdošanas nosacījumus un cenas aprēķina principus. </w:t>
      </w:r>
      <w:r w:rsidR="00E72F4E">
        <w:rPr>
          <w:color w:val="000000"/>
          <w:szCs w:val="28"/>
        </w:rPr>
        <w:t xml:space="preserve"> </w:t>
      </w:r>
      <w:r w:rsidRPr="00395833">
        <w:rPr>
          <w:color w:val="000000"/>
          <w:szCs w:val="28"/>
        </w:rPr>
        <w:t>Ņemot vērā atšķirīgās izmaksas koģenerācijas stacijām, kas izmanto dabasgāzi un kas izmanto AER, atbalsts dabasgāzei būtiski ierobežoja tādu projektu attīstību, kas enerģijas ražošanai izmantotu AER. Pašlaik MK noteikumi Nr.221 neparedz jaunu koģenerācijas staciju atbalstu līdz 2016.</w:t>
      </w:r>
      <w:r w:rsidR="006C2E00">
        <w:rPr>
          <w:color w:val="000000"/>
          <w:szCs w:val="28"/>
        </w:rPr>
        <w:t> </w:t>
      </w:r>
      <w:r w:rsidRPr="00395833">
        <w:rPr>
          <w:color w:val="000000"/>
          <w:szCs w:val="28"/>
        </w:rPr>
        <w:t>gadam.</w:t>
      </w:r>
    </w:p>
    <w:p w:rsidR="00553CC9" w:rsidRDefault="00085F48" w:rsidP="00B01D94">
      <w:pPr>
        <w:spacing w:line="240" w:lineRule="auto"/>
        <w:rPr>
          <w:color w:val="000000"/>
          <w:szCs w:val="28"/>
        </w:rPr>
      </w:pPr>
      <w:r>
        <w:rPr>
          <w:color w:val="000000"/>
          <w:szCs w:val="28"/>
        </w:rPr>
        <w:t>Pirmais tiesiskais regulējums šajā sfērā, kas nosaka atbalstu</w:t>
      </w:r>
      <w:r w:rsidR="00DF765A">
        <w:rPr>
          <w:color w:val="000000"/>
          <w:szCs w:val="28"/>
        </w:rPr>
        <w:t xml:space="preserve"> koģenerācijas stacijās ražotās elektroenerģijas pārpalikuma iepirkumam, tika izdots 1998.</w:t>
      </w:r>
      <w:r w:rsidR="006C2E00">
        <w:rPr>
          <w:color w:val="000000"/>
          <w:szCs w:val="28"/>
        </w:rPr>
        <w:t> </w:t>
      </w:r>
      <w:r w:rsidR="00DF765A">
        <w:rPr>
          <w:color w:val="000000"/>
          <w:szCs w:val="28"/>
        </w:rPr>
        <w:t>gada sākumā atsevišķām stacijām, proti, „</w:t>
      </w:r>
      <w:proofErr w:type="spellStart"/>
      <w:r w:rsidR="00DF765A">
        <w:rPr>
          <w:color w:val="000000"/>
          <w:szCs w:val="28"/>
        </w:rPr>
        <w:t>Edon</w:t>
      </w:r>
      <w:proofErr w:type="spellEnd"/>
      <w:r w:rsidR="00DF765A">
        <w:rPr>
          <w:color w:val="000000"/>
          <w:szCs w:val="28"/>
        </w:rPr>
        <w:t xml:space="preserve"> Latvia” un „Vangažu namsaimnieks”</w:t>
      </w:r>
      <w:r w:rsidR="00BA475F">
        <w:rPr>
          <w:color w:val="000000"/>
          <w:szCs w:val="28"/>
        </w:rPr>
        <w:t xml:space="preserve">, kā arī obligātais iepirkums tika paredzēts Rīgas atkritumu izgāztuves projekta ietvaros. Pirmais vispārējais regulējums tika noteikts ar </w:t>
      </w:r>
      <w:r>
        <w:rPr>
          <w:color w:val="000000"/>
          <w:szCs w:val="28"/>
        </w:rPr>
        <w:t>1998.</w:t>
      </w:r>
      <w:r w:rsidR="006C2E00">
        <w:rPr>
          <w:color w:val="000000"/>
          <w:szCs w:val="28"/>
        </w:rPr>
        <w:t> </w:t>
      </w:r>
      <w:r>
        <w:rPr>
          <w:color w:val="000000"/>
          <w:szCs w:val="28"/>
        </w:rPr>
        <w:t>gada 31.</w:t>
      </w:r>
      <w:r w:rsidR="006C2E00">
        <w:rPr>
          <w:color w:val="000000"/>
          <w:szCs w:val="28"/>
        </w:rPr>
        <w:t> </w:t>
      </w:r>
      <w:r>
        <w:rPr>
          <w:color w:val="000000"/>
          <w:szCs w:val="28"/>
        </w:rPr>
        <w:t>oktobra M</w:t>
      </w:r>
      <w:r w:rsidR="006C2E00">
        <w:rPr>
          <w:color w:val="000000"/>
          <w:szCs w:val="28"/>
        </w:rPr>
        <w:t>inistru kabineta</w:t>
      </w:r>
      <w:r>
        <w:rPr>
          <w:color w:val="000000"/>
          <w:szCs w:val="28"/>
        </w:rPr>
        <w:t xml:space="preserve"> noteikumi</w:t>
      </w:r>
      <w:r w:rsidR="00BA475F">
        <w:rPr>
          <w:color w:val="000000"/>
          <w:szCs w:val="28"/>
        </w:rPr>
        <w:t>em</w:t>
      </w:r>
      <w:r>
        <w:rPr>
          <w:color w:val="000000"/>
          <w:szCs w:val="28"/>
        </w:rPr>
        <w:t xml:space="preserve"> </w:t>
      </w:r>
      <w:proofErr w:type="spellStart"/>
      <w:r>
        <w:rPr>
          <w:color w:val="000000"/>
          <w:szCs w:val="28"/>
        </w:rPr>
        <w:t>Nr</w:t>
      </w:r>
      <w:proofErr w:type="spellEnd"/>
      <w:r>
        <w:rPr>
          <w:color w:val="000000"/>
          <w:szCs w:val="28"/>
        </w:rPr>
        <w:t xml:space="preserve">. 425 „Koģenerācijas stacijās saražotās elektroenerģijas pārpalikuma iepirkšanas kārtība”. Saskaņā ar šiem noteikumiem elektroenerģijas pārpalikuma tarifs tika noteikts izmantojot tādus kritērijus kā ražošanas tehnoloģiskajā procesā izmantotā kurināmā veids un elektroenerģijas </w:t>
      </w:r>
      <w:r w:rsidR="009F4373">
        <w:rPr>
          <w:color w:val="000000"/>
          <w:szCs w:val="28"/>
        </w:rPr>
        <w:t>vidējā realizācijas tarifa vērtība. No koģenerācijas stacijām ar elektrisko jaudu vir</w:t>
      </w:r>
      <w:r w:rsidR="006C2E00">
        <w:rPr>
          <w:color w:val="000000"/>
          <w:szCs w:val="28"/>
        </w:rPr>
        <w:t>s</w:t>
      </w:r>
      <w:r w:rsidR="009F4373">
        <w:rPr>
          <w:color w:val="000000"/>
          <w:szCs w:val="28"/>
        </w:rPr>
        <w:t xml:space="preserve"> četriem megavatiem elektroenerģijas pārpalikumu iepirka pēc ekonomiskā pakāpeniskuma principa</w:t>
      </w:r>
      <w:r w:rsidR="009F4373">
        <w:rPr>
          <w:rStyle w:val="FootnoteReference"/>
          <w:color w:val="000000"/>
          <w:szCs w:val="28"/>
        </w:rPr>
        <w:footnoteReference w:id="2"/>
      </w:r>
      <w:r w:rsidR="009F4373">
        <w:rPr>
          <w:color w:val="000000"/>
          <w:szCs w:val="28"/>
        </w:rPr>
        <w:t>.</w:t>
      </w:r>
      <w:r w:rsidR="008C0A9D">
        <w:rPr>
          <w:color w:val="000000"/>
          <w:szCs w:val="28"/>
        </w:rPr>
        <w:t xml:space="preserve"> Papildus nosacījumi ir iestrādāti 2002.</w:t>
      </w:r>
      <w:r w:rsidR="006C2E00">
        <w:rPr>
          <w:color w:val="000000"/>
          <w:szCs w:val="28"/>
        </w:rPr>
        <w:t> </w:t>
      </w:r>
      <w:r w:rsidR="008C0A9D">
        <w:rPr>
          <w:color w:val="000000"/>
          <w:szCs w:val="28"/>
        </w:rPr>
        <w:t>gada 8.</w:t>
      </w:r>
      <w:r w:rsidR="006C2E00">
        <w:rPr>
          <w:color w:val="000000"/>
          <w:szCs w:val="28"/>
        </w:rPr>
        <w:t> </w:t>
      </w:r>
      <w:r w:rsidR="008C0A9D">
        <w:rPr>
          <w:color w:val="000000"/>
          <w:szCs w:val="28"/>
        </w:rPr>
        <w:t>janvāra M</w:t>
      </w:r>
      <w:r w:rsidR="006C2E00">
        <w:rPr>
          <w:color w:val="000000"/>
          <w:szCs w:val="28"/>
        </w:rPr>
        <w:t>inistru kabineta</w:t>
      </w:r>
      <w:r w:rsidR="008C0A9D">
        <w:rPr>
          <w:color w:val="000000"/>
          <w:szCs w:val="28"/>
        </w:rPr>
        <w:t xml:space="preserve"> noteikumos Nr.9 „</w:t>
      </w:r>
      <w:r w:rsidR="00771703">
        <w:rPr>
          <w:color w:val="000000"/>
          <w:szCs w:val="28"/>
        </w:rPr>
        <w:t>P</w:t>
      </w:r>
      <w:r w:rsidR="008C0A9D">
        <w:rPr>
          <w:color w:val="000000"/>
          <w:szCs w:val="28"/>
        </w:rPr>
        <w:t>rasības koģenerācijas stacijām un kārtība, kādā nosakāma saražotās elektroenerģijas pārpalikuma iepirkšanas cena”. Kritēriji cenas noteikšanai īpaši nemainījās. K</w:t>
      </w:r>
      <w:r w:rsidR="008C0A9D" w:rsidRPr="008C0A9D">
        <w:rPr>
          <w:color w:val="000000"/>
          <w:szCs w:val="28"/>
        </w:rPr>
        <w:t>oģenerācijas stacijām ar elektrisko jaudu vairāk par četriem megavatiem elektroenerģijas pārpalikum</w:t>
      </w:r>
      <w:r w:rsidR="008C0A9D">
        <w:rPr>
          <w:color w:val="000000"/>
          <w:szCs w:val="28"/>
        </w:rPr>
        <w:t>a cenu noteica regulators, ja attiecīgā stacija to pieprasīja. Cita starpā sistēmas izmaksu optimizācijai tika paredzēts, ka sistēmas operators elektrības pārpalikuma periodos var uz savstarpēji izdevīgiem nosacījumiem vienoties ar koģenerācijas stacijām par to izstrādes samazināšanu.</w:t>
      </w:r>
      <w:r>
        <w:rPr>
          <w:color w:val="000000"/>
          <w:szCs w:val="28"/>
        </w:rPr>
        <w:t xml:space="preserve"> </w:t>
      </w:r>
      <w:r w:rsidR="008C0A9D">
        <w:rPr>
          <w:color w:val="000000"/>
          <w:szCs w:val="28"/>
        </w:rPr>
        <w:t>Pēc Elektroenerģijas tirgus likuma spēkā stāšanās atkal tika izstrādāti jauni noteikumi – 2006.</w:t>
      </w:r>
      <w:r w:rsidR="006C2E00">
        <w:rPr>
          <w:color w:val="000000"/>
          <w:szCs w:val="28"/>
        </w:rPr>
        <w:t> </w:t>
      </w:r>
      <w:r w:rsidR="008C0A9D">
        <w:rPr>
          <w:color w:val="000000"/>
          <w:szCs w:val="28"/>
        </w:rPr>
        <w:t>gada 6.</w:t>
      </w:r>
      <w:r w:rsidR="006C2E00">
        <w:rPr>
          <w:color w:val="000000"/>
          <w:szCs w:val="28"/>
        </w:rPr>
        <w:t> </w:t>
      </w:r>
      <w:r w:rsidR="008C0A9D">
        <w:rPr>
          <w:color w:val="000000"/>
          <w:szCs w:val="28"/>
        </w:rPr>
        <w:t>novembra M</w:t>
      </w:r>
      <w:r w:rsidR="006C2E00">
        <w:rPr>
          <w:color w:val="000000"/>
          <w:szCs w:val="28"/>
        </w:rPr>
        <w:t>inistru kabineta noteikumi Nr.</w:t>
      </w:r>
      <w:r w:rsidR="008C0A9D">
        <w:rPr>
          <w:color w:val="000000"/>
          <w:szCs w:val="28"/>
        </w:rPr>
        <w:t xml:space="preserve">921 „Noteikumi par elektroenerģijas ražošanu koģenerācijā”, kas paredzēja sīkāku regulējumu koģenerācijas stacijām, tajā </w:t>
      </w:r>
      <w:r w:rsidR="008C0A9D">
        <w:rPr>
          <w:color w:val="000000"/>
          <w:szCs w:val="28"/>
        </w:rPr>
        <w:lastRenderedPageBreak/>
        <w:t>skaitā efektivitātes kritēriju</w:t>
      </w:r>
      <w:r w:rsidR="00EE3074">
        <w:rPr>
          <w:color w:val="000000"/>
          <w:szCs w:val="28"/>
        </w:rPr>
        <w:t>s</w:t>
      </w:r>
      <w:r w:rsidR="008C0A9D">
        <w:rPr>
          <w:color w:val="000000"/>
          <w:szCs w:val="28"/>
        </w:rPr>
        <w:t xml:space="preserve">, vienlaikus </w:t>
      </w:r>
      <w:r w:rsidR="00EE3074">
        <w:rPr>
          <w:color w:val="000000"/>
          <w:szCs w:val="28"/>
        </w:rPr>
        <w:t xml:space="preserve">tieši proporcionāli </w:t>
      </w:r>
      <w:r w:rsidR="008C0A9D">
        <w:rPr>
          <w:color w:val="000000"/>
          <w:szCs w:val="28"/>
        </w:rPr>
        <w:t xml:space="preserve">piesaistot </w:t>
      </w:r>
      <w:r w:rsidR="00EE3074">
        <w:rPr>
          <w:color w:val="000000"/>
          <w:szCs w:val="28"/>
        </w:rPr>
        <w:t>koģenerācijā saražotās elektroenerģijas cenu pie regulatora apstiprināta dabasgāzes tirdzniecības gala tarifa.</w:t>
      </w:r>
      <w:r w:rsidR="008C0A9D">
        <w:rPr>
          <w:color w:val="000000"/>
          <w:szCs w:val="28"/>
        </w:rPr>
        <w:t xml:space="preserve"> </w:t>
      </w:r>
      <w:r w:rsidR="00601F3F" w:rsidRPr="002A1DC7">
        <w:rPr>
          <w:color w:val="000000"/>
          <w:szCs w:val="28"/>
        </w:rPr>
        <w:t>Ministru kabineta</w:t>
      </w:r>
      <w:r w:rsidR="00601F3F">
        <w:rPr>
          <w:color w:val="000000"/>
          <w:szCs w:val="28"/>
        </w:rPr>
        <w:t xml:space="preserve"> 2010. gada 16. marta noteikumi</w:t>
      </w:r>
      <w:r w:rsidR="00601F3F" w:rsidRPr="002A1DC7">
        <w:rPr>
          <w:color w:val="000000"/>
          <w:szCs w:val="28"/>
        </w:rPr>
        <w:t xml:space="preserve"> Nr.262</w:t>
      </w:r>
      <w:r w:rsidR="00601F3F">
        <w:rPr>
          <w:color w:val="000000"/>
          <w:szCs w:val="28"/>
        </w:rPr>
        <w:t xml:space="preserve"> </w:t>
      </w:r>
      <w:r w:rsidR="00601F3F" w:rsidRPr="002A1DC7">
        <w:rPr>
          <w:color w:val="000000"/>
          <w:szCs w:val="28"/>
        </w:rPr>
        <w:t>„</w:t>
      </w:r>
      <w:r w:rsidR="00601F3F" w:rsidRPr="002A1DC7">
        <w:rPr>
          <w:bCs/>
          <w:color w:val="000000"/>
          <w:szCs w:val="28"/>
        </w:rPr>
        <w:t>Noteikumi par elektroenerģijas ražošanu, izmantojot atjaunojamos energoresursus, un cenu noteikšanas kārtību</w:t>
      </w:r>
      <w:r w:rsidR="00601F3F" w:rsidRPr="002A1DC7">
        <w:rPr>
          <w:color w:val="000000"/>
          <w:szCs w:val="28"/>
        </w:rPr>
        <w:t>” (turpmāk – MK noteikumi Nr.262)</w:t>
      </w:r>
      <w:r w:rsidR="00601F3F">
        <w:rPr>
          <w:color w:val="000000"/>
          <w:szCs w:val="28"/>
        </w:rPr>
        <w:t xml:space="preserve"> </w:t>
      </w:r>
      <w:r w:rsidR="00EE3074">
        <w:rPr>
          <w:color w:val="000000"/>
          <w:szCs w:val="28"/>
        </w:rPr>
        <w:t>vēl papildina iepriekšējos noteikumus paredzot, ka no k</w:t>
      </w:r>
      <w:r w:rsidR="00EE3074" w:rsidRPr="00EE3074">
        <w:rPr>
          <w:color w:val="000000"/>
          <w:szCs w:val="28"/>
        </w:rPr>
        <w:t>oģenerācijas stacijām ar elektrisko jaudu vairāk par četriem megavatiem</w:t>
      </w:r>
      <w:r w:rsidR="00EE3074">
        <w:rPr>
          <w:color w:val="000000"/>
          <w:szCs w:val="28"/>
        </w:rPr>
        <w:t xml:space="preserve"> elektroenerģijas iepirkuma cenu nosaka izmantojot enerģijas komponenti un jaudas komponenti. Enerģijas komponenti aizvien ir atkarīga no dabasgāzes tirdzniecības gala tarifa atbilstoši dabasgāzes patēriņa apjomiem. Jaudas komponente ir atkarīga no </w:t>
      </w:r>
      <w:r w:rsidR="00553CC9">
        <w:rPr>
          <w:color w:val="000000"/>
          <w:szCs w:val="28"/>
        </w:rPr>
        <w:t>uzstādītās elektriskās jaudas, kapitāla atdeves korekcijas koeficienta (k=1, ja stacija iepriekšējā gadā nav strādājusi mazāk par 3000 stundām) un atsevišķām konstantēm. Komersants var iegūt tiesības tikai saņemt maksu par uzstādīto jaudu, taču pārvades sistēmas operatoram ir jākontrolē jaudu pieejamība. Praktiski kopš 1998.</w:t>
      </w:r>
      <w:r w:rsidR="00601F3F">
        <w:rPr>
          <w:color w:val="000000"/>
          <w:szCs w:val="28"/>
        </w:rPr>
        <w:t> </w:t>
      </w:r>
      <w:r w:rsidR="00553CC9">
        <w:rPr>
          <w:color w:val="000000"/>
          <w:szCs w:val="28"/>
        </w:rPr>
        <w:t xml:space="preserve">gada visvairāk regulējums ir mainījies </w:t>
      </w:r>
      <w:r w:rsidR="00553CC9" w:rsidRPr="00553CC9">
        <w:rPr>
          <w:color w:val="000000"/>
          <w:szCs w:val="28"/>
        </w:rPr>
        <w:t>koģenerācijas stacijām ar elektrisko jaudu vairāk par četriem megavatiem</w:t>
      </w:r>
      <w:r w:rsidR="00553CC9">
        <w:rPr>
          <w:color w:val="000000"/>
          <w:szCs w:val="28"/>
        </w:rPr>
        <w:t xml:space="preserve">. </w:t>
      </w:r>
    </w:p>
    <w:p w:rsidR="002D6C7C" w:rsidRDefault="002D6C7C" w:rsidP="006B14A9">
      <w:pPr>
        <w:pStyle w:val="Heading3"/>
      </w:pPr>
      <w:bookmarkStart w:id="33" w:name="_Toc344901689"/>
      <w:bookmarkStart w:id="34" w:name="_Toc344901821"/>
      <w:bookmarkStart w:id="35" w:name="_Toc344907246"/>
      <w:r>
        <w:t>4.1.2. Elektroenerģijas ražošana, izmantojot atjaunojamos energoresursus</w:t>
      </w:r>
      <w:bookmarkEnd w:id="33"/>
      <w:bookmarkEnd w:id="34"/>
      <w:bookmarkEnd w:id="35"/>
      <w:r>
        <w:t xml:space="preserve"> </w:t>
      </w:r>
    </w:p>
    <w:p w:rsidR="002C29CA" w:rsidRPr="00C66BFA" w:rsidRDefault="00DE35A5" w:rsidP="00C66BFA">
      <w:pPr>
        <w:spacing w:line="240" w:lineRule="auto"/>
        <w:rPr>
          <w:szCs w:val="28"/>
        </w:rPr>
      </w:pPr>
      <w:r w:rsidRPr="002A1DC7">
        <w:rPr>
          <w:color w:val="000000"/>
          <w:szCs w:val="28"/>
        </w:rPr>
        <w:t>MK noteikumi Nr.262</w:t>
      </w:r>
      <w:r w:rsidR="003F7466">
        <w:rPr>
          <w:color w:val="000000"/>
          <w:szCs w:val="28"/>
        </w:rPr>
        <w:t xml:space="preserve"> </w:t>
      </w:r>
      <w:r w:rsidR="002C29CA" w:rsidRPr="00C66BFA">
        <w:rPr>
          <w:szCs w:val="28"/>
        </w:rPr>
        <w:t xml:space="preserve">ietver nosacījumus elektroenerģijas ražotājiem tiesību iegūšanai pārdot no AER saražoto elektroenerģiju obligātā iepirkuma ietvaros. Noteikumi paredz, ka komersantiem, kas elektroenerģiju ražo vai plāno ražot vēja, biomasas, biogāzes vai saules elektrostacijās, ir jāpiedalās Ekonomikas ministrijas rīkotajos konkursos. Lai kvalificētos tiesību iegūšanai pārdot hidroelektrostacijās saražoto elektroenerģiju obligātā iepirkuma ietvaros, komersants iesniedz ministrijā attiecīgu iesniegumu. Konkurss hidroelektrostacijām netiek rīkots. Šobrīd </w:t>
      </w:r>
      <w:r w:rsidR="00031E9C">
        <w:rPr>
          <w:szCs w:val="28"/>
        </w:rPr>
        <w:t>MK n</w:t>
      </w:r>
      <w:r w:rsidR="003545A9">
        <w:rPr>
          <w:szCs w:val="28"/>
        </w:rPr>
        <w:t>oteikumi Nr.</w:t>
      </w:r>
      <w:r w:rsidR="002C29CA" w:rsidRPr="00C66BFA">
        <w:rPr>
          <w:szCs w:val="28"/>
        </w:rPr>
        <w:t>262 paredz, ka no 2011.</w:t>
      </w:r>
      <w:r w:rsidR="00601F3F">
        <w:rPr>
          <w:szCs w:val="28"/>
        </w:rPr>
        <w:t> </w:t>
      </w:r>
      <w:r w:rsidR="002C29CA" w:rsidRPr="00C66BFA">
        <w:rPr>
          <w:szCs w:val="28"/>
        </w:rPr>
        <w:t>gada 26.</w:t>
      </w:r>
      <w:r w:rsidR="00601F3F">
        <w:rPr>
          <w:szCs w:val="28"/>
        </w:rPr>
        <w:t> </w:t>
      </w:r>
      <w:r w:rsidR="002C29CA" w:rsidRPr="00C66BFA">
        <w:rPr>
          <w:szCs w:val="28"/>
        </w:rPr>
        <w:t>maija līdz 2016.</w:t>
      </w:r>
      <w:r w:rsidR="00601F3F">
        <w:rPr>
          <w:szCs w:val="28"/>
        </w:rPr>
        <w:t> </w:t>
      </w:r>
      <w:r w:rsidR="002C29CA" w:rsidRPr="00C66BFA">
        <w:rPr>
          <w:szCs w:val="28"/>
        </w:rPr>
        <w:t>gada 1.</w:t>
      </w:r>
      <w:r w:rsidR="00601F3F">
        <w:rPr>
          <w:szCs w:val="28"/>
        </w:rPr>
        <w:t> </w:t>
      </w:r>
      <w:r w:rsidR="002C29CA" w:rsidRPr="00C66BFA">
        <w:rPr>
          <w:szCs w:val="28"/>
        </w:rPr>
        <w:t xml:space="preserve">janvārim ministrija neorganizē konkursus par tiesību iegūšanu pārdot biomasas, biogāzes, saules vai vēja elektrostacijās saražoto elektroenerģiju obligātā iepirkuma ietvaros, un ražotājs nevar kvalificēties elektroenerģijas pārdošanai obligātā iepirkuma ietvaros un tiesību iegūšanai saņemt garantētu maksu par uzstādīto elektrisko jaudu. Šāds tiesiskais regulējums ir ieviests kā pārejas regulējums </w:t>
      </w:r>
      <w:r w:rsidR="00395833">
        <w:rPr>
          <w:szCs w:val="28"/>
        </w:rPr>
        <w:t xml:space="preserve">lai izvērtētu līdzšinējā atbalsta iespējamo ietekmi uz elektroenerģijas kopējo cenu un izstrādātu </w:t>
      </w:r>
      <w:r w:rsidR="002C29CA" w:rsidRPr="00C66BFA">
        <w:rPr>
          <w:szCs w:val="28"/>
        </w:rPr>
        <w:t>jaun</w:t>
      </w:r>
      <w:r w:rsidR="00395833">
        <w:rPr>
          <w:szCs w:val="28"/>
        </w:rPr>
        <w:t>u</w:t>
      </w:r>
      <w:r w:rsidR="002C29CA" w:rsidRPr="00C66BFA">
        <w:rPr>
          <w:szCs w:val="28"/>
        </w:rPr>
        <w:t xml:space="preserve"> atbalsta mehānism</w:t>
      </w:r>
      <w:r w:rsidR="00395833">
        <w:rPr>
          <w:szCs w:val="28"/>
        </w:rPr>
        <w:t>u.</w:t>
      </w:r>
    </w:p>
    <w:p w:rsidR="00BA475F" w:rsidRDefault="00BA475F" w:rsidP="00BA475F">
      <w:pPr>
        <w:spacing w:line="240" w:lineRule="auto"/>
        <w:rPr>
          <w:szCs w:val="28"/>
        </w:rPr>
      </w:pPr>
      <w:r>
        <w:rPr>
          <w:szCs w:val="28"/>
        </w:rPr>
        <w:t xml:space="preserve">Vēsturiski pirmie atbalsti tika piešķirti </w:t>
      </w:r>
      <w:r w:rsidRPr="00BA475F">
        <w:rPr>
          <w:szCs w:val="28"/>
        </w:rPr>
        <w:t>ievērojot Enerģētikas likum</w:t>
      </w:r>
      <w:r w:rsidR="00E14005">
        <w:rPr>
          <w:szCs w:val="28"/>
        </w:rPr>
        <w:t>a</w:t>
      </w:r>
      <w:r w:rsidRPr="00BA475F">
        <w:rPr>
          <w:szCs w:val="28"/>
        </w:rPr>
        <w:t xml:space="preserve"> 40.pantu</w:t>
      </w:r>
      <w:r w:rsidR="008607EC">
        <w:rPr>
          <w:rStyle w:val="FootnoteReference"/>
          <w:szCs w:val="28"/>
        </w:rPr>
        <w:footnoteReference w:id="3"/>
      </w:r>
      <w:r w:rsidRPr="00BA475F">
        <w:rPr>
          <w:szCs w:val="28"/>
        </w:rPr>
        <w:t xml:space="preserve">, kas </w:t>
      </w:r>
      <w:r>
        <w:rPr>
          <w:szCs w:val="28"/>
        </w:rPr>
        <w:t xml:space="preserve">noteic, </w:t>
      </w:r>
      <w:r w:rsidR="00E14005">
        <w:rPr>
          <w:szCs w:val="28"/>
        </w:rPr>
        <w:t xml:space="preserve">ka </w:t>
      </w:r>
      <w:r w:rsidRPr="00BA475F">
        <w:rPr>
          <w:szCs w:val="28"/>
        </w:rPr>
        <w:t>no mazām hidroelektrostacijām</w:t>
      </w:r>
      <w:r>
        <w:rPr>
          <w:szCs w:val="28"/>
        </w:rPr>
        <w:t xml:space="preserve"> un </w:t>
      </w:r>
      <w:r w:rsidRPr="00BA475F">
        <w:rPr>
          <w:szCs w:val="28"/>
        </w:rPr>
        <w:t>vēja elektrostacijām, kuru jauda nepārsniedz divus megavatus, un saules energoiekārtām, ja šo staciju un iekārtu ekspluatācija uzsākta līdz 2005.</w:t>
      </w:r>
      <w:r w:rsidR="00601F3F">
        <w:rPr>
          <w:szCs w:val="28"/>
        </w:rPr>
        <w:t> </w:t>
      </w:r>
      <w:r w:rsidRPr="00BA475F">
        <w:rPr>
          <w:szCs w:val="28"/>
        </w:rPr>
        <w:t>gada 1.</w:t>
      </w:r>
      <w:r w:rsidR="00601F3F">
        <w:rPr>
          <w:szCs w:val="28"/>
        </w:rPr>
        <w:t> </w:t>
      </w:r>
      <w:r w:rsidRPr="00BA475F">
        <w:rPr>
          <w:szCs w:val="28"/>
        </w:rPr>
        <w:t xml:space="preserve">janvārim, to saražotās elektroenerģijas pārpalikumu, astoņus gadus no attiecīgās elektrostacijas </w:t>
      </w:r>
      <w:r w:rsidRPr="00BA475F">
        <w:rPr>
          <w:szCs w:val="28"/>
        </w:rPr>
        <w:lastRenderedPageBreak/>
        <w:t xml:space="preserve">ekspluatācijas sākuma </w:t>
      </w:r>
      <w:r w:rsidR="00E14005">
        <w:rPr>
          <w:szCs w:val="28"/>
        </w:rPr>
        <w:t xml:space="preserve">iepērk </w:t>
      </w:r>
      <w:r w:rsidRPr="00BA475F">
        <w:rPr>
          <w:szCs w:val="28"/>
        </w:rPr>
        <w:t xml:space="preserve">par cenu, kas atbilst divkāršam elektroenerģijas realizācijas vidējam tarifam. Pēc </w:t>
      </w:r>
      <w:r w:rsidR="00E14005">
        <w:rPr>
          <w:szCs w:val="28"/>
        </w:rPr>
        <w:t xml:space="preserve">minētā perioda beigām </w:t>
      </w:r>
      <w:r w:rsidRPr="00BA475F">
        <w:rPr>
          <w:szCs w:val="28"/>
        </w:rPr>
        <w:t>iepirkuma cena atbilst elektroenerģijas realizācijas vidējam tarifam.</w:t>
      </w:r>
      <w:r>
        <w:rPr>
          <w:szCs w:val="28"/>
        </w:rPr>
        <w:t xml:space="preserve"> </w:t>
      </w:r>
      <w:r w:rsidRPr="00BA475F">
        <w:rPr>
          <w:szCs w:val="28"/>
        </w:rPr>
        <w:t>Šobrīd elektroenerģijas tirdzniecības vidējo tarifu SPRK aprēķina, pamatojoties uz publiskā tirgotāja pusgada faktiskajiem elektroenerģijas tirdzniecības apjomiem un ieņēmumiem no elektroenerģijas tirdzniecības saistītajiem lietotājiem. 2012.</w:t>
      </w:r>
      <w:r w:rsidR="00601F3F">
        <w:rPr>
          <w:szCs w:val="28"/>
        </w:rPr>
        <w:t> </w:t>
      </w:r>
      <w:r w:rsidRPr="00BA475F">
        <w:rPr>
          <w:szCs w:val="28"/>
        </w:rPr>
        <w:t>gada decembr</w:t>
      </w:r>
      <w:r w:rsidR="008607EC">
        <w:rPr>
          <w:szCs w:val="28"/>
        </w:rPr>
        <w:t xml:space="preserve">ī </w:t>
      </w:r>
      <w:r w:rsidRPr="00BA475F">
        <w:rPr>
          <w:szCs w:val="28"/>
        </w:rPr>
        <w:t>šāds elektroenerģijas iepirkuma tiesiskais regulējums tik</w:t>
      </w:r>
      <w:r w:rsidR="00E14005">
        <w:rPr>
          <w:szCs w:val="28"/>
        </w:rPr>
        <w:t>a</w:t>
      </w:r>
      <w:r w:rsidRPr="00BA475F">
        <w:rPr>
          <w:szCs w:val="28"/>
        </w:rPr>
        <w:t xml:space="preserve"> piemērots 14 stacijām </w:t>
      </w:r>
      <w:r w:rsidR="00D00E97">
        <w:rPr>
          <w:rFonts w:eastAsia="Calibri" w:cs="Times New Roman"/>
          <w:szCs w:val="28"/>
        </w:rPr>
        <w:t>(</w:t>
      </w:r>
      <w:r w:rsidR="00D00E97" w:rsidRPr="00A6432D">
        <w:rPr>
          <w:rFonts w:eastAsia="Calibri" w:cs="Times New Roman"/>
          <w:i/>
          <w:szCs w:val="28"/>
        </w:rPr>
        <w:t>skat.2.</w:t>
      </w:r>
      <w:r w:rsidR="00D00E97">
        <w:rPr>
          <w:rFonts w:eastAsia="Calibri" w:cs="Times New Roman"/>
          <w:i/>
          <w:szCs w:val="28"/>
        </w:rPr>
        <w:t>tabulu</w:t>
      </w:r>
      <w:r w:rsidR="00D00E97">
        <w:rPr>
          <w:rFonts w:eastAsia="Calibri" w:cs="Times New Roman"/>
          <w:szCs w:val="28"/>
        </w:rPr>
        <w:t>)</w:t>
      </w:r>
      <w:r w:rsidR="00D00E97" w:rsidRPr="00BA475F">
        <w:rPr>
          <w:szCs w:val="28"/>
        </w:rPr>
        <w:t xml:space="preserve"> </w:t>
      </w:r>
      <w:r w:rsidRPr="00BA475F">
        <w:rPr>
          <w:szCs w:val="28"/>
        </w:rPr>
        <w:t xml:space="preserve">ar kopējo elektrisko jaudu 22,9 MW (2011.gadā obligātā iepirkuma ietvaros kopā saņemot 3 382 991,10 LVL, </w:t>
      </w:r>
      <w:proofErr w:type="spellStart"/>
      <w:r w:rsidRPr="00BA475F">
        <w:rPr>
          <w:szCs w:val="28"/>
        </w:rPr>
        <w:t>t.sk</w:t>
      </w:r>
      <w:proofErr w:type="spellEnd"/>
      <w:r w:rsidRPr="00BA475F">
        <w:rPr>
          <w:szCs w:val="28"/>
        </w:rPr>
        <w:t>. atbalsts virs tirgus cenas sastādīja 1 655 431 LVL)</w:t>
      </w:r>
      <w:r w:rsidR="00C25291">
        <w:rPr>
          <w:rStyle w:val="FootnoteReference"/>
          <w:szCs w:val="28"/>
        </w:rPr>
        <w:footnoteReference w:id="4"/>
      </w:r>
      <w:r w:rsidRPr="00BA475F">
        <w:rPr>
          <w:szCs w:val="28"/>
        </w:rPr>
        <w:t>.</w:t>
      </w:r>
      <w:r w:rsidR="008607EC">
        <w:rPr>
          <w:szCs w:val="28"/>
        </w:rPr>
        <w:t xml:space="preserve"> </w:t>
      </w:r>
      <w:r w:rsidR="008607EC" w:rsidRPr="008607EC">
        <w:rPr>
          <w:szCs w:val="28"/>
        </w:rPr>
        <w:t>Vēl aizvien minētajām vēja stacijām nav ierobežots atbalsta saņemšanas periods.</w:t>
      </w:r>
    </w:p>
    <w:p w:rsidR="00601F3F" w:rsidRPr="00844BBC" w:rsidRDefault="00601F3F" w:rsidP="00601F3F">
      <w:pPr>
        <w:spacing w:after="0" w:line="240" w:lineRule="auto"/>
        <w:ind w:firstLine="0"/>
        <w:jc w:val="right"/>
        <w:rPr>
          <w:rFonts w:eastAsia="Calibri" w:cs="Times New Roman"/>
          <w:iCs/>
          <w:szCs w:val="24"/>
        </w:rPr>
      </w:pPr>
      <w:r>
        <w:rPr>
          <w:rFonts w:eastAsia="Calibri" w:cs="Times New Roman"/>
          <w:iCs/>
          <w:szCs w:val="24"/>
        </w:rPr>
        <w:t>2</w:t>
      </w:r>
      <w:r w:rsidRPr="00844BBC">
        <w:rPr>
          <w:rFonts w:eastAsia="Calibri" w:cs="Times New Roman"/>
          <w:iCs/>
          <w:szCs w:val="24"/>
        </w:rPr>
        <w:t xml:space="preserve">.tabula </w:t>
      </w:r>
    </w:p>
    <w:p w:rsidR="00601F3F" w:rsidRDefault="00601F3F" w:rsidP="00601F3F">
      <w:pPr>
        <w:spacing w:line="240" w:lineRule="auto"/>
        <w:jc w:val="center"/>
        <w:rPr>
          <w:szCs w:val="28"/>
        </w:rPr>
      </w:pPr>
      <w:r w:rsidRPr="00BA475F">
        <w:rPr>
          <w:szCs w:val="28"/>
        </w:rPr>
        <w:t>Vēja stacijas, kuras saņem atbalstu par cenu, kas noteikta pirms Elektroenerģijas tirgus likuma stāšanās spēkā</w:t>
      </w:r>
    </w:p>
    <w:tbl>
      <w:tblPr>
        <w:tblStyle w:val="TableGrid"/>
        <w:tblW w:w="0" w:type="auto"/>
        <w:tblInd w:w="959" w:type="dxa"/>
        <w:tblLook w:val="04A0" w:firstRow="1" w:lastRow="0" w:firstColumn="1" w:lastColumn="0" w:noHBand="0" w:noVBand="1"/>
      </w:tblPr>
      <w:tblGrid>
        <w:gridCol w:w="3402"/>
        <w:gridCol w:w="1501"/>
        <w:gridCol w:w="2410"/>
      </w:tblGrid>
      <w:tr w:rsidR="00601F3F" w:rsidTr="0003742D">
        <w:trPr>
          <w:trHeight w:val="603"/>
        </w:trPr>
        <w:tc>
          <w:tcPr>
            <w:tcW w:w="3402" w:type="dxa"/>
            <w:vAlign w:val="center"/>
          </w:tcPr>
          <w:p w:rsidR="00601F3F" w:rsidRPr="00C25291" w:rsidRDefault="00601F3F" w:rsidP="0003742D">
            <w:pPr>
              <w:spacing w:before="0" w:after="0"/>
              <w:ind w:left="34" w:firstLine="0"/>
              <w:jc w:val="center"/>
              <w:rPr>
                <w:rFonts w:cs="Times New Roman"/>
                <w:b/>
                <w:sz w:val="24"/>
                <w:szCs w:val="24"/>
              </w:rPr>
            </w:pPr>
            <w:r w:rsidRPr="00C25291">
              <w:rPr>
                <w:rFonts w:cs="Times New Roman"/>
                <w:b/>
                <w:sz w:val="24"/>
                <w:szCs w:val="24"/>
              </w:rPr>
              <w:t>Nosaukums</w:t>
            </w:r>
          </w:p>
        </w:tc>
        <w:tc>
          <w:tcPr>
            <w:tcW w:w="1501" w:type="dxa"/>
            <w:vAlign w:val="center"/>
          </w:tcPr>
          <w:p w:rsidR="00601F3F" w:rsidRPr="00C25291" w:rsidRDefault="00601F3F" w:rsidP="0003742D">
            <w:pPr>
              <w:spacing w:before="0" w:after="0"/>
              <w:ind w:left="34" w:firstLine="0"/>
              <w:jc w:val="center"/>
              <w:rPr>
                <w:rFonts w:cs="Times New Roman"/>
                <w:b/>
                <w:sz w:val="24"/>
                <w:szCs w:val="24"/>
              </w:rPr>
            </w:pPr>
            <w:r w:rsidRPr="00C25291">
              <w:rPr>
                <w:rFonts w:cs="Times New Roman"/>
                <w:b/>
                <w:sz w:val="24"/>
                <w:szCs w:val="24"/>
              </w:rPr>
              <w:t>Uzstādītā jauda, MW</w:t>
            </w:r>
          </w:p>
        </w:tc>
        <w:tc>
          <w:tcPr>
            <w:tcW w:w="2410" w:type="dxa"/>
            <w:vAlign w:val="center"/>
          </w:tcPr>
          <w:p w:rsidR="00601F3F" w:rsidRPr="00C25291" w:rsidRDefault="00601F3F" w:rsidP="0003742D">
            <w:pPr>
              <w:spacing w:before="0" w:after="0"/>
              <w:ind w:left="34" w:firstLine="0"/>
              <w:jc w:val="center"/>
              <w:rPr>
                <w:rFonts w:cs="Times New Roman"/>
                <w:b/>
                <w:sz w:val="24"/>
                <w:szCs w:val="24"/>
              </w:rPr>
            </w:pPr>
            <w:r w:rsidRPr="00C25291">
              <w:rPr>
                <w:rFonts w:cs="Times New Roman"/>
                <w:b/>
                <w:sz w:val="24"/>
                <w:szCs w:val="24"/>
              </w:rPr>
              <w:t>Darbības uzsākšanas datums</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„BK Enerģija”</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1,950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15.11.2002</w:t>
            </w:r>
          </w:p>
        </w:tc>
      </w:tr>
      <w:tr w:rsidR="00601F3F" w:rsidTr="0003742D">
        <w:tc>
          <w:tcPr>
            <w:tcW w:w="3402" w:type="dxa"/>
          </w:tcPr>
          <w:p w:rsidR="00601F3F" w:rsidRPr="00601F3F" w:rsidRDefault="00601F3F" w:rsidP="0003742D">
            <w:pPr>
              <w:spacing w:before="0" w:after="0"/>
              <w:ind w:left="34" w:firstLine="0"/>
              <w:jc w:val="center"/>
              <w:rPr>
                <w:rFonts w:cs="Times New Roman"/>
                <w:sz w:val="24"/>
                <w:szCs w:val="24"/>
              </w:rPr>
            </w:pPr>
            <w:r w:rsidRPr="00601F3F">
              <w:rPr>
                <w:rFonts w:cs="Times New Roman"/>
                <w:sz w:val="24"/>
                <w:szCs w:val="24"/>
              </w:rPr>
              <w:t>Rīgas pilsētas SIA „</w:t>
            </w:r>
            <w:proofErr w:type="spellStart"/>
            <w:r w:rsidRPr="00601F3F">
              <w:rPr>
                <w:rFonts w:cs="Times New Roman"/>
                <w:sz w:val="24"/>
                <w:szCs w:val="24"/>
              </w:rPr>
              <w:t>Impakt</w:t>
            </w:r>
            <w:proofErr w:type="spellEnd"/>
            <w:r w:rsidRPr="00601F3F">
              <w:rPr>
                <w:rFonts w:cs="Times New Roman"/>
                <w:sz w:val="24"/>
                <w:szCs w:val="24"/>
              </w:rPr>
              <w:t>”, Užavas VES</w:t>
            </w:r>
          </w:p>
        </w:tc>
        <w:tc>
          <w:tcPr>
            <w:tcW w:w="1501" w:type="dxa"/>
          </w:tcPr>
          <w:p w:rsidR="00601F3F" w:rsidRPr="00601F3F" w:rsidRDefault="00601F3F" w:rsidP="0003742D">
            <w:pPr>
              <w:spacing w:before="0" w:after="0"/>
              <w:ind w:left="34" w:firstLine="0"/>
              <w:jc w:val="center"/>
              <w:rPr>
                <w:rFonts w:cs="Times New Roman"/>
                <w:sz w:val="24"/>
                <w:szCs w:val="24"/>
              </w:rPr>
            </w:pPr>
            <w:r w:rsidRPr="00601F3F">
              <w:rPr>
                <w:rFonts w:cs="Times New Roman"/>
                <w:sz w:val="24"/>
                <w:szCs w:val="24"/>
              </w:rPr>
              <w:t>1,000</w:t>
            </w:r>
          </w:p>
        </w:tc>
        <w:tc>
          <w:tcPr>
            <w:tcW w:w="2410" w:type="dxa"/>
          </w:tcPr>
          <w:p w:rsidR="00601F3F" w:rsidRPr="00601F3F" w:rsidRDefault="00601F3F" w:rsidP="0003742D">
            <w:pPr>
              <w:spacing w:before="0" w:after="0"/>
              <w:ind w:left="34" w:firstLine="0"/>
              <w:jc w:val="center"/>
              <w:rPr>
                <w:rFonts w:cs="Times New Roman"/>
                <w:sz w:val="24"/>
                <w:szCs w:val="24"/>
              </w:rPr>
            </w:pPr>
            <w:r w:rsidRPr="00601F3F">
              <w:rPr>
                <w:rFonts w:cs="Times New Roman"/>
                <w:sz w:val="24"/>
                <w:szCs w:val="24"/>
              </w:rPr>
              <w:t>31.01.2000</w:t>
            </w:r>
          </w:p>
        </w:tc>
      </w:tr>
      <w:tr w:rsidR="00601F3F" w:rsidTr="0003742D">
        <w:tc>
          <w:tcPr>
            <w:tcW w:w="3402" w:type="dxa"/>
          </w:tcPr>
          <w:p w:rsidR="00601F3F" w:rsidRPr="00601F3F" w:rsidRDefault="00601F3F" w:rsidP="0003742D">
            <w:pPr>
              <w:spacing w:before="0" w:after="0"/>
              <w:ind w:left="34" w:firstLine="0"/>
              <w:jc w:val="center"/>
              <w:rPr>
                <w:rFonts w:cs="Times New Roman"/>
                <w:sz w:val="24"/>
                <w:szCs w:val="24"/>
              </w:rPr>
            </w:pPr>
            <w:r w:rsidRPr="00601F3F">
              <w:rPr>
                <w:rFonts w:cs="Times New Roman"/>
                <w:sz w:val="24"/>
                <w:szCs w:val="24"/>
              </w:rPr>
              <w:t>Liepājas speciālās ekonomiskās zonas AS „Kursa”</w:t>
            </w:r>
          </w:p>
        </w:tc>
        <w:tc>
          <w:tcPr>
            <w:tcW w:w="1501" w:type="dxa"/>
          </w:tcPr>
          <w:p w:rsidR="00601F3F" w:rsidRPr="00601F3F" w:rsidRDefault="00601F3F" w:rsidP="0003742D">
            <w:pPr>
              <w:spacing w:before="0" w:after="0"/>
              <w:ind w:left="34" w:firstLine="0"/>
              <w:jc w:val="center"/>
              <w:rPr>
                <w:rFonts w:cs="Times New Roman"/>
                <w:sz w:val="24"/>
                <w:szCs w:val="24"/>
              </w:rPr>
            </w:pPr>
            <w:r w:rsidRPr="00601F3F">
              <w:rPr>
                <w:rFonts w:cs="Times New Roman"/>
                <w:sz w:val="24"/>
                <w:szCs w:val="24"/>
              </w:rPr>
              <w:t>0,150</w:t>
            </w:r>
          </w:p>
        </w:tc>
        <w:tc>
          <w:tcPr>
            <w:tcW w:w="2410" w:type="dxa"/>
          </w:tcPr>
          <w:p w:rsidR="00601F3F" w:rsidRPr="00601F3F" w:rsidRDefault="00601F3F" w:rsidP="0003742D">
            <w:pPr>
              <w:spacing w:before="0" w:after="0"/>
              <w:ind w:left="34" w:firstLine="0"/>
              <w:jc w:val="center"/>
              <w:rPr>
                <w:rFonts w:cs="Times New Roman"/>
                <w:sz w:val="24"/>
                <w:szCs w:val="24"/>
              </w:rPr>
            </w:pPr>
            <w:r w:rsidRPr="00601F3F">
              <w:rPr>
                <w:rFonts w:cs="Times New Roman"/>
                <w:sz w:val="24"/>
                <w:szCs w:val="24"/>
              </w:rPr>
              <w:t>13.02.1998</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10”</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26.09.2002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11”</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07.11.2002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12”</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07.11.2002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13”</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26.09.2002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14”</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26.09.2002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15”</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26.09.2002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16”</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26.09.2002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17”</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26.09.2002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18”</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07.11.2002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19”</w:t>
            </w:r>
          </w:p>
        </w:tc>
        <w:tc>
          <w:tcPr>
            <w:tcW w:w="1501"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07.11.2002</w:t>
            </w:r>
          </w:p>
        </w:tc>
      </w:tr>
      <w:tr w:rsidR="00601F3F" w:rsidTr="0003742D">
        <w:tc>
          <w:tcPr>
            <w:tcW w:w="3402"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SIA „Vēja parks 20”</w:t>
            </w:r>
          </w:p>
        </w:tc>
        <w:tc>
          <w:tcPr>
            <w:tcW w:w="1501" w:type="dxa"/>
          </w:tcPr>
          <w:p w:rsidR="00601F3F" w:rsidRPr="00C25291" w:rsidRDefault="00601F3F" w:rsidP="0003742D">
            <w:pPr>
              <w:tabs>
                <w:tab w:val="center" w:pos="1002"/>
              </w:tabs>
              <w:spacing w:before="0" w:after="0"/>
              <w:ind w:left="34" w:firstLine="0"/>
              <w:jc w:val="center"/>
              <w:rPr>
                <w:rFonts w:cs="Times New Roman"/>
                <w:sz w:val="24"/>
                <w:szCs w:val="24"/>
              </w:rPr>
            </w:pPr>
            <w:r w:rsidRPr="00C25291">
              <w:rPr>
                <w:rFonts w:cs="Times New Roman"/>
                <w:sz w:val="24"/>
                <w:szCs w:val="24"/>
              </w:rPr>
              <w:t>1,800</w:t>
            </w:r>
          </w:p>
        </w:tc>
        <w:tc>
          <w:tcPr>
            <w:tcW w:w="2410" w:type="dxa"/>
          </w:tcPr>
          <w:p w:rsidR="00601F3F" w:rsidRPr="00C25291" w:rsidRDefault="00601F3F" w:rsidP="0003742D">
            <w:pPr>
              <w:spacing w:before="0" w:after="0"/>
              <w:ind w:left="34" w:firstLine="0"/>
              <w:jc w:val="center"/>
              <w:rPr>
                <w:rFonts w:cs="Times New Roman"/>
                <w:sz w:val="24"/>
                <w:szCs w:val="24"/>
              </w:rPr>
            </w:pPr>
            <w:r w:rsidRPr="00C25291">
              <w:rPr>
                <w:rFonts w:cs="Times New Roman"/>
                <w:sz w:val="24"/>
                <w:szCs w:val="24"/>
              </w:rPr>
              <w:t>07.11.2002</w:t>
            </w:r>
          </w:p>
        </w:tc>
      </w:tr>
    </w:tbl>
    <w:p w:rsidR="00601F3F" w:rsidRPr="00D965C2" w:rsidRDefault="00601F3F" w:rsidP="00D965C2">
      <w:pPr>
        <w:ind w:firstLine="0"/>
        <w:rPr>
          <w:rFonts w:eastAsia="Calibri" w:cs="Times New Roman"/>
          <w:iCs/>
          <w:color w:val="000000"/>
          <w:sz w:val="20"/>
          <w:szCs w:val="24"/>
          <w:lang w:eastAsia="lv-LV"/>
        </w:rPr>
      </w:pPr>
      <w:r w:rsidRPr="00D965C2">
        <w:rPr>
          <w:rFonts w:eastAsia="Calibri" w:cs="Times New Roman"/>
          <w:iCs/>
          <w:color w:val="000000"/>
          <w:sz w:val="20"/>
          <w:szCs w:val="24"/>
          <w:lang w:eastAsia="lv-LV"/>
        </w:rPr>
        <w:t>Avots: Ekonomikas ministrija</w:t>
      </w:r>
    </w:p>
    <w:p w:rsidR="00601F3F" w:rsidRPr="00601F3F" w:rsidRDefault="00601F3F" w:rsidP="00601F3F">
      <w:pPr>
        <w:rPr>
          <w:sz w:val="20"/>
          <w:szCs w:val="20"/>
        </w:rPr>
      </w:pPr>
    </w:p>
    <w:p w:rsidR="00AD587F" w:rsidRDefault="00AD587F" w:rsidP="00AD587F">
      <w:pPr>
        <w:pStyle w:val="PlainText"/>
        <w:spacing w:before="0"/>
        <w:rPr>
          <w:rFonts w:ascii="Times New Roman" w:hAnsi="Times New Roman" w:cs="Times New Roman"/>
          <w:color w:val="000000" w:themeColor="text1"/>
        </w:rPr>
      </w:pPr>
      <w:r w:rsidRPr="00C9053D">
        <w:rPr>
          <w:rFonts w:ascii="Times New Roman" w:hAnsi="Times New Roman" w:cs="Times New Roman"/>
          <w:szCs w:val="28"/>
        </w:rPr>
        <w:t xml:space="preserve">Vienlaikus </w:t>
      </w:r>
      <w:r w:rsidR="00E14005">
        <w:rPr>
          <w:rFonts w:ascii="Times New Roman" w:hAnsi="Times New Roman" w:cs="Times New Roman"/>
          <w:szCs w:val="28"/>
        </w:rPr>
        <w:t xml:space="preserve">elektroenerģijas </w:t>
      </w:r>
      <w:r w:rsidRPr="00C9053D">
        <w:rPr>
          <w:rFonts w:ascii="Times New Roman" w:hAnsi="Times New Roman" w:cs="Times New Roman"/>
          <w:szCs w:val="28"/>
        </w:rPr>
        <w:t>cenu pieaugum</w:t>
      </w:r>
      <w:r w:rsidR="00E14005">
        <w:rPr>
          <w:rFonts w:ascii="Times New Roman" w:hAnsi="Times New Roman" w:cs="Times New Roman"/>
          <w:szCs w:val="28"/>
        </w:rPr>
        <w:t xml:space="preserve">u </w:t>
      </w:r>
      <w:r w:rsidRPr="00C9053D">
        <w:rPr>
          <w:rFonts w:ascii="Times New Roman" w:hAnsi="Times New Roman" w:cs="Times New Roman"/>
          <w:szCs w:val="28"/>
        </w:rPr>
        <w:t xml:space="preserve">rada </w:t>
      </w:r>
      <w:r w:rsidR="00E14005">
        <w:rPr>
          <w:rFonts w:ascii="Times New Roman" w:hAnsi="Times New Roman" w:cs="Times New Roman"/>
          <w:szCs w:val="28"/>
        </w:rPr>
        <w:t>komersanti</w:t>
      </w:r>
      <w:r w:rsidRPr="00C9053D">
        <w:rPr>
          <w:rFonts w:ascii="Times New Roman" w:hAnsi="Times New Roman" w:cs="Times New Roman"/>
          <w:szCs w:val="28"/>
        </w:rPr>
        <w:t>, kas elektroenerģiju ražo, izmantojot AER un kuriem atbalsts pieš</w:t>
      </w:r>
      <w:r w:rsidRPr="001A55F9">
        <w:rPr>
          <w:rFonts w:ascii="Times New Roman" w:hAnsi="Times New Roman" w:cs="Times New Roman"/>
          <w:szCs w:val="28"/>
        </w:rPr>
        <w:t>ķirts pirms Elektroenerģijas tirgus likuma spēkā stāšanās 2005.</w:t>
      </w:r>
      <w:r w:rsidR="00601F3F">
        <w:rPr>
          <w:rFonts w:ascii="Times New Roman" w:hAnsi="Times New Roman" w:cs="Times New Roman"/>
          <w:szCs w:val="28"/>
        </w:rPr>
        <w:t> </w:t>
      </w:r>
      <w:r w:rsidRPr="001A55F9">
        <w:rPr>
          <w:rFonts w:ascii="Times New Roman" w:hAnsi="Times New Roman" w:cs="Times New Roman"/>
          <w:szCs w:val="28"/>
        </w:rPr>
        <w:t xml:space="preserve">gadā. </w:t>
      </w:r>
      <w:r>
        <w:rPr>
          <w:rFonts w:ascii="Times New Roman" w:hAnsi="Times New Roman" w:cs="Times New Roman"/>
          <w:szCs w:val="28"/>
        </w:rPr>
        <w:t>Beztermiņa atbalsts tika piešķirts, ievērojot Enerģētikas likumā 40.pantu, kas bija spēkā līdz 2005.</w:t>
      </w:r>
      <w:r w:rsidR="00601F3F">
        <w:rPr>
          <w:rFonts w:ascii="Times New Roman" w:hAnsi="Times New Roman" w:cs="Times New Roman"/>
          <w:szCs w:val="28"/>
        </w:rPr>
        <w:t> </w:t>
      </w:r>
      <w:r>
        <w:rPr>
          <w:rFonts w:ascii="Times New Roman" w:hAnsi="Times New Roman" w:cs="Times New Roman"/>
          <w:szCs w:val="28"/>
        </w:rPr>
        <w:t>gada 15.</w:t>
      </w:r>
      <w:r w:rsidR="00601F3F">
        <w:rPr>
          <w:rFonts w:ascii="Times New Roman" w:hAnsi="Times New Roman" w:cs="Times New Roman"/>
          <w:szCs w:val="28"/>
        </w:rPr>
        <w:t> </w:t>
      </w:r>
      <w:r>
        <w:rPr>
          <w:rFonts w:ascii="Times New Roman" w:hAnsi="Times New Roman" w:cs="Times New Roman"/>
          <w:szCs w:val="28"/>
        </w:rPr>
        <w:t xml:space="preserve">aprīlim. </w:t>
      </w:r>
      <w:r w:rsidRPr="001A55F9">
        <w:rPr>
          <w:rFonts w:ascii="Times New Roman" w:hAnsi="Times New Roman" w:cs="Times New Roman"/>
          <w:szCs w:val="28"/>
        </w:rPr>
        <w:t xml:space="preserve">Attiecīgi nosakot elektroenerģijas iepirkuma cenu, tiek ņemts vērā </w:t>
      </w:r>
      <w:r w:rsidRPr="00C9053D">
        <w:rPr>
          <w:rFonts w:ascii="Times New Roman" w:hAnsi="Times New Roman" w:cs="Times New Roman"/>
          <w:color w:val="000000" w:themeColor="text1"/>
        </w:rPr>
        <w:t>elektroenerģijas tirdzniecības vidēj</w:t>
      </w:r>
      <w:r>
        <w:rPr>
          <w:rFonts w:ascii="Times New Roman" w:hAnsi="Times New Roman" w:cs="Times New Roman"/>
          <w:color w:val="000000" w:themeColor="text1"/>
        </w:rPr>
        <w:t>ais</w:t>
      </w:r>
      <w:r w:rsidRPr="00C9053D">
        <w:rPr>
          <w:rFonts w:ascii="Times New Roman" w:hAnsi="Times New Roman" w:cs="Times New Roman"/>
          <w:color w:val="000000" w:themeColor="text1"/>
        </w:rPr>
        <w:t xml:space="preserve"> tarif</w:t>
      </w:r>
      <w:r>
        <w:rPr>
          <w:rFonts w:ascii="Times New Roman" w:hAnsi="Times New Roman" w:cs="Times New Roman"/>
          <w:color w:val="000000" w:themeColor="text1"/>
        </w:rPr>
        <w:t xml:space="preserve">s </w:t>
      </w:r>
      <w:r w:rsidRPr="00C9053D">
        <w:rPr>
          <w:rFonts w:ascii="Times New Roman" w:hAnsi="Times New Roman" w:cs="Times New Roman"/>
          <w:color w:val="000000" w:themeColor="text1"/>
        </w:rPr>
        <w:t xml:space="preserve">saistītajiem lietotājiem, ko </w:t>
      </w:r>
      <w:r w:rsidRPr="00C9053D">
        <w:rPr>
          <w:rFonts w:ascii="Times New Roman" w:hAnsi="Times New Roman" w:cs="Times New Roman"/>
          <w:color w:val="000000" w:themeColor="text1"/>
        </w:rPr>
        <w:lastRenderedPageBreak/>
        <w:t>aprēķina SPRK. Šāds tarifa vei</w:t>
      </w:r>
      <w:r>
        <w:rPr>
          <w:rFonts w:ascii="Times New Roman" w:hAnsi="Times New Roman" w:cs="Times New Roman"/>
          <w:color w:val="000000" w:themeColor="text1"/>
        </w:rPr>
        <w:t>d</w:t>
      </w:r>
      <w:r w:rsidRPr="00C9053D">
        <w:rPr>
          <w:rFonts w:ascii="Times New Roman" w:hAnsi="Times New Roman" w:cs="Times New Roman"/>
          <w:color w:val="000000" w:themeColor="text1"/>
        </w:rPr>
        <w:t>s šobrīd tiek aprēķināts no publiskā tirgotāja pusgada faktiskajiem elektroenerģijas tirdzniecības apjomiem un ieņēmumiem no elektroenerģijas tirdzniecības saistītajiem lietotājiem, un to izmanto kā atsauces lielumu elektroenerģijas iepirkuma cenai lielākajai daļai vēja elektrostaciju, k</w:t>
      </w:r>
      <w:r w:rsidR="00601F3F">
        <w:rPr>
          <w:rFonts w:ascii="Times New Roman" w:hAnsi="Times New Roman" w:cs="Times New Roman"/>
          <w:color w:val="000000" w:themeColor="text1"/>
        </w:rPr>
        <w:t>uras uzsāka darbību līdz  2003. </w:t>
      </w:r>
      <w:r w:rsidRPr="00C9053D">
        <w:rPr>
          <w:rFonts w:ascii="Times New Roman" w:hAnsi="Times New Roman" w:cs="Times New Roman"/>
          <w:color w:val="000000" w:themeColor="text1"/>
        </w:rPr>
        <w:t>gada 1.</w:t>
      </w:r>
      <w:r w:rsidR="00601F3F">
        <w:rPr>
          <w:rFonts w:ascii="Times New Roman" w:hAnsi="Times New Roman" w:cs="Times New Roman"/>
          <w:color w:val="000000" w:themeColor="text1"/>
        </w:rPr>
        <w:t> </w:t>
      </w:r>
      <w:r w:rsidRPr="00C9053D">
        <w:rPr>
          <w:rFonts w:ascii="Times New Roman" w:hAnsi="Times New Roman" w:cs="Times New Roman"/>
          <w:color w:val="000000" w:themeColor="text1"/>
        </w:rPr>
        <w:t>janvārim.</w:t>
      </w:r>
      <w:r>
        <w:rPr>
          <w:rFonts w:ascii="Times New Roman" w:hAnsi="Times New Roman" w:cs="Times New Roman"/>
          <w:color w:val="000000" w:themeColor="text1"/>
        </w:rPr>
        <w:t xml:space="preserve"> Uz 2012.</w:t>
      </w:r>
      <w:r w:rsidR="00601F3F">
        <w:rPr>
          <w:rFonts w:ascii="Times New Roman" w:hAnsi="Times New Roman" w:cs="Times New Roman"/>
          <w:color w:val="000000" w:themeColor="text1"/>
        </w:rPr>
        <w:t> </w:t>
      </w:r>
      <w:r>
        <w:rPr>
          <w:rFonts w:ascii="Times New Roman" w:hAnsi="Times New Roman" w:cs="Times New Roman"/>
          <w:color w:val="000000" w:themeColor="text1"/>
        </w:rPr>
        <w:t>gada decembri šāds elektroenerģijas iepirkuma tiesiskais regulējums tiek piemērots 14 stacijām ar kopējo elektrisko jaudu 22,9 MW.</w:t>
      </w:r>
    </w:p>
    <w:p w:rsidR="009A6A73" w:rsidRDefault="009A6A73" w:rsidP="009A6A73">
      <w:pPr>
        <w:spacing w:line="240" w:lineRule="auto"/>
        <w:rPr>
          <w:color w:val="000000"/>
          <w:szCs w:val="28"/>
        </w:rPr>
      </w:pPr>
      <w:r w:rsidRPr="009A6A73">
        <w:rPr>
          <w:color w:val="000000"/>
          <w:szCs w:val="28"/>
        </w:rPr>
        <w:t>Līdzšinēj</w:t>
      </w:r>
      <w:r>
        <w:rPr>
          <w:color w:val="000000"/>
          <w:szCs w:val="28"/>
        </w:rPr>
        <w:t>ā</w:t>
      </w:r>
      <w:r w:rsidRPr="009A6A73">
        <w:rPr>
          <w:color w:val="000000"/>
          <w:szCs w:val="28"/>
        </w:rPr>
        <w:t xml:space="preserve"> atbalsta mehānismā visas obligātā elektroenerģijas iepirkuma izmaksas sedz galapatērētāji proporcionāli to patēriņam un šo izmaksu iekasēšanu no elektroenerģijas galalietotājiem Latvijā īsteno elektroenerģijas tirgū darbojošās kapitālsabiedrības, neiesaistot valst</w:t>
      </w:r>
      <w:r>
        <w:rPr>
          <w:color w:val="000000"/>
          <w:szCs w:val="28"/>
        </w:rPr>
        <w:t xml:space="preserve">s finansējumu. Līdz ar to </w:t>
      </w:r>
      <w:r w:rsidRPr="009A6A73">
        <w:rPr>
          <w:color w:val="000000"/>
          <w:szCs w:val="28"/>
        </w:rPr>
        <w:t>izveidotais atbalsta mehānisms elektroenerģijas ražošanai, izmatojot atjaunojamos energoresursus, nav kvalificējams kā valsts atbalsts.</w:t>
      </w:r>
    </w:p>
    <w:p w:rsidR="009A6A73" w:rsidRDefault="009A6A73" w:rsidP="009A6A73">
      <w:pPr>
        <w:spacing w:line="240" w:lineRule="auto"/>
        <w:rPr>
          <w:color w:val="000000"/>
          <w:szCs w:val="28"/>
        </w:rPr>
      </w:pPr>
      <w:r>
        <w:rPr>
          <w:color w:val="000000"/>
          <w:szCs w:val="28"/>
        </w:rPr>
        <w:t>Vienlaikus Latvija ir ievērojusi Eiropas Savienības valsts atbalsta jomu regulējošo normatīvo aktu prasības, kas ir piemērojamas elektroenerģijas ražošanai no atjaunojamiem energoresursiem, tai skaitā Līguma par Eiropas Savienības darbību 107. pantu, gan arī Kopienas pamatnostādnes par valsts atbalstu vides aizsardzībai (2008/C 82/01), kuras piemērojamas līdz 2014. gada 31. decembrim.</w:t>
      </w:r>
    </w:p>
    <w:p w:rsidR="00D965C2" w:rsidRPr="001F57E9" w:rsidRDefault="00D965C2" w:rsidP="00D965C2">
      <w:pPr>
        <w:pStyle w:val="Heading2"/>
        <w:numPr>
          <w:ilvl w:val="1"/>
          <w:numId w:val="23"/>
        </w:numPr>
        <w:spacing w:after="240"/>
        <w:ind w:left="1077"/>
        <w:rPr>
          <w:rFonts w:cs="Times New Roman"/>
        </w:rPr>
      </w:pPr>
      <w:bookmarkStart w:id="36" w:name="_Toc344901690"/>
      <w:bookmarkStart w:id="37" w:name="_Toc344901822"/>
      <w:bookmarkStart w:id="38" w:name="_Toc344907247"/>
      <w:r w:rsidRPr="001F57E9">
        <w:t>Obligātā iepirkuma prognoze</w:t>
      </w:r>
      <w:bookmarkEnd w:id="36"/>
      <w:bookmarkEnd w:id="37"/>
      <w:bookmarkEnd w:id="38"/>
    </w:p>
    <w:p w:rsidR="00FC78CD" w:rsidRPr="00CC5AE7" w:rsidRDefault="002C29CA" w:rsidP="00FC78CD">
      <w:pPr>
        <w:tabs>
          <w:tab w:val="left" w:pos="567"/>
        </w:tabs>
        <w:spacing w:line="240" w:lineRule="auto"/>
        <w:ind w:firstLine="567"/>
        <w:rPr>
          <w:szCs w:val="28"/>
        </w:rPr>
      </w:pPr>
      <w:r w:rsidRPr="00C67574">
        <w:rPr>
          <w:szCs w:val="28"/>
        </w:rPr>
        <w:t xml:space="preserve">Kopumā laika posmā no 2007.gada līdz 2012.gada 28.novembrim ir izdoti un uz 2012.gada 28.novembri </w:t>
      </w:r>
      <w:r>
        <w:rPr>
          <w:szCs w:val="28"/>
        </w:rPr>
        <w:t xml:space="preserve">ir </w:t>
      </w:r>
      <w:r w:rsidRPr="00C67574">
        <w:rPr>
          <w:szCs w:val="28"/>
        </w:rPr>
        <w:t xml:space="preserve">spēkā esoši 824 lēmumi par tiesību piešķiršanu pārdot elektroenerģiju obligātā iepirkuma ietvaros par kopējo </w:t>
      </w:r>
      <w:r w:rsidR="00031E9C">
        <w:rPr>
          <w:szCs w:val="28"/>
        </w:rPr>
        <w:t>plānoto vai uzstādīto elektroenerģijas jaudu 2073 MW un elektroenerģijas apjomu 9756,8 GWh</w:t>
      </w:r>
      <w:r w:rsidRPr="00C67574">
        <w:rPr>
          <w:szCs w:val="28"/>
        </w:rPr>
        <w:t>.</w:t>
      </w:r>
      <w:r>
        <w:rPr>
          <w:szCs w:val="28"/>
        </w:rPr>
        <w:t xml:space="preserve"> Paredzams, ka lielākā daļa projektu uzsāks darbību 2013.gada beigās un attiecīgi atstās vislielāko iespaidu uz 2015.gada </w:t>
      </w:r>
      <w:r w:rsidR="00031E9C">
        <w:rPr>
          <w:szCs w:val="28"/>
        </w:rPr>
        <w:t xml:space="preserve">obligātās iepirkumu komponentes (turpmāk – OIK) </w:t>
      </w:r>
      <w:r>
        <w:rPr>
          <w:szCs w:val="28"/>
        </w:rPr>
        <w:t>maksājumiem</w:t>
      </w:r>
      <w:r w:rsidR="004D46D5">
        <w:rPr>
          <w:szCs w:val="28"/>
        </w:rPr>
        <w:t>.</w:t>
      </w:r>
      <w:r w:rsidR="00FC78CD" w:rsidRPr="00FC78CD">
        <w:rPr>
          <w:szCs w:val="28"/>
        </w:rPr>
        <w:t xml:space="preserve"> </w:t>
      </w:r>
      <w:r w:rsidR="00FC78CD" w:rsidRPr="00CC5AE7">
        <w:rPr>
          <w:szCs w:val="28"/>
        </w:rPr>
        <w:t>No E</w:t>
      </w:r>
      <w:r w:rsidR="00FC78CD">
        <w:rPr>
          <w:szCs w:val="28"/>
        </w:rPr>
        <w:t>konomikas ministrijas</w:t>
      </w:r>
      <w:r w:rsidR="00FC78CD" w:rsidRPr="00CC5AE7">
        <w:rPr>
          <w:szCs w:val="28"/>
        </w:rPr>
        <w:t xml:space="preserve"> izdotajiem un spēkā esošajiem lēmumiem par tiesībām pārdot elektroenerģiju obligātā iepirkuma ietvaros</w:t>
      </w:r>
      <w:r w:rsidR="00FC78CD" w:rsidRPr="00757DFA">
        <w:rPr>
          <w:szCs w:val="28"/>
        </w:rPr>
        <w:t xml:space="preserve"> uz 2012.gada </w:t>
      </w:r>
      <w:r w:rsidR="00FC78CD" w:rsidRPr="003403F1">
        <w:rPr>
          <w:szCs w:val="28"/>
        </w:rPr>
        <w:t>30.septembri</w:t>
      </w:r>
      <w:r w:rsidR="00FC78CD" w:rsidRPr="005B452E">
        <w:rPr>
          <w:szCs w:val="28"/>
        </w:rPr>
        <w:t xml:space="preserve"> </w:t>
      </w:r>
      <w:r w:rsidR="00FC78CD">
        <w:rPr>
          <w:szCs w:val="28"/>
        </w:rPr>
        <w:t xml:space="preserve">faktiski </w:t>
      </w:r>
      <w:r w:rsidR="00FC78CD" w:rsidRPr="00CC5AE7">
        <w:rPr>
          <w:szCs w:val="28"/>
        </w:rPr>
        <w:t xml:space="preserve">īstenotie projekti un uzstādītā elektriskā jauda aplūkota </w:t>
      </w:r>
      <w:r w:rsidR="00FC78CD">
        <w:rPr>
          <w:szCs w:val="28"/>
        </w:rPr>
        <w:t>3.</w:t>
      </w:r>
      <w:r w:rsidR="00FC78CD" w:rsidRPr="00CC5AE7">
        <w:rPr>
          <w:szCs w:val="28"/>
        </w:rPr>
        <w:t>tabulā.</w:t>
      </w:r>
    </w:p>
    <w:p w:rsidR="00E72F4E" w:rsidRPr="00844BBC" w:rsidRDefault="00E72F4E" w:rsidP="00E72F4E">
      <w:pPr>
        <w:tabs>
          <w:tab w:val="left" w:pos="567"/>
        </w:tabs>
        <w:spacing w:after="0" w:line="240" w:lineRule="auto"/>
        <w:ind w:firstLine="567"/>
        <w:jc w:val="right"/>
        <w:rPr>
          <w:szCs w:val="28"/>
        </w:rPr>
      </w:pPr>
      <w:r w:rsidRPr="00844BBC">
        <w:rPr>
          <w:szCs w:val="28"/>
        </w:rPr>
        <w:t>3.tabula</w:t>
      </w:r>
    </w:p>
    <w:p w:rsidR="00E72F4E" w:rsidRPr="00844BBC" w:rsidRDefault="00E72F4E" w:rsidP="00E72F4E">
      <w:pPr>
        <w:tabs>
          <w:tab w:val="left" w:pos="567"/>
        </w:tabs>
        <w:spacing w:after="0" w:line="240" w:lineRule="auto"/>
        <w:ind w:firstLine="567"/>
        <w:jc w:val="center"/>
        <w:rPr>
          <w:rFonts w:eastAsia="Times New Roman"/>
          <w:szCs w:val="28"/>
          <w:lang w:eastAsia="lv-LV"/>
        </w:rPr>
      </w:pPr>
      <w:r w:rsidRPr="00844BBC">
        <w:rPr>
          <w:rFonts w:eastAsia="Times New Roman"/>
          <w:szCs w:val="28"/>
          <w:lang w:eastAsia="lv-LV"/>
        </w:rPr>
        <w:t>Piešķirtās un īstenotās obligātā iepirkuma tiesības</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1589"/>
        <w:gridCol w:w="1305"/>
        <w:gridCol w:w="1842"/>
        <w:gridCol w:w="1192"/>
        <w:gridCol w:w="1220"/>
      </w:tblGrid>
      <w:tr w:rsidR="00E72F4E" w:rsidRPr="00017EBA" w:rsidTr="00C25291">
        <w:trPr>
          <w:cantSplit/>
          <w:trHeight w:val="1415"/>
          <w:jc w:val="center"/>
        </w:trPr>
        <w:tc>
          <w:tcPr>
            <w:tcW w:w="2182" w:type="dxa"/>
          </w:tcPr>
          <w:p w:rsidR="00E72F4E" w:rsidRPr="00FE74DD" w:rsidRDefault="00E72F4E" w:rsidP="004E5D24">
            <w:pPr>
              <w:spacing w:before="0" w:after="0" w:line="240" w:lineRule="auto"/>
              <w:ind w:firstLine="0"/>
              <w:rPr>
                <w:rFonts w:cs="Times New Roman"/>
                <w:sz w:val="20"/>
                <w:szCs w:val="20"/>
              </w:rPr>
            </w:pPr>
          </w:p>
        </w:tc>
        <w:tc>
          <w:tcPr>
            <w:tcW w:w="1589" w:type="dxa"/>
            <w:vAlign w:val="center"/>
          </w:tcPr>
          <w:p w:rsidR="00E72F4E" w:rsidRPr="00FE74DD" w:rsidRDefault="00E72F4E" w:rsidP="004E5D24">
            <w:pPr>
              <w:keepLines/>
              <w:spacing w:before="0" w:after="0" w:line="240" w:lineRule="auto"/>
              <w:ind w:firstLine="0"/>
              <w:jc w:val="center"/>
              <w:rPr>
                <w:rFonts w:cs="Times New Roman"/>
                <w:sz w:val="20"/>
                <w:szCs w:val="20"/>
              </w:rPr>
            </w:pPr>
            <w:r w:rsidRPr="00FE74DD">
              <w:rPr>
                <w:rFonts w:cs="Times New Roman"/>
                <w:b/>
                <w:sz w:val="20"/>
                <w:szCs w:val="20"/>
              </w:rPr>
              <w:t>Elektrostacijas, kam piešķirtas tiesības pārdot elektroenerģiju obligātā iepirkuma ietvaros</w:t>
            </w:r>
          </w:p>
        </w:tc>
        <w:tc>
          <w:tcPr>
            <w:tcW w:w="1305" w:type="dxa"/>
            <w:vAlign w:val="center"/>
          </w:tcPr>
          <w:p w:rsidR="00E72F4E" w:rsidRPr="00FE74DD" w:rsidRDefault="00E72F4E" w:rsidP="004E5D24">
            <w:pPr>
              <w:spacing w:before="0" w:after="0" w:line="240" w:lineRule="auto"/>
              <w:ind w:firstLine="0"/>
              <w:jc w:val="center"/>
              <w:rPr>
                <w:rFonts w:cs="Times New Roman"/>
                <w:sz w:val="20"/>
                <w:szCs w:val="20"/>
              </w:rPr>
            </w:pPr>
            <w:r w:rsidRPr="00FE74DD">
              <w:rPr>
                <w:rFonts w:cs="Times New Roman"/>
                <w:b/>
                <w:sz w:val="20"/>
                <w:szCs w:val="20"/>
              </w:rPr>
              <w:t xml:space="preserve">Īstenoto projektu skaits </w:t>
            </w:r>
            <w:r w:rsidRPr="00FE74DD">
              <w:rPr>
                <w:rFonts w:cs="Times New Roman"/>
                <w:b/>
                <w:sz w:val="20"/>
                <w:szCs w:val="20"/>
                <w:u w:val="single"/>
              </w:rPr>
              <w:t>uz 30.09.2012</w:t>
            </w:r>
            <w:r w:rsidRPr="00FE74DD">
              <w:rPr>
                <w:rFonts w:cs="Times New Roman"/>
                <w:sz w:val="20"/>
                <w:szCs w:val="20"/>
              </w:rPr>
              <w:t>.</w:t>
            </w:r>
          </w:p>
        </w:tc>
        <w:tc>
          <w:tcPr>
            <w:tcW w:w="1842" w:type="dxa"/>
            <w:vAlign w:val="center"/>
          </w:tcPr>
          <w:p w:rsidR="00E72F4E" w:rsidRPr="00FE74DD" w:rsidRDefault="00E72F4E" w:rsidP="004E5D24">
            <w:pPr>
              <w:spacing w:before="0" w:after="0" w:line="240" w:lineRule="auto"/>
              <w:ind w:firstLine="0"/>
              <w:jc w:val="center"/>
              <w:rPr>
                <w:rFonts w:cs="Times New Roman"/>
                <w:sz w:val="20"/>
                <w:szCs w:val="20"/>
              </w:rPr>
            </w:pPr>
            <w:r w:rsidRPr="00FE74DD">
              <w:rPr>
                <w:rFonts w:cs="Times New Roman"/>
                <w:b/>
                <w:sz w:val="20"/>
                <w:szCs w:val="20"/>
              </w:rPr>
              <w:t>Elektrostaciju, kam piešķirtas tiesības pārdot saražoto elektroenerģiju obligātā iepirkuma ietvaros paredzētā elektriskā jauda (MW)</w:t>
            </w:r>
          </w:p>
        </w:tc>
        <w:tc>
          <w:tcPr>
            <w:tcW w:w="1192" w:type="dxa"/>
            <w:vAlign w:val="center"/>
          </w:tcPr>
          <w:p w:rsidR="00E72F4E" w:rsidRPr="00FE74DD" w:rsidRDefault="00E72F4E" w:rsidP="004E5D24">
            <w:pPr>
              <w:spacing w:before="0" w:after="0" w:line="240" w:lineRule="auto"/>
              <w:ind w:firstLine="0"/>
              <w:jc w:val="center"/>
              <w:rPr>
                <w:rFonts w:cs="Times New Roman"/>
                <w:b/>
                <w:sz w:val="20"/>
                <w:szCs w:val="20"/>
              </w:rPr>
            </w:pPr>
            <w:r w:rsidRPr="00FE74DD">
              <w:rPr>
                <w:rFonts w:cs="Times New Roman"/>
                <w:b/>
                <w:sz w:val="20"/>
                <w:szCs w:val="20"/>
              </w:rPr>
              <w:t xml:space="preserve">Faktiski uzstādītā elektriskā jauda </w:t>
            </w:r>
            <w:r w:rsidRPr="00FE74DD">
              <w:rPr>
                <w:rFonts w:cs="Times New Roman"/>
                <w:b/>
                <w:sz w:val="20"/>
                <w:szCs w:val="20"/>
                <w:u w:val="single"/>
              </w:rPr>
              <w:t>uz 30.09.2012</w:t>
            </w:r>
            <w:r w:rsidRPr="00FE74DD">
              <w:rPr>
                <w:rFonts w:cs="Times New Roman"/>
                <w:b/>
                <w:sz w:val="20"/>
                <w:szCs w:val="20"/>
              </w:rPr>
              <w:t>.</w:t>
            </w:r>
            <w:r>
              <w:rPr>
                <w:rFonts w:cs="Times New Roman"/>
                <w:b/>
                <w:sz w:val="20"/>
                <w:szCs w:val="20"/>
              </w:rPr>
              <w:t>(MW)</w:t>
            </w:r>
          </w:p>
        </w:tc>
        <w:tc>
          <w:tcPr>
            <w:tcW w:w="1220" w:type="dxa"/>
            <w:vAlign w:val="center"/>
          </w:tcPr>
          <w:p w:rsidR="00E72F4E" w:rsidRPr="00FE74DD" w:rsidRDefault="00E72F4E" w:rsidP="004E5D24">
            <w:pPr>
              <w:spacing w:before="0" w:after="0" w:line="240" w:lineRule="auto"/>
              <w:ind w:firstLine="0"/>
              <w:jc w:val="center"/>
              <w:rPr>
                <w:rFonts w:cs="Times New Roman"/>
                <w:b/>
                <w:sz w:val="20"/>
                <w:szCs w:val="20"/>
              </w:rPr>
            </w:pPr>
            <w:r w:rsidRPr="00FE74DD">
              <w:rPr>
                <w:rFonts w:cs="Times New Roman"/>
                <w:b/>
                <w:sz w:val="20"/>
                <w:szCs w:val="20"/>
              </w:rPr>
              <w:t>Jaudu realizācija</w:t>
            </w:r>
            <w:r>
              <w:rPr>
                <w:rFonts w:cs="Times New Roman"/>
                <w:b/>
                <w:sz w:val="20"/>
                <w:szCs w:val="20"/>
              </w:rPr>
              <w:t xml:space="preserve"> (</w:t>
            </w:r>
            <w:r w:rsidRPr="00FE74DD">
              <w:rPr>
                <w:rFonts w:cs="Times New Roman"/>
                <w:b/>
                <w:sz w:val="20"/>
                <w:szCs w:val="20"/>
              </w:rPr>
              <w:t>%</w:t>
            </w:r>
            <w:r>
              <w:rPr>
                <w:rFonts w:cs="Times New Roman"/>
                <w:b/>
                <w:sz w:val="20"/>
                <w:szCs w:val="20"/>
              </w:rPr>
              <w:t>)</w:t>
            </w:r>
          </w:p>
        </w:tc>
      </w:tr>
      <w:tr w:rsidR="00E72F4E" w:rsidRPr="00017EBA" w:rsidTr="00C25291">
        <w:trPr>
          <w:jc w:val="center"/>
        </w:trPr>
        <w:tc>
          <w:tcPr>
            <w:tcW w:w="2182" w:type="dxa"/>
          </w:tcPr>
          <w:p w:rsidR="00E72F4E" w:rsidRPr="00FE74DD" w:rsidRDefault="00E72F4E" w:rsidP="004E5D24">
            <w:pPr>
              <w:spacing w:before="0" w:after="0" w:line="240" w:lineRule="auto"/>
              <w:ind w:firstLine="0"/>
              <w:rPr>
                <w:rFonts w:cs="Times New Roman"/>
                <w:sz w:val="20"/>
                <w:szCs w:val="20"/>
                <w:u w:val="single"/>
              </w:rPr>
            </w:pPr>
            <w:r w:rsidRPr="00FE74DD">
              <w:rPr>
                <w:rFonts w:cs="Times New Roman"/>
                <w:b/>
                <w:sz w:val="20"/>
                <w:szCs w:val="20"/>
                <w:u w:val="single"/>
              </w:rPr>
              <w:t>AER</w:t>
            </w:r>
          </w:p>
          <w:p w:rsidR="00E72F4E" w:rsidRPr="00FE74DD" w:rsidRDefault="00E72F4E" w:rsidP="004E5D24">
            <w:pPr>
              <w:spacing w:before="0" w:after="0" w:line="240" w:lineRule="auto"/>
              <w:ind w:firstLine="0"/>
              <w:rPr>
                <w:rFonts w:cs="Times New Roman"/>
                <w:i/>
                <w:sz w:val="20"/>
                <w:szCs w:val="20"/>
              </w:rPr>
            </w:pPr>
            <w:r w:rsidRPr="00FE74DD">
              <w:rPr>
                <w:rFonts w:cs="Times New Roman"/>
                <w:i/>
                <w:sz w:val="20"/>
                <w:szCs w:val="20"/>
              </w:rPr>
              <w:t xml:space="preserve">MK noteikumi Nr.503, </w:t>
            </w:r>
            <w:r w:rsidRPr="00FE74DD">
              <w:rPr>
                <w:rFonts w:cs="Times New Roman"/>
                <w:i/>
                <w:sz w:val="20"/>
                <w:szCs w:val="20"/>
              </w:rPr>
              <w:lastRenderedPageBreak/>
              <w:t>MK noteikumi Nr.198; MK noteikumi Nr.262.</w:t>
            </w:r>
          </w:p>
        </w:tc>
        <w:tc>
          <w:tcPr>
            <w:tcW w:w="1589" w:type="dxa"/>
            <w:vAlign w:val="center"/>
          </w:tcPr>
          <w:p w:rsidR="00E72F4E" w:rsidRPr="00FE74DD" w:rsidRDefault="00E72F4E" w:rsidP="004E5D24">
            <w:pPr>
              <w:spacing w:before="0" w:after="0" w:line="240" w:lineRule="auto"/>
              <w:ind w:firstLine="0"/>
              <w:jc w:val="center"/>
              <w:rPr>
                <w:rFonts w:cs="Times New Roman"/>
                <w:sz w:val="20"/>
                <w:szCs w:val="20"/>
                <w:lang w:val="ru-RU"/>
              </w:rPr>
            </w:pPr>
            <w:r w:rsidRPr="00FE74DD">
              <w:rPr>
                <w:rFonts w:cs="Times New Roman"/>
                <w:sz w:val="20"/>
                <w:szCs w:val="20"/>
                <w:lang w:val="ru-RU"/>
              </w:rPr>
              <w:lastRenderedPageBreak/>
              <w:t>245</w:t>
            </w:r>
          </w:p>
        </w:tc>
        <w:tc>
          <w:tcPr>
            <w:tcW w:w="1305" w:type="dxa"/>
            <w:vAlign w:val="center"/>
          </w:tcPr>
          <w:p w:rsidR="00E72F4E" w:rsidRPr="00FE74DD" w:rsidRDefault="00E72F4E" w:rsidP="004E5D24">
            <w:pPr>
              <w:spacing w:before="0" w:after="0" w:line="240" w:lineRule="auto"/>
              <w:ind w:firstLine="0"/>
              <w:jc w:val="center"/>
              <w:rPr>
                <w:rFonts w:cs="Times New Roman"/>
                <w:sz w:val="20"/>
                <w:szCs w:val="20"/>
              </w:rPr>
            </w:pPr>
            <w:r w:rsidRPr="00FE74DD">
              <w:rPr>
                <w:rFonts w:cs="Times New Roman"/>
                <w:sz w:val="20"/>
                <w:szCs w:val="20"/>
              </w:rPr>
              <w:t>223</w:t>
            </w:r>
          </w:p>
        </w:tc>
        <w:tc>
          <w:tcPr>
            <w:tcW w:w="1842" w:type="dxa"/>
            <w:vAlign w:val="center"/>
          </w:tcPr>
          <w:p w:rsidR="00E72F4E" w:rsidRPr="00FE74DD" w:rsidRDefault="00E72F4E" w:rsidP="004E5D24">
            <w:pPr>
              <w:spacing w:before="0" w:after="0" w:line="240" w:lineRule="auto"/>
              <w:ind w:firstLine="0"/>
              <w:jc w:val="center"/>
              <w:rPr>
                <w:rFonts w:cs="Times New Roman"/>
                <w:sz w:val="20"/>
                <w:szCs w:val="20"/>
                <w:lang w:eastAsia="lv-LV"/>
              </w:rPr>
            </w:pPr>
            <w:r w:rsidRPr="00FE74DD">
              <w:rPr>
                <w:rFonts w:cs="Times New Roman"/>
                <w:sz w:val="20"/>
                <w:szCs w:val="20"/>
              </w:rPr>
              <w:t>306,7</w:t>
            </w:r>
          </w:p>
        </w:tc>
        <w:tc>
          <w:tcPr>
            <w:tcW w:w="1192" w:type="dxa"/>
            <w:vAlign w:val="center"/>
          </w:tcPr>
          <w:p w:rsidR="00E72F4E" w:rsidRPr="00FE74DD" w:rsidRDefault="00E72F4E" w:rsidP="004E5D24">
            <w:pPr>
              <w:spacing w:before="0" w:after="0" w:line="240" w:lineRule="auto"/>
              <w:ind w:firstLine="0"/>
              <w:jc w:val="center"/>
              <w:rPr>
                <w:rFonts w:cs="Times New Roman"/>
                <w:sz w:val="20"/>
                <w:szCs w:val="20"/>
              </w:rPr>
            </w:pPr>
            <w:r w:rsidRPr="00FE74DD">
              <w:rPr>
                <w:rFonts w:cs="Times New Roman"/>
                <w:sz w:val="20"/>
                <w:szCs w:val="20"/>
                <w:lang w:eastAsia="lv-LV"/>
              </w:rPr>
              <w:t>111,2</w:t>
            </w:r>
          </w:p>
        </w:tc>
        <w:tc>
          <w:tcPr>
            <w:tcW w:w="1220" w:type="dxa"/>
            <w:vAlign w:val="center"/>
          </w:tcPr>
          <w:p w:rsidR="00E72F4E" w:rsidRPr="00FE74DD" w:rsidRDefault="00E72F4E" w:rsidP="004E5D24">
            <w:pPr>
              <w:spacing w:before="0" w:after="0" w:line="240" w:lineRule="auto"/>
              <w:ind w:firstLine="0"/>
              <w:jc w:val="center"/>
              <w:rPr>
                <w:rFonts w:cs="Times New Roman"/>
                <w:b/>
                <w:sz w:val="20"/>
                <w:szCs w:val="20"/>
                <w:lang w:eastAsia="lv-LV"/>
              </w:rPr>
            </w:pPr>
            <w:r w:rsidRPr="00FE74DD">
              <w:rPr>
                <w:rFonts w:cs="Times New Roman"/>
                <w:b/>
                <w:sz w:val="20"/>
                <w:szCs w:val="20"/>
                <w:lang w:eastAsia="lv-LV"/>
              </w:rPr>
              <w:t>36,3 %</w:t>
            </w:r>
          </w:p>
        </w:tc>
      </w:tr>
      <w:tr w:rsidR="00E72F4E" w:rsidRPr="00017EBA" w:rsidTr="00C25291">
        <w:trPr>
          <w:jc w:val="center"/>
        </w:trPr>
        <w:tc>
          <w:tcPr>
            <w:tcW w:w="2182" w:type="dxa"/>
          </w:tcPr>
          <w:p w:rsidR="00E72F4E" w:rsidRPr="00FE74DD" w:rsidRDefault="00E72F4E" w:rsidP="004E5D24">
            <w:pPr>
              <w:spacing w:before="0" w:after="0" w:line="240" w:lineRule="auto"/>
              <w:ind w:firstLine="0"/>
              <w:rPr>
                <w:rFonts w:cs="Times New Roman"/>
                <w:sz w:val="20"/>
                <w:szCs w:val="20"/>
                <w:u w:val="single"/>
              </w:rPr>
            </w:pPr>
            <w:r w:rsidRPr="00FE74DD">
              <w:rPr>
                <w:rFonts w:cs="Times New Roman"/>
                <w:sz w:val="20"/>
                <w:szCs w:val="20"/>
                <w:u w:val="single"/>
              </w:rPr>
              <w:lastRenderedPageBreak/>
              <w:t>Koģenerācijas stacijas (</w:t>
            </w:r>
            <w:r w:rsidRPr="00FE74DD">
              <w:rPr>
                <w:rFonts w:cs="Times New Roman"/>
                <w:b/>
                <w:sz w:val="20"/>
                <w:szCs w:val="20"/>
                <w:u w:val="single"/>
              </w:rPr>
              <w:t>AER)</w:t>
            </w:r>
          </w:p>
          <w:p w:rsidR="00E72F4E" w:rsidRPr="00FE74DD" w:rsidRDefault="00E72F4E" w:rsidP="004E5D24">
            <w:pPr>
              <w:spacing w:before="0" w:after="0" w:line="240" w:lineRule="auto"/>
              <w:ind w:firstLine="0"/>
              <w:rPr>
                <w:rFonts w:cs="Times New Roman"/>
                <w:i/>
                <w:sz w:val="20"/>
                <w:szCs w:val="20"/>
              </w:rPr>
            </w:pPr>
            <w:r w:rsidRPr="00FE74DD">
              <w:rPr>
                <w:rFonts w:cs="Times New Roman"/>
                <w:i/>
                <w:sz w:val="20"/>
                <w:szCs w:val="20"/>
              </w:rPr>
              <w:t>MK noteikumi Nr.921; MK noteikumi Nr.221.</w:t>
            </w:r>
          </w:p>
        </w:tc>
        <w:tc>
          <w:tcPr>
            <w:tcW w:w="1589" w:type="dxa"/>
            <w:vAlign w:val="center"/>
          </w:tcPr>
          <w:p w:rsidR="00E72F4E" w:rsidRPr="00FE74DD" w:rsidRDefault="00E72F4E" w:rsidP="004E5D24">
            <w:pPr>
              <w:spacing w:before="0" w:after="0" w:line="240" w:lineRule="auto"/>
              <w:ind w:firstLine="0"/>
              <w:jc w:val="center"/>
              <w:rPr>
                <w:rFonts w:cs="Times New Roman"/>
                <w:sz w:val="20"/>
                <w:szCs w:val="20"/>
              </w:rPr>
            </w:pPr>
            <w:r w:rsidRPr="00FE74DD">
              <w:rPr>
                <w:rFonts w:cs="Times New Roman"/>
                <w:sz w:val="20"/>
                <w:szCs w:val="20"/>
              </w:rPr>
              <w:t>446</w:t>
            </w:r>
          </w:p>
        </w:tc>
        <w:tc>
          <w:tcPr>
            <w:tcW w:w="1305" w:type="dxa"/>
            <w:vAlign w:val="center"/>
          </w:tcPr>
          <w:p w:rsidR="00E72F4E" w:rsidRPr="00FE74DD" w:rsidRDefault="00E72F4E" w:rsidP="004E5D24">
            <w:pPr>
              <w:spacing w:before="0" w:after="0" w:line="240" w:lineRule="auto"/>
              <w:ind w:firstLine="0"/>
              <w:jc w:val="center"/>
              <w:rPr>
                <w:rFonts w:cs="Times New Roman"/>
                <w:sz w:val="20"/>
                <w:szCs w:val="20"/>
              </w:rPr>
            </w:pPr>
            <w:r w:rsidRPr="00FE74DD">
              <w:rPr>
                <w:rFonts w:cs="Times New Roman"/>
                <w:sz w:val="20"/>
                <w:szCs w:val="20"/>
              </w:rPr>
              <w:t>9</w:t>
            </w:r>
          </w:p>
        </w:tc>
        <w:tc>
          <w:tcPr>
            <w:tcW w:w="1842" w:type="dxa"/>
            <w:vAlign w:val="center"/>
          </w:tcPr>
          <w:p w:rsidR="00E72F4E" w:rsidRPr="00FE74DD" w:rsidRDefault="00E72F4E" w:rsidP="004E5D24">
            <w:pPr>
              <w:spacing w:before="0" w:after="0" w:line="240" w:lineRule="auto"/>
              <w:ind w:firstLine="0"/>
              <w:jc w:val="center"/>
              <w:rPr>
                <w:rFonts w:cs="Times New Roman"/>
                <w:sz w:val="20"/>
                <w:szCs w:val="20"/>
                <w:lang w:eastAsia="lv-LV"/>
              </w:rPr>
            </w:pPr>
            <w:r w:rsidRPr="00FE74DD">
              <w:rPr>
                <w:rFonts w:cs="Times New Roman"/>
                <w:sz w:val="20"/>
                <w:szCs w:val="20"/>
              </w:rPr>
              <w:t>611,0</w:t>
            </w:r>
          </w:p>
        </w:tc>
        <w:tc>
          <w:tcPr>
            <w:tcW w:w="1192" w:type="dxa"/>
            <w:vAlign w:val="center"/>
          </w:tcPr>
          <w:p w:rsidR="00E72F4E" w:rsidRPr="00FE74DD" w:rsidRDefault="00E72F4E" w:rsidP="004E5D24">
            <w:pPr>
              <w:spacing w:before="0" w:after="0" w:line="240" w:lineRule="auto"/>
              <w:ind w:firstLine="0"/>
              <w:jc w:val="center"/>
              <w:rPr>
                <w:rFonts w:cs="Times New Roman"/>
                <w:sz w:val="20"/>
                <w:szCs w:val="20"/>
              </w:rPr>
            </w:pPr>
            <w:r w:rsidRPr="00FE74DD">
              <w:rPr>
                <w:rFonts w:cs="Times New Roman"/>
                <w:sz w:val="20"/>
                <w:szCs w:val="20"/>
                <w:lang w:eastAsia="lv-LV"/>
              </w:rPr>
              <w:t>6,9</w:t>
            </w:r>
          </w:p>
        </w:tc>
        <w:tc>
          <w:tcPr>
            <w:tcW w:w="1220" w:type="dxa"/>
            <w:vAlign w:val="center"/>
          </w:tcPr>
          <w:p w:rsidR="00E72F4E" w:rsidRPr="00FE74DD" w:rsidRDefault="00E72F4E" w:rsidP="004E5D24">
            <w:pPr>
              <w:spacing w:before="0" w:after="0" w:line="240" w:lineRule="auto"/>
              <w:ind w:firstLine="0"/>
              <w:jc w:val="center"/>
              <w:rPr>
                <w:rFonts w:cs="Times New Roman"/>
                <w:b/>
                <w:sz w:val="20"/>
                <w:szCs w:val="20"/>
                <w:lang w:eastAsia="lv-LV"/>
              </w:rPr>
            </w:pPr>
            <w:r w:rsidRPr="00FE74DD">
              <w:rPr>
                <w:rFonts w:cs="Times New Roman"/>
                <w:b/>
                <w:sz w:val="20"/>
                <w:szCs w:val="20"/>
                <w:lang w:eastAsia="lv-LV"/>
              </w:rPr>
              <w:t>1,1%</w:t>
            </w:r>
          </w:p>
        </w:tc>
      </w:tr>
      <w:tr w:rsidR="00E72F4E" w:rsidRPr="00017EBA" w:rsidTr="00C25291">
        <w:trPr>
          <w:jc w:val="center"/>
        </w:trPr>
        <w:tc>
          <w:tcPr>
            <w:tcW w:w="2182" w:type="dxa"/>
          </w:tcPr>
          <w:p w:rsidR="00E72F4E" w:rsidRPr="00FE74DD" w:rsidRDefault="00E72F4E" w:rsidP="004E5D24">
            <w:pPr>
              <w:spacing w:before="0" w:after="0" w:line="240" w:lineRule="auto"/>
              <w:ind w:firstLine="0"/>
              <w:rPr>
                <w:rFonts w:cs="Times New Roman"/>
                <w:b/>
                <w:sz w:val="20"/>
                <w:szCs w:val="20"/>
              </w:rPr>
            </w:pPr>
            <w:r w:rsidRPr="00FE74DD">
              <w:rPr>
                <w:rFonts w:cs="Times New Roman"/>
                <w:sz w:val="20"/>
                <w:szCs w:val="20"/>
                <w:u w:val="single"/>
              </w:rPr>
              <w:t>Koģenerācijas stacijas (</w:t>
            </w:r>
            <w:r w:rsidRPr="00FE74DD">
              <w:rPr>
                <w:rFonts w:cs="Times New Roman"/>
                <w:b/>
                <w:sz w:val="20"/>
                <w:szCs w:val="20"/>
              </w:rPr>
              <w:t>Fosilie energoresursi)</w:t>
            </w:r>
          </w:p>
          <w:p w:rsidR="00E72F4E" w:rsidRPr="00FE74DD" w:rsidRDefault="00E72F4E" w:rsidP="004E5D24">
            <w:pPr>
              <w:spacing w:before="0" w:after="0" w:line="240" w:lineRule="auto"/>
              <w:ind w:firstLine="0"/>
              <w:rPr>
                <w:rFonts w:cs="Times New Roman"/>
                <w:i/>
                <w:sz w:val="20"/>
                <w:szCs w:val="20"/>
              </w:rPr>
            </w:pPr>
            <w:r w:rsidRPr="00FE74DD">
              <w:rPr>
                <w:rFonts w:cs="Times New Roman"/>
                <w:i/>
                <w:sz w:val="20"/>
                <w:szCs w:val="20"/>
              </w:rPr>
              <w:t>MK noteikumi Nr.921; MK noteikumi Nr.221.</w:t>
            </w:r>
          </w:p>
        </w:tc>
        <w:tc>
          <w:tcPr>
            <w:tcW w:w="1589" w:type="dxa"/>
            <w:vAlign w:val="center"/>
          </w:tcPr>
          <w:p w:rsidR="00E72F4E" w:rsidRPr="00FE74DD" w:rsidRDefault="00E72F4E" w:rsidP="004E5D24">
            <w:pPr>
              <w:spacing w:before="0" w:after="0" w:line="240" w:lineRule="auto"/>
              <w:ind w:firstLine="0"/>
              <w:jc w:val="center"/>
              <w:rPr>
                <w:rFonts w:cs="Times New Roman"/>
                <w:sz w:val="20"/>
                <w:szCs w:val="20"/>
                <w:lang w:eastAsia="lv-LV"/>
              </w:rPr>
            </w:pPr>
            <w:r w:rsidRPr="00FE74DD">
              <w:rPr>
                <w:rFonts w:cs="Times New Roman"/>
                <w:sz w:val="20"/>
                <w:szCs w:val="20"/>
                <w:lang w:eastAsia="lv-LV"/>
              </w:rPr>
              <w:t>124</w:t>
            </w:r>
          </w:p>
        </w:tc>
        <w:tc>
          <w:tcPr>
            <w:tcW w:w="1305" w:type="dxa"/>
            <w:vAlign w:val="center"/>
          </w:tcPr>
          <w:p w:rsidR="00E72F4E" w:rsidRPr="00FE74DD" w:rsidRDefault="00E72F4E" w:rsidP="004E5D24">
            <w:pPr>
              <w:spacing w:before="0" w:after="0" w:line="240" w:lineRule="auto"/>
              <w:ind w:firstLine="0"/>
              <w:jc w:val="center"/>
              <w:rPr>
                <w:rFonts w:cs="Times New Roman"/>
                <w:sz w:val="20"/>
                <w:szCs w:val="20"/>
              </w:rPr>
            </w:pPr>
            <w:r w:rsidRPr="00FE74DD">
              <w:rPr>
                <w:rFonts w:cs="Times New Roman"/>
                <w:sz w:val="20"/>
                <w:szCs w:val="20"/>
                <w:lang w:eastAsia="lv-LV"/>
              </w:rPr>
              <w:t>78</w:t>
            </w:r>
          </w:p>
        </w:tc>
        <w:tc>
          <w:tcPr>
            <w:tcW w:w="1842" w:type="dxa"/>
            <w:vAlign w:val="center"/>
          </w:tcPr>
          <w:p w:rsidR="00E72F4E" w:rsidRPr="00FE74DD" w:rsidRDefault="00E72F4E" w:rsidP="004E5D24">
            <w:pPr>
              <w:spacing w:before="0" w:after="0" w:line="240" w:lineRule="auto"/>
              <w:ind w:firstLine="0"/>
              <w:jc w:val="center"/>
              <w:rPr>
                <w:rFonts w:cs="Times New Roman"/>
                <w:sz w:val="20"/>
                <w:szCs w:val="20"/>
                <w:lang w:eastAsia="lv-LV"/>
              </w:rPr>
            </w:pPr>
            <w:r w:rsidRPr="00FE74DD">
              <w:rPr>
                <w:rFonts w:cs="Times New Roman"/>
                <w:sz w:val="20"/>
                <w:szCs w:val="20"/>
              </w:rPr>
              <w:t>1155,8</w:t>
            </w:r>
          </w:p>
        </w:tc>
        <w:tc>
          <w:tcPr>
            <w:tcW w:w="1192" w:type="dxa"/>
            <w:vAlign w:val="center"/>
          </w:tcPr>
          <w:p w:rsidR="00E72F4E" w:rsidRPr="00FE74DD" w:rsidRDefault="00E72F4E" w:rsidP="004E5D24">
            <w:pPr>
              <w:spacing w:before="0" w:after="0" w:line="240" w:lineRule="auto"/>
              <w:ind w:firstLine="0"/>
              <w:jc w:val="center"/>
              <w:rPr>
                <w:rFonts w:cs="Times New Roman"/>
                <w:sz w:val="20"/>
                <w:szCs w:val="20"/>
              </w:rPr>
            </w:pPr>
            <w:r w:rsidRPr="00FE74DD">
              <w:rPr>
                <w:rFonts w:cs="Times New Roman"/>
                <w:sz w:val="20"/>
                <w:szCs w:val="20"/>
                <w:lang w:eastAsia="lv-LV"/>
              </w:rPr>
              <w:t>918,4</w:t>
            </w:r>
          </w:p>
        </w:tc>
        <w:tc>
          <w:tcPr>
            <w:tcW w:w="1220" w:type="dxa"/>
            <w:vAlign w:val="center"/>
          </w:tcPr>
          <w:p w:rsidR="00E72F4E" w:rsidRPr="00FE74DD" w:rsidRDefault="00E72F4E" w:rsidP="004E5D24">
            <w:pPr>
              <w:spacing w:before="0" w:after="0" w:line="240" w:lineRule="auto"/>
              <w:ind w:firstLine="0"/>
              <w:jc w:val="center"/>
              <w:rPr>
                <w:rFonts w:cs="Times New Roman"/>
                <w:b/>
                <w:sz w:val="20"/>
                <w:szCs w:val="20"/>
                <w:lang w:eastAsia="lv-LV"/>
              </w:rPr>
            </w:pPr>
            <w:r w:rsidRPr="00FE74DD">
              <w:rPr>
                <w:rFonts w:cs="Times New Roman"/>
                <w:b/>
                <w:sz w:val="20"/>
                <w:szCs w:val="20"/>
                <w:lang w:eastAsia="lv-LV"/>
              </w:rPr>
              <w:t>79,5%</w:t>
            </w:r>
          </w:p>
        </w:tc>
      </w:tr>
      <w:tr w:rsidR="00E72F4E" w:rsidRPr="00017EBA" w:rsidTr="00C25291">
        <w:trPr>
          <w:jc w:val="center"/>
        </w:trPr>
        <w:tc>
          <w:tcPr>
            <w:tcW w:w="2182" w:type="dxa"/>
          </w:tcPr>
          <w:p w:rsidR="00E72F4E" w:rsidRPr="00FE74DD" w:rsidRDefault="00E72F4E" w:rsidP="004E5D24">
            <w:pPr>
              <w:spacing w:before="0" w:after="0" w:line="240" w:lineRule="auto"/>
              <w:ind w:firstLine="0"/>
              <w:rPr>
                <w:rFonts w:cs="Times New Roman"/>
                <w:sz w:val="20"/>
                <w:szCs w:val="20"/>
                <w:u w:val="single"/>
              </w:rPr>
            </w:pPr>
            <w:r>
              <w:rPr>
                <w:rFonts w:cs="Times New Roman"/>
                <w:sz w:val="20"/>
                <w:szCs w:val="20"/>
                <w:u w:val="single"/>
              </w:rPr>
              <w:t>Kopā</w:t>
            </w:r>
          </w:p>
        </w:tc>
        <w:tc>
          <w:tcPr>
            <w:tcW w:w="1589" w:type="dxa"/>
            <w:vAlign w:val="center"/>
          </w:tcPr>
          <w:p w:rsidR="00E72F4E" w:rsidRPr="00FE74DD" w:rsidRDefault="00E72F4E" w:rsidP="004E5D24">
            <w:pPr>
              <w:spacing w:before="0" w:after="0" w:line="240" w:lineRule="auto"/>
              <w:ind w:firstLine="0"/>
              <w:jc w:val="center"/>
              <w:rPr>
                <w:rFonts w:cs="Times New Roman"/>
                <w:sz w:val="20"/>
                <w:szCs w:val="20"/>
                <w:lang w:eastAsia="lv-LV"/>
              </w:rPr>
            </w:pPr>
            <w:r>
              <w:rPr>
                <w:rFonts w:cs="Times New Roman"/>
                <w:sz w:val="20"/>
                <w:szCs w:val="20"/>
                <w:lang w:eastAsia="lv-LV"/>
              </w:rPr>
              <w:t>815</w:t>
            </w:r>
          </w:p>
        </w:tc>
        <w:tc>
          <w:tcPr>
            <w:tcW w:w="1305" w:type="dxa"/>
            <w:vAlign w:val="center"/>
          </w:tcPr>
          <w:p w:rsidR="00E72F4E" w:rsidRPr="00FE74DD" w:rsidRDefault="00E72F4E" w:rsidP="004E5D24">
            <w:pPr>
              <w:spacing w:before="0" w:after="0" w:line="240" w:lineRule="auto"/>
              <w:ind w:firstLine="0"/>
              <w:jc w:val="center"/>
              <w:rPr>
                <w:rFonts w:cs="Times New Roman"/>
                <w:sz w:val="20"/>
                <w:szCs w:val="20"/>
                <w:lang w:eastAsia="lv-LV"/>
              </w:rPr>
            </w:pPr>
            <w:r>
              <w:rPr>
                <w:rFonts w:cs="Times New Roman"/>
                <w:sz w:val="20"/>
                <w:szCs w:val="20"/>
                <w:lang w:eastAsia="lv-LV"/>
              </w:rPr>
              <w:t>310</w:t>
            </w:r>
          </w:p>
        </w:tc>
        <w:tc>
          <w:tcPr>
            <w:tcW w:w="1842" w:type="dxa"/>
            <w:vAlign w:val="center"/>
          </w:tcPr>
          <w:p w:rsidR="00E72F4E" w:rsidRPr="00FE74DD" w:rsidRDefault="00E72F4E" w:rsidP="004E5D24">
            <w:pPr>
              <w:spacing w:before="0" w:after="0" w:line="240" w:lineRule="auto"/>
              <w:ind w:firstLine="0"/>
              <w:jc w:val="center"/>
              <w:rPr>
                <w:rFonts w:cs="Times New Roman"/>
                <w:sz w:val="20"/>
                <w:szCs w:val="20"/>
              </w:rPr>
            </w:pPr>
            <w:r>
              <w:rPr>
                <w:rFonts w:cs="Times New Roman"/>
                <w:sz w:val="20"/>
                <w:szCs w:val="20"/>
              </w:rPr>
              <w:t>2073,5</w:t>
            </w:r>
          </w:p>
        </w:tc>
        <w:tc>
          <w:tcPr>
            <w:tcW w:w="1192" w:type="dxa"/>
            <w:vAlign w:val="center"/>
          </w:tcPr>
          <w:p w:rsidR="00E72F4E" w:rsidRPr="00FE74DD" w:rsidRDefault="00E72F4E" w:rsidP="004E5D24">
            <w:pPr>
              <w:spacing w:before="0" w:after="0" w:line="240" w:lineRule="auto"/>
              <w:ind w:firstLine="0"/>
              <w:jc w:val="center"/>
              <w:rPr>
                <w:rFonts w:cs="Times New Roman"/>
                <w:sz w:val="20"/>
                <w:szCs w:val="20"/>
                <w:lang w:eastAsia="lv-LV"/>
              </w:rPr>
            </w:pPr>
            <w:r>
              <w:rPr>
                <w:rFonts w:cs="Times New Roman"/>
                <w:sz w:val="20"/>
                <w:szCs w:val="20"/>
                <w:lang w:eastAsia="lv-LV"/>
              </w:rPr>
              <w:t>1036,5</w:t>
            </w:r>
          </w:p>
        </w:tc>
        <w:tc>
          <w:tcPr>
            <w:tcW w:w="1220" w:type="dxa"/>
            <w:vAlign w:val="center"/>
          </w:tcPr>
          <w:p w:rsidR="00E72F4E" w:rsidRPr="00FE74DD" w:rsidRDefault="00E72F4E" w:rsidP="004E5D24">
            <w:pPr>
              <w:spacing w:before="0" w:after="0" w:line="240" w:lineRule="auto"/>
              <w:ind w:firstLine="0"/>
              <w:jc w:val="center"/>
              <w:rPr>
                <w:rFonts w:cs="Times New Roman"/>
                <w:b/>
                <w:sz w:val="20"/>
                <w:szCs w:val="20"/>
                <w:lang w:eastAsia="lv-LV"/>
              </w:rPr>
            </w:pPr>
            <w:r>
              <w:rPr>
                <w:rFonts w:cs="Times New Roman"/>
                <w:b/>
                <w:sz w:val="20"/>
                <w:szCs w:val="20"/>
                <w:lang w:eastAsia="lv-LV"/>
              </w:rPr>
              <w:t>50 %</w:t>
            </w:r>
          </w:p>
        </w:tc>
      </w:tr>
    </w:tbl>
    <w:p w:rsidR="00E72F4E" w:rsidRDefault="00E72F4E" w:rsidP="00E72F4E">
      <w:pPr>
        <w:pStyle w:val="PlainText"/>
        <w:spacing w:after="120"/>
        <w:ind w:firstLine="0"/>
        <w:rPr>
          <w:rFonts w:ascii="Times New Roman" w:hAnsi="Times New Roman"/>
          <w:sz w:val="20"/>
          <w:szCs w:val="20"/>
        </w:rPr>
      </w:pPr>
      <w:r w:rsidRPr="00FE74DD">
        <w:rPr>
          <w:rFonts w:ascii="Times New Roman" w:hAnsi="Times New Roman"/>
          <w:sz w:val="20"/>
          <w:szCs w:val="20"/>
        </w:rPr>
        <w:t>Avots: Ekonomikas ministrija</w:t>
      </w:r>
    </w:p>
    <w:p w:rsidR="00E72F4E" w:rsidRPr="002C6008" w:rsidRDefault="002C6008" w:rsidP="001B5C55">
      <w:pPr>
        <w:tabs>
          <w:tab w:val="left" w:pos="567"/>
        </w:tabs>
        <w:spacing w:after="0" w:line="240" w:lineRule="auto"/>
        <w:ind w:firstLine="0"/>
        <w:rPr>
          <w:szCs w:val="28"/>
        </w:rPr>
      </w:pPr>
      <w:r w:rsidRPr="002C6008">
        <w:rPr>
          <w:szCs w:val="28"/>
        </w:rPr>
        <w:t>Lielai daļai biomasas un biogāzes projekt</w:t>
      </w:r>
      <w:r w:rsidR="001B5C55" w:rsidRPr="002C6008">
        <w:rPr>
          <w:szCs w:val="28"/>
        </w:rPr>
        <w:t>u</w:t>
      </w:r>
      <w:r w:rsidRPr="002C6008">
        <w:rPr>
          <w:szCs w:val="28"/>
        </w:rPr>
        <w:t>, kas saņēmuši obligātā iepirkuma tiesības saskaņā ar MK noteikumiem Nr.262,</w:t>
      </w:r>
      <w:r w:rsidR="001B5C55" w:rsidRPr="002C6008">
        <w:rPr>
          <w:szCs w:val="28"/>
        </w:rPr>
        <w:t xml:space="preserve"> realizācijas termiņš beidzas 2013.</w:t>
      </w:r>
      <w:r w:rsidR="00601F3F">
        <w:rPr>
          <w:szCs w:val="28"/>
        </w:rPr>
        <w:t> </w:t>
      </w:r>
      <w:r w:rsidR="001B5C55" w:rsidRPr="002C6008">
        <w:rPr>
          <w:szCs w:val="28"/>
        </w:rPr>
        <w:t>gadā</w:t>
      </w:r>
      <w:r w:rsidR="00AD587F" w:rsidRPr="002C6008">
        <w:rPr>
          <w:szCs w:val="28"/>
        </w:rPr>
        <w:t xml:space="preserve">. </w:t>
      </w:r>
      <w:r w:rsidRPr="002C6008">
        <w:rPr>
          <w:szCs w:val="28"/>
        </w:rPr>
        <w:t>Pēc šī termiņa beigām būs iespējams precīzi novērtēt ieviestās AER jaudas.</w:t>
      </w:r>
    </w:p>
    <w:p w:rsidR="002C29CA" w:rsidRPr="00844BBC" w:rsidRDefault="00601F3F" w:rsidP="00DE4A95">
      <w:pPr>
        <w:tabs>
          <w:tab w:val="left" w:pos="567"/>
        </w:tabs>
        <w:spacing w:before="0" w:after="0" w:line="240" w:lineRule="auto"/>
        <w:ind w:firstLine="0"/>
        <w:jc w:val="right"/>
        <w:rPr>
          <w:szCs w:val="28"/>
        </w:rPr>
      </w:pPr>
      <w:r>
        <w:rPr>
          <w:szCs w:val="28"/>
        </w:rPr>
        <w:t>4</w:t>
      </w:r>
      <w:r w:rsidR="00017EBA" w:rsidRPr="00844BBC">
        <w:rPr>
          <w:szCs w:val="28"/>
        </w:rPr>
        <w:t>.</w:t>
      </w:r>
      <w:r w:rsidR="002C29CA" w:rsidRPr="00844BBC">
        <w:rPr>
          <w:szCs w:val="28"/>
        </w:rPr>
        <w:t> tabula</w:t>
      </w:r>
    </w:p>
    <w:p w:rsidR="002C29CA" w:rsidRPr="00844BBC" w:rsidRDefault="002C29CA" w:rsidP="00844BBC">
      <w:pPr>
        <w:spacing w:after="0" w:line="240" w:lineRule="auto"/>
        <w:ind w:firstLine="0"/>
        <w:jc w:val="center"/>
        <w:rPr>
          <w:rFonts w:eastAsia="Times New Roman"/>
          <w:szCs w:val="28"/>
          <w:lang w:eastAsia="lv-LV"/>
        </w:rPr>
      </w:pPr>
      <w:r w:rsidRPr="00844BBC">
        <w:rPr>
          <w:szCs w:val="28"/>
        </w:rPr>
        <w:t>Koģenerācijas stacijas, kurām</w:t>
      </w:r>
      <w:r w:rsidR="00E14005">
        <w:rPr>
          <w:szCs w:val="28"/>
        </w:rPr>
        <w:t xml:space="preserve"> </w:t>
      </w:r>
      <w:r w:rsidRPr="00844BBC">
        <w:rPr>
          <w:szCs w:val="28"/>
        </w:rPr>
        <w:t>piešķirts lielākais atbalsts</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1276"/>
        <w:gridCol w:w="1417"/>
        <w:gridCol w:w="1418"/>
        <w:gridCol w:w="1781"/>
        <w:gridCol w:w="1314"/>
      </w:tblGrid>
      <w:tr w:rsidR="002C29CA" w:rsidRPr="00017EBA" w:rsidTr="00844BBC">
        <w:trPr>
          <w:trHeight w:val="806"/>
          <w:jc w:val="center"/>
        </w:trPr>
        <w:tc>
          <w:tcPr>
            <w:tcW w:w="2106" w:type="dxa"/>
            <w:vAlign w:val="center"/>
          </w:tcPr>
          <w:p w:rsidR="002C29CA" w:rsidRPr="00844BBC" w:rsidRDefault="002C29CA" w:rsidP="00AD587F">
            <w:pPr>
              <w:spacing w:before="0" w:after="0" w:line="240" w:lineRule="auto"/>
              <w:ind w:firstLine="0"/>
              <w:jc w:val="center"/>
              <w:rPr>
                <w:rFonts w:cs="Times New Roman"/>
                <w:sz w:val="24"/>
                <w:szCs w:val="24"/>
              </w:rPr>
            </w:pPr>
            <w:r w:rsidRPr="00844BBC">
              <w:rPr>
                <w:rFonts w:cs="Times New Roman"/>
                <w:b/>
                <w:sz w:val="24"/>
                <w:szCs w:val="24"/>
              </w:rPr>
              <w:t>Energoapgādes komersants</w:t>
            </w:r>
          </w:p>
        </w:tc>
        <w:tc>
          <w:tcPr>
            <w:tcW w:w="1276" w:type="dxa"/>
            <w:vAlign w:val="center"/>
          </w:tcPr>
          <w:p w:rsidR="002C29CA" w:rsidRPr="00844BBC" w:rsidRDefault="002C29CA" w:rsidP="00AD587F">
            <w:pPr>
              <w:spacing w:before="0" w:after="0" w:line="240" w:lineRule="auto"/>
              <w:ind w:firstLine="0"/>
              <w:jc w:val="center"/>
              <w:rPr>
                <w:rFonts w:cs="Times New Roman"/>
                <w:b/>
                <w:sz w:val="24"/>
                <w:szCs w:val="24"/>
              </w:rPr>
            </w:pPr>
            <w:r w:rsidRPr="00844BBC">
              <w:rPr>
                <w:rFonts w:cs="Times New Roman"/>
                <w:b/>
                <w:sz w:val="24"/>
                <w:szCs w:val="24"/>
              </w:rPr>
              <w:t>Resurss</w:t>
            </w:r>
          </w:p>
        </w:tc>
        <w:tc>
          <w:tcPr>
            <w:tcW w:w="1417" w:type="dxa"/>
            <w:vAlign w:val="center"/>
          </w:tcPr>
          <w:p w:rsidR="002C29CA" w:rsidRPr="00844BBC" w:rsidRDefault="002C29CA">
            <w:pPr>
              <w:spacing w:before="0" w:after="0" w:line="240" w:lineRule="auto"/>
              <w:ind w:firstLine="0"/>
              <w:jc w:val="center"/>
              <w:rPr>
                <w:rFonts w:cs="Times New Roman"/>
                <w:b/>
                <w:sz w:val="24"/>
                <w:szCs w:val="24"/>
              </w:rPr>
            </w:pPr>
            <w:r w:rsidRPr="00844BBC">
              <w:rPr>
                <w:rFonts w:cs="Times New Roman"/>
                <w:b/>
                <w:sz w:val="24"/>
                <w:szCs w:val="24"/>
              </w:rPr>
              <w:t>Lēmuma datums</w:t>
            </w:r>
          </w:p>
        </w:tc>
        <w:tc>
          <w:tcPr>
            <w:tcW w:w="1418" w:type="dxa"/>
            <w:vAlign w:val="center"/>
          </w:tcPr>
          <w:p w:rsidR="002C29CA" w:rsidRPr="00844BBC" w:rsidRDefault="002C29CA">
            <w:pPr>
              <w:spacing w:before="0" w:after="0" w:line="240" w:lineRule="auto"/>
              <w:ind w:firstLine="0"/>
              <w:jc w:val="center"/>
              <w:rPr>
                <w:rFonts w:cs="Times New Roman"/>
                <w:sz w:val="24"/>
                <w:szCs w:val="24"/>
              </w:rPr>
            </w:pPr>
            <w:r w:rsidRPr="00844BBC">
              <w:rPr>
                <w:rFonts w:cs="Times New Roman"/>
                <w:b/>
                <w:sz w:val="24"/>
                <w:szCs w:val="24"/>
              </w:rPr>
              <w:t>Elektriskā jauda (MW)</w:t>
            </w:r>
          </w:p>
        </w:tc>
        <w:tc>
          <w:tcPr>
            <w:tcW w:w="1781" w:type="dxa"/>
            <w:vAlign w:val="center"/>
          </w:tcPr>
          <w:p w:rsidR="002C29CA" w:rsidRPr="00844BBC" w:rsidRDefault="002C29CA">
            <w:pPr>
              <w:spacing w:before="0" w:after="0" w:line="240" w:lineRule="auto"/>
              <w:ind w:firstLine="0"/>
              <w:jc w:val="center"/>
              <w:rPr>
                <w:rFonts w:cs="Times New Roman"/>
                <w:sz w:val="24"/>
                <w:szCs w:val="24"/>
              </w:rPr>
            </w:pPr>
            <w:r w:rsidRPr="00844BBC">
              <w:rPr>
                <w:rFonts w:cs="Times New Roman"/>
                <w:b/>
                <w:sz w:val="24"/>
                <w:szCs w:val="24"/>
              </w:rPr>
              <w:t xml:space="preserve">Lēmumā noteiktais </w:t>
            </w:r>
            <w:r w:rsidR="00031E9C" w:rsidRPr="00844BBC">
              <w:rPr>
                <w:rFonts w:cs="Times New Roman"/>
                <w:b/>
                <w:sz w:val="24"/>
                <w:szCs w:val="24"/>
              </w:rPr>
              <w:t>obligātā iepirkuma</w:t>
            </w:r>
            <w:r w:rsidRPr="00844BBC">
              <w:rPr>
                <w:rFonts w:cs="Times New Roman"/>
                <w:b/>
                <w:sz w:val="24"/>
                <w:szCs w:val="24"/>
              </w:rPr>
              <w:t xml:space="preserve"> apjoms (GWh/gadā)</w:t>
            </w:r>
          </w:p>
        </w:tc>
        <w:tc>
          <w:tcPr>
            <w:tcW w:w="1314" w:type="dxa"/>
            <w:vAlign w:val="center"/>
          </w:tcPr>
          <w:p w:rsidR="002C29CA" w:rsidRPr="00844BBC" w:rsidRDefault="002C29CA">
            <w:pPr>
              <w:spacing w:before="0" w:after="0" w:line="240" w:lineRule="auto"/>
              <w:ind w:firstLine="0"/>
              <w:jc w:val="center"/>
              <w:rPr>
                <w:rFonts w:cs="Times New Roman"/>
                <w:b/>
                <w:sz w:val="24"/>
                <w:szCs w:val="24"/>
              </w:rPr>
            </w:pPr>
            <w:r w:rsidRPr="00844BBC">
              <w:rPr>
                <w:rFonts w:cs="Times New Roman"/>
                <w:b/>
                <w:sz w:val="24"/>
                <w:szCs w:val="24"/>
              </w:rPr>
              <w:t>Piešķirtais atbalsts</w:t>
            </w:r>
          </w:p>
        </w:tc>
      </w:tr>
      <w:tr w:rsidR="008F569A" w:rsidRPr="00017EBA" w:rsidTr="00844BBC">
        <w:trPr>
          <w:jc w:val="center"/>
        </w:trPr>
        <w:tc>
          <w:tcPr>
            <w:tcW w:w="2106" w:type="dxa"/>
            <w:vAlign w:val="center"/>
          </w:tcPr>
          <w:p w:rsidR="008F569A" w:rsidRPr="00844BBC" w:rsidRDefault="008F569A" w:rsidP="00AD587F">
            <w:pPr>
              <w:spacing w:before="0" w:after="0" w:line="240" w:lineRule="auto"/>
              <w:ind w:firstLine="0"/>
              <w:jc w:val="left"/>
              <w:rPr>
                <w:rFonts w:cs="Times New Roman"/>
                <w:sz w:val="24"/>
                <w:szCs w:val="24"/>
              </w:rPr>
            </w:pPr>
            <w:r w:rsidRPr="00844BBC">
              <w:rPr>
                <w:rFonts w:cs="Times New Roman"/>
                <w:sz w:val="24"/>
                <w:szCs w:val="24"/>
              </w:rPr>
              <w:t>AS „Latvenergo”</w:t>
            </w:r>
          </w:p>
        </w:tc>
        <w:tc>
          <w:tcPr>
            <w:tcW w:w="1276" w:type="dxa"/>
            <w:vAlign w:val="center"/>
          </w:tcPr>
          <w:p w:rsidR="008F569A" w:rsidRPr="00844BBC" w:rsidRDefault="008F569A" w:rsidP="00AD587F">
            <w:pPr>
              <w:spacing w:before="0" w:after="0" w:line="240" w:lineRule="auto"/>
              <w:ind w:firstLine="0"/>
              <w:jc w:val="center"/>
              <w:rPr>
                <w:rFonts w:cs="Times New Roman"/>
                <w:sz w:val="24"/>
                <w:szCs w:val="24"/>
              </w:rPr>
            </w:pPr>
            <w:r w:rsidRPr="00844BBC">
              <w:rPr>
                <w:rFonts w:cs="Times New Roman"/>
                <w:sz w:val="24"/>
                <w:szCs w:val="24"/>
              </w:rPr>
              <w:t>Dabasgāze</w:t>
            </w:r>
          </w:p>
        </w:tc>
        <w:tc>
          <w:tcPr>
            <w:tcW w:w="1417"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rPr>
              <w:t>28.05.2007</w:t>
            </w:r>
          </w:p>
        </w:tc>
        <w:tc>
          <w:tcPr>
            <w:tcW w:w="1418"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rPr>
              <w:t>144</w:t>
            </w:r>
          </w:p>
        </w:tc>
        <w:tc>
          <w:tcPr>
            <w:tcW w:w="1781" w:type="dxa"/>
            <w:vAlign w:val="center"/>
          </w:tcPr>
          <w:p w:rsidR="008F569A" w:rsidRPr="00844BBC" w:rsidRDefault="008F569A">
            <w:pPr>
              <w:spacing w:before="0" w:after="0" w:line="240" w:lineRule="auto"/>
              <w:ind w:firstLine="0"/>
              <w:jc w:val="center"/>
              <w:rPr>
                <w:rFonts w:cs="Times New Roman"/>
                <w:sz w:val="24"/>
                <w:szCs w:val="24"/>
                <w:lang w:eastAsia="lv-LV"/>
              </w:rPr>
            </w:pPr>
            <w:r w:rsidRPr="00844BBC">
              <w:rPr>
                <w:rFonts w:cs="Times New Roman"/>
                <w:sz w:val="24"/>
                <w:szCs w:val="24"/>
                <w:lang w:eastAsia="lv-LV"/>
              </w:rPr>
              <w:t>Nav ierobežots</w:t>
            </w:r>
          </w:p>
        </w:tc>
        <w:tc>
          <w:tcPr>
            <w:tcW w:w="1314" w:type="dxa"/>
            <w:vMerge w:val="restart"/>
            <w:vAlign w:val="center"/>
          </w:tcPr>
          <w:p w:rsidR="008F569A" w:rsidRPr="00844BBC" w:rsidRDefault="008F569A">
            <w:pPr>
              <w:spacing w:before="0" w:after="0" w:line="240" w:lineRule="auto"/>
              <w:ind w:firstLine="0"/>
              <w:jc w:val="center"/>
              <w:rPr>
                <w:rFonts w:cs="Times New Roman"/>
                <w:sz w:val="24"/>
                <w:szCs w:val="24"/>
                <w:lang w:eastAsia="lv-LV"/>
              </w:rPr>
            </w:pPr>
            <w:proofErr w:type="spellStart"/>
            <w:r w:rsidRPr="00844BBC">
              <w:rPr>
                <w:rFonts w:cs="Times New Roman"/>
                <w:sz w:val="24"/>
                <w:szCs w:val="24"/>
                <w:lang w:eastAsia="lv-LV"/>
              </w:rPr>
              <w:t>Elektro</w:t>
            </w:r>
            <w:r w:rsidR="00DD6C21">
              <w:rPr>
                <w:rFonts w:cs="Times New Roman"/>
                <w:sz w:val="24"/>
                <w:szCs w:val="24"/>
                <w:lang w:eastAsia="lv-LV"/>
              </w:rPr>
              <w:t>-</w:t>
            </w:r>
            <w:proofErr w:type="spellEnd"/>
            <w:r w:rsidR="00DD6C21">
              <w:rPr>
                <w:rFonts w:cs="Times New Roman"/>
                <w:sz w:val="24"/>
                <w:szCs w:val="24"/>
                <w:lang w:eastAsia="lv-LV"/>
              </w:rPr>
              <w:t xml:space="preserve"> </w:t>
            </w:r>
            <w:r w:rsidRPr="00844BBC">
              <w:rPr>
                <w:rFonts w:cs="Times New Roman"/>
                <w:sz w:val="24"/>
                <w:szCs w:val="24"/>
                <w:lang w:eastAsia="lv-LV"/>
              </w:rPr>
              <w:t>enerģijas obligātais iepirkums</w:t>
            </w:r>
          </w:p>
        </w:tc>
      </w:tr>
      <w:tr w:rsidR="008F569A" w:rsidRPr="00017EBA" w:rsidTr="00844BBC">
        <w:trPr>
          <w:jc w:val="center"/>
        </w:trPr>
        <w:tc>
          <w:tcPr>
            <w:tcW w:w="2106" w:type="dxa"/>
            <w:vAlign w:val="center"/>
          </w:tcPr>
          <w:p w:rsidR="008F569A" w:rsidRPr="00844BBC" w:rsidRDefault="008F569A" w:rsidP="00AD587F">
            <w:pPr>
              <w:spacing w:before="0" w:after="0" w:line="240" w:lineRule="auto"/>
              <w:ind w:firstLine="0"/>
              <w:jc w:val="left"/>
              <w:rPr>
                <w:rFonts w:cs="Times New Roman"/>
                <w:sz w:val="24"/>
                <w:szCs w:val="24"/>
              </w:rPr>
            </w:pPr>
            <w:r w:rsidRPr="00844BBC">
              <w:rPr>
                <w:rFonts w:cs="Times New Roman"/>
                <w:sz w:val="24"/>
                <w:szCs w:val="24"/>
              </w:rPr>
              <w:t>AS „Latvenergo”</w:t>
            </w:r>
          </w:p>
        </w:tc>
        <w:tc>
          <w:tcPr>
            <w:tcW w:w="1276" w:type="dxa"/>
            <w:vAlign w:val="center"/>
          </w:tcPr>
          <w:p w:rsidR="008F569A" w:rsidRPr="00844BBC" w:rsidRDefault="008F569A" w:rsidP="00AD587F">
            <w:pPr>
              <w:spacing w:before="0" w:after="0" w:line="240" w:lineRule="auto"/>
              <w:ind w:firstLine="0"/>
              <w:jc w:val="center"/>
              <w:rPr>
                <w:rFonts w:cs="Times New Roman"/>
                <w:sz w:val="24"/>
                <w:szCs w:val="24"/>
              </w:rPr>
            </w:pPr>
            <w:r w:rsidRPr="00844BBC">
              <w:rPr>
                <w:rFonts w:cs="Times New Roman"/>
                <w:sz w:val="24"/>
                <w:szCs w:val="24"/>
              </w:rPr>
              <w:t>Dabasgāze</w:t>
            </w:r>
          </w:p>
        </w:tc>
        <w:tc>
          <w:tcPr>
            <w:tcW w:w="1417"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rPr>
              <w:t>13.09.2010</w:t>
            </w:r>
          </w:p>
        </w:tc>
        <w:tc>
          <w:tcPr>
            <w:tcW w:w="1418"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rPr>
              <w:t>832,5*</w:t>
            </w:r>
          </w:p>
        </w:tc>
        <w:tc>
          <w:tcPr>
            <w:tcW w:w="1781"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rPr>
              <w:t>2449,856</w:t>
            </w:r>
          </w:p>
        </w:tc>
        <w:tc>
          <w:tcPr>
            <w:tcW w:w="1314" w:type="dxa"/>
            <w:vMerge/>
            <w:vAlign w:val="center"/>
          </w:tcPr>
          <w:p w:rsidR="008F569A" w:rsidRPr="00844BBC" w:rsidRDefault="008F569A">
            <w:pPr>
              <w:spacing w:before="0" w:after="0" w:line="240" w:lineRule="auto"/>
              <w:ind w:firstLine="0"/>
              <w:jc w:val="center"/>
              <w:rPr>
                <w:rFonts w:cs="Times New Roman"/>
                <w:sz w:val="24"/>
                <w:szCs w:val="24"/>
                <w:lang w:eastAsia="lv-LV"/>
              </w:rPr>
            </w:pPr>
          </w:p>
        </w:tc>
      </w:tr>
      <w:tr w:rsidR="008F569A" w:rsidRPr="00017EBA" w:rsidTr="00844BBC">
        <w:trPr>
          <w:jc w:val="center"/>
        </w:trPr>
        <w:tc>
          <w:tcPr>
            <w:tcW w:w="2106" w:type="dxa"/>
            <w:vAlign w:val="center"/>
          </w:tcPr>
          <w:p w:rsidR="008F569A" w:rsidRPr="00844BBC" w:rsidRDefault="008F569A" w:rsidP="00AD587F">
            <w:pPr>
              <w:spacing w:before="0" w:after="0" w:line="240" w:lineRule="auto"/>
              <w:ind w:firstLine="0"/>
              <w:jc w:val="left"/>
              <w:rPr>
                <w:rFonts w:cs="Times New Roman"/>
                <w:sz w:val="24"/>
                <w:szCs w:val="24"/>
              </w:rPr>
            </w:pPr>
            <w:r w:rsidRPr="00844BBC">
              <w:rPr>
                <w:rFonts w:cs="Times New Roman"/>
                <w:sz w:val="24"/>
                <w:szCs w:val="24"/>
              </w:rPr>
              <w:t>AS „Rīgas siltums”</w:t>
            </w:r>
          </w:p>
        </w:tc>
        <w:tc>
          <w:tcPr>
            <w:tcW w:w="1276" w:type="dxa"/>
            <w:vAlign w:val="center"/>
          </w:tcPr>
          <w:p w:rsidR="008F569A" w:rsidRPr="00844BBC" w:rsidRDefault="008F569A" w:rsidP="00AD587F">
            <w:pPr>
              <w:spacing w:before="0" w:after="0" w:line="240" w:lineRule="auto"/>
              <w:ind w:firstLine="0"/>
              <w:jc w:val="center"/>
              <w:rPr>
                <w:rFonts w:cs="Times New Roman"/>
                <w:sz w:val="24"/>
                <w:szCs w:val="24"/>
              </w:rPr>
            </w:pPr>
            <w:r w:rsidRPr="00844BBC">
              <w:rPr>
                <w:rFonts w:cs="Times New Roman"/>
                <w:sz w:val="24"/>
                <w:szCs w:val="24"/>
              </w:rPr>
              <w:t>Dabasgāze</w:t>
            </w:r>
          </w:p>
        </w:tc>
        <w:tc>
          <w:tcPr>
            <w:tcW w:w="1417"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rPr>
              <w:t>29.03.2007</w:t>
            </w:r>
          </w:p>
        </w:tc>
        <w:tc>
          <w:tcPr>
            <w:tcW w:w="1418"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rPr>
              <w:t>48</w:t>
            </w:r>
          </w:p>
        </w:tc>
        <w:tc>
          <w:tcPr>
            <w:tcW w:w="1781"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lang w:eastAsia="lv-LV"/>
              </w:rPr>
              <w:t>Nav ierobežots</w:t>
            </w:r>
          </w:p>
        </w:tc>
        <w:tc>
          <w:tcPr>
            <w:tcW w:w="1314" w:type="dxa"/>
            <w:vMerge/>
            <w:vAlign w:val="center"/>
          </w:tcPr>
          <w:p w:rsidR="008F569A" w:rsidRPr="00844BBC" w:rsidRDefault="008F569A">
            <w:pPr>
              <w:spacing w:before="0" w:after="0" w:line="240" w:lineRule="auto"/>
              <w:ind w:firstLine="0"/>
              <w:jc w:val="center"/>
              <w:rPr>
                <w:rFonts w:cs="Times New Roman"/>
                <w:sz w:val="24"/>
                <w:szCs w:val="24"/>
                <w:lang w:eastAsia="lv-LV"/>
              </w:rPr>
            </w:pPr>
          </w:p>
        </w:tc>
      </w:tr>
      <w:tr w:rsidR="008F569A" w:rsidRPr="00017EBA" w:rsidTr="00844BBC">
        <w:trPr>
          <w:jc w:val="center"/>
        </w:trPr>
        <w:tc>
          <w:tcPr>
            <w:tcW w:w="2106" w:type="dxa"/>
            <w:vAlign w:val="center"/>
          </w:tcPr>
          <w:p w:rsidR="008F569A" w:rsidRPr="00844BBC" w:rsidRDefault="008F569A" w:rsidP="00AD587F">
            <w:pPr>
              <w:spacing w:before="0" w:after="0" w:line="240" w:lineRule="auto"/>
              <w:ind w:firstLine="0"/>
              <w:jc w:val="left"/>
              <w:rPr>
                <w:rFonts w:cs="Times New Roman"/>
                <w:sz w:val="24"/>
                <w:szCs w:val="24"/>
              </w:rPr>
            </w:pPr>
            <w:r w:rsidRPr="00844BBC">
              <w:rPr>
                <w:rFonts w:cs="Times New Roman"/>
                <w:sz w:val="24"/>
                <w:szCs w:val="24"/>
              </w:rPr>
              <w:t>SIA „Juglas Jauda”</w:t>
            </w:r>
          </w:p>
        </w:tc>
        <w:tc>
          <w:tcPr>
            <w:tcW w:w="1276" w:type="dxa"/>
            <w:vAlign w:val="center"/>
          </w:tcPr>
          <w:p w:rsidR="008F569A" w:rsidRPr="00844BBC" w:rsidRDefault="008F569A" w:rsidP="00AD587F">
            <w:pPr>
              <w:spacing w:before="0" w:after="0" w:line="240" w:lineRule="auto"/>
              <w:ind w:firstLine="0"/>
              <w:jc w:val="center"/>
              <w:rPr>
                <w:rFonts w:cs="Times New Roman"/>
                <w:sz w:val="24"/>
                <w:szCs w:val="24"/>
              </w:rPr>
            </w:pPr>
            <w:r w:rsidRPr="00844BBC">
              <w:rPr>
                <w:rFonts w:cs="Times New Roman"/>
                <w:sz w:val="24"/>
                <w:szCs w:val="24"/>
              </w:rPr>
              <w:t>Dabasgāze</w:t>
            </w:r>
          </w:p>
        </w:tc>
        <w:tc>
          <w:tcPr>
            <w:tcW w:w="1417"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rPr>
              <w:t>20.10.2010</w:t>
            </w:r>
          </w:p>
        </w:tc>
        <w:tc>
          <w:tcPr>
            <w:tcW w:w="1418" w:type="dxa"/>
            <w:vAlign w:val="center"/>
          </w:tcPr>
          <w:p w:rsidR="008F569A" w:rsidRPr="00844BBC" w:rsidRDefault="008F569A">
            <w:pPr>
              <w:spacing w:before="0" w:after="0" w:line="240" w:lineRule="auto"/>
              <w:ind w:firstLine="0"/>
              <w:jc w:val="center"/>
              <w:rPr>
                <w:rFonts w:cs="Times New Roman"/>
                <w:sz w:val="24"/>
                <w:szCs w:val="24"/>
              </w:rPr>
            </w:pPr>
            <w:r w:rsidRPr="00844BBC">
              <w:rPr>
                <w:rFonts w:cs="Times New Roman"/>
                <w:sz w:val="24"/>
                <w:szCs w:val="24"/>
              </w:rPr>
              <w:t>14,9</w:t>
            </w:r>
          </w:p>
        </w:tc>
        <w:tc>
          <w:tcPr>
            <w:tcW w:w="1781" w:type="dxa"/>
            <w:vAlign w:val="center"/>
          </w:tcPr>
          <w:p w:rsidR="008F569A" w:rsidRPr="00844BBC" w:rsidRDefault="008F569A">
            <w:pPr>
              <w:spacing w:before="0" w:after="0" w:line="240" w:lineRule="auto"/>
              <w:ind w:firstLine="0"/>
              <w:jc w:val="center"/>
              <w:rPr>
                <w:rFonts w:cs="Times New Roman"/>
                <w:sz w:val="24"/>
                <w:szCs w:val="24"/>
                <w:lang w:eastAsia="lv-LV"/>
              </w:rPr>
            </w:pPr>
            <w:r w:rsidRPr="00844BBC">
              <w:rPr>
                <w:rFonts w:cs="Times New Roman"/>
                <w:sz w:val="24"/>
                <w:szCs w:val="24"/>
                <w:lang w:eastAsia="lv-LV"/>
              </w:rPr>
              <w:t>80,000</w:t>
            </w:r>
          </w:p>
        </w:tc>
        <w:tc>
          <w:tcPr>
            <w:tcW w:w="1314" w:type="dxa"/>
            <w:vMerge/>
            <w:vAlign w:val="center"/>
          </w:tcPr>
          <w:p w:rsidR="008F569A" w:rsidRPr="00844BBC" w:rsidRDefault="008F569A">
            <w:pPr>
              <w:spacing w:before="0" w:after="0" w:line="240" w:lineRule="auto"/>
              <w:ind w:firstLine="0"/>
              <w:jc w:val="center"/>
              <w:rPr>
                <w:rFonts w:cs="Times New Roman"/>
                <w:sz w:val="24"/>
                <w:szCs w:val="24"/>
                <w:lang w:eastAsia="lv-LV"/>
              </w:rPr>
            </w:pPr>
          </w:p>
        </w:tc>
      </w:tr>
      <w:tr w:rsidR="00063A68" w:rsidRPr="00017EBA" w:rsidTr="009C550F">
        <w:trPr>
          <w:trHeight w:val="837"/>
          <w:jc w:val="center"/>
        </w:trPr>
        <w:tc>
          <w:tcPr>
            <w:tcW w:w="2106" w:type="dxa"/>
            <w:vAlign w:val="center"/>
          </w:tcPr>
          <w:p w:rsidR="00063A68" w:rsidRPr="00844BBC" w:rsidRDefault="00063A68" w:rsidP="00AD587F">
            <w:pPr>
              <w:spacing w:before="0" w:after="0" w:line="240" w:lineRule="auto"/>
              <w:ind w:firstLine="0"/>
              <w:jc w:val="left"/>
              <w:rPr>
                <w:rFonts w:cs="Times New Roman"/>
                <w:sz w:val="24"/>
                <w:szCs w:val="24"/>
              </w:rPr>
            </w:pPr>
            <w:r w:rsidRPr="00844BBC">
              <w:rPr>
                <w:rFonts w:cs="Times New Roman"/>
                <w:sz w:val="24"/>
                <w:szCs w:val="24"/>
              </w:rPr>
              <w:t>SIA "</w:t>
            </w:r>
            <w:proofErr w:type="spellStart"/>
            <w:r w:rsidRPr="00844BBC">
              <w:rPr>
                <w:rFonts w:cs="Times New Roman"/>
                <w:sz w:val="24"/>
                <w:szCs w:val="24"/>
              </w:rPr>
              <w:t>Fortum</w:t>
            </w:r>
            <w:proofErr w:type="spellEnd"/>
            <w:r w:rsidRPr="00844BBC">
              <w:rPr>
                <w:rFonts w:cs="Times New Roman"/>
                <w:sz w:val="24"/>
                <w:szCs w:val="24"/>
              </w:rPr>
              <w:t xml:space="preserve"> Jelgava"</w:t>
            </w:r>
          </w:p>
        </w:tc>
        <w:tc>
          <w:tcPr>
            <w:tcW w:w="1276" w:type="dxa"/>
            <w:vAlign w:val="center"/>
          </w:tcPr>
          <w:p w:rsidR="00063A68" w:rsidRPr="00844BBC" w:rsidRDefault="00063A68" w:rsidP="00AD587F">
            <w:pPr>
              <w:spacing w:before="0" w:after="0" w:line="240" w:lineRule="auto"/>
              <w:ind w:firstLine="0"/>
              <w:jc w:val="center"/>
              <w:rPr>
                <w:rFonts w:cs="Times New Roman"/>
                <w:sz w:val="24"/>
                <w:szCs w:val="24"/>
              </w:rPr>
            </w:pPr>
            <w:r w:rsidRPr="00844BBC">
              <w:rPr>
                <w:rFonts w:cs="Times New Roman"/>
                <w:sz w:val="24"/>
                <w:szCs w:val="24"/>
              </w:rPr>
              <w:t>Šķelda</w:t>
            </w:r>
          </w:p>
        </w:tc>
        <w:tc>
          <w:tcPr>
            <w:tcW w:w="1417" w:type="dxa"/>
            <w:vAlign w:val="center"/>
          </w:tcPr>
          <w:p w:rsidR="00063A68" w:rsidRPr="00844BBC" w:rsidRDefault="00063A68">
            <w:pPr>
              <w:spacing w:before="0" w:after="0" w:line="240" w:lineRule="auto"/>
              <w:ind w:firstLine="0"/>
              <w:jc w:val="center"/>
              <w:rPr>
                <w:rFonts w:cs="Times New Roman"/>
                <w:sz w:val="24"/>
                <w:szCs w:val="24"/>
              </w:rPr>
            </w:pPr>
            <w:r w:rsidRPr="00844BBC">
              <w:rPr>
                <w:rFonts w:cs="Times New Roman"/>
                <w:sz w:val="24"/>
                <w:szCs w:val="24"/>
              </w:rPr>
              <w:t>16.11.2010</w:t>
            </w:r>
          </w:p>
        </w:tc>
        <w:tc>
          <w:tcPr>
            <w:tcW w:w="1418" w:type="dxa"/>
            <w:vAlign w:val="center"/>
          </w:tcPr>
          <w:p w:rsidR="00063A68" w:rsidRPr="00844BBC" w:rsidRDefault="00063A68">
            <w:pPr>
              <w:spacing w:before="0" w:after="0" w:line="240" w:lineRule="auto"/>
              <w:ind w:firstLine="0"/>
              <w:jc w:val="center"/>
              <w:rPr>
                <w:rFonts w:cs="Times New Roman"/>
                <w:sz w:val="24"/>
                <w:szCs w:val="24"/>
              </w:rPr>
            </w:pPr>
            <w:r w:rsidRPr="00844BBC">
              <w:rPr>
                <w:rFonts w:cs="Times New Roman"/>
                <w:sz w:val="24"/>
                <w:szCs w:val="24"/>
              </w:rPr>
              <w:t>23</w:t>
            </w:r>
          </w:p>
        </w:tc>
        <w:tc>
          <w:tcPr>
            <w:tcW w:w="1781" w:type="dxa"/>
            <w:vAlign w:val="center"/>
          </w:tcPr>
          <w:p w:rsidR="00063A68" w:rsidRPr="00844BBC" w:rsidRDefault="00063A68">
            <w:pPr>
              <w:spacing w:before="0" w:after="0" w:line="240" w:lineRule="auto"/>
              <w:ind w:firstLine="0"/>
              <w:jc w:val="center"/>
              <w:rPr>
                <w:rFonts w:cs="Times New Roman"/>
                <w:sz w:val="24"/>
                <w:szCs w:val="24"/>
              </w:rPr>
            </w:pPr>
            <w:r w:rsidRPr="00844BBC">
              <w:rPr>
                <w:rFonts w:cs="Times New Roman"/>
                <w:sz w:val="24"/>
                <w:szCs w:val="24"/>
              </w:rPr>
              <w:t>-</w:t>
            </w:r>
          </w:p>
        </w:tc>
        <w:tc>
          <w:tcPr>
            <w:tcW w:w="1314" w:type="dxa"/>
            <w:vAlign w:val="center"/>
          </w:tcPr>
          <w:p w:rsidR="00063A68" w:rsidRPr="00844BBC" w:rsidRDefault="00063A68">
            <w:pPr>
              <w:spacing w:before="0" w:after="0" w:line="240" w:lineRule="auto"/>
              <w:ind w:firstLine="0"/>
              <w:jc w:val="center"/>
              <w:rPr>
                <w:rFonts w:cs="Times New Roman"/>
                <w:sz w:val="24"/>
                <w:szCs w:val="24"/>
                <w:lang w:eastAsia="lv-LV"/>
              </w:rPr>
            </w:pPr>
            <w:r w:rsidRPr="00844BBC">
              <w:rPr>
                <w:rFonts w:cs="Times New Roman"/>
                <w:sz w:val="24"/>
                <w:szCs w:val="24"/>
                <w:lang w:eastAsia="lv-LV"/>
              </w:rPr>
              <w:t>Garantētā maksa par uzstādīto jaudu</w:t>
            </w:r>
          </w:p>
        </w:tc>
      </w:tr>
    </w:tbl>
    <w:p w:rsidR="00063A68" w:rsidRDefault="00063A68" w:rsidP="00DE4A95">
      <w:pPr>
        <w:pStyle w:val="PlainText"/>
        <w:spacing w:before="0" w:after="120"/>
        <w:ind w:firstLine="0"/>
        <w:rPr>
          <w:rFonts w:ascii="Times New Roman" w:hAnsi="Times New Roman"/>
          <w:i/>
          <w:sz w:val="24"/>
          <w:szCs w:val="28"/>
        </w:rPr>
      </w:pPr>
      <w:r>
        <w:rPr>
          <w:rFonts w:ascii="Times New Roman" w:hAnsi="Times New Roman"/>
          <w:i/>
          <w:sz w:val="24"/>
          <w:szCs w:val="28"/>
        </w:rPr>
        <w:t>* Lēmums izdots pēc jaudas palielināšanas</w:t>
      </w:r>
      <w:r w:rsidR="008F569A">
        <w:rPr>
          <w:rFonts w:ascii="Times New Roman" w:hAnsi="Times New Roman"/>
          <w:i/>
          <w:sz w:val="24"/>
          <w:szCs w:val="28"/>
        </w:rPr>
        <w:t xml:space="preserve"> un ietver </w:t>
      </w:r>
      <w:r w:rsidR="008F569A" w:rsidRPr="008F569A">
        <w:rPr>
          <w:rFonts w:ascii="Times New Roman" w:hAnsi="Times New Roman"/>
          <w:i/>
          <w:sz w:val="24"/>
          <w:szCs w:val="28"/>
        </w:rPr>
        <w:t>30.12.2008</w:t>
      </w:r>
      <w:r w:rsidR="008F569A">
        <w:rPr>
          <w:rFonts w:ascii="Times New Roman" w:hAnsi="Times New Roman"/>
          <w:i/>
          <w:sz w:val="24"/>
          <w:szCs w:val="28"/>
        </w:rPr>
        <w:t xml:space="preserve">. lēmumu ar plānoto ražošanas jaudu 633,3 MW </w:t>
      </w:r>
      <w:r>
        <w:rPr>
          <w:rFonts w:ascii="Times New Roman" w:hAnsi="Times New Roman"/>
          <w:i/>
          <w:sz w:val="24"/>
          <w:szCs w:val="28"/>
        </w:rPr>
        <w:t>, reāli uzstādīt</w:t>
      </w:r>
      <w:r w:rsidR="008F569A">
        <w:rPr>
          <w:rFonts w:ascii="Times New Roman" w:hAnsi="Times New Roman"/>
          <w:i/>
          <w:sz w:val="24"/>
          <w:szCs w:val="28"/>
        </w:rPr>
        <w:t>ā</w:t>
      </w:r>
      <w:r>
        <w:rPr>
          <w:rFonts w:ascii="Times New Roman" w:hAnsi="Times New Roman"/>
          <w:i/>
          <w:sz w:val="24"/>
          <w:szCs w:val="28"/>
        </w:rPr>
        <w:t xml:space="preserve"> jauda </w:t>
      </w:r>
      <w:r w:rsidR="008F569A">
        <w:rPr>
          <w:rFonts w:ascii="Times New Roman" w:hAnsi="Times New Roman"/>
          <w:i/>
          <w:sz w:val="24"/>
          <w:szCs w:val="28"/>
        </w:rPr>
        <w:t>597</w:t>
      </w:r>
      <w:r>
        <w:rPr>
          <w:rFonts w:ascii="Times New Roman" w:hAnsi="Times New Roman"/>
          <w:i/>
          <w:sz w:val="24"/>
          <w:szCs w:val="28"/>
        </w:rPr>
        <w:t xml:space="preserve"> MW. </w:t>
      </w:r>
    </w:p>
    <w:p w:rsidR="00844BBC" w:rsidRDefault="00844BBC" w:rsidP="00844BBC">
      <w:pPr>
        <w:pStyle w:val="PlainText"/>
        <w:spacing w:after="120"/>
        <w:ind w:firstLine="0"/>
        <w:rPr>
          <w:rFonts w:ascii="Times New Roman" w:hAnsi="Times New Roman"/>
          <w:sz w:val="20"/>
          <w:szCs w:val="28"/>
        </w:rPr>
      </w:pPr>
      <w:r w:rsidRPr="00844BBC">
        <w:rPr>
          <w:rFonts w:ascii="Times New Roman" w:hAnsi="Times New Roman"/>
          <w:sz w:val="20"/>
          <w:szCs w:val="28"/>
        </w:rPr>
        <w:t>Avots: Ekonomikas ministrija</w:t>
      </w:r>
    </w:p>
    <w:p w:rsidR="00DE4A95" w:rsidRPr="00844BBC" w:rsidRDefault="00DE4A95" w:rsidP="00DE4A95">
      <w:pPr>
        <w:pStyle w:val="PlainText"/>
        <w:spacing w:before="0"/>
        <w:ind w:firstLine="0"/>
        <w:rPr>
          <w:rFonts w:ascii="Times New Roman" w:hAnsi="Times New Roman"/>
          <w:sz w:val="20"/>
          <w:szCs w:val="28"/>
        </w:rPr>
      </w:pPr>
    </w:p>
    <w:p w:rsidR="00FC78CD" w:rsidRPr="00FC78CD" w:rsidRDefault="00FC78CD" w:rsidP="00FC78CD">
      <w:pPr>
        <w:spacing w:line="240" w:lineRule="auto"/>
        <w:rPr>
          <w:szCs w:val="28"/>
        </w:rPr>
      </w:pPr>
      <w:r w:rsidRPr="00FC78CD">
        <w:rPr>
          <w:szCs w:val="28"/>
        </w:rPr>
        <w:t xml:space="preserve">Latvijā 2011. gadā obligātā iepirkuma ietvaros iepirkts 2844 GWh elektroenerģijas, </w:t>
      </w:r>
      <w:proofErr w:type="spellStart"/>
      <w:r w:rsidRPr="00FC78CD">
        <w:rPr>
          <w:szCs w:val="28"/>
        </w:rPr>
        <w:t>t.sk</w:t>
      </w:r>
      <w:proofErr w:type="spellEnd"/>
      <w:r w:rsidRPr="00FC78CD">
        <w:rPr>
          <w:szCs w:val="28"/>
        </w:rPr>
        <w:t>.:</w:t>
      </w:r>
    </w:p>
    <w:p w:rsidR="00FC78CD" w:rsidRPr="00FC78CD" w:rsidRDefault="00FC78CD" w:rsidP="00FC78CD">
      <w:pPr>
        <w:numPr>
          <w:ilvl w:val="0"/>
          <w:numId w:val="4"/>
        </w:numPr>
        <w:spacing w:line="240" w:lineRule="auto"/>
        <w:rPr>
          <w:szCs w:val="28"/>
        </w:rPr>
      </w:pPr>
      <w:r w:rsidRPr="00FC78CD">
        <w:rPr>
          <w:szCs w:val="28"/>
        </w:rPr>
        <w:t xml:space="preserve">no fosilajiem energoresursiem koģenerācijas stacijās saražota elektroenerģija 2601 GWh apjomā (izmaksājot 149,18 </w:t>
      </w:r>
      <w:proofErr w:type="spellStart"/>
      <w:r w:rsidRPr="00FC78CD">
        <w:rPr>
          <w:szCs w:val="28"/>
        </w:rPr>
        <w:t>milj</w:t>
      </w:r>
      <w:proofErr w:type="spellEnd"/>
      <w:r w:rsidRPr="00FC78CD">
        <w:rPr>
          <w:szCs w:val="28"/>
        </w:rPr>
        <w:t>. LVL).</w:t>
      </w:r>
    </w:p>
    <w:p w:rsidR="00FC78CD" w:rsidRPr="00FC78CD" w:rsidRDefault="00FC78CD" w:rsidP="00FC78CD">
      <w:pPr>
        <w:numPr>
          <w:ilvl w:val="0"/>
          <w:numId w:val="4"/>
        </w:numPr>
        <w:spacing w:line="240" w:lineRule="auto"/>
        <w:ind w:left="714" w:hanging="357"/>
        <w:rPr>
          <w:szCs w:val="28"/>
        </w:rPr>
      </w:pPr>
      <w:r w:rsidRPr="00FC78CD">
        <w:rPr>
          <w:szCs w:val="28"/>
        </w:rPr>
        <w:t xml:space="preserve">elektroenerģija, kas saražota, izmantojot AER, 243 GWh apjomā (izmaksājot 27 </w:t>
      </w:r>
      <w:proofErr w:type="spellStart"/>
      <w:r w:rsidRPr="00FC78CD">
        <w:rPr>
          <w:szCs w:val="28"/>
        </w:rPr>
        <w:t>milj</w:t>
      </w:r>
      <w:proofErr w:type="spellEnd"/>
      <w:r w:rsidRPr="00FC78CD">
        <w:rPr>
          <w:szCs w:val="28"/>
        </w:rPr>
        <w:t>. LVL).</w:t>
      </w:r>
    </w:p>
    <w:p w:rsidR="00FC78CD" w:rsidRPr="00FC78CD" w:rsidRDefault="00FC78CD" w:rsidP="00FC78CD">
      <w:pPr>
        <w:spacing w:line="240" w:lineRule="auto"/>
        <w:ind w:firstLine="714"/>
        <w:rPr>
          <w:szCs w:val="28"/>
        </w:rPr>
      </w:pPr>
      <w:r w:rsidRPr="00FC78CD">
        <w:rPr>
          <w:szCs w:val="28"/>
        </w:rPr>
        <w:t>Pašlaik obligātā iepirkuma izmaksas sedz visi elektroenerģijas galalietotāji proporcionāli savam elektroenerģijas patēriņam. SPRK pārbauda un apstiprina publiskā tirgotāja aprēķinātās OIK atbilstoši 2009.</w:t>
      </w:r>
      <w:r w:rsidR="00601F3F">
        <w:rPr>
          <w:szCs w:val="28"/>
        </w:rPr>
        <w:t> </w:t>
      </w:r>
      <w:r w:rsidRPr="00FC78CD">
        <w:rPr>
          <w:szCs w:val="28"/>
        </w:rPr>
        <w:t>gada 19.</w:t>
      </w:r>
      <w:r w:rsidR="00601F3F">
        <w:rPr>
          <w:szCs w:val="28"/>
        </w:rPr>
        <w:t> </w:t>
      </w:r>
      <w:r w:rsidRPr="00FC78CD">
        <w:rPr>
          <w:szCs w:val="28"/>
        </w:rPr>
        <w:t xml:space="preserve">augusta SPRK lēmumam Nr.1/2 „Obligātā iepirkuma komponenšu aprēķināšanas metodika”. </w:t>
      </w:r>
      <w:r w:rsidRPr="00FC78CD">
        <w:rPr>
          <w:szCs w:val="28"/>
        </w:rPr>
        <w:lastRenderedPageBreak/>
        <w:t>Ņemot vērā 2011.</w:t>
      </w:r>
      <w:r w:rsidR="00601F3F">
        <w:rPr>
          <w:szCs w:val="28"/>
        </w:rPr>
        <w:t> </w:t>
      </w:r>
      <w:r w:rsidRPr="00FC78CD">
        <w:rPr>
          <w:szCs w:val="28"/>
        </w:rPr>
        <w:t>gadā veikto elektroenerģijas obligāto iepirkumu atbilstoši SPRK 2012.</w:t>
      </w:r>
      <w:r w:rsidR="00601F3F">
        <w:rPr>
          <w:szCs w:val="28"/>
        </w:rPr>
        <w:t> </w:t>
      </w:r>
      <w:r w:rsidRPr="00FC78CD">
        <w:rPr>
          <w:szCs w:val="28"/>
        </w:rPr>
        <w:t>gada 15.</w:t>
      </w:r>
      <w:r w:rsidR="00601F3F">
        <w:rPr>
          <w:szCs w:val="28"/>
        </w:rPr>
        <w:t> </w:t>
      </w:r>
      <w:r w:rsidRPr="00FC78CD">
        <w:rPr>
          <w:szCs w:val="28"/>
        </w:rPr>
        <w:t>februāra padomes lēmumam Nr.39 „Par obligātā iepirkuma komponentēm un elektroenerģijas tirdzniecības vidējo tarifu saistītajiem lietotājiem no 2012.</w:t>
      </w:r>
      <w:r w:rsidR="00601F3F">
        <w:rPr>
          <w:szCs w:val="28"/>
        </w:rPr>
        <w:t> </w:t>
      </w:r>
      <w:r w:rsidRPr="00FC78CD">
        <w:rPr>
          <w:szCs w:val="28"/>
        </w:rPr>
        <w:t>gada 1.</w:t>
      </w:r>
      <w:r w:rsidR="00601F3F">
        <w:rPr>
          <w:szCs w:val="28"/>
        </w:rPr>
        <w:t> </w:t>
      </w:r>
      <w:r w:rsidRPr="00FC78CD">
        <w:rPr>
          <w:szCs w:val="28"/>
        </w:rPr>
        <w:t xml:space="preserve">aprīļa”, OIK galalietotājiem kopā veido 1,23 </w:t>
      </w:r>
      <w:proofErr w:type="spellStart"/>
      <w:r w:rsidRPr="00FC78CD">
        <w:rPr>
          <w:szCs w:val="28"/>
        </w:rPr>
        <w:t>sant</w:t>
      </w:r>
      <w:proofErr w:type="spellEnd"/>
      <w:r w:rsidRPr="00FC78CD">
        <w:rPr>
          <w:szCs w:val="28"/>
        </w:rPr>
        <w:t>./kWh, tajā skaitā:</w:t>
      </w:r>
    </w:p>
    <w:p w:rsidR="00FC78CD" w:rsidRPr="00FC78CD" w:rsidRDefault="00FC78CD" w:rsidP="00FC78CD">
      <w:pPr>
        <w:numPr>
          <w:ilvl w:val="0"/>
          <w:numId w:val="4"/>
        </w:numPr>
        <w:spacing w:line="240" w:lineRule="auto"/>
        <w:rPr>
          <w:szCs w:val="28"/>
        </w:rPr>
      </w:pPr>
      <w:r w:rsidRPr="00FC78CD">
        <w:rPr>
          <w:szCs w:val="28"/>
        </w:rPr>
        <w:t xml:space="preserve">komponente no ražotājiem, kas elektroenerģiju ražo koģenerācijā – 0,94 </w:t>
      </w:r>
      <w:proofErr w:type="spellStart"/>
      <w:r w:rsidRPr="00FC78CD">
        <w:rPr>
          <w:szCs w:val="28"/>
        </w:rPr>
        <w:t>sant</w:t>
      </w:r>
      <w:proofErr w:type="spellEnd"/>
      <w:r w:rsidRPr="00FC78CD">
        <w:rPr>
          <w:szCs w:val="28"/>
        </w:rPr>
        <w:t>./kWh,</w:t>
      </w:r>
    </w:p>
    <w:p w:rsidR="00FC78CD" w:rsidRPr="00FC78CD" w:rsidRDefault="00FC78CD" w:rsidP="00FC78CD">
      <w:pPr>
        <w:numPr>
          <w:ilvl w:val="0"/>
          <w:numId w:val="4"/>
        </w:numPr>
        <w:spacing w:line="240" w:lineRule="auto"/>
        <w:ind w:left="714" w:hanging="357"/>
        <w:rPr>
          <w:szCs w:val="28"/>
        </w:rPr>
      </w:pPr>
      <w:r w:rsidRPr="00FC78CD">
        <w:rPr>
          <w:szCs w:val="28"/>
        </w:rPr>
        <w:t xml:space="preserve">komponente no ražotājiem, kas elektroenerģiju ražo, izmantojot AER – 0,29 </w:t>
      </w:r>
      <w:proofErr w:type="spellStart"/>
      <w:r w:rsidRPr="00FC78CD">
        <w:rPr>
          <w:szCs w:val="28"/>
        </w:rPr>
        <w:t>sant</w:t>
      </w:r>
      <w:proofErr w:type="spellEnd"/>
      <w:r w:rsidRPr="00FC78CD">
        <w:rPr>
          <w:szCs w:val="28"/>
        </w:rPr>
        <w:t>./kWh.</w:t>
      </w:r>
    </w:p>
    <w:p w:rsidR="00FC78CD" w:rsidRPr="00FC78CD" w:rsidRDefault="00FC78CD" w:rsidP="00FC78CD">
      <w:pPr>
        <w:spacing w:line="240" w:lineRule="auto"/>
        <w:ind w:firstLine="714"/>
        <w:rPr>
          <w:szCs w:val="28"/>
        </w:rPr>
      </w:pPr>
      <w:r w:rsidRPr="00FC78CD">
        <w:rPr>
          <w:szCs w:val="28"/>
        </w:rPr>
        <w:t>Pēc AS „Latvenergo” prognozēm OIK galalietotājiem kopā 2013.</w:t>
      </w:r>
      <w:r w:rsidR="00601F3F">
        <w:rPr>
          <w:szCs w:val="28"/>
        </w:rPr>
        <w:t> </w:t>
      </w:r>
      <w:r w:rsidRPr="00FC78CD">
        <w:rPr>
          <w:szCs w:val="28"/>
        </w:rPr>
        <w:t xml:space="preserve">gadā varētu veidot 1,94 </w:t>
      </w:r>
      <w:proofErr w:type="spellStart"/>
      <w:r w:rsidRPr="00FC78CD">
        <w:rPr>
          <w:szCs w:val="28"/>
        </w:rPr>
        <w:t>sant</w:t>
      </w:r>
      <w:proofErr w:type="spellEnd"/>
      <w:r w:rsidRPr="00FC78CD">
        <w:rPr>
          <w:szCs w:val="28"/>
        </w:rPr>
        <w:t xml:space="preserve">./kWh, </w:t>
      </w:r>
      <w:proofErr w:type="spellStart"/>
      <w:r w:rsidRPr="00FC78CD">
        <w:rPr>
          <w:szCs w:val="28"/>
        </w:rPr>
        <w:t>t.sk</w:t>
      </w:r>
      <w:proofErr w:type="spellEnd"/>
      <w:r w:rsidRPr="00FC78CD">
        <w:rPr>
          <w:szCs w:val="28"/>
        </w:rPr>
        <w:t xml:space="preserve">. komponente no ražotājiem, kas elektroenerģiju ražo koģenerācijā – 1,36 </w:t>
      </w:r>
      <w:proofErr w:type="spellStart"/>
      <w:r w:rsidRPr="00FC78CD">
        <w:rPr>
          <w:szCs w:val="28"/>
        </w:rPr>
        <w:t>sant</w:t>
      </w:r>
      <w:proofErr w:type="spellEnd"/>
      <w:r w:rsidRPr="00FC78CD">
        <w:rPr>
          <w:szCs w:val="28"/>
        </w:rPr>
        <w:t xml:space="preserve">./kWh, un komponente no ražotājiem, kas elektroenerģiju ražo, izmantojot AER – 0,58 </w:t>
      </w:r>
      <w:proofErr w:type="spellStart"/>
      <w:r w:rsidRPr="00FC78CD">
        <w:rPr>
          <w:szCs w:val="28"/>
        </w:rPr>
        <w:t>sant</w:t>
      </w:r>
      <w:proofErr w:type="spellEnd"/>
      <w:r w:rsidRPr="00FC78CD">
        <w:rPr>
          <w:szCs w:val="28"/>
        </w:rPr>
        <w:t>./kWh.</w:t>
      </w:r>
    </w:p>
    <w:p w:rsidR="00FC78CD" w:rsidRPr="00A62B51" w:rsidRDefault="00601F3F" w:rsidP="00FC78CD">
      <w:pPr>
        <w:pStyle w:val="PlainText"/>
        <w:spacing w:after="120"/>
        <w:rPr>
          <w:rFonts w:ascii="Times New Roman" w:hAnsi="Times New Roman"/>
          <w:szCs w:val="28"/>
        </w:rPr>
      </w:pPr>
      <w:r>
        <w:rPr>
          <w:rFonts w:ascii="Times New Roman" w:hAnsi="Times New Roman"/>
          <w:szCs w:val="28"/>
        </w:rPr>
        <w:t>2011. </w:t>
      </w:r>
      <w:r w:rsidR="00FC78CD" w:rsidRPr="00A62B51">
        <w:rPr>
          <w:rFonts w:ascii="Times New Roman" w:hAnsi="Times New Roman"/>
          <w:szCs w:val="28"/>
        </w:rPr>
        <w:t xml:space="preserve">gadā obligātā iepirkuma vidējie tarifi bija robežās no 5,3 </w:t>
      </w:r>
      <w:proofErr w:type="spellStart"/>
      <w:r w:rsidR="00FC78CD" w:rsidRPr="00A62B51">
        <w:rPr>
          <w:rFonts w:ascii="Times New Roman" w:hAnsi="Times New Roman"/>
          <w:szCs w:val="28"/>
        </w:rPr>
        <w:t>sant</w:t>
      </w:r>
      <w:proofErr w:type="spellEnd"/>
      <w:r w:rsidR="00FC78CD" w:rsidRPr="00A62B51">
        <w:rPr>
          <w:rFonts w:ascii="Times New Roman" w:hAnsi="Times New Roman"/>
          <w:szCs w:val="28"/>
        </w:rPr>
        <w:t>./kWh</w:t>
      </w:r>
      <w:r w:rsidR="00FC78CD">
        <w:rPr>
          <w:rFonts w:ascii="Times New Roman" w:hAnsi="Times New Roman"/>
          <w:szCs w:val="28"/>
        </w:rPr>
        <w:t xml:space="preserve">, ko saņēma </w:t>
      </w:r>
      <w:r w:rsidR="00FC78CD" w:rsidRPr="00A62B51">
        <w:rPr>
          <w:rFonts w:ascii="Times New Roman" w:hAnsi="Times New Roman"/>
          <w:szCs w:val="28"/>
        </w:rPr>
        <w:t>koģenerācijas stacij</w:t>
      </w:r>
      <w:r w:rsidR="00FC78CD">
        <w:rPr>
          <w:rFonts w:ascii="Times New Roman" w:hAnsi="Times New Roman"/>
          <w:szCs w:val="28"/>
        </w:rPr>
        <w:t xml:space="preserve">as </w:t>
      </w:r>
      <w:r w:rsidR="00FC78CD" w:rsidRPr="00A62B51">
        <w:rPr>
          <w:rFonts w:ascii="Times New Roman" w:hAnsi="Times New Roman"/>
          <w:szCs w:val="28"/>
        </w:rPr>
        <w:t>ar uzstādīto elektrisko jaudu virs 4 MW</w:t>
      </w:r>
      <w:r w:rsidR="00FC78CD">
        <w:rPr>
          <w:rFonts w:ascii="Times New Roman" w:hAnsi="Times New Roman"/>
          <w:szCs w:val="28"/>
        </w:rPr>
        <w:t xml:space="preserve">, </w:t>
      </w:r>
      <w:r w:rsidR="00FC78CD" w:rsidRPr="00A62B51">
        <w:rPr>
          <w:rFonts w:ascii="Times New Roman" w:hAnsi="Times New Roman"/>
          <w:szCs w:val="28"/>
        </w:rPr>
        <w:t xml:space="preserve">līdz 12,9 </w:t>
      </w:r>
      <w:proofErr w:type="spellStart"/>
      <w:r w:rsidR="00FC78CD" w:rsidRPr="00A62B51">
        <w:rPr>
          <w:rFonts w:ascii="Times New Roman" w:hAnsi="Times New Roman"/>
          <w:szCs w:val="28"/>
        </w:rPr>
        <w:t>sant</w:t>
      </w:r>
      <w:proofErr w:type="spellEnd"/>
      <w:r w:rsidR="00FC78CD" w:rsidRPr="00A62B51">
        <w:rPr>
          <w:rFonts w:ascii="Times New Roman" w:hAnsi="Times New Roman"/>
          <w:szCs w:val="28"/>
        </w:rPr>
        <w:t>./kWh</w:t>
      </w:r>
      <w:r w:rsidR="00FC78CD">
        <w:rPr>
          <w:rFonts w:ascii="Times New Roman" w:hAnsi="Times New Roman"/>
          <w:szCs w:val="28"/>
        </w:rPr>
        <w:t>,</w:t>
      </w:r>
      <w:r w:rsidR="00FC78CD" w:rsidRPr="00A62B51">
        <w:rPr>
          <w:rFonts w:ascii="Times New Roman" w:hAnsi="Times New Roman"/>
          <w:szCs w:val="28"/>
        </w:rPr>
        <w:t xml:space="preserve"> </w:t>
      </w:r>
      <w:r w:rsidR="00FC78CD">
        <w:rPr>
          <w:rFonts w:ascii="Times New Roman" w:hAnsi="Times New Roman"/>
          <w:szCs w:val="28"/>
        </w:rPr>
        <w:t>ko atbilstoši formulām bija iespējams saņemt</w:t>
      </w:r>
      <w:r w:rsidR="00FC78CD" w:rsidRPr="00A62B51">
        <w:rPr>
          <w:rFonts w:ascii="Times New Roman" w:hAnsi="Times New Roman"/>
          <w:szCs w:val="28"/>
        </w:rPr>
        <w:t xml:space="preserve"> biogāzes elektrostacijām. </w:t>
      </w:r>
      <w:r w:rsidR="000660F3">
        <w:rPr>
          <w:rFonts w:ascii="Times New Roman" w:hAnsi="Times New Roman"/>
          <w:szCs w:val="28"/>
        </w:rPr>
        <w:t>9</w:t>
      </w:r>
      <w:r w:rsidR="00FC78CD" w:rsidRPr="000458F4">
        <w:rPr>
          <w:rFonts w:ascii="Times New Roman" w:hAnsi="Times New Roman"/>
          <w:szCs w:val="28"/>
        </w:rPr>
        <w:t>.</w:t>
      </w:r>
      <w:r w:rsidR="00FC78CD" w:rsidRPr="00A62B51">
        <w:rPr>
          <w:rFonts w:ascii="Times New Roman" w:hAnsi="Times New Roman"/>
          <w:szCs w:val="28"/>
        </w:rPr>
        <w:t xml:space="preserve"> att</w:t>
      </w:r>
      <w:r>
        <w:rPr>
          <w:rFonts w:ascii="Times New Roman" w:hAnsi="Times New Roman"/>
          <w:szCs w:val="28"/>
        </w:rPr>
        <w:t>ēlā sarkanā līnija iezīmē 2011. </w:t>
      </w:r>
      <w:r w:rsidR="00FC78CD" w:rsidRPr="00A62B51">
        <w:rPr>
          <w:rFonts w:ascii="Times New Roman" w:hAnsi="Times New Roman"/>
          <w:szCs w:val="28"/>
        </w:rPr>
        <w:t xml:space="preserve">gada elektroenerģijas vidējo vairumtirdzniecības cenu (3,4 </w:t>
      </w:r>
      <w:proofErr w:type="spellStart"/>
      <w:r w:rsidR="00FC78CD" w:rsidRPr="00A62B51">
        <w:rPr>
          <w:rFonts w:ascii="Times New Roman" w:hAnsi="Times New Roman"/>
          <w:szCs w:val="28"/>
        </w:rPr>
        <w:t>sant</w:t>
      </w:r>
      <w:proofErr w:type="spellEnd"/>
      <w:r w:rsidR="00FC78CD" w:rsidRPr="00A62B51">
        <w:rPr>
          <w:rFonts w:ascii="Times New Roman" w:hAnsi="Times New Roman"/>
          <w:szCs w:val="28"/>
        </w:rPr>
        <w:t>./kWh)</w:t>
      </w:r>
      <w:r w:rsidR="00FC78CD">
        <w:rPr>
          <w:rFonts w:ascii="Times New Roman" w:hAnsi="Times New Roman"/>
          <w:szCs w:val="28"/>
        </w:rPr>
        <w:t xml:space="preserve"> un obligātā iepirkuma vidējās cenas.</w:t>
      </w:r>
      <w:r w:rsidR="00FC78CD" w:rsidRPr="00A62B51">
        <w:rPr>
          <w:rFonts w:ascii="Times New Roman" w:hAnsi="Times New Roman"/>
          <w:szCs w:val="28"/>
        </w:rPr>
        <w:t xml:space="preserve">  </w:t>
      </w:r>
    </w:p>
    <w:p w:rsidR="00FC78CD" w:rsidRPr="00A62B51" w:rsidRDefault="00636345" w:rsidP="00FC78CD">
      <w:pPr>
        <w:autoSpaceDE w:val="0"/>
        <w:autoSpaceDN w:val="0"/>
        <w:adjustRightInd w:val="0"/>
        <w:spacing w:line="240" w:lineRule="auto"/>
        <w:ind w:firstLine="567"/>
        <w:rPr>
          <w:szCs w:val="28"/>
        </w:rPr>
      </w:pPr>
      <w:r>
        <w:rPr>
          <w:rFonts w:cs="Times New Roman"/>
          <w:b/>
          <w:noProof/>
          <w:szCs w:val="28"/>
          <w:lang w:eastAsia="lv-LV"/>
        </w:rPr>
        <mc:AlternateContent>
          <mc:Choice Requires="wps">
            <w:drawing>
              <wp:anchor distT="0" distB="0" distL="114300" distR="114300" simplePos="0" relativeHeight="251680768" behindDoc="0" locked="0" layoutInCell="1" allowOverlap="1" wp14:anchorId="239582BA" wp14:editId="39C4E852">
                <wp:simplePos x="0" y="0"/>
                <wp:positionH relativeFrom="column">
                  <wp:posOffset>381000</wp:posOffset>
                </wp:positionH>
                <wp:positionV relativeFrom="paragraph">
                  <wp:posOffset>1753870</wp:posOffset>
                </wp:positionV>
                <wp:extent cx="3590925" cy="4762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76250"/>
                        </a:xfrm>
                        <a:prstGeom prst="rect">
                          <a:avLst/>
                        </a:prstGeom>
                        <a:noFill/>
                        <a:ln w="9525">
                          <a:noFill/>
                          <a:miter lim="800000"/>
                          <a:headEnd/>
                          <a:tailEnd/>
                        </a:ln>
                      </wps:spPr>
                      <wps:txbx>
                        <w:txbxContent>
                          <w:p w:rsidR="009F1BDD" w:rsidRPr="00E2465F" w:rsidRDefault="009F1BDD" w:rsidP="00FC78CD">
                            <w:pPr>
                              <w:ind w:firstLine="0"/>
                              <w:rPr>
                                <w:b/>
                                <w:color w:val="262626" w:themeColor="text1" w:themeTint="D9"/>
                              </w:rPr>
                            </w:pPr>
                            <w:r>
                              <w:rPr>
                                <w:b/>
                                <w:color w:val="262626" w:themeColor="text1" w:themeTint="D9"/>
                              </w:rPr>
                              <w:t xml:space="preserve">       </w:t>
                            </w:r>
                            <w:r w:rsidRPr="00E2465F">
                              <w:rPr>
                                <w:b/>
                                <w:color w:val="262626" w:themeColor="text1" w:themeTint="D9"/>
                              </w:rPr>
                              <w:t xml:space="preserve">1  </w:t>
                            </w:r>
                            <w:r>
                              <w:rPr>
                                <w:b/>
                                <w:color w:val="262626" w:themeColor="text1" w:themeTint="D9"/>
                              </w:rPr>
                              <w:t xml:space="preserve"> </w:t>
                            </w:r>
                            <w:r w:rsidRPr="00E2465F">
                              <w:rPr>
                                <w:b/>
                                <w:color w:val="262626" w:themeColor="text1" w:themeTint="D9"/>
                              </w:rPr>
                              <w:t xml:space="preserve">   2      3      4      5      6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pt;margin-top:138.1pt;width:282.7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" filled="f" stroked="f">
                <v:textbox>
                  <w:txbxContent>
                    <w:p w:rsidR="009F1BDD" w:rsidRPr="00E2465F" w:rsidRDefault="009F1BDD" w:rsidP="00FC78CD">
                      <w:pPr>
                        <w:ind w:firstLine="0"/>
                        <w:rPr>
                          <w:b/>
                          <w:color w:val="262626" w:themeColor="text1" w:themeTint="D9"/>
                        </w:rPr>
                      </w:pPr>
                      <w:r>
                        <w:rPr>
                          <w:b/>
                          <w:color w:val="262626" w:themeColor="text1" w:themeTint="D9"/>
                        </w:rPr>
                        <w:t xml:space="preserve">       </w:t>
                      </w:r>
                      <w:r w:rsidRPr="00E2465F">
                        <w:rPr>
                          <w:b/>
                          <w:color w:val="262626" w:themeColor="text1" w:themeTint="D9"/>
                        </w:rPr>
                        <w:t xml:space="preserve">1  </w:t>
                      </w:r>
                      <w:r>
                        <w:rPr>
                          <w:b/>
                          <w:color w:val="262626" w:themeColor="text1" w:themeTint="D9"/>
                        </w:rPr>
                        <w:t xml:space="preserve"> </w:t>
                      </w:r>
                      <w:r w:rsidRPr="00E2465F">
                        <w:rPr>
                          <w:b/>
                          <w:color w:val="262626" w:themeColor="text1" w:themeTint="D9"/>
                        </w:rPr>
                        <w:t xml:space="preserve">   2      3      4      5      6</w:t>
                      </w:r>
                    </w:p>
                  </w:txbxContent>
                </v:textbox>
              </v:shape>
            </w:pict>
          </mc:Fallback>
        </mc:AlternateContent>
      </w:r>
      <w:r>
        <w:rPr>
          <w:rFonts w:cs="Times New Roman"/>
          <w:b/>
          <w:noProof/>
          <w:szCs w:val="28"/>
          <w:lang w:eastAsia="lv-LV"/>
        </w:rPr>
        <mc:AlternateContent>
          <mc:Choice Requires="wps">
            <w:drawing>
              <wp:anchor distT="0" distB="0" distL="114300" distR="114300" simplePos="0" relativeHeight="251681792" behindDoc="0" locked="0" layoutInCell="1" allowOverlap="1" wp14:anchorId="521167F5" wp14:editId="00CDF780">
                <wp:simplePos x="0" y="0"/>
                <wp:positionH relativeFrom="column">
                  <wp:posOffset>3200400</wp:posOffset>
                </wp:positionH>
                <wp:positionV relativeFrom="paragraph">
                  <wp:posOffset>953770</wp:posOffset>
                </wp:positionV>
                <wp:extent cx="419100" cy="9810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981075"/>
                        </a:xfrm>
                        <a:prstGeom prst="rect">
                          <a:avLst/>
                        </a:prstGeom>
                        <a:noFill/>
                        <a:ln w="9525">
                          <a:noFill/>
                          <a:miter lim="800000"/>
                          <a:headEnd/>
                          <a:tailEnd/>
                        </a:ln>
                      </wps:spPr>
                      <wps:txbx>
                        <w:txbxContent>
                          <w:p w:rsidR="009F1BDD" w:rsidRPr="00764DF4" w:rsidRDefault="009F1BDD" w:rsidP="00FC78CD">
                            <w:pPr>
                              <w:spacing w:before="0" w:after="0" w:line="240" w:lineRule="auto"/>
                              <w:ind w:firstLine="0"/>
                              <w:rPr>
                                <w:b/>
                                <w:color w:val="000000" w:themeColor="text1"/>
                                <w:sz w:val="16"/>
                                <w:szCs w:val="16"/>
                              </w:rPr>
                            </w:pPr>
                            <w:r w:rsidRPr="00764DF4">
                              <w:rPr>
                                <w:b/>
                                <w:color w:val="000000" w:themeColor="text1"/>
                                <w:sz w:val="16"/>
                                <w:szCs w:val="16"/>
                              </w:rPr>
                              <w:t>1</w:t>
                            </w:r>
                          </w:p>
                          <w:p w:rsidR="009F1BDD" w:rsidRPr="00764DF4" w:rsidRDefault="009F1BDD" w:rsidP="00FC78CD">
                            <w:pPr>
                              <w:spacing w:before="20" w:after="0" w:line="240" w:lineRule="auto"/>
                              <w:ind w:firstLine="0"/>
                              <w:rPr>
                                <w:b/>
                                <w:color w:val="000000" w:themeColor="text1"/>
                                <w:sz w:val="16"/>
                                <w:szCs w:val="16"/>
                              </w:rPr>
                            </w:pPr>
                            <w:r w:rsidRPr="00764DF4">
                              <w:rPr>
                                <w:b/>
                                <w:color w:val="000000" w:themeColor="text1"/>
                                <w:sz w:val="16"/>
                                <w:szCs w:val="16"/>
                              </w:rPr>
                              <w:t>2</w:t>
                            </w:r>
                          </w:p>
                          <w:p w:rsidR="009F1BDD" w:rsidRPr="00764DF4" w:rsidRDefault="009F1BDD" w:rsidP="00FC78CD">
                            <w:pPr>
                              <w:spacing w:before="20" w:after="0" w:line="240" w:lineRule="auto"/>
                              <w:ind w:firstLine="0"/>
                              <w:rPr>
                                <w:b/>
                                <w:color w:val="000000" w:themeColor="text1"/>
                                <w:sz w:val="16"/>
                                <w:szCs w:val="16"/>
                              </w:rPr>
                            </w:pPr>
                            <w:r w:rsidRPr="00764DF4">
                              <w:rPr>
                                <w:b/>
                                <w:color w:val="000000" w:themeColor="text1"/>
                                <w:sz w:val="16"/>
                                <w:szCs w:val="16"/>
                              </w:rPr>
                              <w:t>3</w:t>
                            </w:r>
                          </w:p>
                          <w:p w:rsidR="009F1BDD" w:rsidRPr="00764DF4" w:rsidRDefault="009F1BDD" w:rsidP="00FC78CD">
                            <w:pPr>
                              <w:spacing w:before="20" w:after="0" w:line="240" w:lineRule="auto"/>
                              <w:ind w:firstLine="0"/>
                              <w:rPr>
                                <w:b/>
                                <w:color w:val="000000" w:themeColor="text1"/>
                                <w:sz w:val="16"/>
                                <w:szCs w:val="16"/>
                              </w:rPr>
                            </w:pPr>
                            <w:r w:rsidRPr="00764DF4">
                              <w:rPr>
                                <w:b/>
                                <w:color w:val="000000" w:themeColor="text1"/>
                                <w:sz w:val="16"/>
                                <w:szCs w:val="16"/>
                              </w:rPr>
                              <w:t>4</w:t>
                            </w:r>
                          </w:p>
                          <w:p w:rsidR="009F1BDD" w:rsidRPr="00764DF4" w:rsidRDefault="009F1BDD" w:rsidP="00FC78CD">
                            <w:pPr>
                              <w:spacing w:before="0" w:after="0" w:line="240" w:lineRule="auto"/>
                              <w:ind w:firstLine="0"/>
                              <w:rPr>
                                <w:b/>
                                <w:color w:val="000000" w:themeColor="text1"/>
                                <w:sz w:val="16"/>
                                <w:szCs w:val="16"/>
                              </w:rPr>
                            </w:pPr>
                            <w:r w:rsidRPr="00764DF4">
                              <w:rPr>
                                <w:b/>
                                <w:color w:val="000000" w:themeColor="text1"/>
                                <w:sz w:val="16"/>
                                <w:szCs w:val="16"/>
                              </w:rPr>
                              <w:t>5</w:t>
                            </w:r>
                          </w:p>
                          <w:p w:rsidR="009F1BDD" w:rsidRPr="00764DF4" w:rsidRDefault="009F1BDD" w:rsidP="00FC78CD">
                            <w:pPr>
                              <w:spacing w:before="0" w:after="0" w:line="240" w:lineRule="auto"/>
                              <w:ind w:firstLine="0"/>
                              <w:rPr>
                                <w:b/>
                                <w:color w:val="000000" w:themeColor="text1"/>
                                <w:sz w:val="16"/>
                                <w:szCs w:val="16"/>
                              </w:rPr>
                            </w:pPr>
                            <w:r w:rsidRPr="00764DF4">
                              <w:rPr>
                                <w:b/>
                                <w:color w:val="000000" w:themeColor="text1"/>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2pt;margin-top:75.1pt;width:33pt;height:7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" filled="f" stroked="f">
                <v:textbox>
                  <w:txbxContent>
                    <w:p w:rsidR="009F1BDD" w:rsidRPr="00764DF4" w:rsidRDefault="009F1BDD" w:rsidP="00FC78CD">
                      <w:pPr>
                        <w:spacing w:before="0" w:after="0" w:line="240" w:lineRule="auto"/>
                        <w:ind w:firstLine="0"/>
                        <w:rPr>
                          <w:b/>
                          <w:color w:val="000000" w:themeColor="text1"/>
                          <w:sz w:val="16"/>
                          <w:szCs w:val="16"/>
                        </w:rPr>
                      </w:pPr>
                      <w:r w:rsidRPr="00764DF4">
                        <w:rPr>
                          <w:b/>
                          <w:color w:val="000000" w:themeColor="text1"/>
                          <w:sz w:val="16"/>
                          <w:szCs w:val="16"/>
                        </w:rPr>
                        <w:t>1</w:t>
                      </w:r>
                    </w:p>
                    <w:p w:rsidR="009F1BDD" w:rsidRPr="00764DF4" w:rsidRDefault="009F1BDD" w:rsidP="00FC78CD">
                      <w:pPr>
                        <w:spacing w:before="20" w:after="0" w:line="240" w:lineRule="auto"/>
                        <w:ind w:firstLine="0"/>
                        <w:rPr>
                          <w:b/>
                          <w:color w:val="000000" w:themeColor="text1"/>
                          <w:sz w:val="16"/>
                          <w:szCs w:val="16"/>
                        </w:rPr>
                      </w:pPr>
                      <w:r w:rsidRPr="00764DF4">
                        <w:rPr>
                          <w:b/>
                          <w:color w:val="000000" w:themeColor="text1"/>
                          <w:sz w:val="16"/>
                          <w:szCs w:val="16"/>
                        </w:rPr>
                        <w:t>2</w:t>
                      </w:r>
                    </w:p>
                    <w:p w:rsidR="009F1BDD" w:rsidRPr="00764DF4" w:rsidRDefault="009F1BDD" w:rsidP="00FC78CD">
                      <w:pPr>
                        <w:spacing w:before="20" w:after="0" w:line="240" w:lineRule="auto"/>
                        <w:ind w:firstLine="0"/>
                        <w:rPr>
                          <w:b/>
                          <w:color w:val="000000" w:themeColor="text1"/>
                          <w:sz w:val="16"/>
                          <w:szCs w:val="16"/>
                        </w:rPr>
                      </w:pPr>
                      <w:r w:rsidRPr="00764DF4">
                        <w:rPr>
                          <w:b/>
                          <w:color w:val="000000" w:themeColor="text1"/>
                          <w:sz w:val="16"/>
                          <w:szCs w:val="16"/>
                        </w:rPr>
                        <w:t>3</w:t>
                      </w:r>
                    </w:p>
                    <w:p w:rsidR="009F1BDD" w:rsidRPr="00764DF4" w:rsidRDefault="009F1BDD" w:rsidP="00FC78CD">
                      <w:pPr>
                        <w:spacing w:before="20" w:after="0" w:line="240" w:lineRule="auto"/>
                        <w:ind w:firstLine="0"/>
                        <w:rPr>
                          <w:b/>
                          <w:color w:val="000000" w:themeColor="text1"/>
                          <w:sz w:val="16"/>
                          <w:szCs w:val="16"/>
                        </w:rPr>
                      </w:pPr>
                      <w:r w:rsidRPr="00764DF4">
                        <w:rPr>
                          <w:b/>
                          <w:color w:val="000000" w:themeColor="text1"/>
                          <w:sz w:val="16"/>
                          <w:szCs w:val="16"/>
                        </w:rPr>
                        <w:t>4</w:t>
                      </w:r>
                    </w:p>
                    <w:p w:rsidR="009F1BDD" w:rsidRPr="00764DF4" w:rsidRDefault="009F1BDD" w:rsidP="00FC78CD">
                      <w:pPr>
                        <w:spacing w:before="0" w:after="0" w:line="240" w:lineRule="auto"/>
                        <w:ind w:firstLine="0"/>
                        <w:rPr>
                          <w:b/>
                          <w:color w:val="000000" w:themeColor="text1"/>
                          <w:sz w:val="16"/>
                          <w:szCs w:val="16"/>
                        </w:rPr>
                      </w:pPr>
                      <w:r w:rsidRPr="00764DF4">
                        <w:rPr>
                          <w:b/>
                          <w:color w:val="000000" w:themeColor="text1"/>
                          <w:sz w:val="16"/>
                          <w:szCs w:val="16"/>
                        </w:rPr>
                        <w:t>5</w:t>
                      </w:r>
                    </w:p>
                    <w:p w:rsidR="009F1BDD" w:rsidRPr="00764DF4" w:rsidRDefault="009F1BDD" w:rsidP="00FC78CD">
                      <w:pPr>
                        <w:spacing w:before="0" w:after="0" w:line="240" w:lineRule="auto"/>
                        <w:ind w:firstLine="0"/>
                        <w:rPr>
                          <w:b/>
                          <w:color w:val="000000" w:themeColor="text1"/>
                          <w:sz w:val="16"/>
                          <w:szCs w:val="16"/>
                        </w:rPr>
                      </w:pPr>
                      <w:r w:rsidRPr="00764DF4">
                        <w:rPr>
                          <w:b/>
                          <w:color w:val="000000" w:themeColor="text1"/>
                          <w:sz w:val="16"/>
                          <w:szCs w:val="16"/>
                        </w:rPr>
                        <w:t>6</w:t>
                      </w:r>
                    </w:p>
                  </w:txbxContent>
                </v:textbox>
              </v:shape>
            </w:pict>
          </mc:Fallback>
        </mc:AlternateContent>
      </w:r>
      <w:r w:rsidR="00FC78CD">
        <w:rPr>
          <w:noProof/>
          <w:szCs w:val="20"/>
          <w:lang w:eastAsia="lv-LV"/>
        </w:rPr>
        <w:drawing>
          <wp:inline distT="0" distB="0" distL="0" distR="0" wp14:anchorId="789CA6A3" wp14:editId="2CB1C3D0">
            <wp:extent cx="4876800" cy="21808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7612" cy="2181225"/>
                    </a:xfrm>
                    <a:prstGeom prst="rect">
                      <a:avLst/>
                    </a:prstGeom>
                    <a:noFill/>
                    <a:ln>
                      <a:noFill/>
                    </a:ln>
                  </pic:spPr>
                </pic:pic>
              </a:graphicData>
            </a:graphic>
          </wp:inline>
        </w:drawing>
      </w:r>
    </w:p>
    <w:p w:rsidR="00FC78CD" w:rsidRPr="00632861" w:rsidRDefault="000660F3" w:rsidP="00FC78CD">
      <w:pPr>
        <w:pStyle w:val="PlainText"/>
        <w:ind w:firstLine="0"/>
        <w:rPr>
          <w:rFonts w:ascii="Times New Roman" w:eastAsia="Calibri" w:hAnsi="Times New Roman" w:cs="Times New Roman"/>
          <w:b/>
          <w:sz w:val="24"/>
          <w:szCs w:val="24"/>
        </w:rPr>
      </w:pPr>
      <w:r>
        <w:rPr>
          <w:rFonts w:ascii="Times New Roman" w:eastAsia="Calibri" w:hAnsi="Times New Roman" w:cs="Times New Roman"/>
          <w:b/>
          <w:sz w:val="24"/>
          <w:szCs w:val="24"/>
        </w:rPr>
        <w:t>9</w:t>
      </w:r>
      <w:r w:rsidR="00FC78CD" w:rsidRPr="00632861">
        <w:rPr>
          <w:rFonts w:ascii="Times New Roman" w:eastAsia="Calibri" w:hAnsi="Times New Roman" w:cs="Times New Roman"/>
          <w:b/>
          <w:sz w:val="24"/>
          <w:szCs w:val="24"/>
        </w:rPr>
        <w:t>.attēls. Obligātā iepirkuma vidējās cenas 2011.gadā (</w:t>
      </w:r>
      <w:proofErr w:type="spellStart"/>
      <w:r w:rsidR="00FC78CD" w:rsidRPr="00632861">
        <w:rPr>
          <w:rFonts w:ascii="Times New Roman" w:eastAsia="Calibri" w:hAnsi="Times New Roman" w:cs="Times New Roman"/>
          <w:b/>
          <w:sz w:val="24"/>
          <w:szCs w:val="24"/>
        </w:rPr>
        <w:t>sant</w:t>
      </w:r>
      <w:proofErr w:type="spellEnd"/>
      <w:r w:rsidR="00FC78CD" w:rsidRPr="00632861">
        <w:rPr>
          <w:rFonts w:ascii="Times New Roman" w:eastAsia="Calibri" w:hAnsi="Times New Roman" w:cs="Times New Roman"/>
          <w:b/>
          <w:sz w:val="24"/>
          <w:szCs w:val="24"/>
        </w:rPr>
        <w:t>./kWh)</w:t>
      </w:r>
    </w:p>
    <w:p w:rsidR="00FC78CD" w:rsidRDefault="00FC78CD" w:rsidP="00FC78CD">
      <w:pPr>
        <w:pStyle w:val="PlainText"/>
        <w:ind w:firstLine="0"/>
        <w:rPr>
          <w:rFonts w:ascii="Times New Roman" w:hAnsi="Times New Roman"/>
          <w:sz w:val="20"/>
          <w:szCs w:val="24"/>
        </w:rPr>
      </w:pPr>
      <w:r w:rsidRPr="00632861">
        <w:rPr>
          <w:rFonts w:ascii="Times New Roman" w:hAnsi="Times New Roman"/>
          <w:sz w:val="20"/>
          <w:szCs w:val="24"/>
        </w:rPr>
        <w:t>Avots: AS „Latvenergo”</w:t>
      </w:r>
    </w:p>
    <w:p w:rsidR="00FC78CD" w:rsidRPr="000660F3" w:rsidRDefault="00FC78CD" w:rsidP="004D46D5">
      <w:pPr>
        <w:pStyle w:val="PlainText"/>
        <w:spacing w:after="120"/>
        <w:rPr>
          <w:rFonts w:ascii="Times New Roman" w:hAnsi="Times New Roman"/>
          <w:i/>
          <w:sz w:val="20"/>
          <w:szCs w:val="20"/>
        </w:rPr>
      </w:pPr>
    </w:p>
    <w:p w:rsidR="00FC78CD" w:rsidRDefault="00650CF0" w:rsidP="0092785B">
      <w:pPr>
        <w:pStyle w:val="PlainText"/>
        <w:spacing w:after="120"/>
        <w:ind w:firstLine="567"/>
        <w:rPr>
          <w:rFonts w:ascii="Times New Roman" w:hAnsi="Times New Roman"/>
          <w:szCs w:val="28"/>
        </w:rPr>
      </w:pPr>
      <w:r w:rsidRPr="00650CF0">
        <w:rPr>
          <w:rFonts w:ascii="Times New Roman" w:hAnsi="Times New Roman"/>
          <w:szCs w:val="28"/>
        </w:rPr>
        <w:t xml:space="preserve">Prognozējot obligātā iepirkuma ietvaros iepirktās elektroenerģijas apjomu laika posmā no 2013.-2020. gadam </w:t>
      </w:r>
      <w:r>
        <w:rPr>
          <w:rFonts w:ascii="Times New Roman" w:hAnsi="Times New Roman"/>
          <w:szCs w:val="28"/>
        </w:rPr>
        <w:t xml:space="preserve">tika vērtēts, kā varētu īstenoties piešķirto, bet vēl nerealizēto obligātā </w:t>
      </w:r>
      <w:r w:rsidRPr="00C37F96">
        <w:rPr>
          <w:rFonts w:ascii="Times New Roman" w:hAnsi="Times New Roman" w:cs="Times New Roman"/>
          <w:szCs w:val="28"/>
        </w:rPr>
        <w:t>iepirkuma tiesīb</w:t>
      </w:r>
      <w:r w:rsidR="00767A94" w:rsidRPr="00C37F96">
        <w:rPr>
          <w:rFonts w:ascii="Times New Roman" w:hAnsi="Times New Roman" w:cs="Times New Roman"/>
          <w:szCs w:val="28"/>
        </w:rPr>
        <w:t>as</w:t>
      </w:r>
      <w:r w:rsidR="00C37F96" w:rsidRPr="00C37F96">
        <w:rPr>
          <w:rFonts w:ascii="Times New Roman" w:hAnsi="Times New Roman" w:cs="Times New Roman"/>
          <w:szCs w:val="28"/>
        </w:rPr>
        <w:t xml:space="preserve"> </w:t>
      </w:r>
      <w:r w:rsidR="00C37F96" w:rsidRPr="00C37F96">
        <w:rPr>
          <w:rFonts w:ascii="Times New Roman" w:eastAsia="Calibri" w:hAnsi="Times New Roman" w:cs="Times New Roman"/>
          <w:szCs w:val="28"/>
        </w:rPr>
        <w:t>(</w:t>
      </w:r>
      <w:r w:rsidR="00C37F96" w:rsidRPr="00C37F96">
        <w:rPr>
          <w:rFonts w:ascii="Times New Roman" w:eastAsia="Calibri" w:hAnsi="Times New Roman" w:cs="Times New Roman"/>
          <w:i/>
          <w:szCs w:val="28"/>
        </w:rPr>
        <w:t>skat.10. un 11.attēlu</w:t>
      </w:r>
      <w:r w:rsidR="00C37F96" w:rsidRPr="00C37F96">
        <w:rPr>
          <w:rFonts w:ascii="Times New Roman" w:eastAsia="Calibri" w:hAnsi="Times New Roman" w:cs="Times New Roman"/>
          <w:szCs w:val="28"/>
        </w:rPr>
        <w:t>)</w:t>
      </w:r>
      <w:r w:rsidR="00767A94" w:rsidRPr="00C37F96">
        <w:rPr>
          <w:rFonts w:ascii="Times New Roman" w:hAnsi="Times New Roman" w:cs="Times New Roman"/>
          <w:szCs w:val="28"/>
        </w:rPr>
        <w:t xml:space="preserve">. </w:t>
      </w:r>
      <w:r w:rsidR="003B5A5E" w:rsidRPr="00C37F96">
        <w:rPr>
          <w:rFonts w:ascii="Times New Roman" w:hAnsi="Times New Roman" w:cs="Times New Roman"/>
          <w:szCs w:val="28"/>
        </w:rPr>
        <w:t>Tika pieņemts, ka tiks uzceltas visas koģenerācijas stacijas ar jaudu virs 4 MW, kas plāno ražot elektroenerģiju no fosilajām izejvielām</w:t>
      </w:r>
      <w:r w:rsidR="0092785B" w:rsidRPr="00C37F96">
        <w:rPr>
          <w:rFonts w:ascii="Times New Roman" w:hAnsi="Times New Roman" w:cs="Times New Roman"/>
          <w:szCs w:val="28"/>
        </w:rPr>
        <w:t>. Savukārt, ar 90% intensitāti tika</w:t>
      </w:r>
      <w:r w:rsidR="0092785B">
        <w:rPr>
          <w:rFonts w:ascii="Times New Roman" w:hAnsi="Times New Roman"/>
          <w:szCs w:val="28"/>
        </w:rPr>
        <w:t xml:space="preserve"> vērtētas elektroenerģijas ražošanu iekārtu realizācija, kas izmanto vēja enerģiju. </w:t>
      </w:r>
      <w:r>
        <w:rPr>
          <w:rFonts w:ascii="Times New Roman" w:hAnsi="Times New Roman"/>
          <w:szCs w:val="28"/>
        </w:rPr>
        <w:t xml:space="preserve">Vērā tika ņemts apstāklis, ka uzsākot diskusiju 2012.gada pavasarī par iespējamiem grozījumiem MK Noteikumos </w:t>
      </w:r>
      <w:proofErr w:type="spellStart"/>
      <w:r>
        <w:rPr>
          <w:rFonts w:ascii="Times New Roman" w:hAnsi="Times New Roman"/>
          <w:szCs w:val="28"/>
        </w:rPr>
        <w:t>Nr</w:t>
      </w:r>
      <w:proofErr w:type="spellEnd"/>
      <w:r>
        <w:rPr>
          <w:rFonts w:ascii="Times New Roman" w:hAnsi="Times New Roman"/>
          <w:szCs w:val="28"/>
        </w:rPr>
        <w:t>. 221 komersanti intensīvāk sniedza pieteikumus par atļauju izsniegšanu pārdot elektroenerģiju obligātā iepirkuma ietvaros</w:t>
      </w:r>
      <w:r w:rsidR="0092785B">
        <w:rPr>
          <w:rFonts w:ascii="Times New Roman" w:hAnsi="Times New Roman"/>
          <w:szCs w:val="28"/>
        </w:rPr>
        <w:t xml:space="preserve">, kas </w:t>
      </w:r>
      <w:r w:rsidR="0092785B">
        <w:rPr>
          <w:rFonts w:ascii="Times New Roman" w:hAnsi="Times New Roman"/>
          <w:szCs w:val="28"/>
        </w:rPr>
        <w:lastRenderedPageBreak/>
        <w:t xml:space="preserve">saražota no biomasas un biogāzes. Rezultātā </w:t>
      </w:r>
      <w:r w:rsidR="00FC78CD">
        <w:rPr>
          <w:rFonts w:ascii="Times New Roman" w:hAnsi="Times New Roman"/>
          <w:szCs w:val="28"/>
        </w:rPr>
        <w:t>novērtēts, ka tiks īstenots šāds piešķirto, bet vēl nerealizēto obligātā iepirkumu tiesību īpatsvars:</w:t>
      </w:r>
    </w:p>
    <w:p w:rsidR="00FC78CD" w:rsidRPr="004E27F7" w:rsidRDefault="00FC78CD" w:rsidP="00FC78CD">
      <w:pPr>
        <w:pStyle w:val="PlainText"/>
        <w:spacing w:after="120"/>
        <w:rPr>
          <w:rFonts w:ascii="Times New Roman" w:hAnsi="Times New Roman"/>
          <w:szCs w:val="28"/>
        </w:rPr>
      </w:pPr>
      <w:r w:rsidRPr="004E27F7">
        <w:rPr>
          <w:rFonts w:ascii="Times New Roman" w:hAnsi="Times New Roman"/>
          <w:szCs w:val="28"/>
        </w:rPr>
        <w:t>•</w:t>
      </w:r>
      <w:r w:rsidRPr="004E27F7">
        <w:rPr>
          <w:rFonts w:ascii="Times New Roman" w:hAnsi="Times New Roman"/>
          <w:szCs w:val="28"/>
        </w:rPr>
        <w:tab/>
        <w:t>70% - biogāze un biomasa;</w:t>
      </w:r>
    </w:p>
    <w:p w:rsidR="00FC78CD" w:rsidRDefault="00FC78CD" w:rsidP="00FC78CD">
      <w:pPr>
        <w:pStyle w:val="PlainText"/>
        <w:spacing w:after="120"/>
        <w:rPr>
          <w:rFonts w:ascii="Times New Roman" w:hAnsi="Times New Roman"/>
          <w:szCs w:val="28"/>
        </w:rPr>
      </w:pPr>
      <w:r w:rsidRPr="004E27F7">
        <w:rPr>
          <w:rFonts w:ascii="Times New Roman" w:hAnsi="Times New Roman"/>
          <w:szCs w:val="28"/>
        </w:rPr>
        <w:t>•</w:t>
      </w:r>
      <w:r w:rsidRPr="004E27F7">
        <w:rPr>
          <w:rFonts w:ascii="Times New Roman" w:hAnsi="Times New Roman"/>
          <w:szCs w:val="28"/>
        </w:rPr>
        <w:tab/>
        <w:t>90% - vējš</w:t>
      </w:r>
      <w:r>
        <w:rPr>
          <w:rFonts w:ascii="Times New Roman" w:hAnsi="Times New Roman"/>
          <w:szCs w:val="28"/>
        </w:rPr>
        <w:t xml:space="preserve">; </w:t>
      </w:r>
    </w:p>
    <w:p w:rsidR="00FC78CD" w:rsidRPr="004E27F7" w:rsidRDefault="00FC78CD" w:rsidP="00FC78CD">
      <w:pPr>
        <w:pStyle w:val="PlainText"/>
        <w:spacing w:after="120"/>
        <w:rPr>
          <w:rFonts w:ascii="Times New Roman" w:hAnsi="Times New Roman"/>
          <w:szCs w:val="28"/>
        </w:rPr>
      </w:pPr>
      <w:r w:rsidRPr="004E27F7">
        <w:rPr>
          <w:rFonts w:ascii="Times New Roman" w:hAnsi="Times New Roman"/>
          <w:szCs w:val="28"/>
        </w:rPr>
        <w:t>•</w:t>
      </w:r>
      <w:r w:rsidRPr="004E27F7">
        <w:rPr>
          <w:rFonts w:ascii="Times New Roman" w:hAnsi="Times New Roman"/>
          <w:szCs w:val="28"/>
        </w:rPr>
        <w:tab/>
        <w:t>30 % - AER (biomasas, biogāzes) koģenerācija;</w:t>
      </w:r>
    </w:p>
    <w:p w:rsidR="00FC78CD" w:rsidRDefault="00FC78CD" w:rsidP="00FC78CD">
      <w:pPr>
        <w:pStyle w:val="PlainText"/>
        <w:spacing w:after="120"/>
        <w:rPr>
          <w:rFonts w:ascii="Times New Roman" w:hAnsi="Times New Roman"/>
          <w:szCs w:val="28"/>
        </w:rPr>
      </w:pPr>
      <w:r w:rsidRPr="004E27F7">
        <w:rPr>
          <w:rFonts w:ascii="Times New Roman" w:hAnsi="Times New Roman"/>
          <w:szCs w:val="28"/>
        </w:rPr>
        <w:t>•</w:t>
      </w:r>
      <w:r w:rsidRPr="004E27F7">
        <w:rPr>
          <w:rFonts w:ascii="Times New Roman" w:hAnsi="Times New Roman"/>
          <w:szCs w:val="28"/>
        </w:rPr>
        <w:tab/>
        <w:t>70% - fosilā koģenerācija līdz 4 MW;</w:t>
      </w:r>
    </w:p>
    <w:p w:rsidR="00FC78CD" w:rsidRPr="004E27F7" w:rsidRDefault="00FC78CD" w:rsidP="00FC78CD">
      <w:pPr>
        <w:pStyle w:val="PlainText"/>
        <w:spacing w:after="120"/>
        <w:rPr>
          <w:rFonts w:ascii="Times New Roman" w:hAnsi="Times New Roman"/>
          <w:szCs w:val="28"/>
        </w:rPr>
      </w:pPr>
      <w:r w:rsidRPr="004E27F7">
        <w:rPr>
          <w:rFonts w:ascii="Times New Roman" w:hAnsi="Times New Roman"/>
          <w:szCs w:val="28"/>
        </w:rPr>
        <w:t>•</w:t>
      </w:r>
      <w:r>
        <w:rPr>
          <w:rFonts w:ascii="Times New Roman" w:hAnsi="Times New Roman"/>
          <w:szCs w:val="28"/>
        </w:rPr>
        <w:tab/>
      </w:r>
      <w:r w:rsidRPr="004E27F7">
        <w:rPr>
          <w:rFonts w:ascii="Times New Roman" w:hAnsi="Times New Roman"/>
          <w:szCs w:val="28"/>
        </w:rPr>
        <w:t>100% - fosilā koģenerācija virs 4 MW</w:t>
      </w:r>
      <w:r>
        <w:rPr>
          <w:rFonts w:ascii="Times New Roman" w:hAnsi="Times New Roman"/>
          <w:szCs w:val="28"/>
        </w:rPr>
        <w:t>.</w:t>
      </w:r>
    </w:p>
    <w:p w:rsidR="002C29CA" w:rsidRPr="00D2033C" w:rsidRDefault="002C29CA" w:rsidP="00FE125B">
      <w:pPr>
        <w:pStyle w:val="PlainText"/>
        <w:spacing w:after="120"/>
        <w:ind w:firstLine="0"/>
        <w:jc w:val="center"/>
        <w:rPr>
          <w:rFonts w:ascii="Times New Roman" w:hAnsi="Times New Roman"/>
          <w:sz w:val="20"/>
          <w:szCs w:val="20"/>
        </w:rPr>
      </w:pPr>
      <w:r>
        <w:rPr>
          <w:noProof/>
          <w:lang w:eastAsia="lv-LV"/>
        </w:rPr>
        <w:drawing>
          <wp:inline distT="0" distB="0" distL="0" distR="0" wp14:anchorId="3AB1C686" wp14:editId="5119D2DA">
            <wp:extent cx="4781550" cy="25622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29CA" w:rsidRPr="00844BBC" w:rsidRDefault="000660F3" w:rsidP="00844BBC">
      <w:pPr>
        <w:pStyle w:val="PlainText"/>
        <w:ind w:firstLine="0"/>
        <w:rPr>
          <w:rFonts w:ascii="Times New Roman" w:eastAsia="Calibri" w:hAnsi="Times New Roman" w:cs="Times New Roman"/>
          <w:b/>
          <w:sz w:val="24"/>
          <w:szCs w:val="24"/>
        </w:rPr>
      </w:pPr>
      <w:r>
        <w:rPr>
          <w:rFonts w:ascii="Times New Roman" w:eastAsia="Calibri" w:hAnsi="Times New Roman" w:cs="Times New Roman"/>
          <w:b/>
          <w:sz w:val="24"/>
          <w:szCs w:val="24"/>
        </w:rPr>
        <w:t>10</w:t>
      </w:r>
      <w:r w:rsidR="002C29CA" w:rsidRPr="00844BBC">
        <w:rPr>
          <w:rFonts w:ascii="Times New Roman" w:eastAsia="Calibri" w:hAnsi="Times New Roman" w:cs="Times New Roman"/>
          <w:b/>
          <w:sz w:val="24"/>
          <w:szCs w:val="24"/>
        </w:rPr>
        <w:t>.attēls. Spēkā esošajos lēmumos par obligātā iepirkuma tiesībām noteiktais elektroenerģijas apjoms un Daugavas HES kaskādes ikgadējais elektroenerģijas izstrādes apjoms</w:t>
      </w:r>
    </w:p>
    <w:p w:rsidR="002C29CA" w:rsidRDefault="002C29CA" w:rsidP="00844BBC">
      <w:pPr>
        <w:pStyle w:val="PlainText"/>
        <w:ind w:firstLine="0"/>
        <w:rPr>
          <w:rFonts w:ascii="Times New Roman" w:hAnsi="Times New Roman"/>
          <w:sz w:val="20"/>
          <w:szCs w:val="24"/>
        </w:rPr>
      </w:pPr>
      <w:r w:rsidRPr="00844BBC">
        <w:rPr>
          <w:rFonts w:ascii="Times New Roman" w:hAnsi="Times New Roman"/>
          <w:sz w:val="20"/>
          <w:szCs w:val="24"/>
        </w:rPr>
        <w:t>Avots: Ekonomikas ministrija</w:t>
      </w:r>
    </w:p>
    <w:p w:rsidR="00632861" w:rsidRPr="00844BBC" w:rsidRDefault="00632861" w:rsidP="00844BBC">
      <w:pPr>
        <w:pStyle w:val="PlainText"/>
        <w:ind w:firstLine="0"/>
        <w:rPr>
          <w:rFonts w:ascii="Times New Roman" w:hAnsi="Times New Roman"/>
          <w:sz w:val="20"/>
          <w:szCs w:val="24"/>
        </w:rPr>
      </w:pPr>
    </w:p>
    <w:p w:rsidR="002C29CA" w:rsidRDefault="002C29CA" w:rsidP="00FE125B">
      <w:pPr>
        <w:pStyle w:val="PlainText"/>
        <w:spacing w:after="120"/>
        <w:ind w:firstLine="0"/>
        <w:jc w:val="center"/>
        <w:rPr>
          <w:rFonts w:ascii="Times New Roman" w:hAnsi="Times New Roman"/>
          <w:szCs w:val="28"/>
        </w:rPr>
      </w:pPr>
      <w:r>
        <w:rPr>
          <w:noProof/>
          <w:lang w:eastAsia="lv-LV"/>
        </w:rPr>
        <w:drawing>
          <wp:inline distT="0" distB="0" distL="0" distR="0" wp14:anchorId="66BADCAB" wp14:editId="29B08668">
            <wp:extent cx="4933950" cy="26193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29CA" w:rsidRPr="00FE74DD" w:rsidRDefault="003A3FD0" w:rsidP="00FE74DD">
      <w:pPr>
        <w:pStyle w:val="PlainText"/>
        <w:ind w:firstLine="0"/>
        <w:rPr>
          <w:rFonts w:ascii="Times New Roman" w:eastAsia="Calibri" w:hAnsi="Times New Roman" w:cs="Times New Roman"/>
          <w:b/>
          <w:sz w:val="24"/>
          <w:szCs w:val="24"/>
        </w:rPr>
      </w:pPr>
      <w:r>
        <w:rPr>
          <w:rFonts w:ascii="Times New Roman" w:eastAsia="Calibri" w:hAnsi="Times New Roman" w:cs="Times New Roman"/>
          <w:b/>
          <w:sz w:val="24"/>
          <w:szCs w:val="24"/>
        </w:rPr>
        <w:t>1</w:t>
      </w:r>
      <w:r w:rsidR="000660F3">
        <w:rPr>
          <w:rFonts w:ascii="Times New Roman" w:eastAsia="Calibri" w:hAnsi="Times New Roman" w:cs="Times New Roman"/>
          <w:b/>
          <w:sz w:val="24"/>
          <w:szCs w:val="24"/>
        </w:rPr>
        <w:t>1</w:t>
      </w:r>
      <w:r w:rsidR="002C29CA" w:rsidRPr="00FE74DD">
        <w:rPr>
          <w:rFonts w:ascii="Times New Roman" w:eastAsia="Calibri" w:hAnsi="Times New Roman" w:cs="Times New Roman"/>
          <w:b/>
          <w:sz w:val="24"/>
          <w:szCs w:val="24"/>
        </w:rPr>
        <w:t>.attēls. Prognozētais elektroenerģijas apjoms, kas saražots obligātā iepirkuma tiesību ietvaros, un Daugavas HES kaskādes ikgadējais elektroenerģijas izstrādes apjoms</w:t>
      </w:r>
    </w:p>
    <w:p w:rsidR="002C29CA" w:rsidRDefault="002C29CA" w:rsidP="00FE74DD">
      <w:pPr>
        <w:pStyle w:val="PlainText"/>
        <w:ind w:firstLine="0"/>
        <w:rPr>
          <w:rFonts w:ascii="Times New Roman" w:hAnsi="Times New Roman"/>
          <w:sz w:val="20"/>
          <w:szCs w:val="24"/>
        </w:rPr>
      </w:pPr>
      <w:r w:rsidRPr="00FE74DD">
        <w:rPr>
          <w:rFonts w:ascii="Times New Roman" w:hAnsi="Times New Roman"/>
          <w:sz w:val="20"/>
          <w:szCs w:val="24"/>
        </w:rPr>
        <w:t>Avots: Ekonomikas ministrija</w:t>
      </w:r>
    </w:p>
    <w:p w:rsidR="002C29CA" w:rsidRDefault="006B68BF" w:rsidP="002C29CA">
      <w:pPr>
        <w:pStyle w:val="PlainText"/>
        <w:spacing w:after="120"/>
        <w:rPr>
          <w:rFonts w:ascii="Times New Roman" w:hAnsi="Times New Roman"/>
          <w:szCs w:val="28"/>
        </w:rPr>
      </w:pPr>
      <w:r w:rsidRPr="000660F3">
        <w:rPr>
          <w:rFonts w:ascii="Times New Roman" w:hAnsi="Times New Roman"/>
          <w:szCs w:val="28"/>
        </w:rPr>
        <w:lastRenderedPageBreak/>
        <w:t xml:space="preserve">Saskaņā ar </w:t>
      </w:r>
      <w:r w:rsidR="002C29CA" w:rsidRPr="000660F3">
        <w:rPr>
          <w:rFonts w:ascii="Times New Roman" w:hAnsi="Times New Roman"/>
          <w:szCs w:val="28"/>
        </w:rPr>
        <w:t>Ekonomi</w:t>
      </w:r>
      <w:r w:rsidRPr="000660F3">
        <w:rPr>
          <w:rFonts w:ascii="Times New Roman" w:hAnsi="Times New Roman"/>
          <w:szCs w:val="28"/>
        </w:rPr>
        <w:t>kas ministrijas veiktajām</w:t>
      </w:r>
      <w:r w:rsidR="002C29CA" w:rsidRPr="000660F3">
        <w:rPr>
          <w:rFonts w:ascii="Times New Roman" w:hAnsi="Times New Roman"/>
          <w:szCs w:val="28"/>
        </w:rPr>
        <w:t xml:space="preserve"> obligātā iepir</w:t>
      </w:r>
      <w:r w:rsidRPr="000660F3">
        <w:rPr>
          <w:rFonts w:ascii="Times New Roman" w:hAnsi="Times New Roman"/>
          <w:szCs w:val="28"/>
        </w:rPr>
        <w:t>kuma izmaksu pieauguma prognozēm</w:t>
      </w:r>
      <w:r w:rsidR="002C29CA" w:rsidRPr="000660F3">
        <w:rPr>
          <w:rFonts w:ascii="Times New Roman" w:hAnsi="Times New Roman"/>
          <w:szCs w:val="28"/>
        </w:rPr>
        <w:t xml:space="preserve"> par laika posmu 2013.-2020.</w:t>
      </w:r>
      <w:r w:rsidR="000660F3" w:rsidRPr="000660F3">
        <w:rPr>
          <w:rFonts w:ascii="Times New Roman" w:hAnsi="Times New Roman"/>
          <w:szCs w:val="28"/>
        </w:rPr>
        <w:t> </w:t>
      </w:r>
      <w:r w:rsidR="00EC4FA2" w:rsidRPr="000660F3">
        <w:rPr>
          <w:rFonts w:ascii="Times New Roman" w:hAnsi="Times New Roman"/>
          <w:szCs w:val="28"/>
        </w:rPr>
        <w:t>g</w:t>
      </w:r>
      <w:r w:rsidRPr="000660F3">
        <w:rPr>
          <w:rFonts w:ascii="Times New Roman" w:hAnsi="Times New Roman"/>
          <w:szCs w:val="28"/>
        </w:rPr>
        <w:t>adam s</w:t>
      </w:r>
      <w:r w:rsidR="00B55E8A" w:rsidRPr="000660F3">
        <w:rPr>
          <w:rFonts w:ascii="Times New Roman" w:hAnsi="Times New Roman"/>
          <w:szCs w:val="28"/>
        </w:rPr>
        <w:t>agaidāms, ka 2019.</w:t>
      </w:r>
      <w:r w:rsidR="000660F3" w:rsidRPr="000660F3">
        <w:rPr>
          <w:rFonts w:ascii="Times New Roman" w:hAnsi="Times New Roman"/>
          <w:szCs w:val="28"/>
        </w:rPr>
        <w:t> </w:t>
      </w:r>
      <w:r w:rsidR="00B55E8A" w:rsidRPr="000660F3">
        <w:rPr>
          <w:rFonts w:ascii="Times New Roman" w:hAnsi="Times New Roman"/>
          <w:szCs w:val="28"/>
        </w:rPr>
        <w:t xml:space="preserve">gadā OIK sastādīs 4,7 </w:t>
      </w:r>
      <w:proofErr w:type="spellStart"/>
      <w:r w:rsidR="00B55E8A" w:rsidRPr="000660F3">
        <w:rPr>
          <w:rFonts w:ascii="Times New Roman" w:hAnsi="Times New Roman"/>
          <w:szCs w:val="28"/>
        </w:rPr>
        <w:t>sant</w:t>
      </w:r>
      <w:proofErr w:type="spellEnd"/>
      <w:r w:rsidR="00B55E8A" w:rsidRPr="00C37F96">
        <w:rPr>
          <w:rFonts w:ascii="Times New Roman" w:hAnsi="Times New Roman" w:cs="Times New Roman"/>
          <w:szCs w:val="28"/>
        </w:rPr>
        <w:t>./kWh</w:t>
      </w:r>
      <w:r w:rsidR="00C37F96" w:rsidRPr="00C37F96">
        <w:rPr>
          <w:rFonts w:ascii="Times New Roman" w:hAnsi="Times New Roman" w:cs="Times New Roman"/>
          <w:szCs w:val="28"/>
        </w:rPr>
        <w:t xml:space="preserve"> </w:t>
      </w:r>
      <w:r w:rsidR="00C37F96" w:rsidRPr="00C37F96">
        <w:rPr>
          <w:rFonts w:ascii="Times New Roman" w:eastAsia="Calibri" w:hAnsi="Times New Roman" w:cs="Times New Roman"/>
          <w:szCs w:val="28"/>
        </w:rPr>
        <w:t>(</w:t>
      </w:r>
      <w:r w:rsidR="00C37F96" w:rsidRPr="00C37F96">
        <w:rPr>
          <w:rFonts w:ascii="Times New Roman" w:eastAsia="Calibri" w:hAnsi="Times New Roman" w:cs="Times New Roman"/>
          <w:i/>
          <w:szCs w:val="28"/>
        </w:rPr>
        <w:t>skat.12.attēlu</w:t>
      </w:r>
      <w:r w:rsidR="00C37F96" w:rsidRPr="00C37F96">
        <w:rPr>
          <w:rFonts w:ascii="Times New Roman" w:eastAsia="Calibri" w:hAnsi="Times New Roman" w:cs="Times New Roman"/>
          <w:szCs w:val="28"/>
        </w:rPr>
        <w:t>)</w:t>
      </w:r>
      <w:r w:rsidR="00B55E8A" w:rsidRPr="00C37F96">
        <w:rPr>
          <w:rFonts w:ascii="Times New Roman" w:hAnsi="Times New Roman" w:cs="Times New Roman"/>
          <w:szCs w:val="28"/>
        </w:rPr>
        <w:t>. Tad</w:t>
      </w:r>
      <w:r w:rsidR="00B55E8A" w:rsidRPr="000660F3">
        <w:rPr>
          <w:rFonts w:ascii="Times New Roman" w:hAnsi="Times New Roman"/>
          <w:szCs w:val="28"/>
        </w:rPr>
        <w:t xml:space="preserve"> attiecīgi beigsies</w:t>
      </w:r>
      <w:r w:rsidR="00DE35A5" w:rsidRPr="000660F3">
        <w:rPr>
          <w:rFonts w:ascii="Times New Roman" w:hAnsi="Times New Roman"/>
          <w:szCs w:val="28"/>
        </w:rPr>
        <w:t xml:space="preserve"> MK noteikumos Nr.221 iekļautais</w:t>
      </w:r>
      <w:r w:rsidR="00B55E8A" w:rsidRPr="000660F3">
        <w:rPr>
          <w:rFonts w:ascii="Times New Roman" w:hAnsi="Times New Roman"/>
          <w:szCs w:val="28"/>
        </w:rPr>
        <w:t xml:space="preserve"> 5 gadu pārejas periods, kā rezultātā turpmāk OIK pakāpeniski samazināsies. </w:t>
      </w:r>
    </w:p>
    <w:p w:rsidR="000660F3" w:rsidRPr="000660F3" w:rsidRDefault="000660F3" w:rsidP="000660F3">
      <w:pPr>
        <w:pStyle w:val="PlainText"/>
        <w:spacing w:after="120"/>
        <w:ind w:firstLine="0"/>
        <w:jc w:val="center"/>
        <w:rPr>
          <w:rFonts w:ascii="Times New Roman" w:hAnsi="Times New Roman"/>
          <w:szCs w:val="28"/>
        </w:rPr>
      </w:pPr>
      <w:r>
        <w:rPr>
          <w:noProof/>
          <w:lang w:eastAsia="lv-LV"/>
        </w:rPr>
        <w:drawing>
          <wp:inline distT="0" distB="0" distL="0" distR="0" wp14:anchorId="7421080A" wp14:editId="323E53AE">
            <wp:extent cx="5676900" cy="33813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29CA" w:rsidRPr="000660F3" w:rsidRDefault="003A3FD0" w:rsidP="00632861">
      <w:pPr>
        <w:pStyle w:val="PlainText"/>
        <w:ind w:firstLine="0"/>
        <w:rPr>
          <w:rFonts w:ascii="Times New Roman" w:eastAsia="Calibri" w:hAnsi="Times New Roman" w:cs="Times New Roman"/>
          <w:b/>
          <w:sz w:val="24"/>
          <w:szCs w:val="24"/>
        </w:rPr>
      </w:pPr>
      <w:r w:rsidRPr="000660F3">
        <w:rPr>
          <w:rFonts w:ascii="Times New Roman" w:eastAsia="Calibri" w:hAnsi="Times New Roman" w:cs="Times New Roman"/>
          <w:b/>
          <w:sz w:val="24"/>
          <w:szCs w:val="24"/>
        </w:rPr>
        <w:t>12</w:t>
      </w:r>
      <w:r w:rsidR="002C29CA" w:rsidRPr="000660F3">
        <w:rPr>
          <w:rFonts w:ascii="Times New Roman" w:eastAsia="Calibri" w:hAnsi="Times New Roman" w:cs="Times New Roman"/>
          <w:b/>
          <w:sz w:val="24"/>
          <w:szCs w:val="24"/>
        </w:rPr>
        <w:t xml:space="preserve">.attēls. Obligātā iepirkuma </w:t>
      </w:r>
      <w:r w:rsidR="000660F3" w:rsidRPr="000660F3">
        <w:rPr>
          <w:rFonts w:ascii="Times New Roman" w:eastAsia="Calibri" w:hAnsi="Times New Roman" w:cs="Times New Roman"/>
          <w:b/>
          <w:sz w:val="24"/>
          <w:szCs w:val="24"/>
        </w:rPr>
        <w:t>komponentes</w:t>
      </w:r>
      <w:r w:rsidR="002C29CA" w:rsidRPr="000660F3">
        <w:rPr>
          <w:rFonts w:ascii="Times New Roman" w:eastAsia="Calibri" w:hAnsi="Times New Roman" w:cs="Times New Roman"/>
          <w:b/>
          <w:sz w:val="24"/>
          <w:szCs w:val="24"/>
        </w:rPr>
        <w:t xml:space="preserve"> pieauguma progno</w:t>
      </w:r>
      <w:r w:rsidR="00632861" w:rsidRPr="000660F3">
        <w:rPr>
          <w:rFonts w:ascii="Times New Roman" w:eastAsia="Calibri" w:hAnsi="Times New Roman" w:cs="Times New Roman"/>
          <w:b/>
          <w:sz w:val="24"/>
          <w:szCs w:val="24"/>
        </w:rPr>
        <w:t>zes par laika posmu 2013.-2020. g</w:t>
      </w:r>
      <w:r w:rsidR="002C29CA" w:rsidRPr="000660F3">
        <w:rPr>
          <w:rFonts w:ascii="Times New Roman" w:eastAsia="Calibri" w:hAnsi="Times New Roman" w:cs="Times New Roman"/>
          <w:b/>
          <w:sz w:val="24"/>
          <w:szCs w:val="24"/>
        </w:rPr>
        <w:t>adam</w:t>
      </w:r>
      <w:r w:rsidR="00B55E8A" w:rsidRPr="000660F3">
        <w:rPr>
          <w:rFonts w:ascii="Times New Roman" w:eastAsia="Calibri" w:hAnsi="Times New Roman" w:cs="Times New Roman"/>
          <w:b/>
          <w:sz w:val="24"/>
          <w:szCs w:val="24"/>
        </w:rPr>
        <w:t xml:space="preserve">, pieņemot, ka projekti īstenojas daļēji </w:t>
      </w:r>
    </w:p>
    <w:p w:rsidR="00D56CE5" w:rsidRDefault="003545A9" w:rsidP="00DE4A95">
      <w:pPr>
        <w:pStyle w:val="PlainText"/>
        <w:spacing w:after="120"/>
        <w:ind w:firstLine="0"/>
        <w:rPr>
          <w:rFonts w:ascii="Times New Roman" w:hAnsi="Times New Roman"/>
          <w:sz w:val="20"/>
          <w:szCs w:val="20"/>
        </w:rPr>
      </w:pPr>
      <w:r w:rsidRPr="000660F3">
        <w:rPr>
          <w:rFonts w:ascii="Times New Roman" w:hAnsi="Times New Roman"/>
          <w:sz w:val="20"/>
          <w:szCs w:val="20"/>
        </w:rPr>
        <w:t>Avots: Ekonomikas ministrija</w:t>
      </w:r>
    </w:p>
    <w:p w:rsidR="000660F3" w:rsidRPr="000660F3" w:rsidRDefault="000660F3" w:rsidP="00DE4A95">
      <w:pPr>
        <w:pStyle w:val="PlainText"/>
        <w:spacing w:before="0"/>
        <w:ind w:firstLine="0"/>
        <w:rPr>
          <w:rFonts w:ascii="Times New Roman" w:hAnsi="Times New Roman"/>
          <w:sz w:val="20"/>
          <w:szCs w:val="20"/>
        </w:rPr>
      </w:pPr>
    </w:p>
    <w:p w:rsidR="002C29CA" w:rsidRPr="003545A9" w:rsidRDefault="003545A9" w:rsidP="00D56CE5">
      <w:pPr>
        <w:pStyle w:val="PlainText"/>
        <w:spacing w:after="120"/>
        <w:rPr>
          <w:rFonts w:ascii="Times New Roman" w:hAnsi="Times New Roman"/>
          <w:szCs w:val="28"/>
        </w:rPr>
      </w:pPr>
      <w:r w:rsidRPr="000660F3">
        <w:rPr>
          <w:rFonts w:ascii="Times New Roman" w:hAnsi="Times New Roman"/>
          <w:szCs w:val="28"/>
        </w:rPr>
        <w:t xml:space="preserve">Ja pieņem, ka visas uz doto brīdi </w:t>
      </w:r>
      <w:r w:rsidR="006B68BF" w:rsidRPr="000660F3">
        <w:rPr>
          <w:rFonts w:ascii="Times New Roman" w:hAnsi="Times New Roman"/>
          <w:szCs w:val="28"/>
        </w:rPr>
        <w:t>obligātā iepirkuma ietvaros</w:t>
      </w:r>
      <w:r w:rsidR="006B68BF">
        <w:rPr>
          <w:rFonts w:ascii="Times New Roman" w:hAnsi="Times New Roman"/>
          <w:szCs w:val="28"/>
        </w:rPr>
        <w:t xml:space="preserve"> izdotās </w:t>
      </w:r>
      <w:r w:rsidRPr="003545A9">
        <w:rPr>
          <w:rFonts w:ascii="Times New Roman" w:hAnsi="Times New Roman"/>
          <w:szCs w:val="28"/>
        </w:rPr>
        <w:t>atļaujas tiks ieviestas, saistības pret elektroenerģijas ražotājiem laika posmam līdz 203</w:t>
      </w:r>
      <w:r w:rsidR="001C72F1">
        <w:rPr>
          <w:rFonts w:ascii="Times New Roman" w:hAnsi="Times New Roman"/>
          <w:szCs w:val="28"/>
        </w:rPr>
        <w:t>3</w:t>
      </w:r>
      <w:r w:rsidRPr="003545A9">
        <w:rPr>
          <w:rFonts w:ascii="Times New Roman" w:hAnsi="Times New Roman"/>
          <w:szCs w:val="28"/>
        </w:rPr>
        <w:t>.</w:t>
      </w:r>
      <w:r w:rsidR="000660F3">
        <w:rPr>
          <w:rFonts w:ascii="Times New Roman" w:hAnsi="Times New Roman"/>
          <w:szCs w:val="28"/>
        </w:rPr>
        <w:t> </w:t>
      </w:r>
      <w:r w:rsidRPr="003545A9">
        <w:rPr>
          <w:rFonts w:ascii="Times New Roman" w:hAnsi="Times New Roman"/>
          <w:szCs w:val="28"/>
        </w:rPr>
        <w:t>gadam sasniedz 12,5 miljardus LVL</w:t>
      </w:r>
      <w:r>
        <w:rPr>
          <w:rFonts w:ascii="Times New Roman" w:hAnsi="Times New Roman"/>
          <w:szCs w:val="28"/>
        </w:rPr>
        <w:t>. Tomēr, p</w:t>
      </w:r>
      <w:r w:rsidR="00D56CE5" w:rsidRPr="003545A9">
        <w:rPr>
          <w:rFonts w:ascii="Times New Roman" w:hAnsi="Times New Roman"/>
          <w:szCs w:val="28"/>
        </w:rPr>
        <w:t>ieņemot, ka ne visi projekti tiks realizēti</w:t>
      </w:r>
      <w:r w:rsidRPr="003545A9">
        <w:rPr>
          <w:rFonts w:ascii="Times New Roman" w:hAnsi="Times New Roman"/>
          <w:szCs w:val="28"/>
        </w:rPr>
        <w:t>,</w:t>
      </w:r>
      <w:r w:rsidR="00D56CE5" w:rsidRPr="003545A9">
        <w:rPr>
          <w:rFonts w:ascii="Times New Roman" w:hAnsi="Times New Roman"/>
          <w:szCs w:val="28"/>
        </w:rPr>
        <w:t xml:space="preserve"> kopējās saistības varētu būt mazākas – </w:t>
      </w:r>
      <w:r w:rsidRPr="003545A9">
        <w:rPr>
          <w:rFonts w:ascii="Times New Roman" w:hAnsi="Times New Roman"/>
          <w:szCs w:val="28"/>
        </w:rPr>
        <w:t>aptuveni ir 7,2</w:t>
      </w:r>
      <w:r w:rsidR="00D56CE5" w:rsidRPr="003545A9">
        <w:rPr>
          <w:rFonts w:ascii="Times New Roman" w:hAnsi="Times New Roman"/>
          <w:szCs w:val="28"/>
        </w:rPr>
        <w:t xml:space="preserve"> miljardi LVL.</w:t>
      </w:r>
      <w:r w:rsidR="002D6158" w:rsidRPr="003545A9">
        <w:rPr>
          <w:rFonts w:ascii="Times New Roman" w:hAnsi="Times New Roman"/>
          <w:szCs w:val="28"/>
        </w:rPr>
        <w:t xml:space="preserve"> </w:t>
      </w:r>
      <w:r w:rsidR="006B68BF">
        <w:rPr>
          <w:rFonts w:ascii="Times New Roman" w:hAnsi="Times New Roman"/>
          <w:szCs w:val="28"/>
        </w:rPr>
        <w:t>(</w:t>
      </w:r>
      <w:r w:rsidR="006B68BF" w:rsidRPr="006B68BF">
        <w:rPr>
          <w:rFonts w:ascii="Times New Roman" w:hAnsi="Times New Roman"/>
          <w:i/>
          <w:szCs w:val="28"/>
        </w:rPr>
        <w:t>skat.</w:t>
      </w:r>
      <w:r w:rsidR="000660F3">
        <w:rPr>
          <w:rFonts w:ascii="Times New Roman" w:hAnsi="Times New Roman"/>
          <w:i/>
          <w:szCs w:val="28"/>
        </w:rPr>
        <w:t>5</w:t>
      </w:r>
      <w:r w:rsidR="006B68BF" w:rsidRPr="006B68BF">
        <w:rPr>
          <w:rFonts w:ascii="Times New Roman" w:hAnsi="Times New Roman"/>
          <w:i/>
          <w:szCs w:val="28"/>
        </w:rPr>
        <w:t>.tabulu</w:t>
      </w:r>
      <w:r w:rsidR="006B68BF">
        <w:rPr>
          <w:rFonts w:ascii="Times New Roman" w:hAnsi="Times New Roman"/>
          <w:szCs w:val="28"/>
        </w:rPr>
        <w:t xml:space="preserve">). </w:t>
      </w:r>
      <w:r w:rsidR="002D6158" w:rsidRPr="003545A9">
        <w:rPr>
          <w:rFonts w:ascii="Times New Roman" w:hAnsi="Times New Roman"/>
          <w:szCs w:val="28"/>
        </w:rPr>
        <w:t xml:space="preserve">Papildus tam </w:t>
      </w:r>
      <w:r>
        <w:rPr>
          <w:rFonts w:ascii="Times New Roman" w:hAnsi="Times New Roman"/>
          <w:szCs w:val="28"/>
        </w:rPr>
        <w:t xml:space="preserve">izmaksas radīs arī </w:t>
      </w:r>
      <w:r w:rsidR="002D6158" w:rsidRPr="003545A9">
        <w:rPr>
          <w:rFonts w:ascii="Times New Roman" w:hAnsi="Times New Roman"/>
          <w:szCs w:val="28"/>
        </w:rPr>
        <w:t>garantētā maksa par jaudu</w:t>
      </w:r>
      <w:r w:rsidR="006B68BF">
        <w:rPr>
          <w:rFonts w:ascii="Times New Roman" w:hAnsi="Times New Roman"/>
          <w:szCs w:val="28"/>
        </w:rPr>
        <w:t xml:space="preserve"> MK noteikumu </w:t>
      </w:r>
      <w:r w:rsidR="00A4315D">
        <w:rPr>
          <w:rFonts w:ascii="Times New Roman" w:hAnsi="Times New Roman"/>
          <w:szCs w:val="28"/>
        </w:rPr>
        <w:t>Nr.</w:t>
      </w:r>
      <w:r w:rsidR="006B68BF">
        <w:rPr>
          <w:rFonts w:ascii="Times New Roman" w:hAnsi="Times New Roman"/>
          <w:szCs w:val="28"/>
        </w:rPr>
        <w:t>221 ietvaros, kas provizoriski no 2014.</w:t>
      </w:r>
      <w:r w:rsidR="000660F3">
        <w:rPr>
          <w:rFonts w:ascii="Times New Roman" w:hAnsi="Times New Roman"/>
          <w:szCs w:val="28"/>
        </w:rPr>
        <w:t> </w:t>
      </w:r>
      <w:r w:rsidR="006B68BF">
        <w:rPr>
          <w:rFonts w:ascii="Times New Roman" w:hAnsi="Times New Roman"/>
          <w:szCs w:val="28"/>
        </w:rPr>
        <w:t>gada 15 gadu periodam</w:t>
      </w:r>
      <w:r w:rsidR="002D6158" w:rsidRPr="003545A9">
        <w:rPr>
          <w:rFonts w:ascii="Times New Roman" w:hAnsi="Times New Roman"/>
          <w:szCs w:val="28"/>
        </w:rPr>
        <w:t xml:space="preserve"> sastāda 54 </w:t>
      </w:r>
      <w:proofErr w:type="spellStart"/>
      <w:r w:rsidR="002D6158" w:rsidRPr="003545A9">
        <w:rPr>
          <w:rFonts w:ascii="Times New Roman" w:hAnsi="Times New Roman"/>
          <w:szCs w:val="28"/>
        </w:rPr>
        <w:t>milj</w:t>
      </w:r>
      <w:proofErr w:type="spellEnd"/>
      <w:r w:rsidR="002D6158" w:rsidRPr="003545A9">
        <w:rPr>
          <w:rFonts w:ascii="Times New Roman" w:hAnsi="Times New Roman"/>
          <w:szCs w:val="28"/>
        </w:rPr>
        <w:t>. LVL.</w:t>
      </w:r>
      <w:r w:rsidR="00D56CE5" w:rsidRPr="003545A9">
        <w:rPr>
          <w:rFonts w:ascii="Times New Roman" w:hAnsi="Times New Roman"/>
          <w:szCs w:val="28"/>
        </w:rPr>
        <w:t xml:space="preserve"> </w:t>
      </w:r>
    </w:p>
    <w:p w:rsidR="006B68BF" w:rsidRPr="00632861" w:rsidRDefault="000660F3" w:rsidP="006B68BF">
      <w:pPr>
        <w:spacing w:after="0" w:line="240" w:lineRule="auto"/>
        <w:ind w:right="-57"/>
        <w:jc w:val="right"/>
        <w:rPr>
          <w:rFonts w:cs="Times New Roman"/>
          <w:bCs/>
          <w:szCs w:val="28"/>
        </w:rPr>
      </w:pPr>
      <w:r>
        <w:rPr>
          <w:rFonts w:cs="Times New Roman"/>
          <w:bCs/>
          <w:szCs w:val="28"/>
        </w:rPr>
        <w:t>5</w:t>
      </w:r>
      <w:r w:rsidR="006B68BF" w:rsidRPr="00632861">
        <w:rPr>
          <w:rFonts w:cs="Times New Roman"/>
          <w:bCs/>
          <w:szCs w:val="28"/>
        </w:rPr>
        <w:t>.tabula</w:t>
      </w:r>
    </w:p>
    <w:p w:rsidR="00B55E8A" w:rsidRPr="00632861" w:rsidRDefault="00B55E8A" w:rsidP="006B68BF">
      <w:pPr>
        <w:spacing w:after="0" w:line="240" w:lineRule="auto"/>
        <w:ind w:right="-57"/>
        <w:jc w:val="center"/>
        <w:rPr>
          <w:rFonts w:cs="Times New Roman"/>
          <w:bCs/>
          <w:szCs w:val="28"/>
        </w:rPr>
      </w:pPr>
      <w:r w:rsidRPr="00632861">
        <w:rPr>
          <w:rFonts w:cs="Times New Roman"/>
          <w:bCs/>
          <w:szCs w:val="28"/>
        </w:rPr>
        <w:t>Obligātā iepirkuma ietvaros uzņemto saistību apmērs</w:t>
      </w:r>
    </w:p>
    <w:tbl>
      <w:tblPr>
        <w:tblW w:w="0" w:type="auto"/>
        <w:jc w:val="center"/>
        <w:tblCellMar>
          <w:left w:w="0" w:type="dxa"/>
          <w:right w:w="0" w:type="dxa"/>
        </w:tblCellMar>
        <w:tblLook w:val="04A0" w:firstRow="1" w:lastRow="0" w:firstColumn="1" w:lastColumn="0" w:noHBand="0" w:noVBand="1"/>
      </w:tblPr>
      <w:tblGrid>
        <w:gridCol w:w="4773"/>
        <w:gridCol w:w="1985"/>
        <w:gridCol w:w="2318"/>
      </w:tblGrid>
      <w:tr w:rsidR="00D56CE5" w:rsidRPr="001C72F1" w:rsidTr="00632861">
        <w:trPr>
          <w:jc w:val="center"/>
        </w:trPr>
        <w:tc>
          <w:tcPr>
            <w:tcW w:w="4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55E8A" w:rsidRPr="00632861" w:rsidRDefault="00B55E8A" w:rsidP="00632861">
            <w:pPr>
              <w:spacing w:before="0" w:after="0"/>
              <w:ind w:firstLine="0"/>
              <w:jc w:val="center"/>
              <w:rPr>
                <w:rFonts w:cs="Times New Roman"/>
                <w:b/>
                <w:sz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55E8A" w:rsidRPr="00632861" w:rsidRDefault="00B55E8A" w:rsidP="00632861">
            <w:pPr>
              <w:spacing w:before="0" w:after="0" w:line="240" w:lineRule="auto"/>
              <w:ind w:firstLine="0"/>
              <w:jc w:val="center"/>
              <w:rPr>
                <w:rFonts w:cs="Times New Roman"/>
                <w:b/>
                <w:sz w:val="24"/>
              </w:rPr>
            </w:pPr>
            <w:r w:rsidRPr="00632861">
              <w:rPr>
                <w:rFonts w:cs="Times New Roman"/>
                <w:b/>
                <w:sz w:val="24"/>
              </w:rPr>
              <w:t>Projekti īstenojas 100% apjomā</w:t>
            </w:r>
          </w:p>
          <w:p w:rsidR="00D56CE5" w:rsidRPr="00632861" w:rsidRDefault="00D56CE5" w:rsidP="00632861">
            <w:pPr>
              <w:spacing w:before="0" w:after="0" w:line="240" w:lineRule="auto"/>
              <w:ind w:firstLine="0"/>
              <w:jc w:val="center"/>
              <w:rPr>
                <w:rFonts w:cs="Times New Roman"/>
                <w:b/>
                <w:sz w:val="24"/>
              </w:rPr>
            </w:pPr>
            <w:r w:rsidRPr="00632861">
              <w:rPr>
                <w:rFonts w:cs="Times New Roman"/>
                <w:b/>
                <w:sz w:val="24"/>
              </w:rPr>
              <w:t>(miljardi LVL)</w:t>
            </w:r>
          </w:p>
        </w:tc>
        <w:tc>
          <w:tcPr>
            <w:tcW w:w="23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5E8A" w:rsidRPr="000660F3" w:rsidRDefault="00B55E8A" w:rsidP="00632861">
            <w:pPr>
              <w:spacing w:before="0" w:after="0" w:line="240" w:lineRule="auto"/>
              <w:ind w:firstLine="0"/>
              <w:jc w:val="center"/>
              <w:rPr>
                <w:rFonts w:cs="Times New Roman"/>
                <w:b/>
                <w:sz w:val="24"/>
              </w:rPr>
            </w:pPr>
            <w:r w:rsidRPr="000660F3">
              <w:rPr>
                <w:rFonts w:cs="Times New Roman"/>
                <w:b/>
                <w:sz w:val="24"/>
              </w:rPr>
              <w:t>Projekti īstenojas daļēji (</w:t>
            </w:r>
            <w:r w:rsidRPr="000660F3">
              <w:rPr>
                <w:rFonts w:cs="Times New Roman"/>
                <w:b/>
                <w:i/>
                <w:sz w:val="24"/>
              </w:rPr>
              <w:t xml:space="preserve">pieņēmumi </w:t>
            </w:r>
            <w:r w:rsidR="00943DDF" w:rsidRPr="000660F3">
              <w:rPr>
                <w:rFonts w:cs="Times New Roman"/>
                <w:b/>
                <w:i/>
                <w:sz w:val="24"/>
              </w:rPr>
              <w:t>2</w:t>
            </w:r>
            <w:r w:rsidR="009A6A73">
              <w:rPr>
                <w:rFonts w:cs="Times New Roman"/>
                <w:b/>
                <w:i/>
                <w:sz w:val="24"/>
              </w:rPr>
              <w:t>6</w:t>
            </w:r>
            <w:r w:rsidRPr="000660F3">
              <w:rPr>
                <w:rFonts w:cs="Times New Roman"/>
                <w:b/>
                <w:i/>
                <w:sz w:val="24"/>
              </w:rPr>
              <w:t>.lpp.</w:t>
            </w:r>
            <w:r w:rsidRPr="000660F3">
              <w:rPr>
                <w:rFonts w:cs="Times New Roman"/>
                <w:b/>
                <w:sz w:val="24"/>
              </w:rPr>
              <w:t>)</w:t>
            </w:r>
          </w:p>
          <w:p w:rsidR="00B55E8A" w:rsidRPr="00632861" w:rsidRDefault="00D56CE5" w:rsidP="00632861">
            <w:pPr>
              <w:pStyle w:val="PlainText"/>
              <w:spacing w:before="0"/>
              <w:ind w:firstLine="0"/>
              <w:jc w:val="center"/>
              <w:rPr>
                <w:rFonts w:ascii="Times New Roman" w:hAnsi="Times New Roman" w:cs="Times New Roman"/>
                <w:b/>
                <w:sz w:val="24"/>
                <w:szCs w:val="22"/>
              </w:rPr>
            </w:pPr>
            <w:r w:rsidRPr="000660F3">
              <w:rPr>
                <w:rFonts w:ascii="Times New Roman" w:hAnsi="Times New Roman" w:cs="Times New Roman"/>
                <w:b/>
                <w:sz w:val="24"/>
                <w:szCs w:val="22"/>
              </w:rPr>
              <w:t>(miljardi LVL</w:t>
            </w:r>
            <w:r w:rsidRPr="00632861">
              <w:rPr>
                <w:rFonts w:ascii="Times New Roman" w:hAnsi="Times New Roman" w:cs="Times New Roman"/>
                <w:b/>
                <w:sz w:val="24"/>
                <w:szCs w:val="22"/>
              </w:rPr>
              <w:t>)</w:t>
            </w:r>
          </w:p>
        </w:tc>
      </w:tr>
      <w:tr w:rsidR="00D56CE5" w:rsidRPr="001C72F1" w:rsidTr="00632861">
        <w:trPr>
          <w:jc w:val="center"/>
        </w:trPr>
        <w:tc>
          <w:tcPr>
            <w:tcW w:w="4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E8A" w:rsidRPr="00632861" w:rsidRDefault="00B55E8A" w:rsidP="00B67D57">
            <w:pPr>
              <w:spacing w:before="0" w:after="0" w:line="240" w:lineRule="auto"/>
              <w:ind w:firstLine="0"/>
              <w:rPr>
                <w:rFonts w:cs="Times New Roman"/>
                <w:sz w:val="24"/>
              </w:rPr>
            </w:pPr>
            <w:r w:rsidRPr="00632861">
              <w:rPr>
                <w:rFonts w:cs="Times New Roman"/>
                <w:sz w:val="24"/>
              </w:rPr>
              <w:t>AER</w:t>
            </w:r>
          </w:p>
          <w:p w:rsidR="00B55E8A" w:rsidRPr="00632861" w:rsidRDefault="00B55E8A" w:rsidP="00B67D57">
            <w:pPr>
              <w:spacing w:before="0" w:after="0" w:line="240" w:lineRule="auto"/>
              <w:ind w:firstLine="0"/>
              <w:rPr>
                <w:rFonts w:cs="Times New Roman"/>
                <w:i/>
                <w:sz w:val="20"/>
                <w:szCs w:val="20"/>
              </w:rPr>
            </w:pPr>
            <w:r w:rsidRPr="00632861">
              <w:rPr>
                <w:rFonts w:cs="Times New Roman"/>
                <w:i/>
                <w:sz w:val="20"/>
                <w:szCs w:val="20"/>
              </w:rPr>
              <w:t xml:space="preserve">MK noteikumi </w:t>
            </w:r>
            <w:proofErr w:type="spellStart"/>
            <w:r w:rsidRPr="00632861">
              <w:rPr>
                <w:rFonts w:cs="Times New Roman"/>
                <w:i/>
                <w:sz w:val="20"/>
                <w:szCs w:val="20"/>
              </w:rPr>
              <w:t>Nr</w:t>
            </w:r>
            <w:proofErr w:type="spellEnd"/>
            <w:r w:rsidRPr="00632861">
              <w:rPr>
                <w:rFonts w:cs="Times New Roman"/>
                <w:i/>
                <w:sz w:val="20"/>
                <w:szCs w:val="20"/>
              </w:rPr>
              <w:t>. 503</w:t>
            </w:r>
            <w:r w:rsidR="00CA5879" w:rsidRPr="00632861">
              <w:rPr>
                <w:rFonts w:cs="Times New Roman"/>
                <w:i/>
                <w:sz w:val="20"/>
                <w:szCs w:val="20"/>
              </w:rPr>
              <w:t>;</w:t>
            </w:r>
            <w:r w:rsidRPr="00632861">
              <w:rPr>
                <w:rFonts w:cs="Times New Roman"/>
                <w:i/>
                <w:sz w:val="20"/>
                <w:szCs w:val="20"/>
              </w:rPr>
              <w:t xml:space="preserve"> </w:t>
            </w:r>
          </w:p>
          <w:p w:rsidR="00B55E8A" w:rsidRPr="00632861" w:rsidRDefault="00B55E8A" w:rsidP="00FC4509">
            <w:pPr>
              <w:spacing w:before="0" w:after="0" w:line="240" w:lineRule="auto"/>
              <w:ind w:firstLine="0"/>
              <w:rPr>
                <w:rFonts w:cs="Times New Roman"/>
                <w:i/>
                <w:sz w:val="20"/>
                <w:szCs w:val="20"/>
              </w:rPr>
            </w:pPr>
            <w:r w:rsidRPr="00632861">
              <w:rPr>
                <w:rFonts w:cs="Times New Roman"/>
                <w:i/>
                <w:sz w:val="20"/>
                <w:szCs w:val="20"/>
              </w:rPr>
              <w:t xml:space="preserve">MK noteikumi </w:t>
            </w:r>
            <w:proofErr w:type="spellStart"/>
            <w:r w:rsidRPr="00632861">
              <w:rPr>
                <w:rFonts w:cs="Times New Roman"/>
                <w:i/>
                <w:sz w:val="20"/>
                <w:szCs w:val="20"/>
              </w:rPr>
              <w:t>Nr</w:t>
            </w:r>
            <w:proofErr w:type="spellEnd"/>
            <w:r w:rsidRPr="00632861">
              <w:rPr>
                <w:rFonts w:cs="Times New Roman"/>
                <w:i/>
                <w:sz w:val="20"/>
                <w:szCs w:val="20"/>
              </w:rPr>
              <w:t xml:space="preserve">. 198; </w:t>
            </w:r>
          </w:p>
          <w:p w:rsidR="00B55E8A" w:rsidRPr="001C72F1" w:rsidRDefault="00B55E8A" w:rsidP="00E6525C">
            <w:pPr>
              <w:spacing w:before="0" w:after="0" w:line="240" w:lineRule="auto"/>
              <w:ind w:firstLine="0"/>
              <w:rPr>
                <w:rFonts w:cs="Times New Roman"/>
              </w:rPr>
            </w:pPr>
            <w:r w:rsidRPr="00632861">
              <w:rPr>
                <w:rFonts w:cs="Times New Roman"/>
                <w:i/>
                <w:sz w:val="20"/>
                <w:szCs w:val="20"/>
              </w:rPr>
              <w:t xml:space="preserve">MK noteikumi </w:t>
            </w:r>
            <w:proofErr w:type="spellStart"/>
            <w:r w:rsidRPr="00632861">
              <w:rPr>
                <w:rFonts w:cs="Times New Roman"/>
                <w:i/>
                <w:sz w:val="20"/>
                <w:szCs w:val="20"/>
              </w:rPr>
              <w:t>Nr</w:t>
            </w:r>
            <w:proofErr w:type="spellEnd"/>
            <w:r w:rsidRPr="00632861">
              <w:rPr>
                <w:rFonts w:cs="Times New Roman"/>
                <w:i/>
                <w:sz w:val="20"/>
                <w:szCs w:val="20"/>
              </w:rPr>
              <w:t>. 262.</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55E8A" w:rsidRPr="00632861" w:rsidRDefault="00B55E8A" w:rsidP="00E6525C">
            <w:pPr>
              <w:spacing w:before="0" w:after="0" w:line="240" w:lineRule="auto"/>
              <w:ind w:firstLine="0"/>
              <w:jc w:val="center"/>
              <w:rPr>
                <w:rFonts w:cs="Times New Roman"/>
                <w:sz w:val="24"/>
              </w:rPr>
            </w:pPr>
            <w:r w:rsidRPr="00632861">
              <w:rPr>
                <w:rFonts w:cs="Times New Roman"/>
                <w:sz w:val="24"/>
              </w:rPr>
              <w:t xml:space="preserve">1,6 </w:t>
            </w:r>
          </w:p>
        </w:tc>
        <w:tc>
          <w:tcPr>
            <w:tcW w:w="2318" w:type="dxa"/>
            <w:tcBorders>
              <w:top w:val="nil"/>
              <w:left w:val="nil"/>
              <w:bottom w:val="single" w:sz="8" w:space="0" w:color="auto"/>
              <w:right w:val="single" w:sz="8" w:space="0" w:color="auto"/>
            </w:tcBorders>
            <w:tcMar>
              <w:top w:w="0" w:type="dxa"/>
              <w:left w:w="108" w:type="dxa"/>
              <w:bottom w:w="0" w:type="dxa"/>
              <w:right w:w="108" w:type="dxa"/>
            </w:tcMar>
            <w:vAlign w:val="center"/>
          </w:tcPr>
          <w:p w:rsidR="00B55E8A" w:rsidRPr="00632861" w:rsidRDefault="00B55E8A" w:rsidP="00E6525C">
            <w:pPr>
              <w:spacing w:before="0" w:after="0" w:line="240" w:lineRule="auto"/>
              <w:ind w:firstLine="0"/>
              <w:jc w:val="center"/>
              <w:rPr>
                <w:rFonts w:cs="Times New Roman"/>
                <w:sz w:val="24"/>
              </w:rPr>
            </w:pPr>
            <w:r w:rsidRPr="00632861">
              <w:rPr>
                <w:rFonts w:cs="Times New Roman"/>
                <w:sz w:val="24"/>
              </w:rPr>
              <w:t xml:space="preserve">1,4 </w:t>
            </w:r>
          </w:p>
        </w:tc>
      </w:tr>
      <w:tr w:rsidR="00D56CE5" w:rsidRPr="001C72F1" w:rsidTr="00632861">
        <w:trPr>
          <w:jc w:val="center"/>
        </w:trPr>
        <w:tc>
          <w:tcPr>
            <w:tcW w:w="4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E8A" w:rsidRPr="00632861" w:rsidRDefault="00B55E8A" w:rsidP="00B67D57">
            <w:pPr>
              <w:spacing w:before="0" w:after="0" w:line="240" w:lineRule="auto"/>
              <w:ind w:firstLine="0"/>
              <w:rPr>
                <w:rFonts w:cs="Times New Roman"/>
                <w:sz w:val="24"/>
              </w:rPr>
            </w:pPr>
            <w:r w:rsidRPr="00632861">
              <w:rPr>
                <w:rFonts w:cs="Times New Roman"/>
                <w:sz w:val="24"/>
              </w:rPr>
              <w:lastRenderedPageBreak/>
              <w:t>Koģenerācijas stacijas (AER)</w:t>
            </w:r>
          </w:p>
          <w:p w:rsidR="00B55E8A" w:rsidRPr="00632861" w:rsidRDefault="00B55E8A" w:rsidP="00B67D57">
            <w:pPr>
              <w:spacing w:before="0" w:after="0" w:line="240" w:lineRule="auto"/>
              <w:ind w:firstLine="0"/>
              <w:rPr>
                <w:rFonts w:cs="Times New Roman"/>
                <w:i/>
                <w:sz w:val="20"/>
                <w:szCs w:val="20"/>
              </w:rPr>
            </w:pPr>
            <w:r w:rsidRPr="00632861">
              <w:rPr>
                <w:rFonts w:cs="Times New Roman"/>
                <w:i/>
                <w:sz w:val="20"/>
                <w:szCs w:val="20"/>
              </w:rPr>
              <w:t xml:space="preserve">MK noteikumi </w:t>
            </w:r>
            <w:proofErr w:type="spellStart"/>
            <w:r w:rsidRPr="00632861">
              <w:rPr>
                <w:rFonts w:cs="Times New Roman"/>
                <w:i/>
                <w:sz w:val="20"/>
                <w:szCs w:val="20"/>
              </w:rPr>
              <w:t>Nr</w:t>
            </w:r>
            <w:proofErr w:type="spellEnd"/>
            <w:r w:rsidRPr="00632861">
              <w:rPr>
                <w:rFonts w:cs="Times New Roman"/>
                <w:i/>
                <w:sz w:val="20"/>
                <w:szCs w:val="20"/>
              </w:rPr>
              <w:t xml:space="preserve">. 921; </w:t>
            </w:r>
          </w:p>
          <w:p w:rsidR="00B55E8A" w:rsidRPr="001C72F1" w:rsidRDefault="00B55E8A" w:rsidP="00FC4509">
            <w:pPr>
              <w:spacing w:before="0" w:after="0" w:line="240" w:lineRule="auto"/>
              <w:ind w:firstLine="0"/>
              <w:rPr>
                <w:rFonts w:cs="Times New Roman"/>
              </w:rPr>
            </w:pPr>
            <w:r w:rsidRPr="00632861">
              <w:rPr>
                <w:rFonts w:cs="Times New Roman"/>
                <w:i/>
                <w:sz w:val="20"/>
                <w:szCs w:val="20"/>
              </w:rPr>
              <w:t xml:space="preserve">MK noteikumi </w:t>
            </w:r>
            <w:proofErr w:type="spellStart"/>
            <w:r w:rsidRPr="00632861">
              <w:rPr>
                <w:rFonts w:cs="Times New Roman"/>
                <w:i/>
                <w:sz w:val="20"/>
                <w:szCs w:val="20"/>
              </w:rPr>
              <w:t>Nr</w:t>
            </w:r>
            <w:proofErr w:type="spellEnd"/>
            <w:r w:rsidRPr="00632861">
              <w:rPr>
                <w:rFonts w:cs="Times New Roman"/>
                <w:i/>
                <w:sz w:val="20"/>
                <w:szCs w:val="20"/>
              </w:rPr>
              <w:t>. 221.</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55E8A" w:rsidRPr="00632861" w:rsidRDefault="00B55E8A" w:rsidP="00E6525C">
            <w:pPr>
              <w:spacing w:before="0" w:after="0" w:line="240" w:lineRule="auto"/>
              <w:ind w:firstLine="0"/>
              <w:jc w:val="center"/>
              <w:rPr>
                <w:rFonts w:cs="Times New Roman"/>
                <w:sz w:val="24"/>
              </w:rPr>
            </w:pPr>
            <w:r w:rsidRPr="00632861">
              <w:rPr>
                <w:rFonts w:cs="Times New Roman"/>
                <w:sz w:val="24"/>
              </w:rPr>
              <w:t xml:space="preserve">7,3 </w:t>
            </w:r>
          </w:p>
        </w:tc>
        <w:tc>
          <w:tcPr>
            <w:tcW w:w="2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55E8A" w:rsidRPr="00632861" w:rsidRDefault="00B55E8A" w:rsidP="00E6525C">
            <w:pPr>
              <w:spacing w:before="0" w:after="0" w:line="240" w:lineRule="auto"/>
              <w:ind w:firstLine="0"/>
              <w:jc w:val="center"/>
              <w:rPr>
                <w:rFonts w:cs="Times New Roman"/>
                <w:sz w:val="24"/>
              </w:rPr>
            </w:pPr>
            <w:r w:rsidRPr="00632861">
              <w:rPr>
                <w:rFonts w:cs="Times New Roman"/>
                <w:sz w:val="24"/>
              </w:rPr>
              <w:t xml:space="preserve">2,3 </w:t>
            </w:r>
          </w:p>
        </w:tc>
      </w:tr>
      <w:tr w:rsidR="00D56CE5" w:rsidRPr="001C72F1" w:rsidTr="00632861">
        <w:trPr>
          <w:jc w:val="center"/>
        </w:trPr>
        <w:tc>
          <w:tcPr>
            <w:tcW w:w="4773" w:type="dxa"/>
            <w:tcBorders>
              <w:top w:val="single" w:sz="8" w:space="0" w:color="auto"/>
              <w:left w:val="single" w:sz="8" w:space="0" w:color="auto"/>
              <w:right w:val="single" w:sz="8" w:space="0" w:color="auto"/>
            </w:tcBorders>
            <w:tcMar>
              <w:top w:w="0" w:type="dxa"/>
              <w:left w:w="108" w:type="dxa"/>
              <w:bottom w:w="0" w:type="dxa"/>
              <w:right w:w="108" w:type="dxa"/>
            </w:tcMar>
            <w:hideMark/>
          </w:tcPr>
          <w:p w:rsidR="00B55E8A" w:rsidRPr="00632861" w:rsidRDefault="00B55E8A" w:rsidP="00B67D57">
            <w:pPr>
              <w:spacing w:before="0" w:after="0" w:line="240" w:lineRule="auto"/>
              <w:ind w:firstLine="0"/>
              <w:jc w:val="left"/>
              <w:rPr>
                <w:rFonts w:cs="Times New Roman"/>
                <w:sz w:val="24"/>
              </w:rPr>
            </w:pPr>
            <w:r w:rsidRPr="00632861">
              <w:rPr>
                <w:rFonts w:cs="Times New Roman"/>
                <w:sz w:val="24"/>
              </w:rPr>
              <w:t>Koģenerācijas stacijas (Fosilie energoresursi)</w:t>
            </w:r>
          </w:p>
          <w:p w:rsidR="00B55E8A" w:rsidRPr="00632861" w:rsidRDefault="00B55E8A" w:rsidP="00B67D57">
            <w:pPr>
              <w:spacing w:before="0" w:after="0" w:line="240" w:lineRule="auto"/>
              <w:ind w:firstLine="0"/>
              <w:rPr>
                <w:rFonts w:cs="Times New Roman"/>
                <w:i/>
                <w:sz w:val="20"/>
                <w:szCs w:val="20"/>
              </w:rPr>
            </w:pPr>
            <w:r w:rsidRPr="00632861">
              <w:rPr>
                <w:rFonts w:cs="Times New Roman"/>
                <w:i/>
                <w:sz w:val="20"/>
                <w:szCs w:val="20"/>
              </w:rPr>
              <w:t xml:space="preserve">MK noteikumi </w:t>
            </w:r>
            <w:proofErr w:type="spellStart"/>
            <w:r w:rsidRPr="00632861">
              <w:rPr>
                <w:rFonts w:cs="Times New Roman"/>
                <w:i/>
                <w:sz w:val="20"/>
                <w:szCs w:val="20"/>
              </w:rPr>
              <w:t>Nr</w:t>
            </w:r>
            <w:proofErr w:type="spellEnd"/>
            <w:r w:rsidRPr="00632861">
              <w:rPr>
                <w:rFonts w:cs="Times New Roman"/>
                <w:i/>
                <w:sz w:val="20"/>
                <w:szCs w:val="20"/>
              </w:rPr>
              <w:t xml:space="preserve">. 921; </w:t>
            </w:r>
          </w:p>
          <w:p w:rsidR="00B55E8A" w:rsidRPr="001C72F1" w:rsidRDefault="00B55E8A" w:rsidP="00FC4509">
            <w:pPr>
              <w:spacing w:before="0" w:after="0" w:line="240" w:lineRule="auto"/>
              <w:ind w:firstLine="0"/>
              <w:rPr>
                <w:rFonts w:cs="Times New Roman"/>
              </w:rPr>
            </w:pPr>
            <w:r w:rsidRPr="00632861">
              <w:rPr>
                <w:rFonts w:cs="Times New Roman"/>
                <w:i/>
                <w:sz w:val="20"/>
                <w:szCs w:val="20"/>
              </w:rPr>
              <w:t xml:space="preserve">MK noteikumi </w:t>
            </w:r>
            <w:proofErr w:type="spellStart"/>
            <w:r w:rsidRPr="00632861">
              <w:rPr>
                <w:rFonts w:cs="Times New Roman"/>
                <w:i/>
                <w:sz w:val="20"/>
                <w:szCs w:val="20"/>
              </w:rPr>
              <w:t>Nr</w:t>
            </w:r>
            <w:proofErr w:type="spellEnd"/>
            <w:r w:rsidRPr="00632861">
              <w:rPr>
                <w:rFonts w:cs="Times New Roman"/>
                <w:i/>
                <w:sz w:val="20"/>
                <w:szCs w:val="20"/>
              </w:rPr>
              <w:t>. 221.</w:t>
            </w:r>
          </w:p>
        </w:tc>
        <w:tc>
          <w:tcPr>
            <w:tcW w:w="1985" w:type="dxa"/>
            <w:tcBorders>
              <w:top w:val="single" w:sz="8" w:space="0" w:color="auto"/>
              <w:left w:val="nil"/>
              <w:right w:val="single" w:sz="8" w:space="0" w:color="auto"/>
            </w:tcBorders>
            <w:tcMar>
              <w:top w:w="0" w:type="dxa"/>
              <w:left w:w="108" w:type="dxa"/>
              <w:bottom w:w="0" w:type="dxa"/>
              <w:right w:w="108" w:type="dxa"/>
            </w:tcMar>
            <w:vAlign w:val="center"/>
            <w:hideMark/>
          </w:tcPr>
          <w:p w:rsidR="00B55E8A" w:rsidRPr="00632861" w:rsidRDefault="00B55E8A" w:rsidP="00E6525C">
            <w:pPr>
              <w:spacing w:before="0" w:after="0" w:line="240" w:lineRule="auto"/>
              <w:ind w:firstLine="0"/>
              <w:jc w:val="center"/>
              <w:rPr>
                <w:rFonts w:cs="Times New Roman"/>
                <w:sz w:val="24"/>
              </w:rPr>
            </w:pPr>
            <w:r w:rsidRPr="00632861">
              <w:rPr>
                <w:rFonts w:cs="Times New Roman"/>
                <w:sz w:val="24"/>
              </w:rPr>
              <w:t>3,</w:t>
            </w:r>
            <w:r w:rsidR="001C72F1" w:rsidRPr="00632861">
              <w:rPr>
                <w:rFonts w:cs="Times New Roman"/>
                <w:sz w:val="24"/>
              </w:rPr>
              <w:t>6</w:t>
            </w:r>
            <w:r w:rsidRPr="00632861">
              <w:rPr>
                <w:rFonts w:cs="Times New Roman"/>
                <w:sz w:val="24"/>
              </w:rPr>
              <w:t xml:space="preserve"> </w:t>
            </w:r>
          </w:p>
        </w:tc>
        <w:tc>
          <w:tcPr>
            <w:tcW w:w="2318" w:type="dxa"/>
            <w:tcBorders>
              <w:top w:val="single" w:sz="8" w:space="0" w:color="auto"/>
              <w:left w:val="nil"/>
              <w:right w:val="single" w:sz="8" w:space="0" w:color="auto"/>
            </w:tcBorders>
            <w:tcMar>
              <w:top w:w="0" w:type="dxa"/>
              <w:left w:w="108" w:type="dxa"/>
              <w:bottom w:w="0" w:type="dxa"/>
              <w:right w:w="108" w:type="dxa"/>
            </w:tcMar>
            <w:vAlign w:val="center"/>
            <w:hideMark/>
          </w:tcPr>
          <w:p w:rsidR="00B55E8A" w:rsidRPr="00632861" w:rsidRDefault="00B55E8A" w:rsidP="00E6525C">
            <w:pPr>
              <w:spacing w:before="0" w:after="0" w:line="240" w:lineRule="auto"/>
              <w:ind w:firstLine="0"/>
              <w:jc w:val="center"/>
              <w:rPr>
                <w:rFonts w:cs="Times New Roman"/>
                <w:sz w:val="24"/>
              </w:rPr>
            </w:pPr>
            <w:r w:rsidRPr="00632861">
              <w:rPr>
                <w:rFonts w:cs="Times New Roman"/>
                <w:sz w:val="24"/>
              </w:rPr>
              <w:t>3,</w:t>
            </w:r>
            <w:r w:rsidR="001C72F1" w:rsidRPr="00632861">
              <w:rPr>
                <w:rFonts w:cs="Times New Roman"/>
                <w:sz w:val="24"/>
              </w:rPr>
              <w:t>5</w:t>
            </w:r>
            <w:r w:rsidRPr="00632861">
              <w:rPr>
                <w:rFonts w:cs="Times New Roman"/>
                <w:sz w:val="24"/>
              </w:rPr>
              <w:t xml:space="preserve"> </w:t>
            </w:r>
          </w:p>
        </w:tc>
      </w:tr>
      <w:tr w:rsidR="001C72F1" w:rsidRPr="001C72F1" w:rsidTr="00632861">
        <w:trPr>
          <w:jc w:val="center"/>
        </w:trPr>
        <w:tc>
          <w:tcPr>
            <w:tcW w:w="4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C72F1" w:rsidRPr="00632861" w:rsidRDefault="001C72F1" w:rsidP="00B67D57">
            <w:pPr>
              <w:spacing w:before="0" w:after="0" w:line="240" w:lineRule="auto"/>
              <w:ind w:firstLine="0"/>
              <w:rPr>
                <w:rFonts w:cs="Times New Roman"/>
                <w:sz w:val="22"/>
                <w:szCs w:val="24"/>
              </w:rPr>
            </w:pPr>
            <w:r w:rsidRPr="00632861">
              <w:rPr>
                <w:rFonts w:cs="Times New Roman"/>
                <w:sz w:val="22"/>
                <w:szCs w:val="24"/>
              </w:rPr>
              <w:t xml:space="preserve">Tajā skaitā: </w:t>
            </w:r>
          </w:p>
          <w:p w:rsidR="001C72F1" w:rsidRPr="00632861" w:rsidRDefault="001C72F1" w:rsidP="00B67D57">
            <w:pPr>
              <w:spacing w:before="0" w:after="0" w:line="240" w:lineRule="auto"/>
              <w:ind w:firstLine="0"/>
              <w:jc w:val="right"/>
              <w:rPr>
                <w:rFonts w:cs="Times New Roman"/>
                <w:sz w:val="22"/>
                <w:szCs w:val="24"/>
              </w:rPr>
            </w:pPr>
            <w:r w:rsidRPr="00632861">
              <w:rPr>
                <w:rFonts w:cs="Times New Roman"/>
                <w:sz w:val="22"/>
                <w:szCs w:val="24"/>
              </w:rPr>
              <w:t>uzstādītā elektriskā jauda līdz 4 MW</w:t>
            </w:r>
          </w:p>
          <w:p w:rsidR="001C72F1" w:rsidRPr="00632861" w:rsidRDefault="001C72F1" w:rsidP="00FC4509">
            <w:pPr>
              <w:spacing w:before="0" w:after="0" w:line="240" w:lineRule="auto"/>
              <w:ind w:firstLine="0"/>
              <w:jc w:val="right"/>
              <w:rPr>
                <w:rFonts w:cs="Times New Roman"/>
                <w:sz w:val="22"/>
                <w:szCs w:val="24"/>
              </w:rPr>
            </w:pPr>
            <w:r w:rsidRPr="00632861">
              <w:rPr>
                <w:rFonts w:cs="Times New Roman"/>
                <w:sz w:val="22"/>
                <w:szCs w:val="24"/>
              </w:rPr>
              <w:t xml:space="preserve">uzstādītā elektriskā jauda </w:t>
            </w:r>
            <w:r w:rsidR="00CA5879" w:rsidRPr="00632861">
              <w:rPr>
                <w:rFonts w:cs="Times New Roman"/>
                <w:sz w:val="22"/>
                <w:szCs w:val="24"/>
              </w:rPr>
              <w:t>virs</w:t>
            </w:r>
            <w:r w:rsidRPr="00632861">
              <w:rPr>
                <w:rFonts w:cs="Times New Roman"/>
                <w:sz w:val="22"/>
                <w:szCs w:val="24"/>
              </w:rPr>
              <w:t xml:space="preserve"> 4 MW</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1C72F1" w:rsidRPr="00632861" w:rsidRDefault="001C72F1" w:rsidP="00E6525C">
            <w:pPr>
              <w:spacing w:before="0" w:after="0" w:line="240" w:lineRule="auto"/>
              <w:ind w:firstLine="0"/>
              <w:jc w:val="right"/>
              <w:rPr>
                <w:rFonts w:cs="Times New Roman"/>
                <w:sz w:val="22"/>
                <w:szCs w:val="24"/>
              </w:rPr>
            </w:pPr>
          </w:p>
          <w:p w:rsidR="001C72F1" w:rsidRPr="00632861" w:rsidRDefault="001C72F1" w:rsidP="00E6525C">
            <w:pPr>
              <w:spacing w:before="0" w:after="0" w:line="240" w:lineRule="auto"/>
              <w:ind w:firstLine="0"/>
              <w:jc w:val="right"/>
              <w:rPr>
                <w:rFonts w:cs="Times New Roman"/>
                <w:sz w:val="22"/>
                <w:szCs w:val="24"/>
              </w:rPr>
            </w:pPr>
            <w:r w:rsidRPr="00632861">
              <w:rPr>
                <w:rFonts w:cs="Times New Roman"/>
                <w:sz w:val="22"/>
                <w:szCs w:val="24"/>
              </w:rPr>
              <w:t>0,7</w:t>
            </w:r>
          </w:p>
          <w:p w:rsidR="001C72F1" w:rsidRPr="00632861" w:rsidRDefault="001C72F1" w:rsidP="00E6525C">
            <w:pPr>
              <w:spacing w:before="0" w:after="0" w:line="240" w:lineRule="auto"/>
              <w:ind w:firstLine="0"/>
              <w:jc w:val="right"/>
              <w:rPr>
                <w:rFonts w:cs="Times New Roman"/>
                <w:sz w:val="22"/>
              </w:rPr>
            </w:pPr>
            <w:r w:rsidRPr="00632861">
              <w:rPr>
                <w:rFonts w:cs="Times New Roman"/>
                <w:sz w:val="22"/>
                <w:szCs w:val="24"/>
              </w:rPr>
              <w:t>2,9</w:t>
            </w:r>
          </w:p>
        </w:tc>
        <w:tc>
          <w:tcPr>
            <w:tcW w:w="2318" w:type="dxa"/>
            <w:tcBorders>
              <w:top w:val="nil"/>
              <w:left w:val="nil"/>
              <w:bottom w:val="single" w:sz="8" w:space="0" w:color="auto"/>
              <w:right w:val="single" w:sz="8" w:space="0" w:color="auto"/>
            </w:tcBorders>
            <w:tcMar>
              <w:top w:w="0" w:type="dxa"/>
              <w:left w:w="108" w:type="dxa"/>
              <w:bottom w:w="0" w:type="dxa"/>
              <w:right w:w="108" w:type="dxa"/>
            </w:tcMar>
            <w:vAlign w:val="center"/>
          </w:tcPr>
          <w:p w:rsidR="001C72F1" w:rsidRPr="00632861" w:rsidRDefault="001C72F1" w:rsidP="00E6525C">
            <w:pPr>
              <w:spacing w:before="0" w:after="0" w:line="240" w:lineRule="auto"/>
              <w:ind w:firstLine="0"/>
              <w:jc w:val="right"/>
              <w:rPr>
                <w:rFonts w:cs="Times New Roman"/>
                <w:sz w:val="22"/>
                <w:szCs w:val="24"/>
              </w:rPr>
            </w:pPr>
          </w:p>
          <w:p w:rsidR="001C72F1" w:rsidRPr="00632861" w:rsidRDefault="001C72F1">
            <w:pPr>
              <w:spacing w:before="0" w:after="0" w:line="240" w:lineRule="auto"/>
              <w:ind w:firstLine="0"/>
              <w:jc w:val="right"/>
              <w:rPr>
                <w:rFonts w:cs="Times New Roman"/>
                <w:sz w:val="22"/>
                <w:szCs w:val="24"/>
              </w:rPr>
            </w:pPr>
            <w:r w:rsidRPr="00632861">
              <w:rPr>
                <w:rFonts w:cs="Times New Roman"/>
                <w:sz w:val="22"/>
                <w:szCs w:val="24"/>
              </w:rPr>
              <w:t>0,6</w:t>
            </w:r>
          </w:p>
          <w:p w:rsidR="001C72F1" w:rsidRPr="00632861" w:rsidRDefault="001C72F1">
            <w:pPr>
              <w:spacing w:before="0" w:after="0" w:line="240" w:lineRule="auto"/>
              <w:ind w:firstLine="0"/>
              <w:jc w:val="right"/>
              <w:rPr>
                <w:rFonts w:cs="Times New Roman"/>
                <w:sz w:val="22"/>
              </w:rPr>
            </w:pPr>
            <w:r w:rsidRPr="00632861">
              <w:rPr>
                <w:rFonts w:cs="Times New Roman"/>
                <w:sz w:val="22"/>
                <w:szCs w:val="24"/>
              </w:rPr>
              <w:t>2,9</w:t>
            </w:r>
          </w:p>
        </w:tc>
      </w:tr>
      <w:tr w:rsidR="00D56CE5" w:rsidRPr="00D56CE5" w:rsidTr="00632861">
        <w:trPr>
          <w:jc w:val="center"/>
        </w:trPr>
        <w:tc>
          <w:tcPr>
            <w:tcW w:w="4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E8A" w:rsidRPr="00632861" w:rsidRDefault="00B55E8A" w:rsidP="00B67D57">
            <w:pPr>
              <w:spacing w:before="0" w:after="0" w:line="240" w:lineRule="auto"/>
              <w:ind w:firstLine="0"/>
              <w:rPr>
                <w:rFonts w:cs="Times New Roman"/>
                <w:sz w:val="24"/>
              </w:rPr>
            </w:pPr>
            <w:r w:rsidRPr="00632861">
              <w:rPr>
                <w:rFonts w:cs="Times New Roman"/>
                <w:sz w:val="24"/>
              </w:rPr>
              <w:t>KOPĀ:</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55E8A" w:rsidRPr="00632861" w:rsidRDefault="00B55E8A" w:rsidP="00B67D57">
            <w:pPr>
              <w:spacing w:before="0" w:after="0" w:line="240" w:lineRule="auto"/>
              <w:ind w:firstLine="0"/>
              <w:jc w:val="center"/>
              <w:rPr>
                <w:rFonts w:cs="Times New Roman"/>
                <w:sz w:val="24"/>
              </w:rPr>
            </w:pPr>
            <w:r w:rsidRPr="00632861">
              <w:rPr>
                <w:rFonts w:cs="Times New Roman"/>
                <w:sz w:val="24"/>
              </w:rPr>
              <w:t>12,</w:t>
            </w:r>
            <w:r w:rsidR="001C72F1" w:rsidRPr="00632861">
              <w:rPr>
                <w:rFonts w:cs="Times New Roman"/>
                <w:sz w:val="24"/>
              </w:rPr>
              <w:t>5</w:t>
            </w:r>
          </w:p>
        </w:tc>
        <w:tc>
          <w:tcPr>
            <w:tcW w:w="2318" w:type="dxa"/>
            <w:tcBorders>
              <w:top w:val="nil"/>
              <w:left w:val="nil"/>
              <w:bottom w:val="single" w:sz="8" w:space="0" w:color="auto"/>
              <w:right w:val="single" w:sz="8" w:space="0" w:color="auto"/>
            </w:tcBorders>
            <w:tcMar>
              <w:top w:w="0" w:type="dxa"/>
              <w:left w:w="108" w:type="dxa"/>
              <w:bottom w:w="0" w:type="dxa"/>
              <w:right w:w="108" w:type="dxa"/>
            </w:tcMar>
            <w:hideMark/>
          </w:tcPr>
          <w:p w:rsidR="00B55E8A" w:rsidRPr="00632861" w:rsidRDefault="00B55E8A" w:rsidP="00B67D57">
            <w:pPr>
              <w:spacing w:before="0" w:after="0" w:line="240" w:lineRule="auto"/>
              <w:ind w:firstLine="0"/>
              <w:jc w:val="center"/>
              <w:rPr>
                <w:rFonts w:cs="Times New Roman"/>
                <w:sz w:val="24"/>
              </w:rPr>
            </w:pPr>
            <w:r w:rsidRPr="00632861">
              <w:rPr>
                <w:rFonts w:cs="Times New Roman"/>
                <w:sz w:val="24"/>
              </w:rPr>
              <w:t>7,</w:t>
            </w:r>
            <w:r w:rsidR="001C72F1" w:rsidRPr="00632861">
              <w:rPr>
                <w:rFonts w:cs="Times New Roman"/>
                <w:sz w:val="24"/>
              </w:rPr>
              <w:t>2</w:t>
            </w:r>
          </w:p>
        </w:tc>
      </w:tr>
    </w:tbl>
    <w:p w:rsidR="00B55E8A" w:rsidRDefault="00B55E8A" w:rsidP="00632861">
      <w:pPr>
        <w:pStyle w:val="PlainText"/>
        <w:spacing w:after="120"/>
        <w:ind w:firstLine="0"/>
        <w:rPr>
          <w:rFonts w:ascii="Times New Roman" w:hAnsi="Times New Roman"/>
          <w:sz w:val="20"/>
          <w:szCs w:val="24"/>
        </w:rPr>
      </w:pPr>
      <w:r w:rsidRPr="00632861">
        <w:rPr>
          <w:rFonts w:ascii="Times New Roman" w:hAnsi="Times New Roman"/>
          <w:sz w:val="20"/>
          <w:szCs w:val="24"/>
        </w:rPr>
        <w:t>Avots: Ekonomikas ministrija</w:t>
      </w:r>
    </w:p>
    <w:p w:rsidR="00632861" w:rsidRPr="00632861" w:rsidRDefault="00632861" w:rsidP="00632861">
      <w:pPr>
        <w:pStyle w:val="PlainText"/>
        <w:spacing w:after="120"/>
        <w:ind w:firstLine="0"/>
        <w:rPr>
          <w:rFonts w:ascii="Times New Roman" w:hAnsi="Times New Roman"/>
          <w:sz w:val="20"/>
          <w:szCs w:val="24"/>
        </w:rPr>
      </w:pPr>
    </w:p>
    <w:p w:rsidR="002C29CA" w:rsidRPr="001F57E9" w:rsidRDefault="002C29CA" w:rsidP="00D965C2">
      <w:pPr>
        <w:pStyle w:val="Heading2"/>
        <w:numPr>
          <w:ilvl w:val="1"/>
          <w:numId w:val="23"/>
        </w:numPr>
        <w:spacing w:after="240"/>
        <w:rPr>
          <w:rFonts w:cs="Times New Roman"/>
        </w:rPr>
      </w:pPr>
      <w:bookmarkStart w:id="39" w:name="_Toc344901691"/>
      <w:bookmarkStart w:id="40" w:name="_Toc344901823"/>
      <w:bookmarkStart w:id="41" w:name="_Toc344907248"/>
      <w:r w:rsidRPr="001F57E9">
        <w:rPr>
          <w:rFonts w:cs="Times New Roman"/>
        </w:rPr>
        <w:t>OIK izmaksu ietekme uz patērētāju grupām</w:t>
      </w:r>
      <w:bookmarkEnd w:id="39"/>
      <w:bookmarkEnd w:id="40"/>
      <w:bookmarkEnd w:id="41"/>
      <w:r w:rsidRPr="001F57E9">
        <w:rPr>
          <w:rFonts w:cs="Times New Roman"/>
        </w:rPr>
        <w:t xml:space="preserve"> </w:t>
      </w:r>
    </w:p>
    <w:p w:rsidR="00712C7C" w:rsidRDefault="002C29CA" w:rsidP="006B68BF">
      <w:pPr>
        <w:pStyle w:val="PlainText"/>
        <w:spacing w:after="120"/>
        <w:ind w:firstLine="709"/>
        <w:rPr>
          <w:rFonts w:ascii="Times New Roman" w:hAnsi="Times New Roman"/>
          <w:szCs w:val="28"/>
        </w:rPr>
      </w:pPr>
      <w:r w:rsidRPr="00C67574">
        <w:rPr>
          <w:rFonts w:ascii="Times New Roman" w:hAnsi="Times New Roman"/>
          <w:szCs w:val="28"/>
        </w:rPr>
        <w:t>OIK veido būtisku izmaksu pozīciju elektroenerģijas galalietotājiem</w:t>
      </w:r>
      <w:r w:rsidR="00712C7C">
        <w:rPr>
          <w:rFonts w:ascii="Times New Roman" w:hAnsi="Times New Roman"/>
          <w:szCs w:val="28"/>
        </w:rPr>
        <w:t xml:space="preserve">, bet īpaši lielu ietekmi tieši uz </w:t>
      </w:r>
      <w:r w:rsidRPr="00C67574">
        <w:rPr>
          <w:rFonts w:ascii="Times New Roman" w:hAnsi="Times New Roman"/>
          <w:szCs w:val="28"/>
        </w:rPr>
        <w:t>liel</w:t>
      </w:r>
      <w:r w:rsidR="00712C7C">
        <w:rPr>
          <w:rFonts w:ascii="Times New Roman" w:hAnsi="Times New Roman"/>
          <w:szCs w:val="28"/>
        </w:rPr>
        <w:t xml:space="preserve">o industriālo ražotāju izmaksām būtiski ietekmējot šo ražotāju konkurētspēju. Analizējot dažādas industriālo patērētāju grupas atkarībā no patēriņa tika secināts, ka atkarībā no elektroenerģijas patēriņa grupas Latvijas ražotājs par elektroenerģiju maksā virs ES vidējās elektroenerģijas cenas. </w:t>
      </w:r>
      <w:r w:rsidR="00712C7C" w:rsidRPr="00712C7C">
        <w:rPr>
          <w:rFonts w:ascii="Times New Roman" w:hAnsi="Times New Roman"/>
          <w:szCs w:val="28"/>
        </w:rPr>
        <w:t xml:space="preserve">Atsevišķu lielo elektroenerģijas lietotāju elektroenerģijas cena var atšķirties atkarībā no noslēgtā līguma ar elektroenerģijas piegādātājiem un tirgotājiem. </w:t>
      </w:r>
    </w:p>
    <w:p w:rsidR="0092785B" w:rsidRPr="00C37F96" w:rsidRDefault="0080408A" w:rsidP="006B68BF">
      <w:pPr>
        <w:pStyle w:val="PlainText"/>
        <w:spacing w:after="120"/>
        <w:ind w:firstLine="709"/>
        <w:rPr>
          <w:rFonts w:ascii="Times New Roman" w:hAnsi="Times New Roman" w:cs="Times New Roman"/>
          <w:szCs w:val="28"/>
        </w:rPr>
      </w:pPr>
      <w:r>
        <w:rPr>
          <w:rFonts w:ascii="Times New Roman" w:hAnsi="Times New Roman"/>
          <w:szCs w:val="28"/>
        </w:rPr>
        <w:t xml:space="preserve">Saskaņā ar </w:t>
      </w:r>
      <w:r w:rsidRPr="0080408A">
        <w:rPr>
          <w:rFonts w:ascii="Times New Roman" w:hAnsi="Times New Roman"/>
          <w:i/>
          <w:szCs w:val="28"/>
        </w:rPr>
        <w:t>Eurostat</w:t>
      </w:r>
      <w:r>
        <w:rPr>
          <w:rFonts w:ascii="Times New Roman" w:hAnsi="Times New Roman"/>
          <w:szCs w:val="28"/>
        </w:rPr>
        <w:t xml:space="preserve"> datiem industriālajiem patērētājiem </w:t>
      </w:r>
      <w:r w:rsidR="00712C7C">
        <w:rPr>
          <w:rFonts w:ascii="Times New Roman" w:hAnsi="Times New Roman"/>
          <w:szCs w:val="28"/>
        </w:rPr>
        <w:t xml:space="preserve">ar kopējo patēriņu virs 150 GWh </w:t>
      </w:r>
      <w:r>
        <w:rPr>
          <w:rFonts w:ascii="Times New Roman" w:hAnsi="Times New Roman"/>
          <w:szCs w:val="28"/>
        </w:rPr>
        <w:t>kopējā elektroenerģijas cena ir aptuveni divas reizes atšķīrusies jau starp ES valstīm - 96,7 EUR/MWh Apvienotajā Karalistē un 50,3 EUR/MWh Bulgārijā</w:t>
      </w:r>
      <w:r w:rsidR="00C312AC">
        <w:rPr>
          <w:rFonts w:ascii="Times New Roman" w:hAnsi="Times New Roman"/>
          <w:szCs w:val="28"/>
        </w:rPr>
        <w:t xml:space="preserve"> (</w:t>
      </w:r>
      <w:proofErr w:type="spellStart"/>
      <w:r w:rsidR="00C312AC">
        <w:rPr>
          <w:rFonts w:ascii="Times New Roman" w:hAnsi="Times New Roman"/>
          <w:szCs w:val="28"/>
        </w:rPr>
        <w:t>skat</w:t>
      </w:r>
      <w:proofErr w:type="spellEnd"/>
      <w:r w:rsidR="00C312AC">
        <w:rPr>
          <w:rFonts w:ascii="Times New Roman" w:hAnsi="Times New Roman"/>
          <w:szCs w:val="28"/>
        </w:rPr>
        <w:t>. 13.attēlu)</w:t>
      </w:r>
      <w:r>
        <w:rPr>
          <w:rFonts w:ascii="Times New Roman" w:hAnsi="Times New Roman"/>
          <w:szCs w:val="28"/>
        </w:rPr>
        <w:t xml:space="preserve">. Saskaņā ar KPMG pētījumu </w:t>
      </w:r>
      <w:r w:rsidRPr="00C37F96">
        <w:rPr>
          <w:rFonts w:ascii="Times New Roman" w:hAnsi="Times New Roman" w:cs="Times New Roman"/>
          <w:szCs w:val="28"/>
        </w:rPr>
        <w:t>Latvijā ļoti liels industriālais patērētājs maksā 78 EUR/MWh, kas ir virs ES vidēj</w:t>
      </w:r>
      <w:r w:rsidR="00D00E97" w:rsidRPr="00C37F96">
        <w:rPr>
          <w:rFonts w:ascii="Times New Roman" w:hAnsi="Times New Roman" w:cs="Times New Roman"/>
          <w:szCs w:val="28"/>
        </w:rPr>
        <w:t>ā līmeņa</w:t>
      </w:r>
      <w:r w:rsidR="00C312AC">
        <w:rPr>
          <w:rFonts w:ascii="Times New Roman" w:hAnsi="Times New Roman" w:cs="Times New Roman"/>
          <w:szCs w:val="28"/>
        </w:rPr>
        <w:t>.</w:t>
      </w:r>
      <w:r w:rsidRPr="00C37F96">
        <w:rPr>
          <w:rFonts w:ascii="Times New Roman" w:hAnsi="Times New Roman" w:cs="Times New Roman"/>
          <w:szCs w:val="28"/>
        </w:rPr>
        <w:t xml:space="preserve"> </w:t>
      </w:r>
    </w:p>
    <w:p w:rsidR="0092785B" w:rsidRPr="00632861" w:rsidRDefault="00B57248" w:rsidP="00D00E97">
      <w:pPr>
        <w:pStyle w:val="PlainText"/>
        <w:ind w:firstLine="0"/>
        <w:jc w:val="center"/>
        <w:rPr>
          <w:rFonts w:ascii="Times New Roman" w:hAnsi="Times New Roman"/>
          <w:sz w:val="20"/>
          <w:szCs w:val="24"/>
        </w:rPr>
      </w:pPr>
      <w:r>
        <w:rPr>
          <w:rFonts w:ascii="Times New Roman" w:hAnsi="Times New Roman"/>
          <w:noProof/>
          <w:sz w:val="20"/>
          <w:szCs w:val="24"/>
          <w:lang w:eastAsia="lv-LV"/>
        </w:rPr>
        <w:drawing>
          <wp:inline distT="0" distB="0" distL="0" distR="0" wp14:anchorId="1C1D1135" wp14:editId="2229CD50">
            <wp:extent cx="3600450" cy="271849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8081" cy="2724253"/>
                    </a:xfrm>
                    <a:prstGeom prst="rect">
                      <a:avLst/>
                    </a:prstGeom>
                    <a:noFill/>
                  </pic:spPr>
                </pic:pic>
              </a:graphicData>
            </a:graphic>
          </wp:inline>
        </w:drawing>
      </w:r>
    </w:p>
    <w:p w:rsidR="0092785B" w:rsidRPr="00DE4A95" w:rsidRDefault="00DE4A95" w:rsidP="00DE4A95">
      <w:pPr>
        <w:ind w:firstLine="0"/>
        <w:rPr>
          <w:rFonts w:eastAsia="Calibri" w:cs="Times New Roman"/>
          <w:b/>
          <w:sz w:val="24"/>
          <w:szCs w:val="24"/>
        </w:rPr>
      </w:pPr>
      <w:r w:rsidRPr="00DE4A95">
        <w:rPr>
          <w:rFonts w:eastAsia="Calibri" w:cs="Times New Roman"/>
          <w:b/>
          <w:sz w:val="24"/>
          <w:szCs w:val="24"/>
        </w:rPr>
        <w:t>13</w:t>
      </w:r>
      <w:r w:rsidR="0092785B" w:rsidRPr="00DE4A95">
        <w:rPr>
          <w:rFonts w:eastAsia="Calibri" w:cs="Times New Roman"/>
          <w:b/>
          <w:sz w:val="24"/>
          <w:szCs w:val="24"/>
        </w:rPr>
        <w:t xml:space="preserve">.attēls. Elektroenerģijas kopējās cenas salīdzinājums valstu industriālajiem patērētājiem (ar patēriņu virs 150 GWh gadā) 2012. gada pirmais pusgads, bez PVN </w:t>
      </w:r>
    </w:p>
    <w:p w:rsidR="0092785B" w:rsidRDefault="0092785B" w:rsidP="00DE4A95">
      <w:pPr>
        <w:ind w:firstLine="0"/>
        <w:rPr>
          <w:sz w:val="20"/>
          <w:szCs w:val="20"/>
        </w:rPr>
      </w:pPr>
      <w:r w:rsidRPr="00FF3BA0">
        <w:rPr>
          <w:sz w:val="20"/>
          <w:szCs w:val="20"/>
        </w:rPr>
        <w:t>Avots: Eurostat</w:t>
      </w:r>
    </w:p>
    <w:p w:rsidR="002C29CA" w:rsidRPr="006B68BF" w:rsidRDefault="007A50DB" w:rsidP="006B68BF">
      <w:pPr>
        <w:pStyle w:val="PlainText"/>
        <w:spacing w:after="120"/>
        <w:ind w:firstLine="709"/>
        <w:rPr>
          <w:rFonts w:ascii="Times New Roman" w:hAnsi="Times New Roman"/>
          <w:szCs w:val="28"/>
        </w:rPr>
      </w:pPr>
      <w:r>
        <w:rPr>
          <w:rFonts w:ascii="Times New Roman" w:hAnsi="Times New Roman"/>
          <w:szCs w:val="28"/>
        </w:rPr>
        <w:lastRenderedPageBreak/>
        <w:t>E</w:t>
      </w:r>
      <w:r w:rsidR="002C29CA" w:rsidRPr="00C67574">
        <w:rPr>
          <w:rFonts w:ascii="Times New Roman" w:hAnsi="Times New Roman"/>
          <w:szCs w:val="28"/>
        </w:rPr>
        <w:t xml:space="preserve">lektroenerģijas cenas </w:t>
      </w:r>
      <w:r>
        <w:rPr>
          <w:rFonts w:ascii="Times New Roman" w:hAnsi="Times New Roman"/>
          <w:szCs w:val="28"/>
        </w:rPr>
        <w:t xml:space="preserve">Latvijā </w:t>
      </w:r>
      <w:r w:rsidR="002C29CA" w:rsidRPr="00C67574">
        <w:rPr>
          <w:rFonts w:ascii="Times New Roman" w:hAnsi="Times New Roman"/>
          <w:szCs w:val="28"/>
        </w:rPr>
        <w:t>lieliem industriāliem patērētājiem</w:t>
      </w:r>
      <w:r w:rsidR="002C29CA">
        <w:rPr>
          <w:rFonts w:ascii="Times New Roman" w:hAnsi="Times New Roman"/>
          <w:szCs w:val="28"/>
        </w:rPr>
        <w:t xml:space="preserve">, kas patērē no 70 GWh līdz 150 GWh gadā, </w:t>
      </w:r>
      <w:r>
        <w:rPr>
          <w:rFonts w:ascii="Times New Roman" w:hAnsi="Times New Roman"/>
          <w:szCs w:val="28"/>
        </w:rPr>
        <w:t xml:space="preserve">ir </w:t>
      </w:r>
      <w:r w:rsidR="002C29CA">
        <w:rPr>
          <w:rFonts w:ascii="Times New Roman" w:hAnsi="Times New Roman"/>
          <w:szCs w:val="28"/>
        </w:rPr>
        <w:t xml:space="preserve">nedaudz </w:t>
      </w:r>
      <w:r>
        <w:rPr>
          <w:rFonts w:ascii="Times New Roman" w:hAnsi="Times New Roman"/>
          <w:szCs w:val="28"/>
        </w:rPr>
        <w:t xml:space="preserve">augstākas </w:t>
      </w:r>
      <w:r w:rsidR="002C29CA" w:rsidRPr="00C67574">
        <w:rPr>
          <w:rFonts w:ascii="Times New Roman" w:hAnsi="Times New Roman"/>
          <w:szCs w:val="28"/>
        </w:rPr>
        <w:t xml:space="preserve">nekā </w:t>
      </w:r>
      <w:r w:rsidR="002C29CA">
        <w:rPr>
          <w:rFonts w:ascii="Times New Roman" w:hAnsi="Times New Roman"/>
          <w:szCs w:val="28"/>
        </w:rPr>
        <w:t xml:space="preserve">vidēji </w:t>
      </w:r>
      <w:r w:rsidR="002C29CA" w:rsidRPr="00C67574">
        <w:rPr>
          <w:rFonts w:ascii="Times New Roman" w:hAnsi="Times New Roman"/>
          <w:szCs w:val="28"/>
        </w:rPr>
        <w:t>citās E</w:t>
      </w:r>
      <w:r w:rsidR="00942112">
        <w:rPr>
          <w:rFonts w:ascii="Times New Roman" w:hAnsi="Times New Roman"/>
          <w:szCs w:val="28"/>
        </w:rPr>
        <w:t>iropas</w:t>
      </w:r>
      <w:r w:rsidR="002C29CA" w:rsidRPr="00C67574">
        <w:rPr>
          <w:rFonts w:ascii="Times New Roman" w:hAnsi="Times New Roman"/>
          <w:szCs w:val="28"/>
        </w:rPr>
        <w:t xml:space="preserve"> valstīs</w:t>
      </w:r>
      <w:r>
        <w:rPr>
          <w:rFonts w:ascii="Times New Roman" w:hAnsi="Times New Roman"/>
          <w:szCs w:val="28"/>
        </w:rPr>
        <w:t xml:space="preserve"> </w:t>
      </w:r>
      <w:r w:rsidR="00C37F96">
        <w:rPr>
          <w:rFonts w:eastAsia="Calibri" w:cs="Times New Roman"/>
          <w:szCs w:val="28"/>
        </w:rPr>
        <w:t>(</w:t>
      </w:r>
      <w:r w:rsidR="00C37F96" w:rsidRPr="00A6432D">
        <w:rPr>
          <w:rFonts w:eastAsia="Calibri" w:cs="Times New Roman"/>
          <w:i/>
          <w:szCs w:val="28"/>
        </w:rPr>
        <w:t>skat.</w:t>
      </w:r>
      <w:r w:rsidR="00C37F96">
        <w:rPr>
          <w:rFonts w:eastAsia="Calibri" w:cs="Times New Roman"/>
          <w:i/>
          <w:szCs w:val="28"/>
        </w:rPr>
        <w:t>14</w:t>
      </w:r>
      <w:r w:rsidR="00C37F96" w:rsidRPr="00A6432D">
        <w:rPr>
          <w:rFonts w:eastAsia="Calibri" w:cs="Times New Roman"/>
          <w:i/>
          <w:szCs w:val="28"/>
        </w:rPr>
        <w:t>.attēlu</w:t>
      </w:r>
      <w:r w:rsidR="00C37F96">
        <w:rPr>
          <w:rFonts w:eastAsia="Calibri" w:cs="Times New Roman"/>
          <w:szCs w:val="28"/>
        </w:rPr>
        <w:t>)</w:t>
      </w:r>
      <w:r w:rsidR="002C29CA" w:rsidRPr="00C67574">
        <w:rPr>
          <w:rFonts w:ascii="Times New Roman" w:hAnsi="Times New Roman"/>
          <w:szCs w:val="28"/>
        </w:rPr>
        <w:t>.</w:t>
      </w:r>
    </w:p>
    <w:p w:rsidR="002C29CA" w:rsidRDefault="003B2B91" w:rsidP="00632861">
      <w:pPr>
        <w:pStyle w:val="PlainText"/>
        <w:spacing w:after="120"/>
        <w:ind w:firstLine="0"/>
        <w:jc w:val="center"/>
        <w:rPr>
          <w:rFonts w:ascii="Times New Roman" w:hAnsi="Times New Roman"/>
          <w:sz w:val="20"/>
          <w:szCs w:val="20"/>
        </w:rPr>
      </w:pPr>
      <w:r>
        <w:rPr>
          <w:rFonts w:ascii="Times New Roman" w:hAnsi="Times New Roman"/>
          <w:noProof/>
          <w:sz w:val="20"/>
          <w:szCs w:val="20"/>
          <w:lang w:eastAsia="lv-LV"/>
        </w:rPr>
        <w:drawing>
          <wp:inline distT="0" distB="0" distL="0" distR="0" wp14:anchorId="38B62C3D" wp14:editId="3FCBE026">
            <wp:extent cx="5000625" cy="2992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3837" cy="3000514"/>
                    </a:xfrm>
                    <a:prstGeom prst="rect">
                      <a:avLst/>
                    </a:prstGeom>
                    <a:noFill/>
                  </pic:spPr>
                </pic:pic>
              </a:graphicData>
            </a:graphic>
          </wp:inline>
        </w:drawing>
      </w:r>
    </w:p>
    <w:p w:rsidR="002C29CA" w:rsidRPr="00632861" w:rsidRDefault="00C37F96" w:rsidP="00632861">
      <w:pPr>
        <w:pStyle w:val="PlainText"/>
        <w:ind w:firstLine="0"/>
        <w:rPr>
          <w:rFonts w:ascii="Times New Roman" w:hAnsi="Times New Roman"/>
          <w:b/>
          <w:sz w:val="24"/>
          <w:szCs w:val="24"/>
        </w:rPr>
      </w:pPr>
      <w:r>
        <w:rPr>
          <w:rFonts w:ascii="Times New Roman" w:hAnsi="Times New Roman"/>
          <w:b/>
          <w:sz w:val="24"/>
          <w:szCs w:val="24"/>
        </w:rPr>
        <w:t>14</w:t>
      </w:r>
      <w:r w:rsidR="002C29CA" w:rsidRPr="00632861">
        <w:rPr>
          <w:rFonts w:ascii="Times New Roman" w:hAnsi="Times New Roman"/>
          <w:b/>
          <w:sz w:val="24"/>
          <w:szCs w:val="24"/>
        </w:rPr>
        <w:t>.attēls. Elektroenerģijas kopējās cenas salīdzinājums valstu lielākajiem industriālajiem patērētājiem (ar patēriņu 70-150 GWh gadā) 2012.</w:t>
      </w:r>
      <w:r w:rsidR="008A259F">
        <w:rPr>
          <w:rFonts w:ascii="Times New Roman" w:hAnsi="Times New Roman"/>
          <w:b/>
          <w:sz w:val="24"/>
          <w:szCs w:val="24"/>
        </w:rPr>
        <w:t> </w:t>
      </w:r>
      <w:r w:rsidR="002C29CA" w:rsidRPr="00632861">
        <w:rPr>
          <w:rFonts w:ascii="Times New Roman" w:hAnsi="Times New Roman"/>
          <w:b/>
          <w:sz w:val="24"/>
          <w:szCs w:val="24"/>
        </w:rPr>
        <w:t xml:space="preserve">gada pirmais pusgads, bez PVN </w:t>
      </w:r>
    </w:p>
    <w:p w:rsidR="002C29CA" w:rsidRDefault="002C29CA" w:rsidP="00632861">
      <w:pPr>
        <w:pStyle w:val="PlainText"/>
        <w:ind w:firstLine="0"/>
        <w:rPr>
          <w:rFonts w:ascii="Times New Roman" w:hAnsi="Times New Roman"/>
          <w:sz w:val="20"/>
          <w:szCs w:val="24"/>
        </w:rPr>
      </w:pPr>
      <w:r w:rsidRPr="00632861">
        <w:rPr>
          <w:rFonts w:ascii="Times New Roman" w:hAnsi="Times New Roman"/>
          <w:sz w:val="20"/>
          <w:szCs w:val="24"/>
        </w:rPr>
        <w:t>Avots: Eurostat</w:t>
      </w:r>
    </w:p>
    <w:p w:rsidR="00C37F96" w:rsidRDefault="00C37F96" w:rsidP="00632861">
      <w:pPr>
        <w:pStyle w:val="PlainText"/>
        <w:ind w:firstLine="0"/>
        <w:rPr>
          <w:rFonts w:ascii="Times New Roman" w:hAnsi="Times New Roman"/>
          <w:sz w:val="20"/>
          <w:szCs w:val="24"/>
        </w:rPr>
      </w:pPr>
    </w:p>
    <w:p w:rsidR="002C29CA" w:rsidRDefault="002C29CA" w:rsidP="008418DA">
      <w:r>
        <w:t>Analizējot industriālo patērētāju grupu ar patēriņu starp 20 GWh un 70 GWh, secināms, ka Latvijas ražotāj</w:t>
      </w:r>
      <w:r w:rsidR="002C5CA0">
        <w:t xml:space="preserve">u izmaksām par elektroenerģiju ir lielāks īpatsvars </w:t>
      </w:r>
      <w:r>
        <w:t>kā grupā ar patēriņu no 70 GWh līdz 150 GWh</w:t>
      </w:r>
      <w:r w:rsidR="00C37F96">
        <w:t xml:space="preserve"> </w:t>
      </w:r>
      <w:r w:rsidR="00C37F96">
        <w:rPr>
          <w:rFonts w:eastAsia="Calibri" w:cs="Times New Roman"/>
          <w:szCs w:val="28"/>
        </w:rPr>
        <w:t>(</w:t>
      </w:r>
      <w:r w:rsidR="00C37F96" w:rsidRPr="00A6432D">
        <w:rPr>
          <w:rFonts w:eastAsia="Calibri" w:cs="Times New Roman"/>
          <w:i/>
          <w:szCs w:val="28"/>
        </w:rPr>
        <w:t>skat.</w:t>
      </w:r>
      <w:r w:rsidR="00C37F96">
        <w:rPr>
          <w:rFonts w:eastAsia="Calibri" w:cs="Times New Roman"/>
          <w:i/>
          <w:szCs w:val="28"/>
        </w:rPr>
        <w:t>15</w:t>
      </w:r>
      <w:r w:rsidR="00C37F96" w:rsidRPr="00A6432D">
        <w:rPr>
          <w:rFonts w:eastAsia="Calibri" w:cs="Times New Roman"/>
          <w:i/>
          <w:szCs w:val="28"/>
        </w:rPr>
        <w:t>.attēlu</w:t>
      </w:r>
      <w:r w:rsidR="00C37F96">
        <w:rPr>
          <w:rFonts w:eastAsia="Calibri" w:cs="Times New Roman"/>
          <w:szCs w:val="28"/>
        </w:rPr>
        <w:t>)</w:t>
      </w:r>
      <w:r>
        <w:t xml:space="preserve">. </w:t>
      </w:r>
    </w:p>
    <w:p w:rsidR="002C29CA" w:rsidRDefault="003B2B91" w:rsidP="00FE125B">
      <w:pPr>
        <w:pStyle w:val="PlainText"/>
        <w:spacing w:after="120"/>
        <w:ind w:firstLine="0"/>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0B62F04B" wp14:editId="6DA92298">
            <wp:extent cx="4486275" cy="2833309"/>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8041" cy="2834424"/>
                    </a:xfrm>
                    <a:prstGeom prst="rect">
                      <a:avLst/>
                    </a:prstGeom>
                    <a:noFill/>
                  </pic:spPr>
                </pic:pic>
              </a:graphicData>
            </a:graphic>
          </wp:inline>
        </w:drawing>
      </w:r>
    </w:p>
    <w:p w:rsidR="002C29CA" w:rsidRPr="00427EFB" w:rsidRDefault="00C37F96" w:rsidP="00632861">
      <w:pPr>
        <w:pStyle w:val="PlainText"/>
        <w:ind w:firstLine="0"/>
        <w:rPr>
          <w:rFonts w:ascii="Times New Roman" w:hAnsi="Times New Roman"/>
          <w:b/>
          <w:sz w:val="24"/>
          <w:szCs w:val="24"/>
        </w:rPr>
      </w:pPr>
      <w:r>
        <w:rPr>
          <w:rFonts w:ascii="Times New Roman" w:hAnsi="Times New Roman"/>
          <w:b/>
          <w:sz w:val="24"/>
          <w:szCs w:val="24"/>
        </w:rPr>
        <w:t>15.</w:t>
      </w:r>
      <w:r w:rsidR="002C29CA" w:rsidRPr="00427EFB">
        <w:rPr>
          <w:rFonts w:ascii="Times New Roman" w:hAnsi="Times New Roman"/>
          <w:b/>
          <w:sz w:val="24"/>
          <w:szCs w:val="24"/>
        </w:rPr>
        <w:t>attēls. Elektroenerģijas kopējās cenas salīdzinājums valstu industriālajiem patērētājiem (ar patēriņu 20-70 GWh gadā) 2012.</w:t>
      </w:r>
      <w:r w:rsidR="008A259F">
        <w:rPr>
          <w:rFonts w:ascii="Times New Roman" w:hAnsi="Times New Roman"/>
          <w:b/>
          <w:sz w:val="24"/>
          <w:szCs w:val="24"/>
        </w:rPr>
        <w:t> </w:t>
      </w:r>
      <w:r w:rsidR="002C29CA" w:rsidRPr="00427EFB">
        <w:rPr>
          <w:rFonts w:ascii="Times New Roman" w:hAnsi="Times New Roman"/>
          <w:b/>
          <w:sz w:val="24"/>
          <w:szCs w:val="24"/>
        </w:rPr>
        <w:t xml:space="preserve">gada pirmais pusgads, bez PVN </w:t>
      </w:r>
    </w:p>
    <w:p w:rsidR="002C29CA" w:rsidRDefault="002C29CA" w:rsidP="00632861">
      <w:pPr>
        <w:pStyle w:val="PlainText"/>
        <w:ind w:firstLine="0"/>
        <w:rPr>
          <w:rFonts w:ascii="Times New Roman" w:hAnsi="Times New Roman"/>
          <w:sz w:val="20"/>
          <w:szCs w:val="24"/>
        </w:rPr>
      </w:pPr>
      <w:r w:rsidRPr="00427EFB">
        <w:rPr>
          <w:rFonts w:ascii="Times New Roman" w:hAnsi="Times New Roman"/>
          <w:sz w:val="20"/>
          <w:szCs w:val="24"/>
        </w:rPr>
        <w:t>Avots: Eurostat</w:t>
      </w:r>
    </w:p>
    <w:p w:rsidR="00712C7C" w:rsidRDefault="00712C7C" w:rsidP="00C37F96">
      <w:pPr>
        <w:pStyle w:val="PlainText"/>
        <w:spacing w:after="120"/>
        <w:ind w:firstLine="709"/>
        <w:rPr>
          <w:rFonts w:ascii="Times New Roman" w:hAnsi="Times New Roman"/>
          <w:szCs w:val="22"/>
        </w:rPr>
      </w:pPr>
      <w:r w:rsidRPr="00712C7C">
        <w:rPr>
          <w:rFonts w:ascii="Times New Roman" w:hAnsi="Times New Roman"/>
          <w:szCs w:val="22"/>
        </w:rPr>
        <w:lastRenderedPageBreak/>
        <w:t>Vērtējot cenu pieaugumu, it īpaši OIK izmaksu pieauguma rezultātā, pastāv risks, ka tas tuvākos gados augs straujāk nekā citās ES valstīs, padarot rūpniecību nekonkurētspējīgu.</w:t>
      </w:r>
      <w:r w:rsidR="006C22E9">
        <w:rPr>
          <w:rFonts w:ascii="Times New Roman" w:hAnsi="Times New Roman"/>
          <w:szCs w:val="22"/>
        </w:rPr>
        <w:t xml:space="preserve"> Dārgāki kļūs gan saražotie produkti, gan sniegtie pakalpojumi, kas varētu</w:t>
      </w:r>
      <w:r w:rsidR="0002689F">
        <w:rPr>
          <w:rFonts w:ascii="Times New Roman" w:hAnsi="Times New Roman"/>
          <w:szCs w:val="22"/>
        </w:rPr>
        <w:t xml:space="preserve"> </w:t>
      </w:r>
      <w:r w:rsidR="006C22E9">
        <w:rPr>
          <w:rFonts w:ascii="Times New Roman" w:hAnsi="Times New Roman"/>
          <w:szCs w:val="22"/>
        </w:rPr>
        <w:t>atstāt iete</w:t>
      </w:r>
      <w:r w:rsidR="00C37F96">
        <w:rPr>
          <w:rFonts w:ascii="Times New Roman" w:hAnsi="Times New Roman"/>
          <w:szCs w:val="22"/>
        </w:rPr>
        <w:t>kmi uz tautsaimniecību kopumā.</w:t>
      </w:r>
    </w:p>
    <w:p w:rsidR="006C22E9" w:rsidRDefault="007A50DB" w:rsidP="00C37F96">
      <w:pPr>
        <w:pStyle w:val="PlainText"/>
        <w:ind w:firstLine="709"/>
        <w:rPr>
          <w:rFonts w:ascii="Times New Roman" w:hAnsi="Times New Roman"/>
          <w:szCs w:val="22"/>
        </w:rPr>
      </w:pPr>
      <w:r>
        <w:rPr>
          <w:rFonts w:ascii="Times New Roman" w:hAnsi="Times New Roman"/>
          <w:szCs w:val="22"/>
        </w:rPr>
        <w:t xml:space="preserve">Savukārt mājsaimniecības </w:t>
      </w:r>
      <w:r w:rsidR="00A97F27">
        <w:rPr>
          <w:rFonts w:ascii="Times New Roman" w:hAnsi="Times New Roman"/>
          <w:szCs w:val="22"/>
        </w:rPr>
        <w:t xml:space="preserve">atšķirībā no industriālajiem ražotājiem </w:t>
      </w:r>
      <w:r>
        <w:rPr>
          <w:rFonts w:ascii="Times New Roman" w:hAnsi="Times New Roman"/>
          <w:szCs w:val="22"/>
        </w:rPr>
        <w:t>par elektroenerģiju maksā zemāku cenu nekā vidēj</w:t>
      </w:r>
      <w:r w:rsidR="00A97F27">
        <w:rPr>
          <w:rFonts w:ascii="Times New Roman" w:hAnsi="Times New Roman"/>
          <w:szCs w:val="22"/>
        </w:rPr>
        <w:t>i</w:t>
      </w:r>
      <w:r>
        <w:rPr>
          <w:rFonts w:ascii="Times New Roman" w:hAnsi="Times New Roman"/>
          <w:szCs w:val="22"/>
        </w:rPr>
        <w:t xml:space="preserve"> </w:t>
      </w:r>
      <w:r w:rsidRPr="00C37F96">
        <w:rPr>
          <w:rFonts w:ascii="Times New Roman" w:hAnsi="Times New Roman" w:cs="Times New Roman"/>
          <w:szCs w:val="22"/>
        </w:rPr>
        <w:t xml:space="preserve">ES </w:t>
      </w:r>
      <w:r w:rsidR="00C37F96" w:rsidRPr="00C37F96">
        <w:rPr>
          <w:rFonts w:ascii="Times New Roman" w:eastAsia="Calibri" w:hAnsi="Times New Roman" w:cs="Times New Roman"/>
          <w:szCs w:val="28"/>
        </w:rPr>
        <w:t>(</w:t>
      </w:r>
      <w:r w:rsidR="00C37F96" w:rsidRPr="00C37F96">
        <w:rPr>
          <w:rFonts w:ascii="Times New Roman" w:eastAsia="Calibri" w:hAnsi="Times New Roman" w:cs="Times New Roman"/>
          <w:i/>
          <w:szCs w:val="28"/>
        </w:rPr>
        <w:t>skat.16.attēlu</w:t>
      </w:r>
      <w:r w:rsidR="00C37F96" w:rsidRPr="00C37F96">
        <w:rPr>
          <w:rFonts w:ascii="Times New Roman" w:eastAsia="Calibri" w:hAnsi="Times New Roman" w:cs="Times New Roman"/>
          <w:szCs w:val="28"/>
        </w:rPr>
        <w:t>)</w:t>
      </w:r>
      <w:r w:rsidRPr="00C37F96">
        <w:rPr>
          <w:rFonts w:ascii="Times New Roman" w:hAnsi="Times New Roman" w:cs="Times New Roman"/>
          <w:szCs w:val="22"/>
        </w:rPr>
        <w:t>. Latvijā mājsaimniecībām aizvien ir tiesības iegādāties elektroenerģiju par regulētu</w:t>
      </w:r>
      <w:r>
        <w:rPr>
          <w:rFonts w:ascii="Times New Roman" w:hAnsi="Times New Roman"/>
          <w:szCs w:val="22"/>
        </w:rPr>
        <w:t xml:space="preserve"> cenu. </w:t>
      </w:r>
      <w:r w:rsidR="0066233C">
        <w:rPr>
          <w:rFonts w:ascii="Times New Roman" w:hAnsi="Times New Roman"/>
          <w:szCs w:val="22"/>
        </w:rPr>
        <w:t>Ir noteikts Starta tarifs - 0,0818 Ls/kWh (ieskaitot PVN) un Pamata tarifs – 0,1065</w:t>
      </w:r>
      <w:r w:rsidR="0066233C" w:rsidRPr="0066233C">
        <w:t xml:space="preserve"> </w:t>
      </w:r>
      <w:r w:rsidR="0066233C" w:rsidRPr="0066233C">
        <w:rPr>
          <w:rFonts w:ascii="Times New Roman" w:hAnsi="Times New Roman"/>
          <w:szCs w:val="22"/>
        </w:rPr>
        <w:t>Ls/kWh (ieskaitot PVN)</w:t>
      </w:r>
      <w:r w:rsidR="0066233C">
        <w:rPr>
          <w:rFonts w:ascii="Times New Roman" w:hAnsi="Times New Roman"/>
          <w:szCs w:val="22"/>
        </w:rPr>
        <w:t xml:space="preserve">. </w:t>
      </w:r>
      <w:r w:rsidR="0066233C" w:rsidRPr="0066233C">
        <w:rPr>
          <w:rFonts w:ascii="Times New Roman" w:hAnsi="Times New Roman"/>
          <w:szCs w:val="22"/>
        </w:rPr>
        <w:t>S</w:t>
      </w:r>
      <w:r w:rsidR="0066233C">
        <w:rPr>
          <w:rFonts w:ascii="Times New Roman" w:hAnsi="Times New Roman"/>
          <w:szCs w:val="22"/>
        </w:rPr>
        <w:t xml:space="preserve">tarta </w:t>
      </w:r>
      <w:r w:rsidR="0066233C" w:rsidRPr="0066233C">
        <w:rPr>
          <w:rFonts w:ascii="Times New Roman" w:hAnsi="Times New Roman"/>
          <w:szCs w:val="22"/>
        </w:rPr>
        <w:t xml:space="preserve">tarifs tiek piemērots objekta patēriņam no 0-1200 kWh 12 mēnešu periodā no 1. aprīļa līdz nākamā gada 31. </w:t>
      </w:r>
      <w:r w:rsidR="006C22E9">
        <w:rPr>
          <w:rFonts w:ascii="Times New Roman" w:hAnsi="Times New Roman"/>
          <w:szCs w:val="22"/>
        </w:rPr>
        <w:t>m</w:t>
      </w:r>
      <w:r w:rsidR="0066233C" w:rsidRPr="0066233C">
        <w:rPr>
          <w:rFonts w:ascii="Times New Roman" w:hAnsi="Times New Roman"/>
          <w:szCs w:val="22"/>
        </w:rPr>
        <w:t>artam</w:t>
      </w:r>
      <w:r w:rsidR="0066233C">
        <w:rPr>
          <w:rFonts w:ascii="Times New Roman" w:hAnsi="Times New Roman"/>
          <w:szCs w:val="22"/>
        </w:rPr>
        <w:t xml:space="preserve"> neatkarīgi no lietotāja </w:t>
      </w:r>
      <w:r w:rsidR="006C22E9">
        <w:rPr>
          <w:rFonts w:ascii="Times New Roman" w:hAnsi="Times New Roman"/>
          <w:szCs w:val="22"/>
        </w:rPr>
        <w:t xml:space="preserve">ienākuma līmeņa. </w:t>
      </w:r>
    </w:p>
    <w:p w:rsidR="00BC06B8" w:rsidRDefault="00BC06B8" w:rsidP="00BC06B8">
      <w:pPr>
        <w:pStyle w:val="PlainText"/>
        <w:spacing w:after="120"/>
        <w:ind w:firstLine="0"/>
        <w:jc w:val="center"/>
        <w:rPr>
          <w:rFonts w:ascii="Times New Roman" w:hAnsi="Times New Roman"/>
          <w:szCs w:val="28"/>
        </w:rPr>
      </w:pPr>
      <w:r>
        <w:rPr>
          <w:rFonts w:ascii="Times New Roman" w:hAnsi="Times New Roman"/>
          <w:noProof/>
          <w:szCs w:val="28"/>
          <w:lang w:eastAsia="lv-LV"/>
        </w:rPr>
        <w:drawing>
          <wp:inline distT="0" distB="0" distL="0" distR="0" wp14:anchorId="0CA107A6" wp14:editId="18AF2A79">
            <wp:extent cx="4692876" cy="2828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6381" cy="2837066"/>
                    </a:xfrm>
                    <a:prstGeom prst="rect">
                      <a:avLst/>
                    </a:prstGeom>
                    <a:noFill/>
                  </pic:spPr>
                </pic:pic>
              </a:graphicData>
            </a:graphic>
          </wp:inline>
        </w:drawing>
      </w:r>
      <w:r>
        <w:rPr>
          <w:rFonts w:ascii="Times New Roman" w:hAnsi="Times New Roman"/>
          <w:noProof/>
          <w:szCs w:val="28"/>
          <w:lang w:eastAsia="lv-LV"/>
        </w:rPr>
        <w:drawing>
          <wp:inline distT="0" distB="0" distL="0" distR="0" wp14:anchorId="12FD1C28" wp14:editId="132DE6DA">
            <wp:extent cx="4924448" cy="2800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39819" cy="2809091"/>
                    </a:xfrm>
                    <a:prstGeom prst="rect">
                      <a:avLst/>
                    </a:prstGeom>
                    <a:noFill/>
                  </pic:spPr>
                </pic:pic>
              </a:graphicData>
            </a:graphic>
          </wp:inline>
        </w:drawing>
      </w:r>
    </w:p>
    <w:p w:rsidR="00BC06B8" w:rsidRPr="00427EFB" w:rsidRDefault="00BC06B8" w:rsidP="00BC06B8">
      <w:pPr>
        <w:pStyle w:val="PlainText"/>
        <w:ind w:firstLine="0"/>
        <w:rPr>
          <w:rFonts w:ascii="Times New Roman" w:hAnsi="Times New Roman"/>
          <w:b/>
          <w:sz w:val="24"/>
          <w:szCs w:val="24"/>
        </w:rPr>
      </w:pPr>
      <w:r w:rsidRPr="00427EFB">
        <w:rPr>
          <w:rFonts w:ascii="Times New Roman" w:hAnsi="Times New Roman"/>
          <w:b/>
          <w:sz w:val="24"/>
          <w:szCs w:val="24"/>
        </w:rPr>
        <w:t>1</w:t>
      </w:r>
      <w:r>
        <w:rPr>
          <w:rFonts w:ascii="Times New Roman" w:hAnsi="Times New Roman"/>
          <w:b/>
          <w:sz w:val="24"/>
          <w:szCs w:val="24"/>
        </w:rPr>
        <w:t>6</w:t>
      </w:r>
      <w:r w:rsidRPr="00427EFB">
        <w:rPr>
          <w:rFonts w:ascii="Times New Roman" w:hAnsi="Times New Roman"/>
          <w:b/>
          <w:sz w:val="24"/>
          <w:szCs w:val="24"/>
        </w:rPr>
        <w:t xml:space="preserve">.attēls. Elektroenerģijas kopējās cenas salīdzinājums </w:t>
      </w:r>
      <w:r>
        <w:rPr>
          <w:rFonts w:ascii="Times New Roman" w:hAnsi="Times New Roman"/>
          <w:b/>
          <w:sz w:val="24"/>
          <w:szCs w:val="24"/>
        </w:rPr>
        <w:t>mājsaimniecībām</w:t>
      </w:r>
      <w:r w:rsidRPr="00427EFB">
        <w:rPr>
          <w:rFonts w:ascii="Times New Roman" w:hAnsi="Times New Roman"/>
          <w:b/>
          <w:sz w:val="24"/>
          <w:szCs w:val="24"/>
        </w:rPr>
        <w:t xml:space="preserve"> (ar</w:t>
      </w:r>
      <w:r>
        <w:rPr>
          <w:rFonts w:ascii="Times New Roman" w:hAnsi="Times New Roman"/>
          <w:b/>
          <w:sz w:val="24"/>
          <w:szCs w:val="24"/>
        </w:rPr>
        <w:t xml:space="preserve"> patēriņu 1-2,5 MWh gadā) 2012. </w:t>
      </w:r>
      <w:r w:rsidRPr="00427EFB">
        <w:rPr>
          <w:rFonts w:ascii="Times New Roman" w:hAnsi="Times New Roman"/>
          <w:b/>
          <w:sz w:val="24"/>
          <w:szCs w:val="24"/>
        </w:rPr>
        <w:t>gada pirmais pusgads</w:t>
      </w:r>
    </w:p>
    <w:p w:rsidR="00BC06B8" w:rsidRPr="00427EFB" w:rsidRDefault="00BC06B8" w:rsidP="00BC06B8">
      <w:pPr>
        <w:pStyle w:val="PlainText"/>
        <w:ind w:firstLine="0"/>
        <w:rPr>
          <w:rFonts w:ascii="Times New Roman" w:hAnsi="Times New Roman"/>
          <w:sz w:val="20"/>
          <w:szCs w:val="24"/>
        </w:rPr>
      </w:pPr>
      <w:r w:rsidRPr="00427EFB">
        <w:rPr>
          <w:rFonts w:ascii="Times New Roman" w:hAnsi="Times New Roman"/>
          <w:sz w:val="20"/>
          <w:szCs w:val="24"/>
        </w:rPr>
        <w:t>Avots: Eurostat</w:t>
      </w:r>
    </w:p>
    <w:p w:rsidR="007A50DB" w:rsidRDefault="006C22E9" w:rsidP="00C37F96">
      <w:pPr>
        <w:pStyle w:val="PlainText"/>
        <w:ind w:firstLine="709"/>
        <w:rPr>
          <w:rFonts w:ascii="Times New Roman" w:hAnsi="Times New Roman"/>
          <w:szCs w:val="22"/>
        </w:rPr>
      </w:pPr>
      <w:r>
        <w:rPr>
          <w:rFonts w:ascii="Times New Roman" w:hAnsi="Times New Roman"/>
          <w:szCs w:val="22"/>
        </w:rPr>
        <w:lastRenderedPageBreak/>
        <w:t xml:space="preserve">Mājsaimniecībām elektroenerģijas kopējo cenu ir ietekmējušas PVN izmaiņas. </w:t>
      </w:r>
      <w:r w:rsidRPr="006C22E9">
        <w:rPr>
          <w:rFonts w:ascii="Times New Roman" w:hAnsi="Times New Roman"/>
          <w:szCs w:val="22"/>
        </w:rPr>
        <w:t>Ar grozījumiem Pievienotās vērtības nodokļa likumā mājsaimniecībās patērētajai elektroenerģijai no 2011.</w:t>
      </w:r>
      <w:r w:rsidR="00B57248">
        <w:rPr>
          <w:rFonts w:ascii="Times New Roman" w:hAnsi="Times New Roman"/>
          <w:szCs w:val="22"/>
        </w:rPr>
        <w:t> </w:t>
      </w:r>
      <w:r w:rsidRPr="006C22E9">
        <w:rPr>
          <w:rFonts w:ascii="Times New Roman" w:hAnsi="Times New Roman"/>
          <w:szCs w:val="22"/>
        </w:rPr>
        <w:t>gada 1.</w:t>
      </w:r>
      <w:r w:rsidR="00B57248">
        <w:rPr>
          <w:rFonts w:ascii="Times New Roman" w:hAnsi="Times New Roman"/>
          <w:szCs w:val="22"/>
        </w:rPr>
        <w:t> </w:t>
      </w:r>
      <w:r w:rsidRPr="006C22E9">
        <w:rPr>
          <w:rFonts w:ascii="Times New Roman" w:hAnsi="Times New Roman"/>
          <w:szCs w:val="22"/>
        </w:rPr>
        <w:t>janvāra tika atcelta samazinātā PVN likme un attiecīgi elektrībai tā palielinājās no 10% līdz 22 %. Savukārt 2012.</w:t>
      </w:r>
      <w:r w:rsidR="00B57248">
        <w:rPr>
          <w:rFonts w:ascii="Times New Roman" w:hAnsi="Times New Roman"/>
          <w:szCs w:val="22"/>
        </w:rPr>
        <w:t> </w:t>
      </w:r>
      <w:r w:rsidRPr="006C22E9">
        <w:rPr>
          <w:rFonts w:ascii="Times New Roman" w:hAnsi="Times New Roman"/>
          <w:szCs w:val="22"/>
        </w:rPr>
        <w:t xml:space="preserve">gada 1.jūlijā elektroenerģijai piemērojamā PVN likme tika samazināta līdz ar kopējo PVN likmi - no 22% uz 21%. </w:t>
      </w:r>
    </w:p>
    <w:p w:rsidR="007A50DB" w:rsidRDefault="006C22E9" w:rsidP="00B57248">
      <w:pPr>
        <w:pStyle w:val="PlainText"/>
        <w:spacing w:after="120"/>
        <w:ind w:firstLine="709"/>
        <w:rPr>
          <w:rFonts w:ascii="Times New Roman" w:hAnsi="Times New Roman"/>
          <w:szCs w:val="22"/>
        </w:rPr>
      </w:pPr>
      <w:r>
        <w:rPr>
          <w:rFonts w:ascii="Times New Roman" w:hAnsi="Times New Roman"/>
          <w:szCs w:val="22"/>
        </w:rPr>
        <w:t xml:space="preserve">Ņemot vērā, ka </w:t>
      </w:r>
      <w:r w:rsidR="007A50DB" w:rsidRPr="007A50DB">
        <w:rPr>
          <w:rFonts w:ascii="Times New Roman" w:hAnsi="Times New Roman"/>
          <w:szCs w:val="22"/>
        </w:rPr>
        <w:t xml:space="preserve">maksājumu par elektroenerģiju īpatsvars mājsaimniecību budžetā </w:t>
      </w:r>
      <w:r>
        <w:rPr>
          <w:rFonts w:ascii="Times New Roman" w:hAnsi="Times New Roman"/>
          <w:szCs w:val="22"/>
        </w:rPr>
        <w:t>nav liels, 3,2 % 2011.</w:t>
      </w:r>
      <w:r w:rsidR="00E36326">
        <w:rPr>
          <w:rFonts w:ascii="Times New Roman" w:hAnsi="Times New Roman"/>
          <w:szCs w:val="22"/>
        </w:rPr>
        <w:t> </w:t>
      </w:r>
      <w:r>
        <w:rPr>
          <w:rFonts w:ascii="Times New Roman" w:hAnsi="Times New Roman"/>
          <w:szCs w:val="22"/>
        </w:rPr>
        <w:t>gadā, elektroenerģijas kopējās cenas izmaiņas īpašus draudus mājsaimniecību maksātspējai nerad</w:t>
      </w:r>
      <w:r w:rsidR="00942112">
        <w:rPr>
          <w:rFonts w:ascii="Times New Roman" w:hAnsi="Times New Roman"/>
          <w:szCs w:val="22"/>
        </w:rPr>
        <w:t>īja</w:t>
      </w:r>
      <w:r>
        <w:rPr>
          <w:rFonts w:ascii="Times New Roman" w:hAnsi="Times New Roman"/>
          <w:szCs w:val="22"/>
        </w:rPr>
        <w:t xml:space="preserve">, izņemot atsevišķas iedzīvotāju grupas, kuru patēriņš ir neproporcionāli liels un ienākumi mazi, kā piemēram daudzbērnu ģimenes, kas ēdiena gatavošanai izmanto elektrisko krāsni un ūdens sildīšanai elektrisko boileru. </w:t>
      </w:r>
    </w:p>
    <w:p w:rsidR="00BE7805" w:rsidRPr="004D46D5" w:rsidRDefault="00CE5FE5" w:rsidP="004D46D5">
      <w:pPr>
        <w:pStyle w:val="BodyText"/>
        <w:ind w:firstLine="709"/>
        <w:rPr>
          <w:rFonts w:ascii="Times New Roman" w:hAnsi="Times New Roman"/>
          <w:szCs w:val="28"/>
        </w:rPr>
      </w:pPr>
      <w:r>
        <w:rPr>
          <w:rFonts w:ascii="Times New Roman" w:hAnsi="Times New Roman"/>
          <w:szCs w:val="28"/>
        </w:rPr>
        <w:t xml:space="preserve">Būtiskā problēma ir elektroenerģijas kopējās cenas iespējamais pieaugums. Pēc </w:t>
      </w:r>
      <w:r w:rsidRPr="00C312AC">
        <w:rPr>
          <w:rFonts w:ascii="Times New Roman" w:hAnsi="Times New Roman"/>
          <w:i/>
          <w:szCs w:val="28"/>
        </w:rPr>
        <w:t>E</w:t>
      </w:r>
      <w:r w:rsidR="00E36326" w:rsidRPr="00C312AC">
        <w:rPr>
          <w:rFonts w:ascii="Times New Roman" w:hAnsi="Times New Roman"/>
          <w:i/>
          <w:szCs w:val="28"/>
        </w:rPr>
        <w:t>urostat</w:t>
      </w:r>
      <w:r w:rsidR="00E36326">
        <w:rPr>
          <w:rFonts w:ascii="Times New Roman" w:hAnsi="Times New Roman"/>
          <w:szCs w:val="28"/>
        </w:rPr>
        <w:t xml:space="preserve"> datiem salīdzinot 2010. </w:t>
      </w:r>
      <w:r>
        <w:rPr>
          <w:rFonts w:ascii="Times New Roman" w:hAnsi="Times New Roman"/>
          <w:szCs w:val="28"/>
        </w:rPr>
        <w:t>un 2011.</w:t>
      </w:r>
      <w:r w:rsidR="00E36326">
        <w:rPr>
          <w:rFonts w:ascii="Times New Roman" w:hAnsi="Times New Roman"/>
          <w:szCs w:val="28"/>
        </w:rPr>
        <w:t> </w:t>
      </w:r>
      <w:r>
        <w:rPr>
          <w:rFonts w:ascii="Times New Roman" w:hAnsi="Times New Roman"/>
          <w:szCs w:val="28"/>
        </w:rPr>
        <w:t xml:space="preserve">gada cenu pieaugumu mājsaimniecībām Latvijā tas pieauga visstraujāk </w:t>
      </w:r>
      <w:r w:rsidRPr="0003742D">
        <w:rPr>
          <w:rFonts w:ascii="Times New Roman" w:hAnsi="Times New Roman"/>
          <w:szCs w:val="28"/>
        </w:rPr>
        <w:t>– par 20 %, attiecīgi industriālajiem patērētājiem šis pieaugums bija nedaudz mazāks – aptuveni 16 %, kur Latviju pārsniedza tikai Kipra. Pastāvot šādai tendencei arī turpmāk</w:t>
      </w:r>
      <w:r>
        <w:rPr>
          <w:rFonts w:ascii="Times New Roman" w:hAnsi="Times New Roman"/>
          <w:szCs w:val="28"/>
        </w:rPr>
        <w:t xml:space="preserve"> uzņēmumu konkurētspēja visticamāk samazināsies. </w:t>
      </w:r>
      <w:r w:rsidR="002C29CA">
        <w:rPr>
          <w:rFonts w:ascii="Times New Roman" w:hAnsi="Times New Roman"/>
          <w:sz w:val="20"/>
          <w:szCs w:val="20"/>
        </w:rPr>
        <w:br w:type="page"/>
      </w:r>
    </w:p>
    <w:p w:rsidR="00CA6568" w:rsidRPr="00CA6568" w:rsidRDefault="00CA6568" w:rsidP="001F57E9">
      <w:pPr>
        <w:pStyle w:val="Heading1"/>
        <w:numPr>
          <w:ilvl w:val="0"/>
          <w:numId w:val="23"/>
        </w:numPr>
        <w:jc w:val="left"/>
        <w:rPr>
          <w:rFonts w:cs="Times New Roman"/>
        </w:rPr>
      </w:pPr>
      <w:bookmarkStart w:id="42" w:name="_Toc344901692"/>
      <w:bookmarkStart w:id="43" w:name="_Toc344901824"/>
      <w:bookmarkStart w:id="44" w:name="_Toc344907249"/>
      <w:r w:rsidRPr="00CA6568">
        <w:rPr>
          <w:rFonts w:cs="Times New Roman"/>
        </w:rPr>
        <w:lastRenderedPageBreak/>
        <w:t>Elektroenerģijas kopējās cenas prognozes un paredzamie riski</w:t>
      </w:r>
      <w:bookmarkEnd w:id="42"/>
      <w:bookmarkEnd w:id="43"/>
      <w:bookmarkEnd w:id="44"/>
    </w:p>
    <w:p w:rsidR="00CA6568" w:rsidRDefault="00CA6568" w:rsidP="00CA6568">
      <w:pPr>
        <w:spacing w:line="240" w:lineRule="auto"/>
        <w:rPr>
          <w:szCs w:val="28"/>
        </w:rPr>
      </w:pPr>
      <w:r w:rsidRPr="00974E20">
        <w:rPr>
          <w:szCs w:val="28"/>
        </w:rPr>
        <w:t>Elektroenerģijas kopējās cenas prognoze līdz 2020.</w:t>
      </w:r>
      <w:r w:rsidR="00E36326">
        <w:rPr>
          <w:szCs w:val="28"/>
        </w:rPr>
        <w:t> </w:t>
      </w:r>
      <w:r w:rsidRPr="00974E20">
        <w:rPr>
          <w:szCs w:val="28"/>
        </w:rPr>
        <w:t xml:space="preserve">gadam veidota, balstoties uz iepriekšējās nodaļās veikto tās veidojošo elementu - elektroenerģijas vairumtirdzniecības cenas, sistēmas pakalpojumu maksas un elektroenerģijas </w:t>
      </w:r>
      <w:r w:rsidR="00AC3E1C">
        <w:rPr>
          <w:szCs w:val="28"/>
        </w:rPr>
        <w:t>OIK -</w:t>
      </w:r>
      <w:r w:rsidRPr="00974E20">
        <w:rPr>
          <w:szCs w:val="28"/>
        </w:rPr>
        <w:t xml:space="preserve"> prognozēm.</w:t>
      </w:r>
      <w:r w:rsidRPr="00FF3B5D">
        <w:rPr>
          <w:szCs w:val="28"/>
        </w:rPr>
        <w:t xml:space="preserve"> </w:t>
      </w:r>
      <w:r>
        <w:rPr>
          <w:szCs w:val="28"/>
        </w:rPr>
        <w:t xml:space="preserve">Elektroenerģijas vidējās </w:t>
      </w:r>
      <w:r w:rsidRPr="00AA5F2F">
        <w:rPr>
          <w:szCs w:val="28"/>
        </w:rPr>
        <w:t>kopējās cenas pieaugums attiecībā pret 2012.</w:t>
      </w:r>
      <w:r w:rsidR="00E36326">
        <w:rPr>
          <w:szCs w:val="28"/>
        </w:rPr>
        <w:t> </w:t>
      </w:r>
      <w:r w:rsidRPr="00AA5F2F">
        <w:rPr>
          <w:szCs w:val="28"/>
        </w:rPr>
        <w:t xml:space="preserve">gadu </w:t>
      </w:r>
      <w:r>
        <w:rPr>
          <w:szCs w:val="28"/>
        </w:rPr>
        <w:t xml:space="preserve">tiek prognozēts </w:t>
      </w:r>
      <w:r w:rsidR="00AC3E1C" w:rsidRPr="00AA5F2F">
        <w:rPr>
          <w:szCs w:val="28"/>
        </w:rPr>
        <w:t>ap</w:t>
      </w:r>
      <w:r w:rsidR="00AC3E1C">
        <w:rPr>
          <w:szCs w:val="28"/>
        </w:rPr>
        <w:t>tuveni</w:t>
      </w:r>
      <w:r w:rsidR="00AC3E1C" w:rsidRPr="00AA5F2F">
        <w:rPr>
          <w:szCs w:val="28"/>
        </w:rPr>
        <w:t xml:space="preserve"> </w:t>
      </w:r>
      <w:r w:rsidRPr="00AA5F2F">
        <w:rPr>
          <w:szCs w:val="28"/>
        </w:rPr>
        <w:t xml:space="preserve">30% </w:t>
      </w:r>
      <w:r>
        <w:rPr>
          <w:szCs w:val="28"/>
        </w:rPr>
        <w:t xml:space="preserve">apmērā </w:t>
      </w:r>
      <w:r w:rsidRPr="00AA5F2F">
        <w:rPr>
          <w:szCs w:val="28"/>
        </w:rPr>
        <w:t>2015.</w:t>
      </w:r>
      <w:r w:rsidR="00E36326">
        <w:rPr>
          <w:szCs w:val="28"/>
        </w:rPr>
        <w:t> </w:t>
      </w:r>
      <w:r w:rsidRPr="00AA5F2F">
        <w:rPr>
          <w:szCs w:val="28"/>
        </w:rPr>
        <w:t xml:space="preserve">gadā un </w:t>
      </w:r>
      <w:r w:rsidR="00E7170E">
        <w:rPr>
          <w:szCs w:val="28"/>
        </w:rPr>
        <w:t>55</w:t>
      </w:r>
      <w:r w:rsidRPr="00AA5F2F">
        <w:rPr>
          <w:szCs w:val="28"/>
        </w:rPr>
        <w:t>%</w:t>
      </w:r>
      <w:r>
        <w:rPr>
          <w:szCs w:val="28"/>
        </w:rPr>
        <w:t xml:space="preserve"> - </w:t>
      </w:r>
      <w:r w:rsidRPr="00AA5F2F">
        <w:rPr>
          <w:szCs w:val="28"/>
        </w:rPr>
        <w:t>2020.</w:t>
      </w:r>
      <w:r w:rsidR="00E36326">
        <w:rPr>
          <w:szCs w:val="28"/>
        </w:rPr>
        <w:t> </w:t>
      </w:r>
      <w:r w:rsidRPr="00AA5F2F">
        <w:rPr>
          <w:szCs w:val="28"/>
        </w:rPr>
        <w:t>gadā. Ja netiek mainīta līdzšinējā AER un koģenerācijas staciju atbalsta politika, galvenais elektroenerģijas vidējās kopējās cenas pieauguma avots ir OIK. 2015.</w:t>
      </w:r>
      <w:r w:rsidR="00E36326">
        <w:rPr>
          <w:szCs w:val="28"/>
        </w:rPr>
        <w:t> </w:t>
      </w:r>
      <w:r w:rsidRPr="00AA5F2F">
        <w:rPr>
          <w:szCs w:val="28"/>
        </w:rPr>
        <w:t>gadā attiecībā pret 2012.</w:t>
      </w:r>
      <w:r w:rsidR="00E36326">
        <w:rPr>
          <w:szCs w:val="28"/>
        </w:rPr>
        <w:t> </w:t>
      </w:r>
      <w:r w:rsidRPr="00AA5F2F">
        <w:rPr>
          <w:szCs w:val="28"/>
        </w:rPr>
        <w:t>gadu OIK pieaug 2,3 reizes, bet 2020.</w:t>
      </w:r>
      <w:r w:rsidR="00E36326">
        <w:rPr>
          <w:szCs w:val="28"/>
        </w:rPr>
        <w:t> </w:t>
      </w:r>
      <w:r w:rsidRPr="00AA5F2F">
        <w:rPr>
          <w:szCs w:val="28"/>
        </w:rPr>
        <w:t xml:space="preserve">gadā -3,6 reizes. Sistēmas pakalpojumu </w:t>
      </w:r>
      <w:r w:rsidR="005639E0">
        <w:rPr>
          <w:szCs w:val="28"/>
        </w:rPr>
        <w:t xml:space="preserve"> vidējā </w:t>
      </w:r>
      <w:r w:rsidRPr="00AA5F2F">
        <w:rPr>
          <w:szCs w:val="28"/>
        </w:rPr>
        <w:t>maksa pieaugs pakāpeniski, būtiskākās izmaiņas plānotas</w:t>
      </w:r>
      <w:r w:rsidR="00AB3B95">
        <w:rPr>
          <w:szCs w:val="28"/>
        </w:rPr>
        <w:t xml:space="preserve"> no </w:t>
      </w:r>
      <w:r w:rsidRPr="00AA5F2F">
        <w:rPr>
          <w:szCs w:val="28"/>
        </w:rPr>
        <w:t>2014.</w:t>
      </w:r>
      <w:r w:rsidR="00E36326">
        <w:rPr>
          <w:szCs w:val="28"/>
        </w:rPr>
        <w:t xml:space="preserve"> līdz 2016. </w:t>
      </w:r>
      <w:r w:rsidRPr="00AA5F2F">
        <w:rPr>
          <w:szCs w:val="28"/>
        </w:rPr>
        <w:t>gad</w:t>
      </w:r>
      <w:r w:rsidR="00AB3B95">
        <w:rPr>
          <w:szCs w:val="28"/>
        </w:rPr>
        <w:t>am</w:t>
      </w:r>
      <w:r w:rsidRPr="00AA5F2F">
        <w:rPr>
          <w:szCs w:val="28"/>
        </w:rPr>
        <w:t xml:space="preserve">, kad tā varētu pieaugt par aptuveni </w:t>
      </w:r>
      <w:r w:rsidR="00AB3B95">
        <w:rPr>
          <w:szCs w:val="28"/>
        </w:rPr>
        <w:t>7,6</w:t>
      </w:r>
      <w:r w:rsidRPr="00AA5F2F">
        <w:rPr>
          <w:szCs w:val="28"/>
        </w:rPr>
        <w:t>%</w:t>
      </w:r>
      <w:r w:rsidR="00AB3B95">
        <w:rPr>
          <w:szCs w:val="28"/>
        </w:rPr>
        <w:t xml:space="preserve"> gadā </w:t>
      </w:r>
      <w:r w:rsidRPr="00AA5F2F">
        <w:rPr>
          <w:szCs w:val="28"/>
        </w:rPr>
        <w:t>, un 2019.</w:t>
      </w:r>
      <w:r w:rsidR="00E36326">
        <w:rPr>
          <w:szCs w:val="28"/>
        </w:rPr>
        <w:t> </w:t>
      </w:r>
      <w:r w:rsidRPr="00AA5F2F">
        <w:rPr>
          <w:szCs w:val="28"/>
        </w:rPr>
        <w:t>gadā, kad pieaugums varētu būt vidēji par 5%.</w:t>
      </w:r>
    </w:p>
    <w:p w:rsidR="00CA6568" w:rsidRPr="00974E20" w:rsidRDefault="00CA6568" w:rsidP="00CA6568">
      <w:pPr>
        <w:spacing w:line="240" w:lineRule="auto"/>
        <w:rPr>
          <w:szCs w:val="28"/>
        </w:rPr>
      </w:pPr>
      <w:r>
        <w:rPr>
          <w:szCs w:val="28"/>
        </w:rPr>
        <w:t xml:space="preserve">Tā kā </w:t>
      </w:r>
      <w:r w:rsidRPr="00974E20">
        <w:rPr>
          <w:szCs w:val="28"/>
        </w:rPr>
        <w:t>elektroenerģijas vidējā kopējā cena</w:t>
      </w:r>
      <w:r>
        <w:rPr>
          <w:szCs w:val="28"/>
        </w:rPr>
        <w:t xml:space="preserve"> (bez PVN)</w:t>
      </w:r>
      <w:r w:rsidRPr="00974E20">
        <w:rPr>
          <w:szCs w:val="28"/>
        </w:rPr>
        <w:t xml:space="preserve"> 2012.</w:t>
      </w:r>
      <w:r w:rsidR="00E36326">
        <w:rPr>
          <w:szCs w:val="28"/>
        </w:rPr>
        <w:t> </w:t>
      </w:r>
      <w:r w:rsidRPr="00974E20">
        <w:rPr>
          <w:szCs w:val="28"/>
        </w:rPr>
        <w:t xml:space="preserve">gadā </w:t>
      </w:r>
      <w:r>
        <w:rPr>
          <w:szCs w:val="28"/>
        </w:rPr>
        <w:t xml:space="preserve">ir </w:t>
      </w:r>
      <w:r w:rsidR="00920DBA">
        <w:rPr>
          <w:szCs w:val="28"/>
        </w:rPr>
        <w:t>74,45</w:t>
      </w:r>
      <w:r w:rsidR="00920DBA" w:rsidRPr="00974E20">
        <w:rPr>
          <w:szCs w:val="28"/>
        </w:rPr>
        <w:t xml:space="preserve"> </w:t>
      </w:r>
      <w:r w:rsidRPr="00974E20">
        <w:rPr>
          <w:szCs w:val="28"/>
        </w:rPr>
        <w:t>L</w:t>
      </w:r>
      <w:r w:rsidR="00AC3E1C">
        <w:rPr>
          <w:szCs w:val="28"/>
        </w:rPr>
        <w:t>VL</w:t>
      </w:r>
      <w:r w:rsidRPr="00974E20">
        <w:rPr>
          <w:szCs w:val="28"/>
        </w:rPr>
        <w:t>/MWh, tad prognozēts, ka 2015.</w:t>
      </w:r>
      <w:r w:rsidR="00E36326">
        <w:rPr>
          <w:szCs w:val="28"/>
        </w:rPr>
        <w:t> </w:t>
      </w:r>
      <w:r w:rsidRPr="00974E20">
        <w:rPr>
          <w:szCs w:val="28"/>
        </w:rPr>
        <w:t>gadā tā sasniegs 94 L</w:t>
      </w:r>
      <w:r w:rsidR="00AC3E1C">
        <w:rPr>
          <w:szCs w:val="28"/>
        </w:rPr>
        <w:t>VL</w:t>
      </w:r>
      <w:r w:rsidRPr="00974E20">
        <w:rPr>
          <w:szCs w:val="28"/>
        </w:rPr>
        <w:t>/MWh</w:t>
      </w:r>
      <w:r w:rsidR="00920DBA">
        <w:rPr>
          <w:szCs w:val="28"/>
        </w:rPr>
        <w:t>, 2019.</w:t>
      </w:r>
      <w:r w:rsidR="00E36326">
        <w:rPr>
          <w:szCs w:val="28"/>
        </w:rPr>
        <w:t> </w:t>
      </w:r>
      <w:r w:rsidR="00920DBA">
        <w:rPr>
          <w:szCs w:val="28"/>
        </w:rPr>
        <w:t>gadā</w:t>
      </w:r>
      <w:r w:rsidR="00744293">
        <w:rPr>
          <w:szCs w:val="28"/>
        </w:rPr>
        <w:t xml:space="preserve"> 123</w:t>
      </w:r>
      <w:r w:rsidR="00920DBA">
        <w:rPr>
          <w:szCs w:val="28"/>
        </w:rPr>
        <w:t xml:space="preserve"> LVL/MWh</w:t>
      </w:r>
      <w:r w:rsidR="006E5353">
        <w:rPr>
          <w:szCs w:val="28"/>
        </w:rPr>
        <w:t xml:space="preserve"> </w:t>
      </w:r>
      <w:r w:rsidRPr="00974E20">
        <w:rPr>
          <w:szCs w:val="28"/>
        </w:rPr>
        <w:t>un 2020.</w:t>
      </w:r>
      <w:r w:rsidR="00E36326">
        <w:rPr>
          <w:szCs w:val="28"/>
        </w:rPr>
        <w:t> </w:t>
      </w:r>
      <w:r w:rsidRPr="00974E20">
        <w:rPr>
          <w:szCs w:val="28"/>
        </w:rPr>
        <w:t>gadā</w:t>
      </w:r>
      <w:r w:rsidR="00920DBA">
        <w:rPr>
          <w:szCs w:val="28"/>
        </w:rPr>
        <w:t xml:space="preserve">, samazinoties OIK, </w:t>
      </w:r>
      <w:r w:rsidR="00920DBA" w:rsidRPr="00974E20">
        <w:rPr>
          <w:szCs w:val="28"/>
        </w:rPr>
        <w:t>1</w:t>
      </w:r>
      <w:r w:rsidR="00744293">
        <w:rPr>
          <w:szCs w:val="28"/>
        </w:rPr>
        <w:t>2</w:t>
      </w:r>
      <w:r w:rsidR="00920DBA">
        <w:rPr>
          <w:szCs w:val="28"/>
        </w:rPr>
        <w:t>1</w:t>
      </w:r>
      <w:r w:rsidR="00920DBA" w:rsidRPr="00974E20">
        <w:rPr>
          <w:szCs w:val="28"/>
        </w:rPr>
        <w:t xml:space="preserve"> L</w:t>
      </w:r>
      <w:r w:rsidR="00920DBA">
        <w:rPr>
          <w:szCs w:val="28"/>
        </w:rPr>
        <w:t>VL</w:t>
      </w:r>
      <w:r w:rsidRPr="00974E20">
        <w:rPr>
          <w:szCs w:val="28"/>
        </w:rPr>
        <w:t>/MWh (</w:t>
      </w:r>
      <w:r w:rsidR="00E75746">
        <w:rPr>
          <w:i/>
          <w:szCs w:val="28"/>
        </w:rPr>
        <w:t>skat.</w:t>
      </w:r>
      <w:r w:rsidR="00E36326">
        <w:rPr>
          <w:i/>
          <w:szCs w:val="28"/>
        </w:rPr>
        <w:t>17</w:t>
      </w:r>
      <w:r w:rsidR="00E75746" w:rsidRPr="00E75746">
        <w:rPr>
          <w:i/>
          <w:szCs w:val="28"/>
        </w:rPr>
        <w:t>.</w:t>
      </w:r>
      <w:r w:rsidRPr="00E75746">
        <w:rPr>
          <w:i/>
          <w:szCs w:val="28"/>
        </w:rPr>
        <w:t>attēlu</w:t>
      </w:r>
      <w:r w:rsidRPr="00974E20">
        <w:rPr>
          <w:szCs w:val="28"/>
        </w:rPr>
        <w:t xml:space="preserve">). </w:t>
      </w:r>
    </w:p>
    <w:p w:rsidR="00920DBA" w:rsidRDefault="00744293" w:rsidP="00427EFB">
      <w:pPr>
        <w:spacing w:after="0" w:line="240" w:lineRule="auto"/>
        <w:ind w:firstLine="0"/>
        <w:rPr>
          <w:b/>
          <w:sz w:val="24"/>
          <w:szCs w:val="24"/>
        </w:rPr>
      </w:pPr>
      <w:r>
        <w:rPr>
          <w:noProof/>
          <w:lang w:eastAsia="lv-LV"/>
        </w:rPr>
        <w:drawing>
          <wp:inline distT="0" distB="0" distL="0" distR="0" wp14:anchorId="62FDF523" wp14:editId="43B2258B">
            <wp:extent cx="5486400" cy="31146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6568" w:rsidRPr="00427EFB" w:rsidRDefault="00E36326" w:rsidP="00427EFB">
      <w:pPr>
        <w:spacing w:after="0" w:line="240" w:lineRule="auto"/>
        <w:ind w:firstLine="0"/>
        <w:rPr>
          <w:b/>
          <w:sz w:val="24"/>
          <w:szCs w:val="24"/>
        </w:rPr>
      </w:pPr>
      <w:r>
        <w:rPr>
          <w:b/>
          <w:sz w:val="24"/>
          <w:szCs w:val="24"/>
        </w:rPr>
        <w:t>17</w:t>
      </w:r>
      <w:r w:rsidR="00CA6568" w:rsidRPr="00427EFB">
        <w:rPr>
          <w:b/>
          <w:sz w:val="24"/>
          <w:szCs w:val="24"/>
        </w:rPr>
        <w:t>.attēls. Elektroenerģijas vidējā kopējā cena 2012.-2020.</w:t>
      </w:r>
      <w:r w:rsidR="008A259F">
        <w:rPr>
          <w:b/>
          <w:sz w:val="24"/>
          <w:szCs w:val="24"/>
        </w:rPr>
        <w:t> </w:t>
      </w:r>
      <w:r w:rsidR="002C5CA0" w:rsidRPr="00427EFB">
        <w:rPr>
          <w:b/>
          <w:sz w:val="24"/>
          <w:szCs w:val="24"/>
        </w:rPr>
        <w:t>g</w:t>
      </w:r>
      <w:r w:rsidR="00CA6568" w:rsidRPr="00427EFB">
        <w:rPr>
          <w:b/>
          <w:sz w:val="24"/>
          <w:szCs w:val="24"/>
        </w:rPr>
        <w:t>adam</w:t>
      </w:r>
      <w:r w:rsidR="002C5CA0" w:rsidRPr="00427EFB">
        <w:rPr>
          <w:b/>
          <w:sz w:val="24"/>
          <w:szCs w:val="24"/>
        </w:rPr>
        <w:t xml:space="preserve">, bez PVN. </w:t>
      </w:r>
    </w:p>
    <w:p w:rsidR="00CA6568" w:rsidRDefault="00CA6568" w:rsidP="00427EFB">
      <w:pPr>
        <w:spacing w:after="240" w:line="240" w:lineRule="auto"/>
        <w:ind w:firstLine="0"/>
        <w:rPr>
          <w:sz w:val="20"/>
          <w:szCs w:val="24"/>
        </w:rPr>
      </w:pPr>
      <w:r w:rsidRPr="00427EFB">
        <w:rPr>
          <w:sz w:val="20"/>
          <w:szCs w:val="24"/>
        </w:rPr>
        <w:t>Avots: AS „Latvenergo”</w:t>
      </w:r>
      <w:r w:rsidR="004D46D5" w:rsidRPr="00427EFB">
        <w:rPr>
          <w:sz w:val="20"/>
          <w:szCs w:val="24"/>
        </w:rPr>
        <w:t xml:space="preserve">, </w:t>
      </w:r>
      <w:r w:rsidR="00920DBA">
        <w:rPr>
          <w:sz w:val="20"/>
          <w:szCs w:val="24"/>
        </w:rPr>
        <w:t xml:space="preserve">AS „Augstsprieguma tīkls”, </w:t>
      </w:r>
      <w:r w:rsidR="004D46D5" w:rsidRPr="00427EFB">
        <w:rPr>
          <w:sz w:val="20"/>
          <w:szCs w:val="24"/>
        </w:rPr>
        <w:t>Ekonomikas ministrija</w:t>
      </w:r>
    </w:p>
    <w:p w:rsidR="00427EFB" w:rsidRPr="00427EFB" w:rsidRDefault="00427EFB" w:rsidP="00427EFB">
      <w:pPr>
        <w:spacing w:after="240" w:line="240" w:lineRule="auto"/>
        <w:ind w:firstLine="0"/>
        <w:rPr>
          <w:sz w:val="20"/>
          <w:szCs w:val="24"/>
        </w:rPr>
      </w:pPr>
    </w:p>
    <w:p w:rsidR="00CA6568" w:rsidRPr="00974E20" w:rsidRDefault="00CA6568" w:rsidP="00CA6568">
      <w:pPr>
        <w:spacing w:line="240" w:lineRule="auto"/>
        <w:rPr>
          <w:szCs w:val="28"/>
        </w:rPr>
      </w:pPr>
      <w:r>
        <w:rPr>
          <w:szCs w:val="28"/>
        </w:rPr>
        <w:t xml:space="preserve">Turklāt </w:t>
      </w:r>
      <w:r w:rsidRPr="00974E20">
        <w:rPr>
          <w:szCs w:val="28"/>
        </w:rPr>
        <w:t>elektroenerģijas vidējās kopējās cenas pieaugums būtiski samazina Latvijas lielo industriālo lietotāju konkurētspēju, jo, kā minēts</w:t>
      </w:r>
      <w:r w:rsidRPr="002A6EA1">
        <w:rPr>
          <w:szCs w:val="28"/>
        </w:rPr>
        <w:t xml:space="preserve"> </w:t>
      </w:r>
      <w:r w:rsidRPr="00974E20">
        <w:rPr>
          <w:szCs w:val="28"/>
        </w:rPr>
        <w:t>iepriekš</w:t>
      </w:r>
      <w:r w:rsidR="00915325">
        <w:rPr>
          <w:szCs w:val="28"/>
        </w:rPr>
        <w:t>,</w:t>
      </w:r>
      <w:r w:rsidRPr="00974E20">
        <w:rPr>
          <w:szCs w:val="28"/>
        </w:rPr>
        <w:t xml:space="preserve"> jau pašlaik elektroenerģijas kopējā cena šiem lietotājiem ir </w:t>
      </w:r>
      <w:r>
        <w:rPr>
          <w:szCs w:val="28"/>
        </w:rPr>
        <w:t>augstāka</w:t>
      </w:r>
      <w:r w:rsidRPr="00974E20">
        <w:rPr>
          <w:szCs w:val="28"/>
        </w:rPr>
        <w:t xml:space="preserve"> nekā vidēji citās ES valstīs (</w:t>
      </w:r>
      <w:r w:rsidR="00E75746">
        <w:rPr>
          <w:i/>
          <w:szCs w:val="28"/>
        </w:rPr>
        <w:t>skat.</w:t>
      </w:r>
      <w:r w:rsidR="00E36326">
        <w:rPr>
          <w:i/>
          <w:szCs w:val="28"/>
        </w:rPr>
        <w:t>14</w:t>
      </w:r>
      <w:r w:rsidR="00E75746">
        <w:rPr>
          <w:i/>
          <w:szCs w:val="28"/>
        </w:rPr>
        <w:t>.</w:t>
      </w:r>
      <w:r w:rsidR="00E36326">
        <w:rPr>
          <w:i/>
          <w:szCs w:val="28"/>
        </w:rPr>
        <w:t xml:space="preserve"> </w:t>
      </w:r>
      <w:r w:rsidR="00E75746">
        <w:rPr>
          <w:i/>
          <w:szCs w:val="28"/>
        </w:rPr>
        <w:t xml:space="preserve">un </w:t>
      </w:r>
      <w:r w:rsidR="00E36326">
        <w:rPr>
          <w:i/>
          <w:szCs w:val="28"/>
        </w:rPr>
        <w:t>15</w:t>
      </w:r>
      <w:r w:rsidRPr="004D46D5">
        <w:rPr>
          <w:i/>
          <w:szCs w:val="28"/>
        </w:rPr>
        <w:t>.attēlu</w:t>
      </w:r>
      <w:r w:rsidRPr="00974E20">
        <w:rPr>
          <w:szCs w:val="28"/>
        </w:rPr>
        <w:t>).</w:t>
      </w:r>
    </w:p>
    <w:p w:rsidR="003B2B91" w:rsidRPr="00974E20" w:rsidRDefault="003B2B91" w:rsidP="003B2B91">
      <w:pPr>
        <w:spacing w:line="240" w:lineRule="auto"/>
        <w:rPr>
          <w:szCs w:val="28"/>
        </w:rPr>
      </w:pPr>
      <w:r w:rsidRPr="00974E20">
        <w:rPr>
          <w:szCs w:val="28"/>
        </w:rPr>
        <w:lastRenderedPageBreak/>
        <w:t xml:space="preserve">Pastāv būtiska atšķirība starp elektroenerģijas cenām dažādos </w:t>
      </w:r>
      <w:r>
        <w:rPr>
          <w:szCs w:val="28"/>
        </w:rPr>
        <w:t xml:space="preserve">enerģijas </w:t>
      </w:r>
      <w:r w:rsidRPr="00974E20">
        <w:rPr>
          <w:szCs w:val="28"/>
        </w:rPr>
        <w:t>galapatēriņa sektoros (mājsaimniecības, rūpniecība, lauksaimniecība</w:t>
      </w:r>
      <w:r>
        <w:rPr>
          <w:szCs w:val="28"/>
        </w:rPr>
        <w:t>, transports</w:t>
      </w:r>
      <w:r w:rsidRPr="00974E20">
        <w:rPr>
          <w:szCs w:val="28"/>
        </w:rPr>
        <w:t xml:space="preserve"> </w:t>
      </w:r>
      <w:proofErr w:type="spellStart"/>
      <w:r w:rsidRPr="00974E20">
        <w:rPr>
          <w:szCs w:val="28"/>
        </w:rPr>
        <w:t>u.c</w:t>
      </w:r>
      <w:proofErr w:type="spellEnd"/>
      <w:r w:rsidRPr="00974E20">
        <w:rPr>
          <w:szCs w:val="28"/>
        </w:rPr>
        <w:t>.), kā arī starp vienā sektorā esošajiem lietotājiem, pamatojoties uz to patērētās elektroenerģijas apjomu.</w:t>
      </w:r>
      <w:r>
        <w:rPr>
          <w:szCs w:val="28"/>
        </w:rPr>
        <w:t xml:space="preserve"> Tādēļ E</w:t>
      </w:r>
      <w:r w:rsidRPr="00974E20">
        <w:rPr>
          <w:szCs w:val="28"/>
        </w:rPr>
        <w:t>konomikas ministrija ir izvērtējusi kopējās elektroenerģijas cenas tendences mājsaimniecībām, maziem un vidējiem uzņēmumiem un lieliem uzņēmumiem.</w:t>
      </w:r>
    </w:p>
    <w:p w:rsidR="00CA6568" w:rsidRDefault="003B2B91" w:rsidP="003B2B91">
      <w:pPr>
        <w:spacing w:line="240" w:lineRule="auto"/>
        <w:rPr>
          <w:szCs w:val="28"/>
        </w:rPr>
      </w:pPr>
      <w:r w:rsidRPr="00974E20">
        <w:rPr>
          <w:szCs w:val="28"/>
        </w:rPr>
        <w:t xml:space="preserve">Ņemot vērā, ka elektroenerģijas kopējā </w:t>
      </w:r>
      <w:r w:rsidR="00744293">
        <w:rPr>
          <w:szCs w:val="28"/>
        </w:rPr>
        <w:t xml:space="preserve">vidējā </w:t>
      </w:r>
      <w:r w:rsidRPr="00974E20">
        <w:rPr>
          <w:szCs w:val="28"/>
        </w:rPr>
        <w:t xml:space="preserve">cena </w:t>
      </w:r>
      <w:r w:rsidRPr="00DE35A5">
        <w:rPr>
          <w:b/>
          <w:szCs w:val="28"/>
        </w:rPr>
        <w:t>lielajiem elektroenerģijas lietotājiem</w:t>
      </w:r>
      <w:r w:rsidRPr="00974E20">
        <w:rPr>
          <w:szCs w:val="28"/>
        </w:rPr>
        <w:t xml:space="preserve"> 2012.</w:t>
      </w:r>
      <w:r w:rsidR="00E36326">
        <w:rPr>
          <w:szCs w:val="28"/>
        </w:rPr>
        <w:t> </w:t>
      </w:r>
      <w:r w:rsidRPr="00974E20">
        <w:rPr>
          <w:szCs w:val="28"/>
        </w:rPr>
        <w:t xml:space="preserve">gadā </w:t>
      </w:r>
      <w:r>
        <w:rPr>
          <w:szCs w:val="28"/>
        </w:rPr>
        <w:t>ir</w:t>
      </w:r>
      <w:r w:rsidRPr="00974E20">
        <w:rPr>
          <w:szCs w:val="28"/>
        </w:rPr>
        <w:t xml:space="preserve"> </w:t>
      </w:r>
      <w:r w:rsidR="00744293">
        <w:rPr>
          <w:szCs w:val="28"/>
        </w:rPr>
        <w:t>58,94</w:t>
      </w:r>
      <w:r w:rsidRPr="00974E20">
        <w:rPr>
          <w:szCs w:val="28"/>
        </w:rPr>
        <w:t xml:space="preserve"> L</w:t>
      </w:r>
      <w:r>
        <w:rPr>
          <w:szCs w:val="28"/>
        </w:rPr>
        <w:t>VL</w:t>
      </w:r>
      <w:r w:rsidRPr="00974E20">
        <w:rPr>
          <w:szCs w:val="28"/>
        </w:rPr>
        <w:t>/MWh</w:t>
      </w:r>
      <w:r w:rsidR="001C72F1">
        <w:rPr>
          <w:szCs w:val="28"/>
        </w:rPr>
        <w:t xml:space="preserve"> (bez PVN) </w:t>
      </w:r>
      <w:r w:rsidRPr="00974E20">
        <w:rPr>
          <w:szCs w:val="28"/>
        </w:rPr>
        <w:t xml:space="preserve">un prognozētais </w:t>
      </w:r>
      <w:r>
        <w:rPr>
          <w:szCs w:val="28"/>
        </w:rPr>
        <w:t>apjoms</w:t>
      </w:r>
      <w:r w:rsidRPr="00974E20">
        <w:rPr>
          <w:szCs w:val="28"/>
        </w:rPr>
        <w:t xml:space="preserve"> 2015.</w:t>
      </w:r>
      <w:r w:rsidR="00E36326">
        <w:rPr>
          <w:szCs w:val="28"/>
        </w:rPr>
        <w:t> </w:t>
      </w:r>
      <w:r w:rsidRPr="00974E20">
        <w:rPr>
          <w:szCs w:val="28"/>
        </w:rPr>
        <w:t xml:space="preserve">gadam </w:t>
      </w:r>
      <w:r>
        <w:rPr>
          <w:szCs w:val="28"/>
        </w:rPr>
        <w:t xml:space="preserve">ir </w:t>
      </w:r>
      <w:r w:rsidR="00744293">
        <w:rPr>
          <w:szCs w:val="28"/>
        </w:rPr>
        <w:t xml:space="preserve">77 </w:t>
      </w:r>
      <w:r w:rsidR="00E36326">
        <w:rPr>
          <w:szCs w:val="28"/>
        </w:rPr>
        <w:t xml:space="preserve">LVL/MWh, bet </w:t>
      </w:r>
      <w:r>
        <w:rPr>
          <w:szCs w:val="28"/>
        </w:rPr>
        <w:t xml:space="preserve">2020. gadam – </w:t>
      </w:r>
      <w:r w:rsidR="00744293">
        <w:rPr>
          <w:szCs w:val="28"/>
        </w:rPr>
        <w:t xml:space="preserve">102 </w:t>
      </w:r>
      <w:r>
        <w:rPr>
          <w:szCs w:val="28"/>
        </w:rPr>
        <w:t>LVL/MWh</w:t>
      </w:r>
      <w:r w:rsidRPr="00974E20">
        <w:rPr>
          <w:szCs w:val="28"/>
        </w:rPr>
        <w:t xml:space="preserve">, tad </w:t>
      </w:r>
      <w:r>
        <w:rPr>
          <w:szCs w:val="28"/>
        </w:rPr>
        <w:t xml:space="preserve">šai lietotāju grupai </w:t>
      </w:r>
      <w:r w:rsidRPr="00974E20">
        <w:rPr>
          <w:szCs w:val="28"/>
        </w:rPr>
        <w:t xml:space="preserve"> būs vērojams </w:t>
      </w:r>
      <w:r>
        <w:rPr>
          <w:szCs w:val="28"/>
        </w:rPr>
        <w:t>būtiskākais</w:t>
      </w:r>
      <w:r w:rsidRPr="00974E20">
        <w:rPr>
          <w:szCs w:val="28"/>
        </w:rPr>
        <w:t xml:space="preserve"> cenas pieaugums</w:t>
      </w:r>
      <w:r>
        <w:rPr>
          <w:szCs w:val="28"/>
        </w:rPr>
        <w:t>,</w:t>
      </w:r>
      <w:r w:rsidRPr="00974E20">
        <w:rPr>
          <w:szCs w:val="28"/>
        </w:rPr>
        <w:t xml:space="preserve"> </w:t>
      </w:r>
      <w:r>
        <w:rPr>
          <w:szCs w:val="28"/>
        </w:rPr>
        <w:t xml:space="preserve">salīdzinājumā ar </w:t>
      </w:r>
      <w:r w:rsidRPr="00974E20">
        <w:rPr>
          <w:szCs w:val="28"/>
        </w:rPr>
        <w:t>2012.</w:t>
      </w:r>
      <w:r w:rsidR="00E36326">
        <w:rPr>
          <w:szCs w:val="28"/>
        </w:rPr>
        <w:t> </w:t>
      </w:r>
      <w:r w:rsidRPr="00974E20">
        <w:rPr>
          <w:szCs w:val="28"/>
        </w:rPr>
        <w:t xml:space="preserve">gadu, attiecīgi </w:t>
      </w:r>
      <w:r w:rsidR="00744293" w:rsidRPr="00974E20">
        <w:rPr>
          <w:szCs w:val="28"/>
        </w:rPr>
        <w:t>3</w:t>
      </w:r>
      <w:r w:rsidR="00744293">
        <w:rPr>
          <w:szCs w:val="28"/>
        </w:rPr>
        <w:t>1</w:t>
      </w:r>
      <w:r w:rsidRPr="00974E20">
        <w:rPr>
          <w:szCs w:val="28"/>
        </w:rPr>
        <w:t>% 2015.</w:t>
      </w:r>
      <w:r w:rsidR="00E36326">
        <w:rPr>
          <w:szCs w:val="28"/>
        </w:rPr>
        <w:t> </w:t>
      </w:r>
      <w:r w:rsidRPr="00974E20">
        <w:rPr>
          <w:szCs w:val="28"/>
        </w:rPr>
        <w:t xml:space="preserve">gadā un </w:t>
      </w:r>
      <w:r w:rsidR="00744293" w:rsidRPr="00974E20">
        <w:rPr>
          <w:szCs w:val="28"/>
        </w:rPr>
        <w:t>7</w:t>
      </w:r>
      <w:r w:rsidR="00744293">
        <w:rPr>
          <w:szCs w:val="28"/>
        </w:rPr>
        <w:t>3</w:t>
      </w:r>
      <w:r w:rsidRPr="00974E20">
        <w:rPr>
          <w:szCs w:val="28"/>
        </w:rPr>
        <w:t xml:space="preserve">% </w:t>
      </w:r>
      <w:r>
        <w:rPr>
          <w:szCs w:val="28"/>
        </w:rPr>
        <w:t xml:space="preserve">- </w:t>
      </w:r>
      <w:r w:rsidRPr="00974E20">
        <w:rPr>
          <w:szCs w:val="28"/>
        </w:rPr>
        <w:t>2020.</w:t>
      </w:r>
      <w:r w:rsidR="00E36326">
        <w:rPr>
          <w:szCs w:val="28"/>
        </w:rPr>
        <w:t> </w:t>
      </w:r>
      <w:r w:rsidRPr="00974E20">
        <w:rPr>
          <w:szCs w:val="28"/>
        </w:rPr>
        <w:t>gadā</w:t>
      </w:r>
      <w:r w:rsidR="009C100D">
        <w:rPr>
          <w:szCs w:val="28"/>
        </w:rPr>
        <w:t xml:space="preserve"> (</w:t>
      </w:r>
      <w:r w:rsidR="009C100D" w:rsidRPr="00DE35A5">
        <w:rPr>
          <w:i/>
          <w:szCs w:val="28"/>
        </w:rPr>
        <w:t>skat.</w:t>
      </w:r>
      <w:r w:rsidR="00E36326">
        <w:rPr>
          <w:i/>
          <w:szCs w:val="28"/>
        </w:rPr>
        <w:t>18</w:t>
      </w:r>
      <w:r w:rsidR="009C100D" w:rsidRPr="00DE35A5">
        <w:rPr>
          <w:i/>
          <w:szCs w:val="28"/>
        </w:rPr>
        <w:t>.attēlu</w:t>
      </w:r>
      <w:r w:rsidR="009C100D">
        <w:rPr>
          <w:szCs w:val="28"/>
        </w:rPr>
        <w:t>)</w:t>
      </w:r>
      <w:r w:rsidRPr="00974E20">
        <w:rPr>
          <w:szCs w:val="28"/>
        </w:rPr>
        <w:t>.</w:t>
      </w:r>
    </w:p>
    <w:p w:rsidR="00CA6568" w:rsidRDefault="00CA6568" w:rsidP="00FE125B">
      <w:pPr>
        <w:spacing w:line="240" w:lineRule="auto"/>
        <w:ind w:firstLine="0"/>
        <w:jc w:val="center"/>
        <w:rPr>
          <w:szCs w:val="28"/>
        </w:rPr>
      </w:pPr>
    </w:p>
    <w:p w:rsidR="00744293" w:rsidRPr="00974E20" w:rsidRDefault="00744293" w:rsidP="00FE125B">
      <w:pPr>
        <w:spacing w:line="240" w:lineRule="auto"/>
        <w:ind w:firstLine="0"/>
        <w:jc w:val="center"/>
        <w:rPr>
          <w:szCs w:val="28"/>
        </w:rPr>
      </w:pPr>
      <w:r>
        <w:rPr>
          <w:noProof/>
          <w:lang w:eastAsia="lv-LV"/>
        </w:rPr>
        <w:drawing>
          <wp:inline distT="0" distB="0" distL="0" distR="0" wp14:anchorId="24571991" wp14:editId="3C7CA1DF">
            <wp:extent cx="5486400" cy="282384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A6568" w:rsidRPr="008A259F" w:rsidRDefault="00E36326" w:rsidP="008A259F">
      <w:pPr>
        <w:spacing w:after="0" w:line="240" w:lineRule="auto"/>
        <w:ind w:firstLine="0"/>
        <w:rPr>
          <w:b/>
          <w:sz w:val="24"/>
          <w:szCs w:val="24"/>
        </w:rPr>
      </w:pPr>
      <w:r>
        <w:rPr>
          <w:b/>
          <w:sz w:val="24"/>
          <w:szCs w:val="24"/>
        </w:rPr>
        <w:t>18</w:t>
      </w:r>
      <w:r w:rsidR="00CA6568" w:rsidRPr="008A259F">
        <w:rPr>
          <w:b/>
          <w:sz w:val="24"/>
          <w:szCs w:val="24"/>
        </w:rPr>
        <w:t xml:space="preserve">.attēls. Elektroenerģijas kopējā </w:t>
      </w:r>
      <w:r w:rsidR="00744293">
        <w:rPr>
          <w:b/>
          <w:sz w:val="24"/>
          <w:szCs w:val="24"/>
        </w:rPr>
        <w:t xml:space="preserve">vidējā </w:t>
      </w:r>
      <w:r w:rsidR="00CA6568" w:rsidRPr="008A259F">
        <w:rPr>
          <w:b/>
          <w:sz w:val="24"/>
          <w:szCs w:val="24"/>
        </w:rPr>
        <w:t xml:space="preserve">cena lielajiem </w:t>
      </w:r>
      <w:r w:rsidR="00840991" w:rsidRPr="008A259F">
        <w:rPr>
          <w:b/>
          <w:sz w:val="24"/>
          <w:szCs w:val="24"/>
        </w:rPr>
        <w:t xml:space="preserve">elektroenerģijas patērētājiem </w:t>
      </w:r>
      <w:r w:rsidR="008A259F">
        <w:rPr>
          <w:b/>
          <w:sz w:val="24"/>
          <w:szCs w:val="24"/>
        </w:rPr>
        <w:t>2012.-2020. </w:t>
      </w:r>
      <w:r w:rsidR="002C5CA0" w:rsidRPr="008A259F">
        <w:rPr>
          <w:b/>
          <w:sz w:val="24"/>
          <w:szCs w:val="24"/>
        </w:rPr>
        <w:t>g</w:t>
      </w:r>
      <w:r w:rsidR="00CA6568" w:rsidRPr="008A259F">
        <w:rPr>
          <w:b/>
          <w:sz w:val="24"/>
          <w:szCs w:val="24"/>
        </w:rPr>
        <w:t>adam</w:t>
      </w:r>
      <w:r w:rsidR="002C5CA0" w:rsidRPr="008A259F">
        <w:rPr>
          <w:b/>
          <w:sz w:val="24"/>
          <w:szCs w:val="24"/>
        </w:rPr>
        <w:t xml:space="preserve">, bez PVN. </w:t>
      </w:r>
    </w:p>
    <w:p w:rsidR="00CA6568" w:rsidRDefault="00CA6568" w:rsidP="008A259F">
      <w:pPr>
        <w:spacing w:after="0" w:line="240" w:lineRule="auto"/>
        <w:ind w:firstLine="0"/>
        <w:rPr>
          <w:sz w:val="20"/>
          <w:szCs w:val="24"/>
        </w:rPr>
      </w:pPr>
      <w:r w:rsidRPr="008A259F">
        <w:rPr>
          <w:sz w:val="20"/>
          <w:szCs w:val="24"/>
        </w:rPr>
        <w:t xml:space="preserve">Avots: AS „Latvenergo”, </w:t>
      </w:r>
      <w:r w:rsidR="00744293" w:rsidRPr="00744293">
        <w:rPr>
          <w:sz w:val="20"/>
          <w:szCs w:val="24"/>
        </w:rPr>
        <w:t>AS "Augstsprieguma tīkls",</w:t>
      </w:r>
      <w:r w:rsidR="009A55A2" w:rsidRPr="009A55A2">
        <w:rPr>
          <w:sz w:val="20"/>
          <w:szCs w:val="20"/>
        </w:rPr>
        <w:t xml:space="preserve"> </w:t>
      </w:r>
      <w:r w:rsidR="009A55A2" w:rsidRPr="00FE74DD">
        <w:rPr>
          <w:sz w:val="20"/>
          <w:szCs w:val="20"/>
        </w:rPr>
        <w:t>Ekonomikas ministrija</w:t>
      </w:r>
    </w:p>
    <w:p w:rsidR="008A259F" w:rsidRPr="008A259F" w:rsidRDefault="008A259F" w:rsidP="008A259F">
      <w:pPr>
        <w:spacing w:after="0" w:line="240" w:lineRule="auto"/>
        <w:ind w:firstLine="0"/>
        <w:rPr>
          <w:sz w:val="20"/>
          <w:szCs w:val="24"/>
        </w:rPr>
      </w:pPr>
    </w:p>
    <w:p w:rsidR="00CA6568" w:rsidRPr="00974E20" w:rsidRDefault="00CA6568" w:rsidP="00CA6568">
      <w:pPr>
        <w:spacing w:line="240" w:lineRule="auto"/>
        <w:rPr>
          <w:szCs w:val="28"/>
        </w:rPr>
      </w:pPr>
      <w:r w:rsidRPr="00974E20">
        <w:rPr>
          <w:szCs w:val="28"/>
        </w:rPr>
        <w:t>Šādam būtiskam elektroenerģijas kopējās cenas pieaugumam, kura galvenais iemesls ir OIK pieaugums, ir liela ietekme uz lielo uzņēmumu, jo īpaši tādu energoietilpīgo uzņēmumu kā AS „Liepājas metalurgs”, AS „Valmieras stikla šķiedra”, SIA „</w:t>
      </w:r>
      <w:proofErr w:type="spellStart"/>
      <w:r w:rsidRPr="00974E20">
        <w:rPr>
          <w:szCs w:val="28"/>
        </w:rPr>
        <w:t>Cemex</w:t>
      </w:r>
      <w:proofErr w:type="spellEnd"/>
      <w:r w:rsidRPr="00974E20">
        <w:rPr>
          <w:szCs w:val="28"/>
        </w:rPr>
        <w:t xml:space="preserve">”, AS „Latvijas Finieris”, finanšu rezultātiem. Elektroenerģijas kopējās cenas pieauguma rezultātā pasliktinās uzņēmumu rentabilitātes un maksātspējas rādītāji. </w:t>
      </w:r>
    </w:p>
    <w:p w:rsidR="00CA6568" w:rsidRPr="00974E20" w:rsidRDefault="00CA6568" w:rsidP="00CA6568">
      <w:pPr>
        <w:spacing w:line="240" w:lineRule="auto"/>
        <w:rPr>
          <w:szCs w:val="28"/>
        </w:rPr>
      </w:pPr>
      <w:r>
        <w:rPr>
          <w:szCs w:val="28"/>
        </w:rPr>
        <w:t>L</w:t>
      </w:r>
      <w:r w:rsidRPr="00974E20">
        <w:rPr>
          <w:szCs w:val="28"/>
        </w:rPr>
        <w:t>ai saglabātu savu konkurētspēju</w:t>
      </w:r>
      <w:r w:rsidRPr="001351DA">
        <w:rPr>
          <w:szCs w:val="28"/>
        </w:rPr>
        <w:t xml:space="preserve"> </w:t>
      </w:r>
      <w:r>
        <w:rPr>
          <w:szCs w:val="28"/>
        </w:rPr>
        <w:t>starptautiskajā tirgū</w:t>
      </w:r>
      <w:r w:rsidRPr="00974E20">
        <w:rPr>
          <w:szCs w:val="28"/>
        </w:rPr>
        <w:t xml:space="preserve">, </w:t>
      </w:r>
      <w:r>
        <w:rPr>
          <w:szCs w:val="28"/>
        </w:rPr>
        <w:t xml:space="preserve">minētie uzņēmumi nevar plānot </w:t>
      </w:r>
      <w:r w:rsidR="00AC3E1C" w:rsidRPr="00974E20">
        <w:rPr>
          <w:szCs w:val="28"/>
        </w:rPr>
        <w:t xml:space="preserve">būtisku </w:t>
      </w:r>
      <w:r w:rsidRPr="00974E20">
        <w:rPr>
          <w:szCs w:val="28"/>
        </w:rPr>
        <w:t xml:space="preserve">savas produkcijas cenas pieaugumu. Tādejādi uzņēmumi zaudēs peļņu, kuru varētu izmantot turpmākajiem ieguldījumiem, tajā skaitā ražošanas paplašināšanai un energoefektivitātes paaugstināšanai. </w:t>
      </w:r>
      <w:r>
        <w:rPr>
          <w:szCs w:val="28"/>
        </w:rPr>
        <w:t>Turklāt</w:t>
      </w:r>
      <w:r w:rsidRPr="00974E20">
        <w:rPr>
          <w:szCs w:val="28"/>
        </w:rPr>
        <w:t xml:space="preserve"> peļņas </w:t>
      </w:r>
      <w:r w:rsidRPr="00974E20">
        <w:rPr>
          <w:szCs w:val="28"/>
        </w:rPr>
        <w:lastRenderedPageBreak/>
        <w:t>zaudējums var novest līdz uzņēmumu maksātnespējai un ievērojama skaita darbavietu likvidācijai, piemēram, AS „Liepājas metalurgs” pašlaik ir ap 2800 nodarbināto, AS „Latvijas Finieris” - 1470 nodarbināto (koncernā „Latvijas Finieris”, kurā ietilpst mātes uzņēmums, kā arī vairāki meitas uzņēmumi tādi kā rūpnīcas „</w:t>
      </w:r>
      <w:proofErr w:type="spellStart"/>
      <w:r w:rsidRPr="00974E20">
        <w:rPr>
          <w:szCs w:val="28"/>
        </w:rPr>
        <w:t>Lignums</w:t>
      </w:r>
      <w:proofErr w:type="spellEnd"/>
      <w:r w:rsidRPr="00974E20">
        <w:rPr>
          <w:szCs w:val="28"/>
        </w:rPr>
        <w:t>”, „</w:t>
      </w:r>
      <w:proofErr w:type="spellStart"/>
      <w:r w:rsidRPr="00974E20">
        <w:rPr>
          <w:szCs w:val="28"/>
        </w:rPr>
        <w:t>Furniers</w:t>
      </w:r>
      <w:proofErr w:type="spellEnd"/>
      <w:r w:rsidRPr="00974E20">
        <w:rPr>
          <w:szCs w:val="28"/>
        </w:rPr>
        <w:t>”, „Latvijas Bērzs”, „Liepājas MRS”, „Vidzemes MRS, strādā aptuveni 4110 darbinieki), AS „Valmieras stikla šķiedra” – 800 nodarbināto, SIA „</w:t>
      </w:r>
      <w:proofErr w:type="spellStart"/>
      <w:r w:rsidRPr="00974E20">
        <w:rPr>
          <w:szCs w:val="28"/>
        </w:rPr>
        <w:t>Cemex</w:t>
      </w:r>
      <w:proofErr w:type="spellEnd"/>
      <w:r w:rsidRPr="00974E20">
        <w:rPr>
          <w:szCs w:val="28"/>
        </w:rPr>
        <w:t xml:space="preserve">” – 310 nodarbināto. </w:t>
      </w:r>
      <w:r w:rsidR="008418DA">
        <w:rPr>
          <w:szCs w:val="28"/>
        </w:rPr>
        <w:t>Šo uzņēmumu netiešā ietekme uz tautsaimniecību ir vērtējama daudz plašāk</w:t>
      </w:r>
      <w:r w:rsidR="00341DAB">
        <w:rPr>
          <w:szCs w:val="28"/>
        </w:rPr>
        <w:t xml:space="preserve"> gan ekonomiskā, gan sociālā nozīmē. Kopumā š</w:t>
      </w:r>
      <w:r>
        <w:rPr>
          <w:szCs w:val="28"/>
        </w:rPr>
        <w:t>ie uzņēmumi varētu atstā</w:t>
      </w:r>
      <w:r w:rsidR="008737A6">
        <w:rPr>
          <w:szCs w:val="28"/>
        </w:rPr>
        <w:t>t</w:t>
      </w:r>
      <w:r>
        <w:rPr>
          <w:szCs w:val="28"/>
        </w:rPr>
        <w:t xml:space="preserve"> lielāku iespaidu uz tautsaimniecību nekā </w:t>
      </w:r>
      <w:r w:rsidR="00840991">
        <w:rPr>
          <w:szCs w:val="28"/>
        </w:rPr>
        <w:t xml:space="preserve">elektroenerģijas ražošanas </w:t>
      </w:r>
      <w:r>
        <w:rPr>
          <w:szCs w:val="28"/>
        </w:rPr>
        <w:t xml:space="preserve">atbalstāmais sektors. </w:t>
      </w:r>
    </w:p>
    <w:p w:rsidR="00CA6568" w:rsidRPr="00974E20" w:rsidRDefault="00CA6568" w:rsidP="00CA6568">
      <w:pPr>
        <w:spacing w:line="240" w:lineRule="auto"/>
        <w:rPr>
          <w:szCs w:val="28"/>
        </w:rPr>
      </w:pPr>
      <w:r w:rsidRPr="00974E20">
        <w:rPr>
          <w:szCs w:val="28"/>
        </w:rPr>
        <w:t xml:space="preserve">Elektroenerģijas kopējā </w:t>
      </w:r>
      <w:r w:rsidR="00290914">
        <w:rPr>
          <w:szCs w:val="28"/>
        </w:rPr>
        <w:t xml:space="preserve">vidējā </w:t>
      </w:r>
      <w:r w:rsidRPr="00974E20">
        <w:rPr>
          <w:szCs w:val="28"/>
        </w:rPr>
        <w:t xml:space="preserve">cena </w:t>
      </w:r>
      <w:r w:rsidRPr="00786F87">
        <w:rPr>
          <w:b/>
          <w:szCs w:val="28"/>
        </w:rPr>
        <w:t>mazajiem un vidējiem uzņēmumiem</w:t>
      </w:r>
      <w:r w:rsidRPr="00974E20">
        <w:rPr>
          <w:szCs w:val="28"/>
        </w:rPr>
        <w:t xml:space="preserve"> 2012.</w:t>
      </w:r>
      <w:r w:rsidR="00E36326">
        <w:rPr>
          <w:szCs w:val="28"/>
        </w:rPr>
        <w:t> </w:t>
      </w:r>
      <w:r w:rsidRPr="00974E20">
        <w:rPr>
          <w:szCs w:val="28"/>
        </w:rPr>
        <w:t>gad</w:t>
      </w:r>
      <w:r w:rsidR="00341DAB">
        <w:rPr>
          <w:szCs w:val="28"/>
        </w:rPr>
        <w:t>ā</w:t>
      </w:r>
      <w:r w:rsidRPr="00974E20">
        <w:rPr>
          <w:szCs w:val="28"/>
        </w:rPr>
        <w:t xml:space="preserve"> </w:t>
      </w:r>
      <w:r>
        <w:rPr>
          <w:szCs w:val="28"/>
        </w:rPr>
        <w:t>ir</w:t>
      </w:r>
      <w:r w:rsidRPr="00974E20">
        <w:rPr>
          <w:szCs w:val="28"/>
        </w:rPr>
        <w:t xml:space="preserve"> </w:t>
      </w:r>
      <w:r w:rsidR="00744293">
        <w:rPr>
          <w:szCs w:val="28"/>
        </w:rPr>
        <w:t>76.53</w:t>
      </w:r>
      <w:r w:rsidRPr="00974E20">
        <w:rPr>
          <w:szCs w:val="28"/>
        </w:rPr>
        <w:t xml:space="preserve"> L</w:t>
      </w:r>
      <w:r w:rsidR="00AC3E1C">
        <w:rPr>
          <w:szCs w:val="28"/>
        </w:rPr>
        <w:t>VL</w:t>
      </w:r>
      <w:r w:rsidRPr="00974E20">
        <w:rPr>
          <w:szCs w:val="28"/>
        </w:rPr>
        <w:t>/MWh</w:t>
      </w:r>
      <w:r w:rsidR="001C72F1">
        <w:rPr>
          <w:szCs w:val="28"/>
        </w:rPr>
        <w:t xml:space="preserve"> (bez PVN)</w:t>
      </w:r>
      <w:r w:rsidRPr="00974E20">
        <w:rPr>
          <w:szCs w:val="28"/>
        </w:rPr>
        <w:t>. Ņemot vērā prognozētās elektroenerģijas kopēj</w:t>
      </w:r>
      <w:r>
        <w:rPr>
          <w:szCs w:val="28"/>
        </w:rPr>
        <w:t>o</w:t>
      </w:r>
      <w:r w:rsidRPr="00974E20">
        <w:rPr>
          <w:szCs w:val="28"/>
        </w:rPr>
        <w:t xml:space="preserve"> cenu veidojošo elementu izmaiņas, plānots, ka elektroenerģijas kopējā cena mazajiem un vidēj</w:t>
      </w:r>
      <w:r>
        <w:rPr>
          <w:szCs w:val="28"/>
        </w:rPr>
        <w:t>iem uzņēmumiem 2015.</w:t>
      </w:r>
      <w:r w:rsidR="00E36326">
        <w:rPr>
          <w:szCs w:val="28"/>
        </w:rPr>
        <w:t> </w:t>
      </w:r>
      <w:r>
        <w:rPr>
          <w:szCs w:val="28"/>
        </w:rPr>
        <w:t xml:space="preserve">gadā būs </w:t>
      </w:r>
      <w:r w:rsidR="00744293">
        <w:rPr>
          <w:szCs w:val="28"/>
        </w:rPr>
        <w:t>99</w:t>
      </w:r>
      <w:r w:rsidR="00744293" w:rsidRPr="00974E20">
        <w:rPr>
          <w:szCs w:val="28"/>
        </w:rPr>
        <w:t xml:space="preserve"> </w:t>
      </w:r>
      <w:r w:rsidRPr="00974E20">
        <w:rPr>
          <w:szCs w:val="28"/>
        </w:rPr>
        <w:t>L</w:t>
      </w:r>
      <w:r w:rsidR="00AC3E1C">
        <w:rPr>
          <w:szCs w:val="28"/>
        </w:rPr>
        <w:t>VL</w:t>
      </w:r>
      <w:r w:rsidRPr="00974E20">
        <w:rPr>
          <w:szCs w:val="28"/>
        </w:rPr>
        <w:t>/MWh un 2020.</w:t>
      </w:r>
      <w:r w:rsidR="00E36326">
        <w:rPr>
          <w:szCs w:val="28"/>
        </w:rPr>
        <w:t> </w:t>
      </w:r>
      <w:r w:rsidRPr="00974E20">
        <w:rPr>
          <w:szCs w:val="28"/>
        </w:rPr>
        <w:t xml:space="preserve">gadā </w:t>
      </w:r>
      <w:r w:rsidR="00744293">
        <w:rPr>
          <w:szCs w:val="28"/>
        </w:rPr>
        <w:t>126</w:t>
      </w:r>
      <w:r w:rsidR="00744293" w:rsidRPr="00974E20">
        <w:rPr>
          <w:szCs w:val="28"/>
        </w:rPr>
        <w:t xml:space="preserve"> </w:t>
      </w:r>
      <w:r w:rsidRPr="00974E20">
        <w:rPr>
          <w:szCs w:val="28"/>
        </w:rPr>
        <w:t>L</w:t>
      </w:r>
      <w:r w:rsidR="00AC3E1C">
        <w:rPr>
          <w:szCs w:val="28"/>
        </w:rPr>
        <w:t>VL</w:t>
      </w:r>
      <w:r w:rsidRPr="00974E20">
        <w:rPr>
          <w:szCs w:val="28"/>
        </w:rPr>
        <w:t>/MW</w:t>
      </w:r>
      <w:r w:rsidR="001C72F1">
        <w:rPr>
          <w:szCs w:val="28"/>
        </w:rPr>
        <w:t>h</w:t>
      </w:r>
      <w:r w:rsidRPr="00974E20">
        <w:rPr>
          <w:szCs w:val="28"/>
        </w:rPr>
        <w:t xml:space="preserve"> (</w:t>
      </w:r>
      <w:r w:rsidRPr="004D46D5">
        <w:rPr>
          <w:i/>
          <w:szCs w:val="28"/>
        </w:rPr>
        <w:t>skat</w:t>
      </w:r>
      <w:r w:rsidR="00744293">
        <w:rPr>
          <w:i/>
          <w:szCs w:val="28"/>
        </w:rPr>
        <w:t>.</w:t>
      </w:r>
      <w:r w:rsidR="00E36326">
        <w:rPr>
          <w:i/>
          <w:szCs w:val="28"/>
        </w:rPr>
        <w:t>19</w:t>
      </w:r>
      <w:r w:rsidRPr="004D46D5">
        <w:rPr>
          <w:i/>
          <w:szCs w:val="28"/>
        </w:rPr>
        <w:t>.attēlu</w:t>
      </w:r>
      <w:r w:rsidRPr="00974E20">
        <w:rPr>
          <w:szCs w:val="28"/>
        </w:rPr>
        <w:t xml:space="preserve">). </w:t>
      </w:r>
    </w:p>
    <w:p w:rsidR="00CA6568" w:rsidRPr="00974E20" w:rsidRDefault="00CA6568" w:rsidP="00FE125B">
      <w:pPr>
        <w:spacing w:line="240" w:lineRule="auto"/>
        <w:ind w:firstLine="0"/>
        <w:jc w:val="center"/>
        <w:rPr>
          <w:szCs w:val="28"/>
        </w:rPr>
      </w:pPr>
    </w:p>
    <w:p w:rsidR="00744293" w:rsidRDefault="00744293" w:rsidP="008A259F">
      <w:pPr>
        <w:spacing w:after="0" w:line="240" w:lineRule="auto"/>
        <w:ind w:firstLine="0"/>
        <w:rPr>
          <w:b/>
          <w:sz w:val="24"/>
          <w:szCs w:val="24"/>
        </w:rPr>
      </w:pPr>
      <w:r>
        <w:rPr>
          <w:noProof/>
          <w:lang w:eastAsia="lv-LV"/>
        </w:rPr>
        <w:drawing>
          <wp:inline distT="0" distB="0" distL="0" distR="0" wp14:anchorId="145ACBD2" wp14:editId="7A49E8AA">
            <wp:extent cx="5486400" cy="282384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A6568" w:rsidRPr="008A259F" w:rsidRDefault="00E36326" w:rsidP="008A259F">
      <w:pPr>
        <w:spacing w:after="0" w:line="240" w:lineRule="auto"/>
        <w:ind w:firstLine="0"/>
        <w:rPr>
          <w:b/>
          <w:sz w:val="24"/>
          <w:szCs w:val="24"/>
        </w:rPr>
      </w:pPr>
      <w:r>
        <w:rPr>
          <w:b/>
          <w:sz w:val="24"/>
          <w:szCs w:val="24"/>
        </w:rPr>
        <w:t>19</w:t>
      </w:r>
      <w:r w:rsidR="00CA6568" w:rsidRPr="008A259F">
        <w:rPr>
          <w:b/>
          <w:sz w:val="24"/>
          <w:szCs w:val="24"/>
        </w:rPr>
        <w:t xml:space="preserve">.attēls. Elektroenerģijas kopējā </w:t>
      </w:r>
      <w:r w:rsidR="00744293">
        <w:rPr>
          <w:b/>
          <w:sz w:val="24"/>
          <w:szCs w:val="24"/>
        </w:rPr>
        <w:t xml:space="preserve">vidējā </w:t>
      </w:r>
      <w:r w:rsidR="00CA6568" w:rsidRPr="008A259F">
        <w:rPr>
          <w:b/>
          <w:sz w:val="24"/>
          <w:szCs w:val="24"/>
        </w:rPr>
        <w:t xml:space="preserve">cena maziem un </w:t>
      </w:r>
      <w:r w:rsidR="008A259F">
        <w:rPr>
          <w:b/>
          <w:sz w:val="24"/>
          <w:szCs w:val="24"/>
        </w:rPr>
        <w:t>vidējiem uzņēmumiem 2012.-2020. </w:t>
      </w:r>
      <w:r w:rsidR="002C5CA0" w:rsidRPr="008A259F">
        <w:rPr>
          <w:b/>
          <w:sz w:val="24"/>
          <w:szCs w:val="24"/>
        </w:rPr>
        <w:t>g</w:t>
      </w:r>
      <w:r w:rsidR="00CA6568" w:rsidRPr="008A259F">
        <w:rPr>
          <w:b/>
          <w:sz w:val="24"/>
          <w:szCs w:val="24"/>
        </w:rPr>
        <w:t>adam</w:t>
      </w:r>
      <w:r w:rsidR="002C5CA0" w:rsidRPr="008A259F">
        <w:rPr>
          <w:b/>
          <w:sz w:val="24"/>
          <w:szCs w:val="24"/>
        </w:rPr>
        <w:t xml:space="preserve">, bez PVN. </w:t>
      </w:r>
    </w:p>
    <w:p w:rsidR="00CA6568" w:rsidRDefault="00CA6568" w:rsidP="008A259F">
      <w:pPr>
        <w:spacing w:after="240" w:line="240" w:lineRule="auto"/>
        <w:ind w:firstLine="0"/>
        <w:rPr>
          <w:sz w:val="20"/>
          <w:szCs w:val="24"/>
        </w:rPr>
      </w:pPr>
      <w:r w:rsidRPr="008A259F">
        <w:rPr>
          <w:sz w:val="20"/>
          <w:szCs w:val="24"/>
        </w:rPr>
        <w:t xml:space="preserve">Avots: AS „Latvenergo”, </w:t>
      </w:r>
      <w:r w:rsidR="00744293" w:rsidRPr="00744293">
        <w:rPr>
          <w:sz w:val="20"/>
          <w:szCs w:val="24"/>
        </w:rPr>
        <w:t>AS "Augstsprieguma tīkls",</w:t>
      </w:r>
      <w:r w:rsidR="00744293">
        <w:rPr>
          <w:sz w:val="20"/>
          <w:szCs w:val="24"/>
        </w:rPr>
        <w:t xml:space="preserve"> </w:t>
      </w:r>
      <w:r w:rsidR="009A55A2" w:rsidRPr="00FE74DD">
        <w:rPr>
          <w:sz w:val="20"/>
          <w:szCs w:val="20"/>
        </w:rPr>
        <w:t>Ekonomikas ministrija</w:t>
      </w:r>
    </w:p>
    <w:p w:rsidR="008A259F" w:rsidRPr="008A259F" w:rsidRDefault="008A259F" w:rsidP="008A259F">
      <w:pPr>
        <w:spacing w:after="240" w:line="240" w:lineRule="auto"/>
        <w:ind w:firstLine="0"/>
        <w:rPr>
          <w:sz w:val="20"/>
          <w:szCs w:val="24"/>
        </w:rPr>
      </w:pPr>
    </w:p>
    <w:p w:rsidR="00DB709F" w:rsidRPr="00974E20" w:rsidRDefault="00DB709F" w:rsidP="00DB709F">
      <w:pPr>
        <w:spacing w:line="240" w:lineRule="auto"/>
        <w:rPr>
          <w:szCs w:val="28"/>
        </w:rPr>
      </w:pPr>
      <w:r w:rsidRPr="00974E20">
        <w:rPr>
          <w:szCs w:val="28"/>
        </w:rPr>
        <w:t>Tātad cena pieaugs attiecīgi par aptuveni 2</w:t>
      </w:r>
      <w:r>
        <w:rPr>
          <w:szCs w:val="28"/>
        </w:rPr>
        <w:t>9</w:t>
      </w:r>
      <w:r w:rsidRPr="00974E20">
        <w:rPr>
          <w:szCs w:val="28"/>
        </w:rPr>
        <w:t>% 2015.</w:t>
      </w:r>
      <w:r w:rsidR="00E36326">
        <w:rPr>
          <w:szCs w:val="28"/>
        </w:rPr>
        <w:t> </w:t>
      </w:r>
      <w:r w:rsidRPr="00974E20">
        <w:rPr>
          <w:szCs w:val="28"/>
        </w:rPr>
        <w:t>gadā un 6</w:t>
      </w:r>
      <w:r>
        <w:rPr>
          <w:szCs w:val="28"/>
        </w:rPr>
        <w:t>5</w:t>
      </w:r>
      <w:r w:rsidRPr="00974E20">
        <w:rPr>
          <w:szCs w:val="28"/>
        </w:rPr>
        <w:t>% 2020.</w:t>
      </w:r>
      <w:r w:rsidR="00E36326">
        <w:rPr>
          <w:szCs w:val="28"/>
        </w:rPr>
        <w:t> </w:t>
      </w:r>
      <w:r w:rsidRPr="00974E20">
        <w:rPr>
          <w:szCs w:val="28"/>
        </w:rPr>
        <w:t>gadā.</w:t>
      </w:r>
    </w:p>
    <w:p w:rsidR="00DB709F" w:rsidRDefault="00DB709F" w:rsidP="00DB709F">
      <w:pPr>
        <w:spacing w:line="240" w:lineRule="auto"/>
        <w:rPr>
          <w:szCs w:val="28"/>
        </w:rPr>
      </w:pPr>
      <w:r w:rsidRPr="00974E20">
        <w:rPr>
          <w:szCs w:val="28"/>
        </w:rPr>
        <w:t>2012.</w:t>
      </w:r>
      <w:r w:rsidR="00E36326">
        <w:rPr>
          <w:szCs w:val="28"/>
        </w:rPr>
        <w:t> </w:t>
      </w:r>
      <w:r w:rsidRPr="00974E20">
        <w:rPr>
          <w:szCs w:val="28"/>
        </w:rPr>
        <w:t xml:space="preserve">gadā elektroenerģijas tirdzniecības pamata tarifs bez PVN </w:t>
      </w:r>
      <w:r w:rsidRPr="00DE35A5">
        <w:rPr>
          <w:b/>
          <w:szCs w:val="28"/>
        </w:rPr>
        <w:t>mājsaimniecībām</w:t>
      </w:r>
      <w:r w:rsidRPr="00974E20">
        <w:rPr>
          <w:szCs w:val="28"/>
        </w:rPr>
        <w:t xml:space="preserve"> bija 88,00 L</w:t>
      </w:r>
      <w:r>
        <w:rPr>
          <w:szCs w:val="28"/>
        </w:rPr>
        <w:t>VL</w:t>
      </w:r>
      <w:r w:rsidRPr="00974E20">
        <w:rPr>
          <w:szCs w:val="28"/>
        </w:rPr>
        <w:t>/MWh</w:t>
      </w:r>
      <w:r>
        <w:rPr>
          <w:szCs w:val="28"/>
        </w:rPr>
        <w:t xml:space="preserve"> (ar PVN 106,48 </w:t>
      </w:r>
      <w:r w:rsidRPr="00974E20">
        <w:rPr>
          <w:szCs w:val="28"/>
        </w:rPr>
        <w:t>L</w:t>
      </w:r>
      <w:r>
        <w:rPr>
          <w:szCs w:val="28"/>
        </w:rPr>
        <w:t>VL</w:t>
      </w:r>
      <w:r w:rsidRPr="00974E20">
        <w:rPr>
          <w:szCs w:val="28"/>
        </w:rPr>
        <w:t>/MWh</w:t>
      </w:r>
      <w:r>
        <w:rPr>
          <w:szCs w:val="28"/>
        </w:rPr>
        <w:t>)</w:t>
      </w:r>
      <w:r w:rsidRPr="00974E20">
        <w:rPr>
          <w:szCs w:val="28"/>
        </w:rPr>
        <w:t xml:space="preserve">. </w:t>
      </w:r>
      <w:r>
        <w:rPr>
          <w:szCs w:val="28"/>
        </w:rPr>
        <w:t xml:space="preserve">Prognozēts, ka </w:t>
      </w:r>
      <w:r w:rsidRPr="00974E20">
        <w:rPr>
          <w:szCs w:val="28"/>
        </w:rPr>
        <w:t>2015.</w:t>
      </w:r>
      <w:r w:rsidR="00E36326">
        <w:rPr>
          <w:szCs w:val="28"/>
        </w:rPr>
        <w:t> </w:t>
      </w:r>
      <w:r w:rsidRPr="00974E20">
        <w:rPr>
          <w:szCs w:val="28"/>
        </w:rPr>
        <w:t>gadā, kad mājsaimniecības būs</w:t>
      </w:r>
      <w:r>
        <w:rPr>
          <w:szCs w:val="28"/>
        </w:rPr>
        <w:t xml:space="preserve"> kļuvušas par</w:t>
      </w:r>
      <w:r w:rsidRPr="00974E20">
        <w:rPr>
          <w:szCs w:val="28"/>
        </w:rPr>
        <w:t xml:space="preserve"> elektroenerģijas tirgus dalībnieki</w:t>
      </w:r>
      <w:r>
        <w:rPr>
          <w:szCs w:val="28"/>
        </w:rPr>
        <w:t>em</w:t>
      </w:r>
      <w:r w:rsidRPr="00974E20">
        <w:rPr>
          <w:szCs w:val="28"/>
        </w:rPr>
        <w:t xml:space="preserve">, elektroenerģijas kopējā cena būs </w:t>
      </w:r>
      <w:r>
        <w:rPr>
          <w:szCs w:val="28"/>
        </w:rPr>
        <w:t>ap 106</w:t>
      </w:r>
      <w:r w:rsidRPr="00974E20">
        <w:rPr>
          <w:szCs w:val="28"/>
        </w:rPr>
        <w:t xml:space="preserve"> </w:t>
      </w:r>
      <w:r w:rsidRPr="00974E20">
        <w:rPr>
          <w:szCs w:val="28"/>
        </w:rPr>
        <w:lastRenderedPageBreak/>
        <w:t>L</w:t>
      </w:r>
      <w:r>
        <w:rPr>
          <w:szCs w:val="28"/>
        </w:rPr>
        <w:t>VL</w:t>
      </w:r>
      <w:r w:rsidRPr="00974E20">
        <w:rPr>
          <w:szCs w:val="28"/>
        </w:rPr>
        <w:t>/MWh</w:t>
      </w:r>
      <w:r>
        <w:rPr>
          <w:szCs w:val="28"/>
        </w:rPr>
        <w:t xml:space="preserve"> (ar PVN 128 </w:t>
      </w:r>
      <w:r w:rsidRPr="00974E20">
        <w:rPr>
          <w:szCs w:val="28"/>
        </w:rPr>
        <w:t>L</w:t>
      </w:r>
      <w:r>
        <w:rPr>
          <w:szCs w:val="28"/>
        </w:rPr>
        <w:t>VL</w:t>
      </w:r>
      <w:r w:rsidRPr="00974E20">
        <w:rPr>
          <w:szCs w:val="28"/>
        </w:rPr>
        <w:t>/MWh</w:t>
      </w:r>
      <w:r>
        <w:rPr>
          <w:szCs w:val="28"/>
        </w:rPr>
        <w:t>)</w:t>
      </w:r>
      <w:r w:rsidRPr="00974E20">
        <w:rPr>
          <w:szCs w:val="28"/>
        </w:rPr>
        <w:t>, 2020.</w:t>
      </w:r>
      <w:r w:rsidR="00E36326">
        <w:rPr>
          <w:szCs w:val="28"/>
        </w:rPr>
        <w:t> </w:t>
      </w:r>
      <w:r w:rsidRPr="00974E20">
        <w:rPr>
          <w:szCs w:val="28"/>
        </w:rPr>
        <w:t xml:space="preserve">gadā </w:t>
      </w:r>
      <w:r>
        <w:rPr>
          <w:szCs w:val="28"/>
        </w:rPr>
        <w:t>varētu</w:t>
      </w:r>
      <w:r w:rsidRPr="00974E20">
        <w:rPr>
          <w:szCs w:val="28"/>
        </w:rPr>
        <w:t xml:space="preserve"> sasnieg</w:t>
      </w:r>
      <w:r>
        <w:rPr>
          <w:szCs w:val="28"/>
        </w:rPr>
        <w:t>t</w:t>
      </w:r>
      <w:r w:rsidRPr="00974E20">
        <w:rPr>
          <w:szCs w:val="28"/>
        </w:rPr>
        <w:t xml:space="preserve"> 13</w:t>
      </w:r>
      <w:r>
        <w:rPr>
          <w:szCs w:val="28"/>
        </w:rPr>
        <w:t xml:space="preserve">5 </w:t>
      </w:r>
      <w:r w:rsidRPr="00974E20">
        <w:rPr>
          <w:szCs w:val="28"/>
        </w:rPr>
        <w:t>L</w:t>
      </w:r>
      <w:r>
        <w:rPr>
          <w:szCs w:val="28"/>
        </w:rPr>
        <w:t>VL</w:t>
      </w:r>
      <w:r w:rsidRPr="00974E20">
        <w:rPr>
          <w:szCs w:val="28"/>
        </w:rPr>
        <w:t>/MWh</w:t>
      </w:r>
      <w:r>
        <w:rPr>
          <w:szCs w:val="28"/>
        </w:rPr>
        <w:t xml:space="preserve"> (ar PVN 163 </w:t>
      </w:r>
      <w:r w:rsidRPr="00974E20">
        <w:rPr>
          <w:szCs w:val="28"/>
        </w:rPr>
        <w:t>L</w:t>
      </w:r>
      <w:r>
        <w:rPr>
          <w:szCs w:val="28"/>
        </w:rPr>
        <w:t>VL</w:t>
      </w:r>
      <w:r w:rsidRPr="00974E20">
        <w:rPr>
          <w:szCs w:val="28"/>
        </w:rPr>
        <w:t>/MWh</w:t>
      </w:r>
      <w:r>
        <w:rPr>
          <w:szCs w:val="28"/>
        </w:rPr>
        <w:t>)</w:t>
      </w:r>
      <w:r w:rsidRPr="00974E20">
        <w:rPr>
          <w:szCs w:val="28"/>
        </w:rPr>
        <w:t xml:space="preserve"> (</w:t>
      </w:r>
      <w:r w:rsidRPr="004D46D5">
        <w:rPr>
          <w:i/>
          <w:szCs w:val="28"/>
        </w:rPr>
        <w:t>skat.</w:t>
      </w:r>
      <w:r w:rsidR="00E36326">
        <w:rPr>
          <w:i/>
          <w:szCs w:val="28"/>
        </w:rPr>
        <w:t>20</w:t>
      </w:r>
      <w:r w:rsidRPr="004D46D5">
        <w:rPr>
          <w:i/>
          <w:szCs w:val="28"/>
        </w:rPr>
        <w:t>.attēlu</w:t>
      </w:r>
      <w:r w:rsidRPr="00974E20">
        <w:rPr>
          <w:szCs w:val="28"/>
        </w:rPr>
        <w:t xml:space="preserve">). </w:t>
      </w:r>
    </w:p>
    <w:p w:rsidR="009C100D" w:rsidRPr="00974E20" w:rsidRDefault="009C100D" w:rsidP="00FE125B">
      <w:pPr>
        <w:spacing w:line="240" w:lineRule="auto"/>
        <w:ind w:firstLine="0"/>
        <w:rPr>
          <w:szCs w:val="28"/>
        </w:rPr>
      </w:pPr>
      <w:r>
        <w:rPr>
          <w:noProof/>
          <w:lang w:eastAsia="lv-LV"/>
        </w:rPr>
        <w:drawing>
          <wp:inline distT="0" distB="0" distL="0" distR="0" wp14:anchorId="006FB680" wp14:editId="58B8FFD3">
            <wp:extent cx="5486400" cy="282384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A6568" w:rsidRPr="008A259F" w:rsidRDefault="00E36326" w:rsidP="008A259F">
      <w:pPr>
        <w:spacing w:after="0" w:line="240" w:lineRule="auto"/>
        <w:ind w:firstLine="0"/>
        <w:rPr>
          <w:b/>
          <w:sz w:val="24"/>
          <w:szCs w:val="24"/>
        </w:rPr>
      </w:pPr>
      <w:r>
        <w:rPr>
          <w:b/>
          <w:sz w:val="24"/>
          <w:szCs w:val="24"/>
        </w:rPr>
        <w:t>20</w:t>
      </w:r>
      <w:r w:rsidR="00CA6568" w:rsidRPr="008A259F">
        <w:rPr>
          <w:b/>
          <w:sz w:val="24"/>
          <w:szCs w:val="24"/>
        </w:rPr>
        <w:t>.attēls. Elektroenerģijas kopējā cena mājsaimniecībām 2012.-2020.</w:t>
      </w:r>
      <w:r>
        <w:rPr>
          <w:b/>
          <w:sz w:val="24"/>
          <w:szCs w:val="24"/>
        </w:rPr>
        <w:t> </w:t>
      </w:r>
      <w:r w:rsidR="00CA6568" w:rsidRPr="008A259F">
        <w:rPr>
          <w:b/>
          <w:sz w:val="24"/>
          <w:szCs w:val="24"/>
        </w:rPr>
        <w:t>gadam*</w:t>
      </w:r>
      <w:r w:rsidR="002C5CA0" w:rsidRPr="008A259F">
        <w:rPr>
          <w:b/>
          <w:sz w:val="24"/>
          <w:szCs w:val="24"/>
        </w:rPr>
        <w:t>, bez PVN.</w:t>
      </w:r>
    </w:p>
    <w:p w:rsidR="00CA6568" w:rsidRPr="008A259F" w:rsidRDefault="00CA6568" w:rsidP="008A259F">
      <w:pPr>
        <w:spacing w:after="0" w:line="240" w:lineRule="auto"/>
        <w:ind w:firstLine="0"/>
        <w:rPr>
          <w:sz w:val="24"/>
          <w:szCs w:val="24"/>
        </w:rPr>
      </w:pPr>
      <w:r w:rsidRPr="008A259F">
        <w:rPr>
          <w:sz w:val="24"/>
          <w:szCs w:val="24"/>
        </w:rPr>
        <w:t>*2012.</w:t>
      </w:r>
      <w:r w:rsidR="00E36326">
        <w:rPr>
          <w:sz w:val="24"/>
          <w:szCs w:val="24"/>
        </w:rPr>
        <w:t> </w:t>
      </w:r>
      <w:r w:rsidRPr="008A259F">
        <w:rPr>
          <w:sz w:val="24"/>
          <w:szCs w:val="24"/>
        </w:rPr>
        <w:t>gada sistēmas pakalpojumu maksā ietverta tirdzniecības pakalpojuma maksa</w:t>
      </w:r>
    </w:p>
    <w:p w:rsidR="008A259F" w:rsidRPr="008A259F" w:rsidRDefault="00CA6568" w:rsidP="008A259F">
      <w:pPr>
        <w:spacing w:after="0" w:line="240" w:lineRule="auto"/>
        <w:ind w:firstLine="0"/>
        <w:rPr>
          <w:sz w:val="20"/>
          <w:szCs w:val="24"/>
        </w:rPr>
      </w:pPr>
      <w:r w:rsidRPr="008A259F">
        <w:rPr>
          <w:sz w:val="20"/>
          <w:szCs w:val="24"/>
        </w:rPr>
        <w:t xml:space="preserve">Avots: AS „Latvenergo”, </w:t>
      </w:r>
      <w:r w:rsidR="009A55A2" w:rsidRPr="00FE74DD">
        <w:rPr>
          <w:sz w:val="20"/>
          <w:szCs w:val="20"/>
        </w:rPr>
        <w:t>Ekonomikas ministrija</w:t>
      </w:r>
      <w:r w:rsidR="009A55A2" w:rsidRPr="008A259F" w:rsidDel="009A55A2">
        <w:rPr>
          <w:sz w:val="20"/>
          <w:szCs w:val="24"/>
        </w:rPr>
        <w:t xml:space="preserve"> </w:t>
      </w:r>
    </w:p>
    <w:p w:rsidR="00CA6568" w:rsidRDefault="00CA6568" w:rsidP="00CA6568">
      <w:pPr>
        <w:spacing w:line="240" w:lineRule="auto"/>
        <w:rPr>
          <w:szCs w:val="28"/>
        </w:rPr>
      </w:pPr>
      <w:r w:rsidRPr="00974E20">
        <w:rPr>
          <w:szCs w:val="28"/>
        </w:rPr>
        <w:t>Prognozētais kopējās elektroenerģijas cenas mājsaimniecībām pieaugums attiecībā pret 2012.</w:t>
      </w:r>
      <w:r w:rsidR="00E36326">
        <w:rPr>
          <w:szCs w:val="28"/>
        </w:rPr>
        <w:t> </w:t>
      </w:r>
      <w:r w:rsidRPr="00974E20">
        <w:rPr>
          <w:szCs w:val="28"/>
        </w:rPr>
        <w:t xml:space="preserve">gadu </w:t>
      </w:r>
      <w:r w:rsidR="00F63C66">
        <w:rPr>
          <w:szCs w:val="28"/>
        </w:rPr>
        <w:t xml:space="preserve">varētu </w:t>
      </w:r>
      <w:r w:rsidRPr="00974E20">
        <w:rPr>
          <w:szCs w:val="28"/>
        </w:rPr>
        <w:t>aptuveni</w:t>
      </w:r>
      <w:r>
        <w:rPr>
          <w:szCs w:val="28"/>
        </w:rPr>
        <w:t xml:space="preserve"> </w:t>
      </w:r>
      <w:r w:rsidR="009C100D">
        <w:rPr>
          <w:szCs w:val="28"/>
        </w:rPr>
        <w:t>20</w:t>
      </w:r>
      <w:r>
        <w:rPr>
          <w:szCs w:val="28"/>
        </w:rPr>
        <w:t>% 2015.</w:t>
      </w:r>
      <w:r w:rsidR="00E36326">
        <w:rPr>
          <w:szCs w:val="28"/>
        </w:rPr>
        <w:t> </w:t>
      </w:r>
      <w:r>
        <w:rPr>
          <w:szCs w:val="28"/>
        </w:rPr>
        <w:t xml:space="preserve">gadā un </w:t>
      </w:r>
      <w:r w:rsidR="009C100D">
        <w:rPr>
          <w:szCs w:val="28"/>
        </w:rPr>
        <w:t>53</w:t>
      </w:r>
      <w:r>
        <w:rPr>
          <w:szCs w:val="28"/>
        </w:rPr>
        <w:t>% 2020.</w:t>
      </w:r>
      <w:r w:rsidR="00E36326">
        <w:rPr>
          <w:szCs w:val="28"/>
        </w:rPr>
        <w:t> </w:t>
      </w:r>
      <w:r>
        <w:rPr>
          <w:szCs w:val="28"/>
        </w:rPr>
        <w:t>gadā.</w:t>
      </w:r>
    </w:p>
    <w:p w:rsidR="00DB709F" w:rsidRPr="00E36326" w:rsidRDefault="00DB709F" w:rsidP="00DB709F">
      <w:pPr>
        <w:pStyle w:val="NormalWeb"/>
        <w:shd w:val="clear" w:color="auto" w:fill="FFFFFF"/>
        <w:spacing w:before="0" w:beforeAutospacing="0" w:after="0" w:afterAutospacing="0"/>
        <w:ind w:firstLine="709"/>
        <w:jc w:val="both"/>
        <w:rPr>
          <w:rFonts w:ascii="Times New Roman" w:hAnsi="Times New Roman"/>
          <w:sz w:val="28"/>
          <w:szCs w:val="28"/>
        </w:rPr>
      </w:pPr>
      <w:r w:rsidRPr="00E36326">
        <w:rPr>
          <w:rFonts w:ascii="Times New Roman" w:hAnsi="Times New Roman"/>
          <w:sz w:val="28"/>
          <w:szCs w:val="28"/>
        </w:rPr>
        <w:t xml:space="preserve">Kopš MK noteikumu Nr.221 un MK noteikumu Nr.262 stāšanās spēkā ir mainījušies vairāki būtiski faktori, kuri ietekmē elektroenerģijas kopējās cenas prognozes. </w:t>
      </w:r>
    </w:p>
    <w:p w:rsidR="00DB709F" w:rsidRPr="00E36326" w:rsidRDefault="00DB709F" w:rsidP="00DB709F">
      <w:pPr>
        <w:pStyle w:val="NormalWeb"/>
        <w:shd w:val="clear" w:color="auto" w:fill="FFFFFF"/>
        <w:spacing w:before="0" w:beforeAutospacing="0" w:after="0" w:afterAutospacing="0"/>
        <w:ind w:firstLine="709"/>
        <w:jc w:val="both"/>
        <w:rPr>
          <w:rFonts w:ascii="Times New Roman" w:hAnsi="Times New Roman"/>
          <w:sz w:val="28"/>
          <w:szCs w:val="28"/>
        </w:rPr>
      </w:pPr>
      <w:r w:rsidRPr="00E36326">
        <w:rPr>
          <w:rFonts w:ascii="Times New Roman" w:hAnsi="Times New Roman"/>
          <w:sz w:val="28"/>
          <w:szCs w:val="28"/>
        </w:rPr>
        <w:t>1) Jaunākās prognozes attiecībā uz elektroenerģijas galapatēriņu 2020.</w:t>
      </w:r>
      <w:r w:rsidR="00E36326" w:rsidRPr="00E36326">
        <w:rPr>
          <w:rFonts w:ascii="Times New Roman" w:hAnsi="Times New Roman"/>
          <w:sz w:val="28"/>
          <w:szCs w:val="28"/>
        </w:rPr>
        <w:t> </w:t>
      </w:r>
      <w:r w:rsidRPr="00E36326">
        <w:rPr>
          <w:rFonts w:ascii="Times New Roman" w:hAnsi="Times New Roman"/>
          <w:sz w:val="28"/>
          <w:szCs w:val="28"/>
        </w:rPr>
        <w:t>gadā, kas izriet no PSO ikgadējā novērtējuma ziņojuma par 2011.</w:t>
      </w:r>
      <w:r w:rsidR="00E36326" w:rsidRPr="00E36326">
        <w:rPr>
          <w:rFonts w:ascii="Times New Roman" w:hAnsi="Times New Roman"/>
          <w:sz w:val="28"/>
          <w:szCs w:val="28"/>
        </w:rPr>
        <w:t> </w:t>
      </w:r>
      <w:r w:rsidRPr="00E36326">
        <w:rPr>
          <w:rFonts w:ascii="Times New Roman" w:hAnsi="Times New Roman"/>
          <w:sz w:val="28"/>
          <w:szCs w:val="28"/>
        </w:rPr>
        <w:t>gadu, šobrīd, ļauj prognozēt, ka no AER saražotās elektroenerģijas patēriņš 2020.</w:t>
      </w:r>
      <w:r w:rsidR="00E36326" w:rsidRPr="00E36326">
        <w:rPr>
          <w:rFonts w:ascii="Times New Roman" w:hAnsi="Times New Roman"/>
          <w:sz w:val="28"/>
          <w:szCs w:val="28"/>
        </w:rPr>
        <w:t> </w:t>
      </w:r>
      <w:r w:rsidRPr="00E36326">
        <w:rPr>
          <w:rFonts w:ascii="Times New Roman" w:hAnsi="Times New Roman"/>
          <w:sz w:val="28"/>
          <w:szCs w:val="28"/>
        </w:rPr>
        <w:t>gadā varētu būt mazāks, sasniedzot 4600 GWh. Savukārt kopējā elektroenerģijas patēriņa prognoze no 12,3 TWh (PSO novērtējuma ziņojums par 2006.</w:t>
      </w:r>
      <w:r w:rsidR="00E36326" w:rsidRPr="00E36326">
        <w:rPr>
          <w:rFonts w:ascii="Times New Roman" w:hAnsi="Times New Roman"/>
          <w:sz w:val="28"/>
          <w:szCs w:val="28"/>
        </w:rPr>
        <w:t> </w:t>
      </w:r>
      <w:r w:rsidRPr="00E36326">
        <w:rPr>
          <w:rFonts w:ascii="Times New Roman" w:hAnsi="Times New Roman"/>
          <w:sz w:val="28"/>
          <w:szCs w:val="28"/>
        </w:rPr>
        <w:t>gadu) samazinājusies līdz 8,8 TWh</w:t>
      </w:r>
      <w:r w:rsidRPr="00E36326">
        <w:rPr>
          <w:rStyle w:val="FootnoteReference"/>
          <w:rFonts w:ascii="Times New Roman" w:hAnsi="Times New Roman"/>
          <w:sz w:val="28"/>
          <w:szCs w:val="28"/>
        </w:rPr>
        <w:footnoteReference w:id="5"/>
      </w:r>
      <w:r w:rsidRPr="00E36326">
        <w:rPr>
          <w:rFonts w:ascii="Times New Roman" w:hAnsi="Times New Roman"/>
          <w:sz w:val="28"/>
          <w:szCs w:val="28"/>
        </w:rPr>
        <w:t>. Patēriņa apjoma prognozes arī precizētas, ņemot vērā 2011.</w:t>
      </w:r>
      <w:r w:rsidR="00E36326" w:rsidRPr="00E36326">
        <w:rPr>
          <w:rFonts w:ascii="Times New Roman" w:hAnsi="Times New Roman"/>
          <w:sz w:val="28"/>
          <w:szCs w:val="28"/>
        </w:rPr>
        <w:t> </w:t>
      </w:r>
      <w:r w:rsidRPr="00E36326">
        <w:rPr>
          <w:rFonts w:ascii="Times New Roman" w:hAnsi="Times New Roman"/>
          <w:sz w:val="28"/>
          <w:szCs w:val="28"/>
        </w:rPr>
        <w:t>gadā Latvijā notikušajās tautas skaitīšanā iegūtos provizoriskos datus, kas raksturo valsts iedzīvotāju skaitu tautas skaitīšanas kritiskajā momentā – 2011.</w:t>
      </w:r>
      <w:r w:rsidR="00E36326" w:rsidRPr="00E36326">
        <w:rPr>
          <w:rFonts w:ascii="Times New Roman" w:hAnsi="Times New Roman"/>
          <w:sz w:val="28"/>
          <w:szCs w:val="28"/>
        </w:rPr>
        <w:t> </w:t>
      </w:r>
      <w:r w:rsidRPr="00E36326">
        <w:rPr>
          <w:rFonts w:ascii="Times New Roman" w:hAnsi="Times New Roman"/>
          <w:sz w:val="28"/>
          <w:szCs w:val="28"/>
        </w:rPr>
        <w:t>gada 1.</w:t>
      </w:r>
      <w:r w:rsidR="00E36326" w:rsidRPr="00E36326">
        <w:rPr>
          <w:rFonts w:ascii="Times New Roman" w:hAnsi="Times New Roman"/>
          <w:sz w:val="28"/>
          <w:szCs w:val="28"/>
        </w:rPr>
        <w:t> </w:t>
      </w:r>
      <w:r w:rsidRPr="00E36326">
        <w:rPr>
          <w:rFonts w:ascii="Times New Roman" w:hAnsi="Times New Roman"/>
          <w:sz w:val="28"/>
          <w:szCs w:val="28"/>
        </w:rPr>
        <w:t>martā, kas atšķiras no Centrālās statistikas pārvaldes aprēķinātajiem un agrāk publicētajiem datiem atbilstoši situācijai 2011.</w:t>
      </w:r>
      <w:r w:rsidR="00E36326" w:rsidRPr="00E36326">
        <w:rPr>
          <w:rFonts w:ascii="Times New Roman" w:hAnsi="Times New Roman"/>
          <w:sz w:val="28"/>
          <w:szCs w:val="28"/>
        </w:rPr>
        <w:t> </w:t>
      </w:r>
      <w:r w:rsidRPr="00E36326">
        <w:rPr>
          <w:rFonts w:ascii="Times New Roman" w:hAnsi="Times New Roman"/>
          <w:sz w:val="28"/>
          <w:szCs w:val="28"/>
        </w:rPr>
        <w:t>gada sākumā. Šo atšķirību pamatā ir tas, ka liela daļa iedzīvotāju, pārceļoties uz dzīvi un uzsākot darbu citā valstī, neinformē par to atbildīgās Latvijas valsts institūcijas, kam būtu jāizdara izmaiņas datos par šo Latvijas valsts piederīgo dzīvesvietu ārpus Latvijas.</w:t>
      </w:r>
    </w:p>
    <w:p w:rsidR="00DB709F" w:rsidRPr="00E36326" w:rsidRDefault="00DB709F" w:rsidP="00DB709F">
      <w:pPr>
        <w:spacing w:before="0" w:after="0" w:line="240" w:lineRule="auto"/>
        <w:rPr>
          <w:rFonts w:eastAsia="Calibri" w:cs="Times New Roman"/>
          <w:noProof/>
          <w:szCs w:val="28"/>
          <w:lang w:eastAsia="lv-LV"/>
        </w:rPr>
      </w:pPr>
      <w:r w:rsidRPr="00E36326">
        <w:rPr>
          <w:rFonts w:cs="Times New Roman"/>
          <w:szCs w:val="28"/>
        </w:rPr>
        <w:lastRenderedPageBreak/>
        <w:t xml:space="preserve">2) </w:t>
      </w:r>
      <w:r w:rsidRPr="00E36326">
        <w:rPr>
          <w:rFonts w:eastAsia="Arial Unicode MS" w:cs="Times New Roman"/>
          <w:szCs w:val="28"/>
        </w:rPr>
        <w:t>Vienlaikus 2009.</w:t>
      </w:r>
      <w:r w:rsidR="00E36326" w:rsidRPr="00E36326">
        <w:rPr>
          <w:rFonts w:eastAsia="Arial Unicode MS" w:cs="Times New Roman"/>
          <w:szCs w:val="28"/>
        </w:rPr>
        <w:t> </w:t>
      </w:r>
      <w:r w:rsidRPr="00E36326">
        <w:rPr>
          <w:rFonts w:eastAsia="Arial Unicode MS" w:cs="Times New Roman"/>
          <w:szCs w:val="28"/>
        </w:rPr>
        <w:t>gadā  dabasgāzes cenas nākotnes prognoze bija zemāk</w:t>
      </w:r>
      <w:r w:rsidR="00C22381">
        <w:rPr>
          <w:rFonts w:eastAsia="Arial Unicode MS" w:cs="Times New Roman"/>
          <w:szCs w:val="28"/>
        </w:rPr>
        <w:t>a</w:t>
      </w:r>
      <w:r w:rsidRPr="00E36326">
        <w:rPr>
          <w:rFonts w:eastAsia="Arial Unicode MS" w:cs="Times New Roman"/>
          <w:szCs w:val="28"/>
        </w:rPr>
        <w:t xml:space="preserve"> nekā šobrīd </w:t>
      </w:r>
      <w:r w:rsidR="00C22381">
        <w:rPr>
          <w:rFonts w:eastAsia="Arial Unicode MS" w:cs="Times New Roman"/>
          <w:szCs w:val="28"/>
        </w:rPr>
        <w:t>faktiski</w:t>
      </w:r>
      <w:r w:rsidRPr="00E36326">
        <w:rPr>
          <w:rFonts w:eastAsia="Arial Unicode MS" w:cs="Times New Roman"/>
          <w:szCs w:val="28"/>
        </w:rPr>
        <w:t xml:space="preserve">. </w:t>
      </w:r>
      <w:r w:rsidRPr="00E36326">
        <w:rPr>
          <w:rFonts w:eastAsia="Times New Roman" w:cs="Times New Roman"/>
          <w:szCs w:val="28"/>
          <w:lang w:eastAsia="lv-LV"/>
        </w:rPr>
        <w:t>D</w:t>
      </w:r>
      <w:r w:rsidRPr="00E36326">
        <w:rPr>
          <w:rFonts w:eastAsia="Times New Roman" w:cs="Times New Roman"/>
          <w:bCs/>
          <w:szCs w:val="28"/>
          <w:lang w:eastAsia="lv-LV"/>
        </w:rPr>
        <w:t xml:space="preserve">abasgāzes tirdzniecības gala tarifu izmaiņas un dabasgāzes tirdzniecības cenas izmaiņas laika posmā </w:t>
      </w:r>
      <w:r w:rsidRPr="00E36326">
        <w:rPr>
          <w:rFonts w:eastAsia="Times New Roman" w:cs="Times New Roman"/>
          <w:bCs/>
          <w:szCs w:val="28"/>
          <w:vertAlign w:val="superscript"/>
          <w:lang w:eastAsia="lv-LV"/>
        </w:rPr>
        <w:t xml:space="preserve"> </w:t>
      </w:r>
      <w:r w:rsidRPr="00E36326">
        <w:rPr>
          <w:rFonts w:eastAsia="Calibri" w:cs="Times New Roman"/>
          <w:noProof/>
          <w:szCs w:val="28"/>
          <w:lang w:eastAsia="lv-LV"/>
        </w:rPr>
        <w:t>no 2007.</w:t>
      </w:r>
      <w:r w:rsidR="00E36326">
        <w:rPr>
          <w:rFonts w:eastAsia="Calibri" w:cs="Times New Roman"/>
          <w:noProof/>
          <w:szCs w:val="28"/>
          <w:lang w:eastAsia="lv-LV"/>
        </w:rPr>
        <w:t> </w:t>
      </w:r>
      <w:r w:rsidRPr="00E36326">
        <w:rPr>
          <w:rFonts w:eastAsia="Calibri" w:cs="Times New Roman"/>
          <w:noProof/>
          <w:szCs w:val="28"/>
          <w:lang w:eastAsia="lv-LV"/>
        </w:rPr>
        <w:t>gada 1.</w:t>
      </w:r>
      <w:r w:rsidR="00E36326">
        <w:rPr>
          <w:rFonts w:eastAsia="Calibri" w:cs="Times New Roman"/>
          <w:noProof/>
          <w:szCs w:val="28"/>
          <w:lang w:eastAsia="lv-LV"/>
        </w:rPr>
        <w:t> </w:t>
      </w:r>
      <w:r w:rsidRPr="00E36326">
        <w:rPr>
          <w:rFonts w:eastAsia="Calibri" w:cs="Times New Roman"/>
          <w:noProof/>
          <w:szCs w:val="28"/>
          <w:lang w:eastAsia="lv-LV"/>
        </w:rPr>
        <w:t>jūlija līdz 2013.</w:t>
      </w:r>
      <w:r w:rsidR="00E36326">
        <w:rPr>
          <w:rFonts w:eastAsia="Calibri" w:cs="Times New Roman"/>
          <w:noProof/>
          <w:szCs w:val="28"/>
          <w:lang w:eastAsia="lv-LV"/>
        </w:rPr>
        <w:t> </w:t>
      </w:r>
      <w:r w:rsidRPr="00E36326">
        <w:rPr>
          <w:rFonts w:eastAsia="Calibri" w:cs="Times New Roman"/>
          <w:noProof/>
          <w:szCs w:val="28"/>
          <w:lang w:eastAsia="lv-LV"/>
        </w:rPr>
        <w:t>gada 1.</w:t>
      </w:r>
      <w:r w:rsidR="00E36326">
        <w:rPr>
          <w:rFonts w:eastAsia="Calibri" w:cs="Times New Roman"/>
          <w:noProof/>
          <w:szCs w:val="28"/>
          <w:lang w:eastAsia="lv-LV"/>
        </w:rPr>
        <w:t> </w:t>
      </w:r>
      <w:r w:rsidRPr="00E36326">
        <w:rPr>
          <w:rFonts w:eastAsia="Calibri" w:cs="Times New Roman"/>
          <w:noProof/>
          <w:szCs w:val="28"/>
          <w:lang w:eastAsia="lv-LV"/>
        </w:rPr>
        <w:t xml:space="preserve">februārim var apskatīt </w:t>
      </w:r>
      <w:r w:rsidR="00E36326" w:rsidRPr="00E36326">
        <w:rPr>
          <w:rFonts w:eastAsia="Calibri" w:cs="Times New Roman"/>
          <w:noProof/>
          <w:szCs w:val="28"/>
          <w:lang w:eastAsia="lv-LV"/>
        </w:rPr>
        <w:t>21.</w:t>
      </w:r>
      <w:r w:rsidRPr="00E36326">
        <w:rPr>
          <w:rFonts w:eastAsia="Calibri" w:cs="Times New Roman"/>
          <w:noProof/>
          <w:szCs w:val="28"/>
          <w:lang w:eastAsia="lv-LV"/>
        </w:rPr>
        <w:t>attēlā.</w:t>
      </w:r>
      <w:r w:rsidR="00BD06A5" w:rsidRPr="00E36326">
        <w:rPr>
          <w:rFonts w:eastAsia="Calibri" w:cs="Times New Roman"/>
          <w:noProof/>
          <w:szCs w:val="28"/>
          <w:lang w:eastAsia="lv-LV"/>
        </w:rPr>
        <w:t xml:space="preserve"> Gadījumos, kad atbalstu nosaka pēc formulas, kur viens no mainīgajiem ir dabasgāzes cena, atbalsts neierobežoti pieaug. Vienlaikus maksājot par elektroenerģiju augstāku cenu tiek samazināts siltuma</w:t>
      </w:r>
      <w:r w:rsidR="00C22381">
        <w:rPr>
          <w:rFonts w:eastAsia="Calibri" w:cs="Times New Roman"/>
          <w:noProof/>
          <w:szCs w:val="28"/>
          <w:lang w:eastAsia="lv-LV"/>
        </w:rPr>
        <w:t>,</w:t>
      </w:r>
      <w:r w:rsidR="00BD06A5" w:rsidRPr="00E36326">
        <w:rPr>
          <w:rFonts w:eastAsia="Calibri" w:cs="Times New Roman"/>
          <w:noProof/>
          <w:szCs w:val="28"/>
          <w:lang w:eastAsia="lv-LV"/>
        </w:rPr>
        <w:t xml:space="preserve"> </w:t>
      </w:r>
      <w:r w:rsidR="00C22381" w:rsidRPr="00E36326">
        <w:rPr>
          <w:rFonts w:eastAsia="Calibri" w:cs="Times New Roman"/>
          <w:noProof/>
          <w:szCs w:val="28"/>
          <w:lang w:eastAsia="lv-LV"/>
        </w:rPr>
        <w:t>kas ražots koģenerācijas stacijās</w:t>
      </w:r>
      <w:r w:rsidR="00C22381">
        <w:rPr>
          <w:rFonts w:eastAsia="Calibri" w:cs="Times New Roman"/>
          <w:noProof/>
          <w:szCs w:val="28"/>
          <w:lang w:eastAsia="lv-LV"/>
        </w:rPr>
        <w:t>,</w:t>
      </w:r>
      <w:r w:rsidR="00C22381" w:rsidRPr="00E36326">
        <w:rPr>
          <w:rFonts w:eastAsia="Calibri" w:cs="Times New Roman"/>
          <w:noProof/>
          <w:szCs w:val="28"/>
          <w:lang w:eastAsia="lv-LV"/>
        </w:rPr>
        <w:t xml:space="preserve"> </w:t>
      </w:r>
      <w:r w:rsidR="00BD06A5" w:rsidRPr="00E36326">
        <w:rPr>
          <w:rFonts w:eastAsia="Calibri" w:cs="Times New Roman"/>
          <w:noProof/>
          <w:szCs w:val="28"/>
          <w:lang w:eastAsia="lv-LV"/>
        </w:rPr>
        <w:t>tarifs</w:t>
      </w:r>
      <w:r w:rsidR="00C22381">
        <w:rPr>
          <w:rFonts w:eastAsia="Calibri" w:cs="Times New Roman"/>
          <w:noProof/>
          <w:szCs w:val="28"/>
          <w:lang w:eastAsia="lv-LV"/>
        </w:rPr>
        <w:t>.</w:t>
      </w:r>
      <w:r w:rsidR="00BD06A5" w:rsidRPr="00E36326">
        <w:rPr>
          <w:rFonts w:eastAsia="Calibri" w:cs="Times New Roman"/>
          <w:noProof/>
          <w:szCs w:val="28"/>
          <w:lang w:eastAsia="lv-LV"/>
        </w:rPr>
        <w:t xml:space="preserve"> </w:t>
      </w:r>
      <w:r w:rsidR="00C22381">
        <w:rPr>
          <w:rFonts w:eastAsia="Calibri" w:cs="Times New Roman"/>
          <w:noProof/>
          <w:szCs w:val="28"/>
          <w:lang w:eastAsia="lv-LV"/>
        </w:rPr>
        <w:t>Tādejādi</w:t>
      </w:r>
      <w:r w:rsidR="00C22381" w:rsidRPr="00E36326">
        <w:rPr>
          <w:rFonts w:eastAsia="Calibri" w:cs="Times New Roman"/>
          <w:noProof/>
          <w:szCs w:val="28"/>
          <w:lang w:eastAsia="lv-LV"/>
        </w:rPr>
        <w:t xml:space="preserve"> </w:t>
      </w:r>
      <w:r w:rsidR="00BD06A5" w:rsidRPr="00E36326">
        <w:rPr>
          <w:rFonts w:eastAsia="Calibri" w:cs="Times New Roman"/>
          <w:noProof/>
          <w:szCs w:val="28"/>
          <w:lang w:eastAsia="lv-LV"/>
        </w:rPr>
        <w:t xml:space="preserve">visi Latvijas elektroenerģijas lietotāji </w:t>
      </w:r>
      <w:r w:rsidR="00C22381">
        <w:rPr>
          <w:rFonts w:eastAsia="Calibri" w:cs="Times New Roman"/>
          <w:noProof/>
          <w:szCs w:val="28"/>
          <w:lang w:eastAsia="lv-LV"/>
        </w:rPr>
        <w:t xml:space="preserve">netieši </w:t>
      </w:r>
      <w:r w:rsidR="00BD06A5" w:rsidRPr="00E36326">
        <w:rPr>
          <w:rFonts w:eastAsia="Calibri" w:cs="Times New Roman"/>
          <w:noProof/>
          <w:szCs w:val="28"/>
          <w:lang w:eastAsia="lv-LV"/>
        </w:rPr>
        <w:t>subsidē siltum</w:t>
      </w:r>
      <w:r w:rsidR="00C22381">
        <w:rPr>
          <w:rFonts w:eastAsia="Calibri" w:cs="Times New Roman"/>
          <w:noProof/>
          <w:szCs w:val="28"/>
          <w:lang w:eastAsia="lv-LV"/>
        </w:rPr>
        <w:t>a lietotājus</w:t>
      </w:r>
      <w:r w:rsidR="00BD06A5" w:rsidRPr="00E36326">
        <w:rPr>
          <w:rFonts w:eastAsia="Calibri" w:cs="Times New Roman"/>
          <w:noProof/>
          <w:szCs w:val="28"/>
          <w:lang w:eastAsia="lv-LV"/>
        </w:rPr>
        <w:t xml:space="preserve"> atsevišķās Latvijas teritorijās. </w:t>
      </w:r>
    </w:p>
    <w:p w:rsidR="00717244" w:rsidRPr="00636345" w:rsidRDefault="00DB709F" w:rsidP="00636345">
      <w:pPr>
        <w:spacing w:before="0" w:after="0" w:line="240" w:lineRule="auto"/>
        <w:rPr>
          <w:rFonts w:cs="Times New Roman"/>
          <w:szCs w:val="28"/>
        </w:rPr>
      </w:pPr>
      <w:r w:rsidRPr="00E36326">
        <w:rPr>
          <w:rFonts w:cs="Times New Roman"/>
          <w:szCs w:val="28"/>
        </w:rPr>
        <w:t xml:space="preserve">3) Kā redzams no informatīvā ziņojuma </w:t>
      </w:r>
      <w:r w:rsidR="00E36326">
        <w:rPr>
          <w:rFonts w:cs="Times New Roman"/>
          <w:szCs w:val="28"/>
        </w:rPr>
        <w:t>2</w:t>
      </w:r>
      <w:r w:rsidRPr="00E36326">
        <w:rPr>
          <w:rFonts w:cs="Times New Roman"/>
          <w:szCs w:val="28"/>
        </w:rPr>
        <w:t>.attēla 2012.</w:t>
      </w:r>
      <w:r w:rsidR="00E36326" w:rsidRPr="00E36326">
        <w:rPr>
          <w:rFonts w:cs="Times New Roman"/>
          <w:szCs w:val="28"/>
        </w:rPr>
        <w:t> </w:t>
      </w:r>
      <w:r w:rsidRPr="00E36326">
        <w:rPr>
          <w:rFonts w:cs="Times New Roman"/>
          <w:szCs w:val="28"/>
        </w:rPr>
        <w:t xml:space="preserve">gada </w:t>
      </w:r>
      <w:r w:rsidRPr="00636345">
        <w:rPr>
          <w:rFonts w:cs="Times New Roman"/>
          <w:szCs w:val="28"/>
        </w:rPr>
        <w:t>vidējā elektroenerģijas cena Nord Pool Spot biržā cena veido</w:t>
      </w:r>
      <w:r w:rsidR="00C22381" w:rsidRPr="00636345">
        <w:rPr>
          <w:rFonts w:cs="Times New Roman"/>
          <w:szCs w:val="28"/>
        </w:rPr>
        <w:t>ja</w:t>
      </w:r>
      <w:r w:rsidRPr="00636345">
        <w:rPr>
          <w:rFonts w:cs="Times New Roman"/>
          <w:szCs w:val="28"/>
        </w:rPr>
        <w:t xml:space="preserve"> vidēji 32,1 LVL/MWh un līdz 2020.</w:t>
      </w:r>
      <w:r w:rsidR="00E36326" w:rsidRPr="00636345">
        <w:rPr>
          <w:rFonts w:cs="Times New Roman"/>
          <w:szCs w:val="28"/>
        </w:rPr>
        <w:t> </w:t>
      </w:r>
      <w:r w:rsidRPr="00636345">
        <w:rPr>
          <w:rFonts w:cs="Times New Roman"/>
          <w:szCs w:val="28"/>
        </w:rPr>
        <w:t>gadam tiek prognozēts mērens vidējas elektroenerģijas cenas pieaugums līdz 36,1 LVL/MWh. Savukārt 2009.</w:t>
      </w:r>
      <w:r w:rsidR="00E36326" w:rsidRPr="00636345">
        <w:rPr>
          <w:rFonts w:cs="Times New Roman"/>
          <w:szCs w:val="28"/>
        </w:rPr>
        <w:t> </w:t>
      </w:r>
      <w:r w:rsidRPr="00636345">
        <w:rPr>
          <w:rFonts w:cs="Times New Roman"/>
          <w:szCs w:val="28"/>
        </w:rPr>
        <w:t>gadā vidējā elektroenerģijas cena 3 gadu perspektīvā tika prognozēta 42 LVL/MWh apmērā.</w:t>
      </w:r>
      <w:r w:rsidR="008737A6" w:rsidRPr="00636345">
        <w:rPr>
          <w:rFonts w:cs="Times New Roman"/>
          <w:szCs w:val="28"/>
        </w:rPr>
        <w:t xml:space="preserve"> Ņemot vērā, ka obligātā iepirkuma ietvaros tiek noteikta konkrēta saražotās elektroenerģijas iepirkuma cena, tad OIK maksājumi ir apgriezti proporcionāli elektroenerģijas cenai, jo augstāka cena, jo zemāki OIK maksājumi. Līdz ar to 2009.</w:t>
      </w:r>
      <w:r w:rsidR="00E36326" w:rsidRPr="00636345">
        <w:rPr>
          <w:rFonts w:cs="Times New Roman"/>
          <w:szCs w:val="28"/>
        </w:rPr>
        <w:t> </w:t>
      </w:r>
      <w:r w:rsidR="008737A6" w:rsidRPr="00636345">
        <w:rPr>
          <w:rFonts w:cs="Times New Roman"/>
          <w:szCs w:val="28"/>
        </w:rPr>
        <w:t>gadā tika prognozēts zemāks OIK maksājumu apjoms.</w:t>
      </w:r>
    </w:p>
    <w:p w:rsidR="002E7B7D" w:rsidRDefault="008737A6" w:rsidP="00717244">
      <w:pPr>
        <w:ind w:firstLine="0"/>
        <w:rPr>
          <w:rFonts w:eastAsia="Calibri" w:cs="Times New Roman"/>
          <w:b/>
          <w:noProof/>
          <w:color w:val="000000"/>
          <w:sz w:val="20"/>
          <w:szCs w:val="20"/>
          <w:lang w:eastAsia="lv-LV"/>
        </w:rPr>
        <w:sectPr w:rsidR="002E7B7D" w:rsidSect="00576EA1">
          <w:headerReference w:type="default" r:id="rId35"/>
          <w:footerReference w:type="default" r:id="rId36"/>
          <w:pgSz w:w="11906" w:h="16838"/>
          <w:pgMar w:top="1418" w:right="992" w:bottom="1134" w:left="1701" w:header="709" w:footer="709" w:gutter="0"/>
          <w:cols w:space="708"/>
          <w:titlePg/>
          <w:docGrid w:linePitch="360"/>
        </w:sectPr>
      </w:pPr>
      <w:r>
        <w:rPr>
          <w:rFonts w:eastAsia="Arial Unicode MS" w:cs="Times New Roman"/>
          <w:color w:val="666666"/>
          <w:szCs w:val="28"/>
          <w:highlight w:val="yellow"/>
        </w:rPr>
        <w:t xml:space="preserve"> </w:t>
      </w:r>
    </w:p>
    <w:p w:rsidR="002E7B7D" w:rsidRDefault="002E7B7D" w:rsidP="00E36326">
      <w:pPr>
        <w:ind w:firstLine="0"/>
        <w:jc w:val="center"/>
        <w:rPr>
          <w:rFonts w:eastAsia="Calibri" w:cs="Times New Roman"/>
          <w:b/>
          <w:noProof/>
          <w:color w:val="000000"/>
          <w:sz w:val="20"/>
          <w:szCs w:val="20"/>
          <w:lang w:eastAsia="lv-LV"/>
        </w:rPr>
      </w:pPr>
      <w:r w:rsidRPr="00E36326">
        <w:rPr>
          <w:rFonts w:eastAsia="Calibri" w:cs="Times New Roman"/>
          <w:noProof/>
          <w:color w:val="000000"/>
          <w:szCs w:val="28"/>
          <w:lang w:eastAsia="lv-LV"/>
        </w:rPr>
        <w:lastRenderedPageBreak/>
        <w:drawing>
          <wp:inline distT="0" distB="0" distL="0" distR="0" wp14:anchorId="4C3B2BC0" wp14:editId="150A51D9">
            <wp:extent cx="8886825" cy="47628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89720" cy="4764437"/>
                    </a:xfrm>
                    <a:prstGeom prst="rect">
                      <a:avLst/>
                    </a:prstGeom>
                    <a:noFill/>
                  </pic:spPr>
                </pic:pic>
              </a:graphicData>
            </a:graphic>
          </wp:inline>
        </w:drawing>
      </w:r>
    </w:p>
    <w:p w:rsidR="00DB709F" w:rsidRPr="00E36326" w:rsidRDefault="00E36326" w:rsidP="00DB709F">
      <w:pPr>
        <w:ind w:firstLine="0"/>
        <w:jc w:val="left"/>
        <w:rPr>
          <w:b/>
          <w:sz w:val="24"/>
          <w:szCs w:val="24"/>
        </w:rPr>
      </w:pPr>
      <w:r>
        <w:rPr>
          <w:b/>
          <w:sz w:val="24"/>
          <w:szCs w:val="24"/>
        </w:rPr>
        <w:t>21</w:t>
      </w:r>
      <w:r w:rsidRPr="008A259F">
        <w:rPr>
          <w:b/>
          <w:sz w:val="24"/>
          <w:szCs w:val="24"/>
        </w:rPr>
        <w:t xml:space="preserve">.attēls. </w:t>
      </w:r>
      <w:r w:rsidR="00DB709F" w:rsidRPr="00E36326">
        <w:rPr>
          <w:b/>
          <w:sz w:val="24"/>
          <w:szCs w:val="24"/>
        </w:rPr>
        <w:t>Dabasgāzes tirdzniecības gala tarifi un dabasgāzes tirdzniecības cena (LVL/tūkst.nm3) no 2007. gada 1. jūlija līdz 2013. gada 1. februārim.</w:t>
      </w:r>
    </w:p>
    <w:p w:rsidR="00DB709F" w:rsidRPr="00A06CE4" w:rsidRDefault="00DB709F" w:rsidP="00DB709F">
      <w:pPr>
        <w:ind w:firstLine="0"/>
        <w:jc w:val="left"/>
        <w:rPr>
          <w:rFonts w:eastAsia="Calibri" w:cs="Times New Roman"/>
          <w:noProof/>
          <w:color w:val="000000"/>
          <w:sz w:val="20"/>
          <w:szCs w:val="20"/>
          <w:lang w:eastAsia="lv-LV"/>
        </w:rPr>
      </w:pPr>
      <w:r w:rsidRPr="00A06CE4">
        <w:rPr>
          <w:rFonts w:eastAsia="Calibri" w:cs="Times New Roman"/>
          <w:noProof/>
          <w:color w:val="000000"/>
          <w:sz w:val="20"/>
          <w:szCs w:val="20"/>
          <w:lang w:eastAsia="lv-LV"/>
        </w:rPr>
        <w:t xml:space="preserve">Avots: </w:t>
      </w:r>
      <w:r>
        <w:rPr>
          <w:rFonts w:eastAsia="Calibri" w:cs="Times New Roman"/>
          <w:noProof/>
          <w:color w:val="000000"/>
          <w:sz w:val="20"/>
          <w:szCs w:val="20"/>
          <w:lang w:eastAsia="lv-LV"/>
        </w:rPr>
        <w:t>AS „Latvijas Gāze”</w:t>
      </w:r>
    </w:p>
    <w:p w:rsidR="002E7B7D" w:rsidRDefault="002E7B7D">
      <w:pPr>
        <w:spacing w:before="0" w:after="200"/>
        <w:ind w:firstLine="0"/>
        <w:jc w:val="left"/>
        <w:rPr>
          <w:szCs w:val="28"/>
        </w:rPr>
      </w:pPr>
      <w:r>
        <w:rPr>
          <w:szCs w:val="28"/>
        </w:rPr>
        <w:br w:type="page"/>
      </w:r>
    </w:p>
    <w:p w:rsidR="002E7B7D" w:rsidRDefault="002E7B7D" w:rsidP="00CA6568">
      <w:pPr>
        <w:spacing w:line="240" w:lineRule="auto"/>
        <w:rPr>
          <w:szCs w:val="28"/>
        </w:rPr>
        <w:sectPr w:rsidR="002E7B7D" w:rsidSect="002E7B7D">
          <w:pgSz w:w="16838" w:h="11906" w:orient="landscape"/>
          <w:pgMar w:top="1701" w:right="1418" w:bottom="992" w:left="1134" w:header="709" w:footer="709" w:gutter="0"/>
          <w:cols w:space="708"/>
          <w:titlePg/>
          <w:docGrid w:linePitch="360"/>
        </w:sectPr>
      </w:pPr>
    </w:p>
    <w:p w:rsidR="00E6525C" w:rsidRDefault="00E6525C" w:rsidP="00CA6568">
      <w:pPr>
        <w:spacing w:line="240" w:lineRule="auto"/>
        <w:rPr>
          <w:szCs w:val="28"/>
        </w:rPr>
      </w:pPr>
    </w:p>
    <w:p w:rsidR="00027788" w:rsidRPr="00D93A81" w:rsidRDefault="00027788" w:rsidP="00027788">
      <w:pPr>
        <w:pBdr>
          <w:top w:val="single" w:sz="4" w:space="1" w:color="auto"/>
          <w:left w:val="single" w:sz="4" w:space="4" w:color="auto"/>
          <w:bottom w:val="single" w:sz="4" w:space="1" w:color="auto"/>
          <w:right w:val="single" w:sz="4" w:space="4" w:color="auto"/>
        </w:pBdr>
        <w:spacing w:line="240" w:lineRule="auto"/>
        <w:ind w:left="360" w:firstLine="0"/>
        <w:rPr>
          <w:b/>
          <w:szCs w:val="28"/>
        </w:rPr>
      </w:pPr>
      <w:r w:rsidRPr="00D93A81">
        <w:rPr>
          <w:b/>
          <w:szCs w:val="28"/>
        </w:rPr>
        <w:t>Secinājumi:</w:t>
      </w:r>
    </w:p>
    <w:p w:rsidR="00A64D61" w:rsidRPr="00D93A81" w:rsidRDefault="00A64D61" w:rsidP="00A64D61">
      <w:pPr>
        <w:pStyle w:val="ListParagraph"/>
        <w:numPr>
          <w:ilvl w:val="0"/>
          <w:numId w:val="25"/>
        </w:numPr>
        <w:pBdr>
          <w:top w:val="single" w:sz="4" w:space="1" w:color="auto"/>
          <w:left w:val="single" w:sz="4" w:space="4" w:color="auto"/>
          <w:bottom w:val="single" w:sz="4" w:space="1" w:color="auto"/>
          <w:right w:val="single" w:sz="4" w:space="4" w:color="auto"/>
        </w:pBdr>
        <w:spacing w:line="240" w:lineRule="auto"/>
        <w:rPr>
          <w:b/>
          <w:szCs w:val="28"/>
        </w:rPr>
      </w:pPr>
      <w:r w:rsidRPr="00D93A81">
        <w:rPr>
          <w:b/>
          <w:szCs w:val="28"/>
        </w:rPr>
        <w:t>Balstoties uz ziņojumā izklāstītajiem secinājumiem, laika posmā līdz 2020.</w:t>
      </w:r>
      <w:r w:rsidR="00E36326">
        <w:rPr>
          <w:b/>
          <w:szCs w:val="28"/>
        </w:rPr>
        <w:t> </w:t>
      </w:r>
      <w:r w:rsidRPr="00D93A81">
        <w:rPr>
          <w:b/>
          <w:szCs w:val="28"/>
        </w:rPr>
        <w:t xml:space="preserve">gadam tiek prognozēts vidējais elektroenerģijas gala cenu pieaugums par </w:t>
      </w:r>
      <w:r w:rsidR="009C100D">
        <w:rPr>
          <w:b/>
          <w:szCs w:val="28"/>
        </w:rPr>
        <w:t>63</w:t>
      </w:r>
      <w:r w:rsidRPr="00D93A81">
        <w:rPr>
          <w:b/>
          <w:szCs w:val="28"/>
        </w:rPr>
        <w:t xml:space="preserve">%, </w:t>
      </w:r>
      <w:proofErr w:type="spellStart"/>
      <w:r w:rsidRPr="00D93A81">
        <w:rPr>
          <w:b/>
          <w:szCs w:val="28"/>
        </w:rPr>
        <w:t>t.sk</w:t>
      </w:r>
      <w:proofErr w:type="spellEnd"/>
      <w:r w:rsidRPr="00D93A81">
        <w:rPr>
          <w:b/>
          <w:szCs w:val="28"/>
        </w:rPr>
        <w:t xml:space="preserve">. mājsaimniecībām par </w:t>
      </w:r>
      <w:r w:rsidR="009C100D">
        <w:rPr>
          <w:b/>
          <w:szCs w:val="28"/>
        </w:rPr>
        <w:t>53</w:t>
      </w:r>
      <w:r w:rsidRPr="00D93A81">
        <w:rPr>
          <w:b/>
          <w:szCs w:val="28"/>
        </w:rPr>
        <w:t xml:space="preserve">% un </w:t>
      </w:r>
      <w:r w:rsidR="009C100D">
        <w:rPr>
          <w:b/>
          <w:szCs w:val="28"/>
        </w:rPr>
        <w:t xml:space="preserve">lieliem </w:t>
      </w:r>
      <w:r w:rsidRPr="00D93A81">
        <w:rPr>
          <w:b/>
          <w:szCs w:val="28"/>
        </w:rPr>
        <w:t xml:space="preserve">ražojošiem uzņēmumiem par </w:t>
      </w:r>
      <w:r w:rsidR="009C100D">
        <w:rPr>
          <w:b/>
          <w:szCs w:val="28"/>
        </w:rPr>
        <w:t>73</w:t>
      </w:r>
      <w:r w:rsidR="00744B8F">
        <w:rPr>
          <w:b/>
          <w:szCs w:val="28"/>
        </w:rPr>
        <w:t>%.</w:t>
      </w:r>
    </w:p>
    <w:p w:rsidR="00A64D61" w:rsidRPr="00027788" w:rsidRDefault="00A64D61" w:rsidP="00A64D61">
      <w:pPr>
        <w:pStyle w:val="ListParagraph"/>
        <w:numPr>
          <w:ilvl w:val="0"/>
          <w:numId w:val="25"/>
        </w:numPr>
        <w:pBdr>
          <w:top w:val="single" w:sz="4" w:space="1" w:color="auto"/>
          <w:left w:val="single" w:sz="4" w:space="4" w:color="auto"/>
          <w:bottom w:val="single" w:sz="4" w:space="1" w:color="auto"/>
          <w:right w:val="single" w:sz="4" w:space="4" w:color="auto"/>
        </w:pBdr>
        <w:spacing w:line="240" w:lineRule="auto"/>
        <w:rPr>
          <w:b/>
          <w:szCs w:val="28"/>
        </w:rPr>
      </w:pPr>
      <w:r w:rsidRPr="00027788">
        <w:rPr>
          <w:b/>
          <w:szCs w:val="28"/>
        </w:rPr>
        <w:t>Vislielāko pieaugumu uz elektroenerģijas kopējo cenu izraisīs OIK. Ja līdzšinēj</w:t>
      </w:r>
      <w:r w:rsidRPr="00D93A81">
        <w:rPr>
          <w:b/>
          <w:szCs w:val="28"/>
        </w:rPr>
        <w:t>o atbalsta saņemšanas noteikumi netiks mainīti, tad OIK maksājums</w:t>
      </w:r>
      <w:r w:rsidRPr="00027788">
        <w:rPr>
          <w:b/>
          <w:szCs w:val="28"/>
        </w:rPr>
        <w:t xml:space="preserve"> pieaugs no 1,23 </w:t>
      </w:r>
      <w:proofErr w:type="spellStart"/>
      <w:r w:rsidRPr="00027788">
        <w:rPr>
          <w:b/>
          <w:szCs w:val="28"/>
        </w:rPr>
        <w:t>sant</w:t>
      </w:r>
      <w:proofErr w:type="spellEnd"/>
      <w:r w:rsidR="00DE35A5">
        <w:rPr>
          <w:b/>
          <w:szCs w:val="28"/>
        </w:rPr>
        <w:t>.</w:t>
      </w:r>
      <w:r w:rsidRPr="00027788">
        <w:rPr>
          <w:b/>
          <w:szCs w:val="28"/>
        </w:rPr>
        <w:t>/kWh 2012.</w:t>
      </w:r>
      <w:r w:rsidR="00E36326">
        <w:rPr>
          <w:b/>
          <w:szCs w:val="28"/>
        </w:rPr>
        <w:t> </w:t>
      </w:r>
      <w:r w:rsidRPr="00027788">
        <w:rPr>
          <w:b/>
          <w:szCs w:val="28"/>
        </w:rPr>
        <w:t xml:space="preserve">gadā līdz aptuveni 4,5 </w:t>
      </w:r>
      <w:proofErr w:type="spellStart"/>
      <w:r w:rsidRPr="00027788">
        <w:rPr>
          <w:b/>
          <w:szCs w:val="28"/>
        </w:rPr>
        <w:t>sant</w:t>
      </w:r>
      <w:proofErr w:type="spellEnd"/>
      <w:r w:rsidRPr="00027788">
        <w:rPr>
          <w:b/>
          <w:szCs w:val="28"/>
        </w:rPr>
        <w:t>./kWh 2020.</w:t>
      </w:r>
      <w:r w:rsidR="00E36326">
        <w:rPr>
          <w:b/>
          <w:szCs w:val="28"/>
        </w:rPr>
        <w:t> </w:t>
      </w:r>
      <w:r w:rsidRPr="00027788">
        <w:rPr>
          <w:b/>
          <w:szCs w:val="28"/>
        </w:rPr>
        <w:t xml:space="preserve">gadā. </w:t>
      </w:r>
    </w:p>
    <w:p w:rsidR="00A64D61" w:rsidRPr="00027788" w:rsidRDefault="00A64D61" w:rsidP="00A64D61">
      <w:pPr>
        <w:pStyle w:val="ListParagraph"/>
        <w:numPr>
          <w:ilvl w:val="0"/>
          <w:numId w:val="25"/>
        </w:numPr>
        <w:pBdr>
          <w:top w:val="single" w:sz="4" w:space="1" w:color="auto"/>
          <w:left w:val="single" w:sz="4" w:space="4" w:color="auto"/>
          <w:bottom w:val="single" w:sz="4" w:space="1" w:color="auto"/>
          <w:right w:val="single" w:sz="4" w:space="4" w:color="auto"/>
        </w:pBdr>
        <w:spacing w:line="240" w:lineRule="auto"/>
        <w:rPr>
          <w:b/>
          <w:szCs w:val="28"/>
        </w:rPr>
      </w:pPr>
      <w:r w:rsidRPr="00027788">
        <w:rPr>
          <w:b/>
          <w:szCs w:val="28"/>
        </w:rPr>
        <w:t>Elektrības kopējas cenas pieauguma rezultātā paredzams, ka aizvien vairāk samazināsies uzņēmumu konkurētspēja. Ja pašlaik vidējā elektroenerģijas cena i</w:t>
      </w:r>
      <w:r w:rsidRPr="00D93A81">
        <w:rPr>
          <w:b/>
          <w:szCs w:val="28"/>
        </w:rPr>
        <w:t>r</w:t>
      </w:r>
      <w:r w:rsidRPr="00027788">
        <w:rPr>
          <w:b/>
          <w:szCs w:val="28"/>
        </w:rPr>
        <w:t xml:space="preserve"> tuvu ES dalībvalstu cenai, tad nākotnē sagaidāms, ka Latvijā elektroenerģijas cena pieaugs straujāk. Īpaši problemātiska būs energointensīv</w:t>
      </w:r>
      <w:r>
        <w:rPr>
          <w:b/>
          <w:szCs w:val="28"/>
        </w:rPr>
        <w:t>u ražošanas</w:t>
      </w:r>
      <w:r w:rsidRPr="00027788">
        <w:rPr>
          <w:b/>
          <w:szCs w:val="28"/>
        </w:rPr>
        <w:t xml:space="preserve"> uzņēmumu konkurētspēja, kas attiecīgi izraisīs gan tiešu, gan netiešu ietekmi kā uz tautsaimniecību, kā arī sociālo vidi. Vienlīdz sagaidāms visu preču un pakalpojumu cenu pieaugums, jo elektroenerģija ir svarīgs izdevumu postenis visos ražošanas un pakalpojumu sniedzēju uzņēmumu izdevumos. </w:t>
      </w:r>
    </w:p>
    <w:p w:rsidR="00A64D61" w:rsidRPr="00027788" w:rsidRDefault="00A64D61" w:rsidP="00A64D61">
      <w:pPr>
        <w:pStyle w:val="ListParagraph"/>
        <w:numPr>
          <w:ilvl w:val="0"/>
          <w:numId w:val="25"/>
        </w:numPr>
        <w:pBdr>
          <w:top w:val="single" w:sz="4" w:space="1" w:color="auto"/>
          <w:left w:val="single" w:sz="4" w:space="4" w:color="auto"/>
          <w:bottom w:val="single" w:sz="4" w:space="1" w:color="auto"/>
          <w:right w:val="single" w:sz="4" w:space="4" w:color="auto"/>
        </w:pBdr>
        <w:spacing w:line="240" w:lineRule="auto"/>
        <w:rPr>
          <w:b/>
          <w:szCs w:val="28"/>
        </w:rPr>
      </w:pPr>
      <w:r w:rsidRPr="00027788">
        <w:rPr>
          <w:b/>
          <w:szCs w:val="28"/>
        </w:rPr>
        <w:t xml:space="preserve">Līdz ar elektroenerģijas kopējās cenas pieaugumu samazināsies mājsaimniecību pirktspēja, kā arī saasināsies iedzīvotāju ar zemu </w:t>
      </w:r>
      <w:r>
        <w:rPr>
          <w:b/>
          <w:szCs w:val="28"/>
        </w:rPr>
        <w:t>ienākumu līmeni</w:t>
      </w:r>
      <w:r w:rsidRPr="00027788">
        <w:rPr>
          <w:b/>
          <w:szCs w:val="28"/>
        </w:rPr>
        <w:t xml:space="preserve"> </w:t>
      </w:r>
      <w:r>
        <w:rPr>
          <w:b/>
          <w:szCs w:val="28"/>
        </w:rPr>
        <w:t>situācija</w:t>
      </w:r>
      <w:r w:rsidRPr="00027788">
        <w:rPr>
          <w:b/>
          <w:szCs w:val="28"/>
        </w:rPr>
        <w:t>.</w:t>
      </w:r>
      <w:r w:rsidRPr="00027788">
        <w:rPr>
          <w:b/>
        </w:rPr>
        <w:t xml:space="preserve"> G</w:t>
      </w:r>
      <w:r w:rsidRPr="00027788">
        <w:rPr>
          <w:b/>
          <w:szCs w:val="28"/>
        </w:rPr>
        <w:t xml:space="preserve">adījumā, ja netiks veikti ātri un efektīvi pasākumi, būtiski pieaugs visneaizsargātāko enerģijas patērētāju skaits, līdz ar to palielināsies mājsaimniecību enerģētiskā nabadzība.  </w:t>
      </w:r>
    </w:p>
    <w:p w:rsidR="00A64D61" w:rsidRPr="00027788" w:rsidRDefault="00A64D61" w:rsidP="00A64D61">
      <w:pPr>
        <w:pStyle w:val="ListParagraph"/>
        <w:numPr>
          <w:ilvl w:val="0"/>
          <w:numId w:val="25"/>
        </w:numPr>
        <w:pBdr>
          <w:top w:val="single" w:sz="4" w:space="1" w:color="auto"/>
          <w:left w:val="single" w:sz="4" w:space="4" w:color="auto"/>
          <w:bottom w:val="single" w:sz="4" w:space="1" w:color="auto"/>
          <w:right w:val="single" w:sz="4" w:space="4" w:color="auto"/>
        </w:pBdr>
        <w:spacing w:line="240" w:lineRule="auto"/>
        <w:rPr>
          <w:b/>
          <w:szCs w:val="28"/>
        </w:rPr>
      </w:pPr>
      <w:r w:rsidRPr="00027788">
        <w:rPr>
          <w:b/>
          <w:szCs w:val="28"/>
        </w:rPr>
        <w:t>Līdzšinējās atbalsta politikas rezultātā Latvijā jau 2015.</w:t>
      </w:r>
      <w:r w:rsidR="00E36326">
        <w:rPr>
          <w:b/>
          <w:szCs w:val="28"/>
        </w:rPr>
        <w:t> </w:t>
      </w:r>
      <w:r w:rsidRPr="00027788">
        <w:rPr>
          <w:b/>
          <w:szCs w:val="28"/>
        </w:rPr>
        <w:t xml:space="preserve">gadā būs </w:t>
      </w:r>
      <w:proofErr w:type="spellStart"/>
      <w:r w:rsidRPr="00027788">
        <w:rPr>
          <w:b/>
          <w:szCs w:val="28"/>
        </w:rPr>
        <w:t>pašnodrošināta</w:t>
      </w:r>
      <w:proofErr w:type="spellEnd"/>
      <w:r w:rsidRPr="00027788">
        <w:rPr>
          <w:b/>
          <w:szCs w:val="28"/>
        </w:rPr>
        <w:t xml:space="preserve"> ar elektroenerģijas ražošanas jaudām, taču jārēķinās ar to, ka elektroenerģijas kopējā cena pakāpeniski pieaugs līdz 2019.</w:t>
      </w:r>
      <w:r w:rsidR="00E36326">
        <w:rPr>
          <w:b/>
          <w:szCs w:val="28"/>
        </w:rPr>
        <w:t> </w:t>
      </w:r>
      <w:r w:rsidRPr="00027788">
        <w:rPr>
          <w:b/>
          <w:szCs w:val="28"/>
        </w:rPr>
        <w:t>gadam</w:t>
      </w:r>
      <w:r>
        <w:rPr>
          <w:b/>
          <w:szCs w:val="28"/>
        </w:rPr>
        <w:t>, ņemot vērā to, ka visas jaunradītās jaudas Latvijā ražos elektroenerģiju par cenu, kas pārsniedz tirgus cenu. P</w:t>
      </w:r>
      <w:r w:rsidRPr="00027788">
        <w:rPr>
          <w:b/>
          <w:szCs w:val="28"/>
        </w:rPr>
        <w:t xml:space="preserve">aredzams, ka </w:t>
      </w:r>
      <w:r>
        <w:rPr>
          <w:b/>
          <w:szCs w:val="28"/>
        </w:rPr>
        <w:t xml:space="preserve">arī turpmāk </w:t>
      </w:r>
      <w:r w:rsidRPr="00027788">
        <w:rPr>
          <w:b/>
          <w:szCs w:val="28"/>
        </w:rPr>
        <w:t xml:space="preserve">elektrība tiks importēta pie izdevīgiem </w:t>
      </w:r>
      <w:r>
        <w:rPr>
          <w:b/>
          <w:szCs w:val="28"/>
        </w:rPr>
        <w:t xml:space="preserve">tirgus </w:t>
      </w:r>
      <w:r w:rsidRPr="00027788">
        <w:rPr>
          <w:b/>
          <w:szCs w:val="28"/>
        </w:rPr>
        <w:t>nosacījumiem,</w:t>
      </w:r>
      <w:r>
        <w:rPr>
          <w:b/>
          <w:szCs w:val="28"/>
        </w:rPr>
        <w:t xml:space="preserve"> tai pat laikā lietderīgi neizmantojot visas izveidotās jaudas. R</w:t>
      </w:r>
      <w:r w:rsidRPr="00027788">
        <w:rPr>
          <w:b/>
          <w:szCs w:val="28"/>
        </w:rPr>
        <w:t xml:space="preserve">ezerves jaudas </w:t>
      </w:r>
      <w:r>
        <w:rPr>
          <w:b/>
          <w:szCs w:val="28"/>
        </w:rPr>
        <w:t xml:space="preserve">esamība </w:t>
      </w:r>
      <w:r w:rsidRPr="00027788">
        <w:rPr>
          <w:b/>
          <w:szCs w:val="28"/>
        </w:rPr>
        <w:t>nodrošinās energoapgādes drošību</w:t>
      </w:r>
      <w:r>
        <w:rPr>
          <w:b/>
          <w:szCs w:val="28"/>
        </w:rPr>
        <w:t xml:space="preserve">, tomēr būtu </w:t>
      </w:r>
      <w:r w:rsidRPr="00027788">
        <w:rPr>
          <w:b/>
          <w:szCs w:val="28"/>
        </w:rPr>
        <w:t xml:space="preserve">izvērtējams kā visefektīvāk kompensēt uzstādīto un plānoto jaudu </w:t>
      </w:r>
      <w:r>
        <w:rPr>
          <w:b/>
          <w:szCs w:val="28"/>
        </w:rPr>
        <w:t xml:space="preserve">izveides un darbināšanas </w:t>
      </w:r>
      <w:r w:rsidRPr="00027788">
        <w:rPr>
          <w:b/>
          <w:szCs w:val="28"/>
        </w:rPr>
        <w:t xml:space="preserve">izdevumus. </w:t>
      </w:r>
    </w:p>
    <w:p w:rsidR="00CC2A88" w:rsidRDefault="00CC2A88" w:rsidP="00CA6568">
      <w:pPr>
        <w:spacing w:line="240" w:lineRule="auto"/>
        <w:rPr>
          <w:szCs w:val="28"/>
        </w:rPr>
      </w:pPr>
    </w:p>
    <w:p w:rsidR="00CC2A88" w:rsidRDefault="00CC2A88" w:rsidP="00CA6568">
      <w:pPr>
        <w:spacing w:line="240" w:lineRule="auto"/>
        <w:rPr>
          <w:szCs w:val="28"/>
        </w:rPr>
      </w:pPr>
    </w:p>
    <w:p w:rsidR="0095522B" w:rsidRDefault="0095522B" w:rsidP="008A259F">
      <w:pPr>
        <w:pStyle w:val="Heading1"/>
        <w:numPr>
          <w:ilvl w:val="0"/>
          <w:numId w:val="23"/>
        </w:numPr>
        <w:ind w:left="0" w:firstLine="0"/>
        <w:jc w:val="center"/>
      </w:pPr>
      <w:bookmarkStart w:id="45" w:name="_Toc344901693"/>
      <w:bookmarkStart w:id="46" w:name="_Toc344901825"/>
      <w:bookmarkStart w:id="47" w:name="_Toc344907250"/>
      <w:r>
        <w:lastRenderedPageBreak/>
        <w:t>Citu valstu pieredze līdzīgu izaicinājumu risināšanā</w:t>
      </w:r>
      <w:bookmarkEnd w:id="45"/>
      <w:bookmarkEnd w:id="46"/>
      <w:bookmarkEnd w:id="47"/>
    </w:p>
    <w:p w:rsidR="00FE125B" w:rsidRDefault="00FE125B" w:rsidP="00FE125B">
      <w:pPr>
        <w:pStyle w:val="Heading2"/>
        <w:numPr>
          <w:ilvl w:val="1"/>
          <w:numId w:val="23"/>
        </w:numPr>
      </w:pPr>
      <w:bookmarkStart w:id="48" w:name="_Toc342896042"/>
      <w:bookmarkStart w:id="49" w:name="_Toc344901694"/>
      <w:bookmarkStart w:id="50" w:name="_Toc344901826"/>
      <w:bookmarkStart w:id="51" w:name="_Toc344907251"/>
      <w:r>
        <w:t>Izmaksu mazināšana</w:t>
      </w:r>
      <w:bookmarkEnd w:id="48"/>
      <w:bookmarkEnd w:id="49"/>
      <w:bookmarkEnd w:id="50"/>
      <w:bookmarkEnd w:id="51"/>
      <w:r>
        <w:t xml:space="preserve"> </w:t>
      </w:r>
    </w:p>
    <w:p w:rsidR="00FE125B" w:rsidRPr="001B36D2" w:rsidRDefault="00FE125B" w:rsidP="008A259F">
      <w:pPr>
        <w:spacing w:line="240" w:lineRule="auto"/>
        <w:ind w:right="45"/>
        <w:rPr>
          <w:color w:val="000000"/>
          <w:szCs w:val="28"/>
        </w:rPr>
      </w:pPr>
      <w:r w:rsidRPr="001B36D2">
        <w:rPr>
          <w:color w:val="000000"/>
          <w:szCs w:val="28"/>
        </w:rPr>
        <w:t xml:space="preserve">ES nepastāv vienotas AER izmantošanas veicināšanas politikas un atbalsta shēmas dalībvalstu starpā nav harmonizētas, </w:t>
      </w:r>
      <w:r>
        <w:rPr>
          <w:color w:val="000000"/>
          <w:szCs w:val="28"/>
        </w:rPr>
        <w:t>taču nākotnē EK paredz vismaz daļēju AER atbalsta piemērošana</w:t>
      </w:r>
      <w:r w:rsidR="00A85829">
        <w:rPr>
          <w:color w:val="000000"/>
          <w:szCs w:val="28"/>
        </w:rPr>
        <w:t>s  harmonizāciju</w:t>
      </w:r>
      <w:r>
        <w:rPr>
          <w:color w:val="000000"/>
          <w:szCs w:val="28"/>
        </w:rPr>
        <w:t xml:space="preserve">. Pašlaik dalībvalstīs tiek piemērotas atšķirīgas sistēmas, kas ņem vērā gan ekonomisko situāciju, gan </w:t>
      </w:r>
      <w:r w:rsidRPr="001B36D2">
        <w:rPr>
          <w:color w:val="000000"/>
          <w:szCs w:val="28"/>
        </w:rPr>
        <w:t xml:space="preserve">labklājības līmeni, </w:t>
      </w:r>
      <w:r>
        <w:rPr>
          <w:color w:val="000000"/>
          <w:szCs w:val="28"/>
        </w:rPr>
        <w:t xml:space="preserve">gan </w:t>
      </w:r>
      <w:r w:rsidRPr="001B36D2">
        <w:rPr>
          <w:color w:val="000000"/>
          <w:szCs w:val="28"/>
        </w:rPr>
        <w:t>atjaunojamās enerģijas ražošanas vēsturisk</w:t>
      </w:r>
      <w:r>
        <w:rPr>
          <w:color w:val="000000"/>
          <w:szCs w:val="28"/>
        </w:rPr>
        <w:t xml:space="preserve">o </w:t>
      </w:r>
      <w:r w:rsidRPr="001B36D2">
        <w:rPr>
          <w:color w:val="000000"/>
          <w:szCs w:val="28"/>
        </w:rPr>
        <w:t xml:space="preserve">pieredzi un izmantotās tehnoloģijas, </w:t>
      </w:r>
      <w:r>
        <w:rPr>
          <w:color w:val="000000"/>
          <w:szCs w:val="28"/>
        </w:rPr>
        <w:t xml:space="preserve">gan </w:t>
      </w:r>
      <w:r w:rsidRPr="001B36D2">
        <w:rPr>
          <w:color w:val="000000"/>
          <w:szCs w:val="28"/>
        </w:rPr>
        <w:t>atšķirīgo izmantojamo energoresursu potenciālu</w:t>
      </w:r>
      <w:r>
        <w:rPr>
          <w:color w:val="000000"/>
          <w:szCs w:val="28"/>
        </w:rPr>
        <w:t>. Taču</w:t>
      </w:r>
      <w:r w:rsidR="00EC4FA2">
        <w:rPr>
          <w:color w:val="000000"/>
          <w:szCs w:val="28"/>
        </w:rPr>
        <w:t>,</w:t>
      </w:r>
      <w:r>
        <w:rPr>
          <w:color w:val="000000"/>
          <w:szCs w:val="28"/>
        </w:rPr>
        <w:t xml:space="preserve"> ņemot vērā politikas izmaksas</w:t>
      </w:r>
      <w:r w:rsidR="00EC4FA2">
        <w:rPr>
          <w:color w:val="000000"/>
          <w:szCs w:val="28"/>
        </w:rPr>
        <w:t>,</w:t>
      </w:r>
      <w:r>
        <w:rPr>
          <w:color w:val="000000"/>
          <w:szCs w:val="28"/>
        </w:rPr>
        <w:t xml:space="preserve"> vairākas valstis jau pārskata piemērotos atbalsta instrumentus. </w:t>
      </w:r>
    </w:p>
    <w:p w:rsidR="00FE125B" w:rsidRPr="001B36D2" w:rsidRDefault="00FE125B" w:rsidP="008A259F">
      <w:pPr>
        <w:tabs>
          <w:tab w:val="left" w:pos="9071"/>
        </w:tabs>
        <w:spacing w:line="240" w:lineRule="auto"/>
        <w:ind w:right="48"/>
        <w:rPr>
          <w:rStyle w:val="longtext"/>
          <w:szCs w:val="28"/>
        </w:rPr>
      </w:pPr>
      <w:r w:rsidRPr="001B36D2">
        <w:rPr>
          <w:rStyle w:val="longtext"/>
          <w:color w:val="000000"/>
          <w:szCs w:val="28"/>
        </w:rPr>
        <w:t xml:space="preserve">Apskatot citu ES valstu piemērus, var minēt, ka savu </w:t>
      </w:r>
      <w:r w:rsidRPr="001B36D2">
        <w:rPr>
          <w:rStyle w:val="longtext"/>
          <w:i/>
          <w:color w:val="000000"/>
          <w:szCs w:val="28"/>
        </w:rPr>
        <w:t>feed-in</w:t>
      </w:r>
      <w:r w:rsidRPr="001B36D2">
        <w:rPr>
          <w:rStyle w:val="longtext"/>
          <w:color w:val="000000"/>
          <w:szCs w:val="28"/>
        </w:rPr>
        <w:t xml:space="preserve"> tarifa mehānismu ir pārskatīju</w:t>
      </w:r>
      <w:r w:rsidR="00A85829">
        <w:rPr>
          <w:rStyle w:val="longtext"/>
          <w:color w:val="000000"/>
          <w:szCs w:val="28"/>
        </w:rPr>
        <w:t>šas</w:t>
      </w:r>
      <w:r w:rsidRPr="001B36D2">
        <w:rPr>
          <w:rStyle w:val="longtext"/>
          <w:color w:val="000000"/>
          <w:szCs w:val="28"/>
        </w:rPr>
        <w:t xml:space="preserve"> Francija, Vācija, Itālija, Grieķija un Slovākija, samazinot atbalsta intensitāti</w:t>
      </w:r>
      <w:r w:rsidR="003B2905">
        <w:rPr>
          <w:rStyle w:val="longtext"/>
          <w:color w:val="000000"/>
          <w:szCs w:val="28"/>
        </w:rPr>
        <w:t xml:space="preserve"> un </w:t>
      </w:r>
      <w:r w:rsidRPr="001B36D2">
        <w:rPr>
          <w:rStyle w:val="longtext"/>
          <w:color w:val="000000"/>
          <w:szCs w:val="28"/>
        </w:rPr>
        <w:t xml:space="preserve">ņemot vērā tehnoloģiju attīstības tendences. Portugāle uz nenoteiktu laiku pārtrauca jaunu projektu atbalstīšanu </w:t>
      </w:r>
      <w:r w:rsidRPr="003B2905">
        <w:rPr>
          <w:rStyle w:val="longtext"/>
          <w:i/>
          <w:color w:val="000000"/>
          <w:szCs w:val="28"/>
        </w:rPr>
        <w:t>feed-in</w:t>
      </w:r>
      <w:r w:rsidRPr="001B36D2">
        <w:rPr>
          <w:rStyle w:val="longtext"/>
          <w:color w:val="000000"/>
          <w:szCs w:val="28"/>
        </w:rPr>
        <w:t xml:space="preserve"> tarifa mehānismu ietvaros</w:t>
      </w:r>
      <w:r w:rsidR="00A85829">
        <w:rPr>
          <w:rStyle w:val="longtext"/>
          <w:color w:val="000000"/>
          <w:szCs w:val="28"/>
        </w:rPr>
        <w:t>;</w:t>
      </w:r>
      <w:r w:rsidRPr="001B36D2">
        <w:rPr>
          <w:rStyle w:val="longtext"/>
          <w:color w:val="000000"/>
          <w:szCs w:val="28"/>
        </w:rPr>
        <w:t xml:space="preserve"> arī Spānija 2012. gada apturēja projektu atbalstīšanu, kas </w:t>
      </w:r>
      <w:r w:rsidR="003B2905">
        <w:rPr>
          <w:rStyle w:val="longtext"/>
          <w:color w:val="000000"/>
          <w:szCs w:val="28"/>
        </w:rPr>
        <w:t xml:space="preserve">var </w:t>
      </w:r>
      <w:r w:rsidRPr="001B36D2">
        <w:rPr>
          <w:rStyle w:val="longtext"/>
          <w:color w:val="000000"/>
          <w:szCs w:val="28"/>
        </w:rPr>
        <w:t xml:space="preserve">saņemt atbalstu </w:t>
      </w:r>
      <w:r w:rsidRPr="003B2905">
        <w:rPr>
          <w:rStyle w:val="longtext"/>
          <w:i/>
          <w:color w:val="000000"/>
          <w:szCs w:val="28"/>
        </w:rPr>
        <w:t>feed-in</w:t>
      </w:r>
      <w:r w:rsidRPr="001B36D2">
        <w:rPr>
          <w:rStyle w:val="longtext"/>
          <w:color w:val="000000"/>
          <w:szCs w:val="28"/>
        </w:rPr>
        <w:t xml:space="preserve"> tarifa ietvaros, pārskatot savu nacionālo enerģētikas sistēmu.</w:t>
      </w:r>
      <w:r w:rsidRPr="001B36D2">
        <w:rPr>
          <w:rStyle w:val="FootnoteReference"/>
          <w:color w:val="000000"/>
          <w:szCs w:val="28"/>
        </w:rPr>
        <w:footnoteReference w:id="6"/>
      </w:r>
      <w:r w:rsidRPr="001B36D2">
        <w:rPr>
          <w:rStyle w:val="longtext"/>
          <w:color w:val="000000"/>
          <w:szCs w:val="28"/>
        </w:rPr>
        <w:t xml:space="preserve"> </w:t>
      </w:r>
    </w:p>
    <w:p w:rsidR="00FE125B" w:rsidRPr="001B36D2" w:rsidRDefault="00FE125B" w:rsidP="008A259F">
      <w:pPr>
        <w:spacing w:line="240" w:lineRule="auto"/>
        <w:rPr>
          <w:rFonts w:cs="Times New Roman"/>
          <w:szCs w:val="28"/>
        </w:rPr>
      </w:pPr>
      <w:r w:rsidRPr="001B36D2">
        <w:rPr>
          <w:rFonts w:cs="Times New Roman"/>
          <w:szCs w:val="28"/>
        </w:rPr>
        <w:t>2012.</w:t>
      </w:r>
      <w:r w:rsidR="00E36326">
        <w:rPr>
          <w:rFonts w:cs="Times New Roman"/>
          <w:szCs w:val="28"/>
        </w:rPr>
        <w:t> </w:t>
      </w:r>
      <w:r w:rsidRPr="001B36D2">
        <w:rPr>
          <w:rFonts w:cs="Times New Roman"/>
          <w:szCs w:val="28"/>
        </w:rPr>
        <w:t xml:space="preserve">gada maijā </w:t>
      </w:r>
      <w:r w:rsidRPr="001B36D2">
        <w:rPr>
          <w:rFonts w:cs="Times New Roman"/>
          <w:b/>
          <w:szCs w:val="28"/>
        </w:rPr>
        <w:t xml:space="preserve">Lielbritānijā </w:t>
      </w:r>
      <w:r w:rsidRPr="001B36D2">
        <w:rPr>
          <w:rFonts w:cs="Times New Roman"/>
          <w:szCs w:val="28"/>
        </w:rPr>
        <w:t xml:space="preserve">tika publicēts Enerģētikas likuma projekts, kas paredz elektrības tirgus reformu ar mērķi nodrošināt drošu, videi draudzīgu un pieejamu elektrību. Likumprojekts paredz </w:t>
      </w:r>
      <w:r w:rsidRPr="001B36D2">
        <w:rPr>
          <w:rFonts w:cs="Times New Roman"/>
          <w:i/>
          <w:szCs w:val="28"/>
        </w:rPr>
        <w:t>feed-in</w:t>
      </w:r>
      <w:r w:rsidRPr="001B36D2">
        <w:rPr>
          <w:rFonts w:cs="Times New Roman"/>
          <w:szCs w:val="28"/>
        </w:rPr>
        <w:t xml:space="preserve"> tarifa ieviešanu ar līgumiem par cenu starpību (</w:t>
      </w:r>
      <w:proofErr w:type="spellStart"/>
      <w:r w:rsidRPr="001B36D2">
        <w:rPr>
          <w:rFonts w:cs="Times New Roman"/>
          <w:i/>
          <w:szCs w:val="28"/>
        </w:rPr>
        <w:t>Contracts</w:t>
      </w:r>
      <w:proofErr w:type="spellEnd"/>
      <w:r w:rsidRPr="001B36D2">
        <w:rPr>
          <w:rFonts w:cs="Times New Roman"/>
          <w:i/>
          <w:szCs w:val="28"/>
        </w:rPr>
        <w:t xml:space="preserve"> for </w:t>
      </w:r>
      <w:proofErr w:type="spellStart"/>
      <w:r w:rsidRPr="001B36D2">
        <w:rPr>
          <w:rFonts w:cs="Times New Roman"/>
          <w:i/>
          <w:szCs w:val="28"/>
        </w:rPr>
        <w:t>Difference</w:t>
      </w:r>
      <w:proofErr w:type="spellEnd"/>
      <w:r w:rsidRPr="001B36D2">
        <w:rPr>
          <w:rFonts w:cs="Times New Roman"/>
          <w:szCs w:val="28"/>
        </w:rPr>
        <w:t>) lielām elektrostacijām, kas ražo enerģiju no AER (jauda pārsniedz 5 MW) 2016.</w:t>
      </w:r>
      <w:r w:rsidR="00E36326">
        <w:rPr>
          <w:rFonts w:cs="Times New Roman"/>
          <w:szCs w:val="28"/>
        </w:rPr>
        <w:t> </w:t>
      </w:r>
      <w:r w:rsidRPr="001B36D2">
        <w:rPr>
          <w:rFonts w:cs="Times New Roman"/>
          <w:szCs w:val="28"/>
        </w:rPr>
        <w:t xml:space="preserve">gadā, </w:t>
      </w:r>
      <w:r w:rsidRPr="001B36D2">
        <w:rPr>
          <w:rFonts w:cs="Times New Roman"/>
          <w:i/>
          <w:szCs w:val="28"/>
        </w:rPr>
        <w:t>feed-in</w:t>
      </w:r>
      <w:r w:rsidRPr="001B36D2">
        <w:rPr>
          <w:rFonts w:cs="Times New Roman"/>
          <w:szCs w:val="28"/>
        </w:rPr>
        <w:t xml:space="preserve"> tarifu cenu starpības administrēšanu valsts līmenī, kā arī </w:t>
      </w:r>
      <w:r w:rsidR="003B2905">
        <w:rPr>
          <w:rFonts w:cs="Times New Roman"/>
          <w:szCs w:val="28"/>
        </w:rPr>
        <w:t xml:space="preserve">atsevišķus pasākumus ilgtermiņā. </w:t>
      </w:r>
      <w:r w:rsidRPr="001B36D2">
        <w:rPr>
          <w:rFonts w:cs="Times New Roman"/>
          <w:szCs w:val="28"/>
        </w:rPr>
        <w:t xml:space="preserve">Pirmā </w:t>
      </w:r>
      <w:r w:rsidRPr="001B36D2">
        <w:rPr>
          <w:rFonts w:cs="Times New Roman"/>
          <w:i/>
          <w:szCs w:val="28"/>
        </w:rPr>
        <w:t>feed-in</w:t>
      </w:r>
      <w:r w:rsidRPr="001B36D2">
        <w:rPr>
          <w:rFonts w:cs="Times New Roman"/>
          <w:szCs w:val="28"/>
        </w:rPr>
        <w:t xml:space="preserve"> tarifu pārskatīšana notika 2011.</w:t>
      </w:r>
      <w:r w:rsidR="00E36326">
        <w:rPr>
          <w:rFonts w:cs="Times New Roman"/>
          <w:szCs w:val="28"/>
        </w:rPr>
        <w:t> </w:t>
      </w:r>
      <w:r w:rsidRPr="001B36D2">
        <w:rPr>
          <w:rFonts w:cs="Times New Roman"/>
          <w:szCs w:val="28"/>
        </w:rPr>
        <w:t xml:space="preserve">gadā, kad tika samazinātas tarifa likmes lielajām saules </w:t>
      </w:r>
      <w:r w:rsidRPr="00EC7189">
        <w:rPr>
          <w:rFonts w:cs="Times New Roman"/>
          <w:szCs w:val="28"/>
        </w:rPr>
        <w:t xml:space="preserve">elektrostacijām. Paredzēts ieviest līgumus par cenu starpībām, kas nodrošinās stabilu un paredzamu atbalstu uzņēmumiem, kas investē AER tehnoloģijās. Savukārt, </w:t>
      </w:r>
      <w:r w:rsidR="00EC7189" w:rsidRPr="00EC7189">
        <w:rPr>
          <w:color w:val="000000"/>
          <w:szCs w:val="28"/>
        </w:rPr>
        <w:t xml:space="preserve">atjaunojamās enerģijas </w:t>
      </w:r>
      <w:r w:rsidR="003F72A7">
        <w:rPr>
          <w:color w:val="000000"/>
          <w:szCs w:val="28"/>
        </w:rPr>
        <w:t xml:space="preserve">pirkšanas </w:t>
      </w:r>
      <w:r w:rsidR="00EC7189" w:rsidRPr="00EC7189">
        <w:rPr>
          <w:color w:val="000000"/>
          <w:szCs w:val="28"/>
        </w:rPr>
        <w:t>pienākuma (</w:t>
      </w:r>
      <w:r w:rsidR="00EC7189" w:rsidRPr="00EC7189">
        <w:rPr>
          <w:i/>
          <w:color w:val="000000"/>
          <w:szCs w:val="28"/>
        </w:rPr>
        <w:t>Renewable Obligation</w:t>
      </w:r>
      <w:r w:rsidR="00EC7189" w:rsidRPr="00EC7189">
        <w:rPr>
          <w:color w:val="000000"/>
          <w:szCs w:val="28"/>
        </w:rPr>
        <w:t>) sistēma</w:t>
      </w:r>
      <w:r w:rsidRPr="00EC7189">
        <w:rPr>
          <w:rFonts w:cs="Times New Roman"/>
          <w:szCs w:val="28"/>
        </w:rPr>
        <w:t xml:space="preserve"> ir galvenais finanšu mehānisms, ar kuru valdība atbalsta liela mēroga atjaunojamās elektroenerģijas projektus.</w:t>
      </w:r>
      <w:r w:rsidRPr="001B36D2">
        <w:rPr>
          <w:rFonts w:cs="Times New Roman"/>
          <w:szCs w:val="28"/>
        </w:rPr>
        <w:t xml:space="preserve"> </w:t>
      </w:r>
    </w:p>
    <w:p w:rsidR="00FE125B" w:rsidRPr="001B36D2" w:rsidRDefault="00FE125B" w:rsidP="008A259F">
      <w:pPr>
        <w:spacing w:line="240" w:lineRule="auto"/>
        <w:rPr>
          <w:rFonts w:cs="Times New Roman"/>
          <w:szCs w:val="28"/>
        </w:rPr>
      </w:pPr>
      <w:r w:rsidRPr="001B36D2">
        <w:rPr>
          <w:rFonts w:cs="Times New Roman"/>
          <w:szCs w:val="28"/>
        </w:rPr>
        <w:t>2010.</w:t>
      </w:r>
      <w:r w:rsidR="00E36326">
        <w:rPr>
          <w:rFonts w:cs="Times New Roman"/>
          <w:szCs w:val="28"/>
        </w:rPr>
        <w:t> </w:t>
      </w:r>
      <w:r w:rsidRPr="001B36D2">
        <w:rPr>
          <w:rFonts w:cs="Times New Roman"/>
          <w:szCs w:val="28"/>
        </w:rPr>
        <w:t xml:space="preserve">gada septembrī </w:t>
      </w:r>
      <w:r w:rsidRPr="001B36D2">
        <w:rPr>
          <w:rFonts w:cs="Times New Roman"/>
          <w:b/>
          <w:szCs w:val="28"/>
        </w:rPr>
        <w:t xml:space="preserve">Vācijas </w:t>
      </w:r>
      <w:r w:rsidRPr="001B36D2">
        <w:rPr>
          <w:rFonts w:cs="Times New Roman"/>
          <w:szCs w:val="28"/>
        </w:rPr>
        <w:t xml:space="preserve">valdība pieņēma Enerģētikas </w:t>
      </w:r>
      <w:r w:rsidR="00A85829">
        <w:rPr>
          <w:rFonts w:cs="Times New Roman"/>
          <w:szCs w:val="28"/>
        </w:rPr>
        <w:t>k</w:t>
      </w:r>
      <w:r w:rsidRPr="001B36D2">
        <w:rPr>
          <w:rFonts w:cs="Times New Roman"/>
          <w:szCs w:val="28"/>
        </w:rPr>
        <w:t xml:space="preserve">oncepciju, kuras centrālais elements ir AER </w:t>
      </w:r>
      <w:r w:rsidR="000413D1">
        <w:rPr>
          <w:rFonts w:cs="Times New Roman"/>
          <w:szCs w:val="28"/>
        </w:rPr>
        <w:t>likuma</w:t>
      </w:r>
      <w:r w:rsidR="000413D1" w:rsidRPr="001B36D2">
        <w:rPr>
          <w:rFonts w:cs="Times New Roman"/>
          <w:szCs w:val="28"/>
        </w:rPr>
        <w:t xml:space="preserve"> </w:t>
      </w:r>
      <w:r w:rsidRPr="001B36D2">
        <w:rPr>
          <w:rFonts w:cs="Times New Roman"/>
          <w:szCs w:val="28"/>
        </w:rPr>
        <w:t>(</w:t>
      </w:r>
      <w:proofErr w:type="spellStart"/>
      <w:r w:rsidRPr="001B36D2">
        <w:rPr>
          <w:rFonts w:cs="Times New Roman"/>
          <w:i/>
          <w:szCs w:val="28"/>
        </w:rPr>
        <w:t>Erneuerbare</w:t>
      </w:r>
      <w:r w:rsidR="00A85829">
        <w:rPr>
          <w:rFonts w:cs="Times New Roman"/>
          <w:i/>
          <w:szCs w:val="28"/>
        </w:rPr>
        <w:t>-</w:t>
      </w:r>
      <w:r w:rsidRPr="001B36D2">
        <w:rPr>
          <w:rFonts w:cs="Times New Roman"/>
          <w:i/>
          <w:szCs w:val="28"/>
        </w:rPr>
        <w:t>Energien</w:t>
      </w:r>
      <w:r w:rsidR="00A85829">
        <w:rPr>
          <w:rFonts w:cs="Times New Roman"/>
          <w:i/>
          <w:szCs w:val="28"/>
        </w:rPr>
        <w:t>-</w:t>
      </w:r>
      <w:r w:rsidRPr="001B36D2">
        <w:rPr>
          <w:rFonts w:cs="Times New Roman"/>
          <w:i/>
          <w:szCs w:val="28"/>
        </w:rPr>
        <w:t>Gesetz</w:t>
      </w:r>
      <w:proofErr w:type="spellEnd"/>
      <w:r w:rsidRPr="001B36D2">
        <w:rPr>
          <w:rFonts w:cs="Times New Roman"/>
          <w:szCs w:val="28"/>
        </w:rPr>
        <w:t xml:space="preserve"> – EEG) reforma, kas stājās spējā 2011.</w:t>
      </w:r>
      <w:r w:rsidR="00E36326">
        <w:rPr>
          <w:rFonts w:cs="Times New Roman"/>
          <w:szCs w:val="28"/>
        </w:rPr>
        <w:t> </w:t>
      </w:r>
      <w:r w:rsidRPr="001B36D2">
        <w:rPr>
          <w:rFonts w:cs="Times New Roman"/>
          <w:szCs w:val="28"/>
        </w:rPr>
        <w:t>gada jūlijā. 2012.</w:t>
      </w:r>
      <w:r w:rsidR="00E36326">
        <w:rPr>
          <w:rFonts w:cs="Times New Roman"/>
          <w:szCs w:val="28"/>
        </w:rPr>
        <w:t> </w:t>
      </w:r>
      <w:r w:rsidRPr="001B36D2">
        <w:rPr>
          <w:rFonts w:cs="Times New Roman"/>
          <w:szCs w:val="28"/>
        </w:rPr>
        <w:t xml:space="preserve">gada vidū Vācija paziņoja, ka ir </w:t>
      </w:r>
      <w:r w:rsidR="00C61CBA" w:rsidRPr="001B36D2">
        <w:rPr>
          <w:rFonts w:cs="Times New Roman"/>
          <w:szCs w:val="28"/>
        </w:rPr>
        <w:t>nepieciešam</w:t>
      </w:r>
      <w:r w:rsidR="00C61CBA">
        <w:rPr>
          <w:rFonts w:cs="Times New Roman"/>
          <w:szCs w:val="28"/>
        </w:rPr>
        <w:t>i</w:t>
      </w:r>
      <w:r w:rsidR="00C61CBA" w:rsidRPr="001B36D2">
        <w:rPr>
          <w:rFonts w:cs="Times New Roman"/>
          <w:szCs w:val="28"/>
        </w:rPr>
        <w:t xml:space="preserve"> turpmāk</w:t>
      </w:r>
      <w:r w:rsidR="00C61CBA">
        <w:rPr>
          <w:rFonts w:cs="Times New Roman"/>
          <w:szCs w:val="28"/>
        </w:rPr>
        <w:t>i</w:t>
      </w:r>
      <w:r w:rsidR="00C61CBA" w:rsidRPr="001B36D2">
        <w:rPr>
          <w:rFonts w:cs="Times New Roman"/>
          <w:szCs w:val="28"/>
        </w:rPr>
        <w:t xml:space="preserve"> </w:t>
      </w:r>
      <w:r w:rsidRPr="001B36D2">
        <w:rPr>
          <w:rFonts w:cs="Times New Roman"/>
          <w:szCs w:val="28"/>
        </w:rPr>
        <w:t xml:space="preserve">EEG </w:t>
      </w:r>
      <w:r w:rsidR="00C61CBA">
        <w:rPr>
          <w:rFonts w:cs="Times New Roman"/>
          <w:szCs w:val="28"/>
        </w:rPr>
        <w:t>grozījumi</w:t>
      </w:r>
      <w:r w:rsidRPr="001B36D2">
        <w:rPr>
          <w:rFonts w:cs="Times New Roman"/>
          <w:szCs w:val="28"/>
        </w:rPr>
        <w:t>. Galvenais piedāvātās reformas iemesls ir atjaunojamās enerģijas subsīdiju izmaksu pieaugums. Pirmais reformu solis bija 2012.</w:t>
      </w:r>
      <w:r w:rsidR="00E36326">
        <w:rPr>
          <w:rFonts w:cs="Times New Roman"/>
          <w:szCs w:val="28"/>
        </w:rPr>
        <w:t> </w:t>
      </w:r>
      <w:r w:rsidRPr="001B36D2">
        <w:rPr>
          <w:rFonts w:cs="Times New Roman"/>
          <w:szCs w:val="28"/>
        </w:rPr>
        <w:t xml:space="preserve">gada jūlija lēmums par </w:t>
      </w:r>
      <w:r w:rsidRPr="001B36D2">
        <w:rPr>
          <w:rFonts w:cs="Times New Roman"/>
          <w:i/>
          <w:szCs w:val="28"/>
        </w:rPr>
        <w:t xml:space="preserve">feed-in </w:t>
      </w:r>
      <w:r w:rsidRPr="001B36D2">
        <w:rPr>
          <w:rFonts w:cs="Times New Roman"/>
          <w:szCs w:val="28"/>
        </w:rPr>
        <w:t>tarifa apjoma samazināšan</w:t>
      </w:r>
      <w:r w:rsidR="003B2905">
        <w:rPr>
          <w:rFonts w:cs="Times New Roman"/>
          <w:szCs w:val="28"/>
        </w:rPr>
        <w:t>u</w:t>
      </w:r>
      <w:r w:rsidRPr="001B36D2">
        <w:rPr>
          <w:rFonts w:cs="Times New Roman"/>
          <w:szCs w:val="28"/>
        </w:rPr>
        <w:t xml:space="preserve"> elektrībai, kas saražota no saules enerģijas, nosakot uzstādītās jaudas ierobežojums 52 GW apmērā. Šis lēmums var tikt izmanto</w:t>
      </w:r>
      <w:r w:rsidR="003B2905">
        <w:rPr>
          <w:rFonts w:cs="Times New Roman"/>
          <w:szCs w:val="28"/>
        </w:rPr>
        <w:t>t</w:t>
      </w:r>
      <w:r w:rsidRPr="001B36D2">
        <w:rPr>
          <w:rFonts w:cs="Times New Roman"/>
          <w:szCs w:val="28"/>
        </w:rPr>
        <w:t xml:space="preserve">s kā piemērs arī citām atsevišķām </w:t>
      </w:r>
      <w:r w:rsidRPr="001B36D2">
        <w:rPr>
          <w:rFonts w:cs="Times New Roman"/>
          <w:szCs w:val="28"/>
        </w:rPr>
        <w:lastRenderedPageBreak/>
        <w:t>tehnoloģijām. Reformas turpinājās 2012.</w:t>
      </w:r>
      <w:r w:rsidR="00E36326">
        <w:rPr>
          <w:rFonts w:cs="Times New Roman"/>
          <w:szCs w:val="28"/>
        </w:rPr>
        <w:t> </w:t>
      </w:r>
      <w:r w:rsidRPr="001B36D2">
        <w:rPr>
          <w:rFonts w:cs="Times New Roman"/>
          <w:szCs w:val="28"/>
        </w:rPr>
        <w:t>gada novembrī, kad tika apstiprināts lēmums arī par pārvaldes piemaksu (</w:t>
      </w:r>
      <w:proofErr w:type="spellStart"/>
      <w:r w:rsidRPr="001B36D2">
        <w:rPr>
          <w:rFonts w:cs="Times New Roman"/>
          <w:i/>
          <w:szCs w:val="28"/>
        </w:rPr>
        <w:t>management</w:t>
      </w:r>
      <w:proofErr w:type="spellEnd"/>
      <w:r w:rsidRPr="001B36D2">
        <w:rPr>
          <w:rFonts w:cs="Times New Roman"/>
          <w:i/>
          <w:szCs w:val="28"/>
        </w:rPr>
        <w:t xml:space="preserve"> premium</w:t>
      </w:r>
      <w:r w:rsidRPr="001B36D2">
        <w:rPr>
          <w:rFonts w:cs="Times New Roman"/>
          <w:szCs w:val="28"/>
        </w:rPr>
        <w:t>), kas ir viens no 2012.</w:t>
      </w:r>
      <w:r w:rsidR="00E36326">
        <w:rPr>
          <w:rFonts w:cs="Times New Roman"/>
          <w:szCs w:val="28"/>
        </w:rPr>
        <w:t> </w:t>
      </w:r>
      <w:r w:rsidRPr="001B36D2">
        <w:rPr>
          <w:rFonts w:cs="Times New Roman"/>
          <w:szCs w:val="28"/>
        </w:rPr>
        <w:t xml:space="preserve">gada sākumā nodibinātā tirgus piemaksu modeļa elementiem, samazinājumu saules un vēja enerģijai. </w:t>
      </w:r>
    </w:p>
    <w:p w:rsidR="00FE125B" w:rsidRPr="001B36D2" w:rsidRDefault="00FE125B" w:rsidP="008A259F">
      <w:pPr>
        <w:spacing w:line="240" w:lineRule="auto"/>
        <w:rPr>
          <w:rFonts w:eastAsia="EYInterstate-Light" w:cs="Times New Roman"/>
          <w:szCs w:val="28"/>
        </w:rPr>
      </w:pPr>
      <w:r w:rsidRPr="001B36D2">
        <w:rPr>
          <w:rFonts w:cs="Times New Roman"/>
          <w:szCs w:val="28"/>
        </w:rPr>
        <w:t xml:space="preserve">Arī </w:t>
      </w:r>
      <w:r w:rsidRPr="001B36D2">
        <w:rPr>
          <w:rFonts w:cs="Times New Roman"/>
          <w:b/>
          <w:szCs w:val="28"/>
        </w:rPr>
        <w:t xml:space="preserve">Itālijas </w:t>
      </w:r>
      <w:r w:rsidRPr="001B36D2">
        <w:rPr>
          <w:rFonts w:cs="Times New Roman"/>
          <w:szCs w:val="28"/>
        </w:rPr>
        <w:t>valdība plāno pārskatīt atbalsta shēmas, lai samazinātu izmaksas un atvieglotu slogu patērētājiem. Pirmais solis jau tika veikts, nosakot ierobežojumus saules elektrostaciju atbalstam. 2012.</w:t>
      </w:r>
      <w:r w:rsidR="00E36326">
        <w:rPr>
          <w:rFonts w:cs="Times New Roman"/>
          <w:szCs w:val="28"/>
        </w:rPr>
        <w:t> </w:t>
      </w:r>
      <w:r w:rsidRPr="001B36D2">
        <w:rPr>
          <w:rFonts w:cs="Times New Roman"/>
          <w:szCs w:val="28"/>
        </w:rPr>
        <w:t xml:space="preserve">gadā jūlijā Itālijā ir stājies spēkā jauns likums, kas paredz 35% samazinājumu no kopējā saules enerģētikas projektiem </w:t>
      </w:r>
      <w:r w:rsidRPr="001B36D2">
        <w:rPr>
          <w:rFonts w:cs="Times New Roman"/>
          <w:i/>
          <w:szCs w:val="28"/>
        </w:rPr>
        <w:t>feed-in</w:t>
      </w:r>
      <w:r w:rsidRPr="001B36D2">
        <w:rPr>
          <w:rFonts w:cs="Times New Roman"/>
          <w:szCs w:val="28"/>
        </w:rPr>
        <w:t xml:space="preserve"> tarifa ietvaros piešķirtā subsīdiju apjoma. Vienlaikus arī samazināta kopējo izdevumu apjoms un tiek likts uzsvars uz nelielo iekārtu projektiem. </w:t>
      </w:r>
      <w:r w:rsidRPr="001B36D2">
        <w:rPr>
          <w:rFonts w:eastAsia="EYInterstate-Light" w:cs="Times New Roman"/>
          <w:szCs w:val="28"/>
        </w:rPr>
        <w:t>2012.</w:t>
      </w:r>
      <w:r w:rsidR="00E36326">
        <w:rPr>
          <w:rFonts w:eastAsia="EYInterstate-Light" w:cs="Times New Roman"/>
          <w:szCs w:val="28"/>
        </w:rPr>
        <w:t> </w:t>
      </w:r>
      <w:r w:rsidRPr="001B36D2">
        <w:rPr>
          <w:rFonts w:eastAsia="EYInterstate-Light" w:cs="Times New Roman"/>
          <w:szCs w:val="28"/>
        </w:rPr>
        <w:t>gada aprīlī Itālijā tika izdoti divu jaunu dekrētu projekti, kas attiecas uz pārējām atjaunojamo enerģiju tehnoloģijām un kuru mērķis ir samazināt izmaksas par atjaunojamās enerģijas atbalstu. Šis likums, kas stāsies spēkā 2013.</w:t>
      </w:r>
      <w:r w:rsidR="00E36326">
        <w:rPr>
          <w:rFonts w:eastAsia="EYInterstate-Light" w:cs="Times New Roman"/>
          <w:szCs w:val="28"/>
        </w:rPr>
        <w:t> </w:t>
      </w:r>
      <w:r w:rsidRPr="001B36D2">
        <w:rPr>
          <w:rFonts w:eastAsia="EYInterstate-Light" w:cs="Times New Roman"/>
          <w:szCs w:val="28"/>
        </w:rPr>
        <w:t xml:space="preserve">gada janvārī, samazina </w:t>
      </w:r>
      <w:r w:rsidRPr="001B36D2">
        <w:rPr>
          <w:rFonts w:cs="Times New Roman"/>
          <w:i/>
          <w:szCs w:val="28"/>
        </w:rPr>
        <w:t xml:space="preserve">feed-in </w:t>
      </w:r>
      <w:r w:rsidRPr="001B36D2">
        <w:rPr>
          <w:rFonts w:cs="Times New Roman"/>
          <w:szCs w:val="28"/>
        </w:rPr>
        <w:t>tarifa</w:t>
      </w:r>
      <w:r w:rsidRPr="001B36D2">
        <w:rPr>
          <w:rFonts w:eastAsia="EYInterstate-Light" w:cs="Times New Roman"/>
          <w:szCs w:val="28"/>
        </w:rPr>
        <w:t xml:space="preserve"> subsīdijas visām tehnoloģijām (izņemot mazās HES un ģeotermālās enerģijas stacijas) par aptuveni 10% -15%. </w:t>
      </w:r>
    </w:p>
    <w:p w:rsidR="00FE125B" w:rsidRDefault="00FE125B" w:rsidP="008A259F">
      <w:pPr>
        <w:pStyle w:val="PlainText"/>
        <w:spacing w:after="120"/>
        <w:rPr>
          <w:rFonts w:ascii="Times New Roman" w:hAnsi="Times New Roman" w:cs="Times New Roman"/>
          <w:szCs w:val="28"/>
        </w:rPr>
      </w:pPr>
      <w:r>
        <w:rPr>
          <w:rFonts w:ascii="Times New Roman" w:hAnsi="Times New Roman" w:cs="Times New Roman"/>
          <w:szCs w:val="28"/>
        </w:rPr>
        <w:t xml:space="preserve">Apskatot atbalstu koģenerācijas stacijām, var norādīt, ka koģenerācijas stacijas tiek atbalstītas praktiski visās ES dalībvalstīs (izņemot Dāniju), piemēram Austrijā tiek sniegts </w:t>
      </w:r>
      <w:r w:rsidR="00CA0961">
        <w:rPr>
          <w:rFonts w:ascii="Times New Roman" w:hAnsi="Times New Roman" w:cs="Times New Roman"/>
          <w:szCs w:val="28"/>
        </w:rPr>
        <w:t xml:space="preserve">atbalsts </w:t>
      </w:r>
      <w:r>
        <w:rPr>
          <w:rFonts w:ascii="Times New Roman" w:hAnsi="Times New Roman" w:cs="Times New Roman"/>
          <w:szCs w:val="28"/>
        </w:rPr>
        <w:t xml:space="preserve">stacijām, kurās izmanto fosilo energoresursus ar elektrisko jaudu līdz 2 MW, bet Igaunijā līdz 10 MW. Savukārt Luksemburgā un Somijā netiek paredzēts atbalsts koģenerācijas stacijām, kurās izmanto fosilo energoresursus. Pārsvarā </w:t>
      </w:r>
      <w:r w:rsidR="000413D1">
        <w:rPr>
          <w:rFonts w:ascii="Times New Roman" w:hAnsi="Times New Roman" w:cs="Times New Roman"/>
          <w:szCs w:val="28"/>
        </w:rPr>
        <w:t xml:space="preserve">ES dalībvalstīs </w:t>
      </w:r>
      <w:r>
        <w:rPr>
          <w:rFonts w:ascii="Times New Roman" w:hAnsi="Times New Roman" w:cs="Times New Roman"/>
          <w:szCs w:val="28"/>
        </w:rPr>
        <w:t xml:space="preserve">kā atbalsta mehānisms tiek izmantots feed-in tarifs (Čehijā </w:t>
      </w:r>
      <w:r w:rsidRPr="00474786">
        <w:rPr>
          <w:rFonts w:ascii="Times New Roman" w:hAnsi="Times New Roman" w:cs="Times New Roman"/>
          <w:i/>
          <w:szCs w:val="28"/>
        </w:rPr>
        <w:t>feed-in premium tarifs</w:t>
      </w:r>
      <w:r>
        <w:rPr>
          <w:rFonts w:ascii="Times New Roman" w:hAnsi="Times New Roman" w:cs="Times New Roman"/>
          <w:szCs w:val="28"/>
        </w:rPr>
        <w:t>).</w:t>
      </w:r>
      <w:r>
        <w:rPr>
          <w:rStyle w:val="FootnoteReference"/>
          <w:rFonts w:ascii="Times New Roman" w:hAnsi="Times New Roman" w:cs="Times New Roman"/>
          <w:szCs w:val="28"/>
        </w:rPr>
        <w:footnoteReference w:id="7"/>
      </w:r>
    </w:p>
    <w:p w:rsidR="00FD5D22" w:rsidRDefault="00FD5D22" w:rsidP="008A259F">
      <w:pPr>
        <w:pStyle w:val="PlainText"/>
        <w:spacing w:after="120"/>
        <w:rPr>
          <w:rFonts w:ascii="Times New Roman" w:hAnsi="Times New Roman" w:cs="Times New Roman"/>
        </w:rPr>
      </w:pPr>
      <w:r>
        <w:rPr>
          <w:rFonts w:ascii="Times New Roman" w:hAnsi="Times New Roman" w:cs="Times New Roman"/>
        </w:rPr>
        <w:t>Kopumā Latvijā obligātā iepirkuma tarifi ir vieni no augstākajiem, s</w:t>
      </w:r>
      <w:r w:rsidRPr="00E65F46">
        <w:rPr>
          <w:rFonts w:ascii="Times New Roman" w:hAnsi="Times New Roman" w:cs="Times New Roman"/>
        </w:rPr>
        <w:t xml:space="preserve">alīdzinot </w:t>
      </w:r>
      <w:r>
        <w:rPr>
          <w:rFonts w:ascii="Times New Roman" w:hAnsi="Times New Roman" w:cs="Times New Roman"/>
        </w:rPr>
        <w:t>ar Eiropas valstīm, kurās atbalsts veidots pēc obligātā iepirkuma (</w:t>
      </w:r>
      <w:r w:rsidRPr="00FD5D22">
        <w:rPr>
          <w:rFonts w:ascii="Times New Roman" w:hAnsi="Times New Roman" w:cs="Times New Roman"/>
          <w:i/>
        </w:rPr>
        <w:t>feed-in</w:t>
      </w:r>
      <w:r>
        <w:rPr>
          <w:rFonts w:ascii="Times New Roman" w:hAnsi="Times New Roman" w:cs="Times New Roman"/>
        </w:rPr>
        <w:t>) principa</w:t>
      </w:r>
      <w:r w:rsidR="0088152E">
        <w:rPr>
          <w:rFonts w:ascii="Times New Roman" w:hAnsi="Times New Roman" w:cs="Times New Roman"/>
        </w:rPr>
        <w:t xml:space="preserve"> </w:t>
      </w:r>
      <w:r w:rsidR="0088152E">
        <w:rPr>
          <w:rFonts w:ascii="Times New Roman" w:hAnsi="Times New Roman" w:cs="Times New Roman"/>
          <w:szCs w:val="28"/>
        </w:rPr>
        <w:t>(</w:t>
      </w:r>
      <w:r w:rsidR="0088152E" w:rsidRPr="004D46D5">
        <w:rPr>
          <w:rFonts w:ascii="Times New Roman" w:hAnsi="Times New Roman" w:cs="Times New Roman"/>
          <w:i/>
          <w:szCs w:val="28"/>
        </w:rPr>
        <w:t>skat.</w:t>
      </w:r>
      <w:r w:rsidR="00E36326">
        <w:rPr>
          <w:rFonts w:ascii="Times New Roman" w:hAnsi="Times New Roman" w:cs="Times New Roman"/>
          <w:i/>
          <w:szCs w:val="28"/>
        </w:rPr>
        <w:t>6</w:t>
      </w:r>
      <w:r w:rsidR="0088152E" w:rsidRPr="004D46D5">
        <w:rPr>
          <w:rFonts w:ascii="Times New Roman" w:hAnsi="Times New Roman" w:cs="Times New Roman"/>
          <w:i/>
          <w:szCs w:val="28"/>
        </w:rPr>
        <w:t>.tabulu</w:t>
      </w:r>
      <w:r w:rsidR="0088152E">
        <w:rPr>
          <w:rFonts w:ascii="Times New Roman" w:hAnsi="Times New Roman" w:cs="Times New Roman"/>
          <w:szCs w:val="28"/>
        </w:rPr>
        <w:t>)</w:t>
      </w:r>
      <w:r>
        <w:rPr>
          <w:rFonts w:ascii="Times New Roman" w:hAnsi="Times New Roman" w:cs="Times New Roman"/>
        </w:rPr>
        <w:t>.</w:t>
      </w:r>
    </w:p>
    <w:p w:rsidR="00FD5D22" w:rsidRPr="008A259F" w:rsidRDefault="00E36326" w:rsidP="00FD5D22">
      <w:pPr>
        <w:pStyle w:val="PlainText"/>
        <w:ind w:left="360" w:firstLine="0"/>
        <w:jc w:val="right"/>
        <w:rPr>
          <w:rFonts w:ascii="Times New Roman" w:hAnsi="Times New Roman" w:cs="Times New Roman"/>
          <w:iCs/>
          <w:szCs w:val="28"/>
        </w:rPr>
      </w:pPr>
      <w:r>
        <w:rPr>
          <w:rFonts w:ascii="Times New Roman" w:hAnsi="Times New Roman" w:cs="Times New Roman"/>
          <w:iCs/>
          <w:szCs w:val="28"/>
        </w:rPr>
        <w:t>6</w:t>
      </w:r>
      <w:r w:rsidR="00FD5D22" w:rsidRPr="008A259F">
        <w:rPr>
          <w:rFonts w:ascii="Times New Roman" w:hAnsi="Times New Roman" w:cs="Times New Roman"/>
          <w:iCs/>
          <w:szCs w:val="28"/>
        </w:rPr>
        <w:t>.tabula</w:t>
      </w:r>
    </w:p>
    <w:p w:rsidR="00FD5D22" w:rsidRPr="008A259F" w:rsidRDefault="00FD5D22" w:rsidP="008A259F">
      <w:pPr>
        <w:pStyle w:val="PlainText"/>
        <w:ind w:firstLine="0"/>
        <w:jc w:val="center"/>
        <w:rPr>
          <w:rFonts w:ascii="Times New Roman" w:hAnsi="Times New Roman" w:cs="Times New Roman"/>
          <w:iCs/>
          <w:szCs w:val="28"/>
        </w:rPr>
      </w:pPr>
      <w:r w:rsidRPr="008A259F">
        <w:rPr>
          <w:rFonts w:ascii="Times New Roman" w:hAnsi="Times New Roman" w:cs="Times New Roman"/>
          <w:iCs/>
          <w:szCs w:val="28"/>
        </w:rPr>
        <w:t>Elektroenerģijas obligātā iepirkuma tarifi Eiropā</w:t>
      </w:r>
    </w:p>
    <w:tbl>
      <w:tblPr>
        <w:tblW w:w="8364" w:type="dxa"/>
        <w:jc w:val="center"/>
        <w:tblLayout w:type="fixed"/>
        <w:tblLook w:val="04A0" w:firstRow="1" w:lastRow="0" w:firstColumn="1" w:lastColumn="0" w:noHBand="0" w:noVBand="1"/>
      </w:tblPr>
      <w:tblGrid>
        <w:gridCol w:w="1589"/>
        <w:gridCol w:w="1388"/>
        <w:gridCol w:w="1305"/>
        <w:gridCol w:w="1276"/>
        <w:gridCol w:w="1275"/>
        <w:gridCol w:w="1531"/>
      </w:tblGrid>
      <w:tr w:rsidR="008A259F" w:rsidRPr="00FD5D22" w:rsidTr="008A259F">
        <w:trPr>
          <w:trHeight w:val="299"/>
          <w:jc w:val="center"/>
        </w:trPr>
        <w:tc>
          <w:tcPr>
            <w:tcW w:w="1589" w:type="dxa"/>
            <w:vMerge w:val="restart"/>
            <w:tcBorders>
              <w:top w:val="single" w:sz="8" w:space="0" w:color="auto"/>
              <w:left w:val="single" w:sz="8" w:space="0" w:color="auto"/>
              <w:right w:val="single" w:sz="8" w:space="0" w:color="auto"/>
            </w:tcBorders>
            <w:shd w:val="clear" w:color="auto" w:fill="auto"/>
            <w:noWrap/>
            <w:vAlign w:val="center"/>
            <w:hideMark/>
          </w:tcPr>
          <w:p w:rsidR="008A259F" w:rsidRPr="008A259F" w:rsidRDefault="008A259F" w:rsidP="0003742D">
            <w:pPr>
              <w:pStyle w:val="PlainText"/>
              <w:spacing w:before="0"/>
              <w:ind w:firstLine="0"/>
              <w:jc w:val="center"/>
              <w:rPr>
                <w:rFonts w:ascii="Times New Roman" w:hAnsi="Times New Roman" w:cs="Times New Roman"/>
                <w:b/>
                <w:sz w:val="24"/>
                <w:szCs w:val="24"/>
              </w:rPr>
            </w:pPr>
            <w:r w:rsidRPr="008A259F">
              <w:rPr>
                <w:rFonts w:ascii="Times New Roman" w:hAnsi="Times New Roman" w:cs="Times New Roman"/>
                <w:b/>
                <w:bCs/>
                <w:sz w:val="24"/>
                <w:szCs w:val="24"/>
              </w:rPr>
              <w:t>Valsts</w:t>
            </w:r>
          </w:p>
        </w:tc>
        <w:tc>
          <w:tcPr>
            <w:tcW w:w="6775"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A259F" w:rsidRPr="008A259F" w:rsidRDefault="008A259F" w:rsidP="0003742D">
            <w:pPr>
              <w:pStyle w:val="PlainText"/>
              <w:spacing w:before="0"/>
              <w:ind w:firstLine="0"/>
              <w:jc w:val="center"/>
              <w:rPr>
                <w:rFonts w:ascii="Times New Roman" w:hAnsi="Times New Roman" w:cs="Times New Roman"/>
                <w:b/>
                <w:bCs/>
                <w:sz w:val="24"/>
                <w:szCs w:val="24"/>
              </w:rPr>
            </w:pPr>
            <w:r w:rsidRPr="008A259F">
              <w:rPr>
                <w:rFonts w:ascii="Times New Roman" w:hAnsi="Times New Roman" w:cs="Times New Roman"/>
                <w:b/>
                <w:bCs/>
                <w:sz w:val="24"/>
                <w:szCs w:val="24"/>
              </w:rPr>
              <w:t xml:space="preserve">Elektroenerģijas </w:t>
            </w:r>
            <w:r w:rsidRPr="008A259F">
              <w:rPr>
                <w:rFonts w:ascii="Times New Roman" w:hAnsi="Times New Roman" w:cs="Times New Roman"/>
                <w:b/>
                <w:bCs/>
                <w:i/>
                <w:sz w:val="24"/>
                <w:szCs w:val="24"/>
              </w:rPr>
              <w:t>feed-in</w:t>
            </w:r>
            <w:r w:rsidRPr="008A259F">
              <w:rPr>
                <w:rFonts w:ascii="Times New Roman" w:hAnsi="Times New Roman" w:cs="Times New Roman"/>
                <w:b/>
                <w:bCs/>
                <w:sz w:val="24"/>
                <w:szCs w:val="24"/>
              </w:rPr>
              <w:t xml:space="preserve"> tarifs, €</w:t>
            </w:r>
            <w:proofErr w:type="spellStart"/>
            <w:r w:rsidRPr="008A259F">
              <w:rPr>
                <w:rFonts w:ascii="Times New Roman" w:hAnsi="Times New Roman" w:cs="Times New Roman"/>
                <w:b/>
                <w:bCs/>
                <w:sz w:val="24"/>
                <w:szCs w:val="24"/>
              </w:rPr>
              <w:t>ct</w:t>
            </w:r>
            <w:proofErr w:type="spellEnd"/>
            <w:r w:rsidRPr="008A259F">
              <w:rPr>
                <w:rFonts w:ascii="Times New Roman" w:hAnsi="Times New Roman" w:cs="Times New Roman"/>
                <w:b/>
                <w:bCs/>
                <w:sz w:val="24"/>
                <w:szCs w:val="24"/>
              </w:rPr>
              <w:t>/kWh</w:t>
            </w:r>
          </w:p>
        </w:tc>
      </w:tr>
      <w:tr w:rsidR="008A259F" w:rsidRPr="00FD5D22" w:rsidTr="00931CDE">
        <w:trPr>
          <w:trHeight w:val="582"/>
          <w:jc w:val="center"/>
        </w:trPr>
        <w:tc>
          <w:tcPr>
            <w:tcW w:w="1589" w:type="dxa"/>
            <w:vMerge/>
            <w:tcBorders>
              <w:left w:val="single" w:sz="8" w:space="0" w:color="auto"/>
              <w:bottom w:val="single" w:sz="8" w:space="0" w:color="auto"/>
              <w:right w:val="single" w:sz="8" w:space="0" w:color="auto"/>
            </w:tcBorders>
            <w:shd w:val="clear" w:color="000000" w:fill="FFFFFF"/>
            <w:vAlign w:val="center"/>
            <w:hideMark/>
          </w:tcPr>
          <w:p w:rsidR="008A259F" w:rsidRPr="00FD5D22" w:rsidRDefault="008A259F" w:rsidP="0003742D">
            <w:pPr>
              <w:pStyle w:val="PlainText"/>
              <w:spacing w:before="0"/>
              <w:ind w:firstLine="0"/>
              <w:jc w:val="center"/>
              <w:rPr>
                <w:rFonts w:ascii="Times New Roman" w:hAnsi="Times New Roman" w:cs="Times New Roman"/>
                <w:bCs/>
                <w:sz w:val="24"/>
                <w:szCs w:val="24"/>
              </w:rPr>
            </w:pPr>
          </w:p>
        </w:tc>
        <w:tc>
          <w:tcPr>
            <w:tcW w:w="1388" w:type="dxa"/>
            <w:tcBorders>
              <w:top w:val="nil"/>
              <w:left w:val="nil"/>
              <w:bottom w:val="nil"/>
              <w:right w:val="single" w:sz="8" w:space="0" w:color="auto"/>
            </w:tcBorders>
            <w:shd w:val="clear" w:color="000000" w:fill="FFFFFF"/>
            <w:vAlign w:val="center"/>
            <w:hideMark/>
          </w:tcPr>
          <w:p w:rsidR="008A259F" w:rsidRPr="008A259F" w:rsidRDefault="008A259F" w:rsidP="0003742D">
            <w:pPr>
              <w:pStyle w:val="PlainText"/>
              <w:spacing w:before="0"/>
              <w:ind w:firstLine="0"/>
              <w:jc w:val="center"/>
              <w:rPr>
                <w:rFonts w:ascii="Times New Roman" w:hAnsi="Times New Roman" w:cs="Times New Roman"/>
                <w:b/>
                <w:bCs/>
                <w:sz w:val="24"/>
                <w:szCs w:val="24"/>
              </w:rPr>
            </w:pPr>
            <w:r w:rsidRPr="008A259F">
              <w:rPr>
                <w:rFonts w:ascii="Times New Roman" w:hAnsi="Times New Roman" w:cs="Times New Roman"/>
                <w:b/>
                <w:bCs/>
                <w:sz w:val="24"/>
                <w:szCs w:val="24"/>
              </w:rPr>
              <w:t>Biogāze</w:t>
            </w:r>
          </w:p>
        </w:tc>
        <w:tc>
          <w:tcPr>
            <w:tcW w:w="1305" w:type="dxa"/>
            <w:tcBorders>
              <w:top w:val="nil"/>
              <w:left w:val="nil"/>
              <w:bottom w:val="nil"/>
              <w:right w:val="single" w:sz="8" w:space="0" w:color="auto"/>
            </w:tcBorders>
            <w:shd w:val="clear" w:color="000000" w:fill="FFFFFF"/>
            <w:vAlign w:val="center"/>
            <w:hideMark/>
          </w:tcPr>
          <w:p w:rsidR="008A259F" w:rsidRPr="008A259F" w:rsidRDefault="008A259F" w:rsidP="0003742D">
            <w:pPr>
              <w:pStyle w:val="PlainText"/>
              <w:spacing w:before="0"/>
              <w:ind w:firstLine="0"/>
              <w:jc w:val="center"/>
              <w:rPr>
                <w:rFonts w:ascii="Times New Roman" w:hAnsi="Times New Roman" w:cs="Times New Roman"/>
                <w:b/>
                <w:bCs/>
                <w:sz w:val="24"/>
                <w:szCs w:val="24"/>
              </w:rPr>
            </w:pPr>
            <w:r w:rsidRPr="008A259F">
              <w:rPr>
                <w:rFonts w:ascii="Times New Roman" w:hAnsi="Times New Roman" w:cs="Times New Roman"/>
                <w:b/>
                <w:bCs/>
                <w:sz w:val="24"/>
                <w:szCs w:val="24"/>
              </w:rPr>
              <w:t>Biomasa</w:t>
            </w:r>
          </w:p>
        </w:tc>
        <w:tc>
          <w:tcPr>
            <w:tcW w:w="1276" w:type="dxa"/>
            <w:tcBorders>
              <w:top w:val="nil"/>
              <w:left w:val="nil"/>
              <w:bottom w:val="nil"/>
              <w:right w:val="single" w:sz="8" w:space="0" w:color="auto"/>
            </w:tcBorders>
            <w:shd w:val="clear" w:color="000000" w:fill="FFFFFF"/>
            <w:vAlign w:val="center"/>
            <w:hideMark/>
          </w:tcPr>
          <w:p w:rsidR="008A259F" w:rsidRPr="008A259F" w:rsidRDefault="008A259F" w:rsidP="0003742D">
            <w:pPr>
              <w:pStyle w:val="PlainText"/>
              <w:spacing w:before="0"/>
              <w:ind w:firstLine="0"/>
              <w:jc w:val="center"/>
              <w:rPr>
                <w:rFonts w:ascii="Times New Roman" w:hAnsi="Times New Roman" w:cs="Times New Roman"/>
                <w:b/>
                <w:bCs/>
                <w:sz w:val="24"/>
                <w:szCs w:val="24"/>
              </w:rPr>
            </w:pPr>
            <w:r w:rsidRPr="008A259F">
              <w:rPr>
                <w:rFonts w:ascii="Times New Roman" w:hAnsi="Times New Roman" w:cs="Times New Roman"/>
                <w:b/>
                <w:bCs/>
                <w:sz w:val="24"/>
                <w:szCs w:val="24"/>
              </w:rPr>
              <w:t>Hidro</w:t>
            </w:r>
          </w:p>
        </w:tc>
        <w:tc>
          <w:tcPr>
            <w:tcW w:w="1275" w:type="dxa"/>
            <w:tcBorders>
              <w:top w:val="nil"/>
              <w:left w:val="nil"/>
              <w:bottom w:val="nil"/>
              <w:right w:val="single" w:sz="8" w:space="0" w:color="auto"/>
            </w:tcBorders>
            <w:shd w:val="clear" w:color="000000" w:fill="FFFFFF"/>
            <w:vAlign w:val="center"/>
            <w:hideMark/>
          </w:tcPr>
          <w:p w:rsidR="008A259F" w:rsidRPr="008A259F" w:rsidRDefault="008A259F" w:rsidP="0003742D">
            <w:pPr>
              <w:pStyle w:val="PlainText"/>
              <w:spacing w:before="0"/>
              <w:ind w:firstLine="0"/>
              <w:jc w:val="center"/>
              <w:rPr>
                <w:rFonts w:ascii="Times New Roman" w:hAnsi="Times New Roman" w:cs="Times New Roman"/>
                <w:b/>
                <w:bCs/>
                <w:sz w:val="24"/>
                <w:szCs w:val="24"/>
              </w:rPr>
            </w:pPr>
            <w:r w:rsidRPr="008A259F">
              <w:rPr>
                <w:rFonts w:ascii="Times New Roman" w:hAnsi="Times New Roman" w:cs="Times New Roman"/>
                <w:b/>
                <w:bCs/>
                <w:sz w:val="24"/>
                <w:szCs w:val="24"/>
              </w:rPr>
              <w:t>Saule</w:t>
            </w:r>
          </w:p>
        </w:tc>
        <w:tc>
          <w:tcPr>
            <w:tcW w:w="1531" w:type="dxa"/>
            <w:tcBorders>
              <w:top w:val="nil"/>
              <w:left w:val="nil"/>
              <w:bottom w:val="nil"/>
              <w:right w:val="single" w:sz="8" w:space="0" w:color="auto"/>
            </w:tcBorders>
            <w:shd w:val="clear" w:color="000000" w:fill="FFFFFF"/>
            <w:vAlign w:val="center"/>
            <w:hideMark/>
          </w:tcPr>
          <w:p w:rsidR="008A259F" w:rsidRPr="008A259F" w:rsidRDefault="008A259F" w:rsidP="0003742D">
            <w:pPr>
              <w:pStyle w:val="PlainText"/>
              <w:spacing w:before="0"/>
              <w:ind w:firstLine="0"/>
              <w:jc w:val="center"/>
              <w:rPr>
                <w:rFonts w:ascii="Times New Roman" w:hAnsi="Times New Roman" w:cs="Times New Roman"/>
                <w:b/>
                <w:bCs/>
                <w:sz w:val="24"/>
                <w:szCs w:val="24"/>
              </w:rPr>
            </w:pPr>
            <w:r w:rsidRPr="008A259F">
              <w:rPr>
                <w:rFonts w:ascii="Times New Roman" w:hAnsi="Times New Roman" w:cs="Times New Roman"/>
                <w:b/>
                <w:bCs/>
                <w:sz w:val="24"/>
                <w:szCs w:val="24"/>
              </w:rPr>
              <w:t>Vējš (sauszemes)</w:t>
            </w:r>
          </w:p>
        </w:tc>
      </w:tr>
      <w:tr w:rsidR="00FD5D22" w:rsidRPr="00FD5D22" w:rsidTr="00FD5D22">
        <w:trPr>
          <w:trHeight w:val="361"/>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Austrija</w:t>
            </w:r>
          </w:p>
        </w:tc>
        <w:tc>
          <w:tcPr>
            <w:tcW w:w="1388" w:type="dxa"/>
            <w:tcBorders>
              <w:top w:val="single" w:sz="8" w:space="0" w:color="auto"/>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5 - 20</w:t>
            </w:r>
          </w:p>
        </w:tc>
        <w:tc>
          <w:tcPr>
            <w:tcW w:w="1305" w:type="dxa"/>
            <w:tcBorders>
              <w:top w:val="single" w:sz="8" w:space="0" w:color="auto"/>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6 - 20</w:t>
            </w:r>
          </w:p>
        </w:tc>
        <w:tc>
          <w:tcPr>
            <w:tcW w:w="1276" w:type="dxa"/>
            <w:tcBorders>
              <w:top w:val="single" w:sz="8" w:space="0" w:color="auto"/>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3 - 11</w:t>
            </w:r>
          </w:p>
        </w:tc>
        <w:tc>
          <w:tcPr>
            <w:tcW w:w="1275" w:type="dxa"/>
            <w:tcBorders>
              <w:top w:val="single" w:sz="8" w:space="0" w:color="auto"/>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17 - 20</w:t>
            </w:r>
          </w:p>
        </w:tc>
        <w:tc>
          <w:tcPr>
            <w:tcW w:w="1531" w:type="dxa"/>
            <w:tcBorders>
              <w:top w:val="single" w:sz="8" w:space="0" w:color="auto"/>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Bulgārija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6 - 24</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9 - 15</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5 - 10</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9 - 20</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5 - 8</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Horvātija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15 - 19</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12 - 17</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8 - 16</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15 - 35</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9 - 10</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Čehija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11 - 17</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6 - 19</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5 - 15</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22 - 65</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9 - 14</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Francija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8 - 14</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12</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6 - 10</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11 - 46</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3 - 11</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Vācija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6 - 25</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6 - 17</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3 - 13</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14 - 20</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5 - 9</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Grieķija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10 - 22</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15 - 23</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9 - 11</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30 - 33</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9 - 25</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Ungārija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4 - 12</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4 - 12</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5 - 12</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5 - 11</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4 - 12</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lastRenderedPageBreak/>
              <w:t>Īrija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8 - 15</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9 - 14</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8</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7</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000000" w:fill="BFBFBF"/>
            <w:noWrap/>
            <w:vAlign w:val="center"/>
            <w:hideMark/>
          </w:tcPr>
          <w:p w:rsidR="00FD5D22" w:rsidRPr="00FD5D22" w:rsidRDefault="00FD5D22" w:rsidP="0003742D">
            <w:pPr>
              <w:pStyle w:val="PlainText"/>
              <w:spacing w:before="0"/>
              <w:ind w:firstLine="0"/>
              <w:jc w:val="center"/>
              <w:rPr>
                <w:rFonts w:ascii="Times New Roman" w:hAnsi="Times New Roman" w:cs="Times New Roman"/>
                <w:b/>
                <w:sz w:val="24"/>
                <w:szCs w:val="24"/>
              </w:rPr>
            </w:pPr>
            <w:r w:rsidRPr="00FD5D22">
              <w:rPr>
                <w:rFonts w:ascii="Times New Roman" w:hAnsi="Times New Roman" w:cs="Times New Roman"/>
                <w:b/>
                <w:sz w:val="24"/>
                <w:szCs w:val="24"/>
              </w:rPr>
              <w:t>Latvija</w:t>
            </w:r>
          </w:p>
        </w:tc>
        <w:tc>
          <w:tcPr>
            <w:tcW w:w="1388" w:type="dxa"/>
            <w:tcBorders>
              <w:top w:val="nil"/>
              <w:left w:val="nil"/>
              <w:bottom w:val="single" w:sz="4" w:space="0" w:color="auto"/>
              <w:right w:val="single" w:sz="8" w:space="0" w:color="auto"/>
            </w:tcBorders>
            <w:shd w:val="clear" w:color="000000" w:fill="BFBFBF"/>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19 - 21</w:t>
            </w:r>
          </w:p>
        </w:tc>
        <w:tc>
          <w:tcPr>
            <w:tcW w:w="1305" w:type="dxa"/>
            <w:tcBorders>
              <w:top w:val="nil"/>
              <w:left w:val="nil"/>
              <w:bottom w:val="single" w:sz="4" w:space="0" w:color="auto"/>
              <w:right w:val="single" w:sz="8" w:space="0" w:color="auto"/>
            </w:tcBorders>
            <w:shd w:val="clear" w:color="000000" w:fill="BFBFB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15 - 21</w:t>
            </w:r>
          </w:p>
        </w:tc>
        <w:tc>
          <w:tcPr>
            <w:tcW w:w="1276" w:type="dxa"/>
            <w:tcBorders>
              <w:top w:val="nil"/>
              <w:left w:val="nil"/>
              <w:bottom w:val="single" w:sz="4" w:space="0" w:color="auto"/>
              <w:right w:val="single" w:sz="8" w:space="0" w:color="auto"/>
            </w:tcBorders>
            <w:shd w:val="clear" w:color="000000" w:fill="BFBFB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17 - 20</w:t>
            </w:r>
          </w:p>
        </w:tc>
        <w:tc>
          <w:tcPr>
            <w:tcW w:w="1275" w:type="dxa"/>
            <w:tcBorders>
              <w:top w:val="nil"/>
              <w:left w:val="nil"/>
              <w:bottom w:val="single" w:sz="4" w:space="0" w:color="auto"/>
              <w:right w:val="single" w:sz="8" w:space="0" w:color="auto"/>
            </w:tcBorders>
            <w:shd w:val="clear" w:color="000000" w:fill="BFBFB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43</w:t>
            </w:r>
          </w:p>
        </w:tc>
        <w:tc>
          <w:tcPr>
            <w:tcW w:w="1531" w:type="dxa"/>
            <w:tcBorders>
              <w:top w:val="nil"/>
              <w:left w:val="nil"/>
              <w:bottom w:val="single" w:sz="4" w:space="0" w:color="auto"/>
              <w:right w:val="single" w:sz="8" w:space="0" w:color="auto"/>
            </w:tcBorders>
            <w:shd w:val="clear" w:color="000000" w:fill="BFBFB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10 - 17</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Lietuva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12 - 19</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11 - 14</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6 - 8</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12 - 46</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8 - 11</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Luksemburga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12 - 15</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11 - 15</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9 - 11</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37 - 42</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8</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Malta</w:t>
            </w:r>
          </w:p>
        </w:tc>
        <w:tc>
          <w:tcPr>
            <w:tcW w:w="1388"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20 - 28</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Portugāle</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10 - 13</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10 - 13</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9 - 13</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26 - 38</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7 - 26</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Slovākija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9 - 15</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11 - 17</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6 - 11</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12</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8</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Slovēnija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6 - 16</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19 - 25</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8 - 11</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14 - 29</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10</w:t>
            </w:r>
          </w:p>
        </w:tc>
      </w:tr>
      <w:tr w:rsidR="00FD5D22" w:rsidRPr="00FD5D22" w:rsidTr="00FD5D22">
        <w:trPr>
          <w:trHeight w:val="300"/>
          <w:jc w:val="center"/>
        </w:trPr>
        <w:tc>
          <w:tcPr>
            <w:tcW w:w="1589" w:type="dxa"/>
            <w:tcBorders>
              <w:top w:val="nil"/>
              <w:left w:val="single" w:sz="8" w:space="0" w:color="auto"/>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Spānija</w:t>
            </w:r>
          </w:p>
        </w:tc>
        <w:tc>
          <w:tcPr>
            <w:tcW w:w="1388" w:type="dxa"/>
            <w:tcBorders>
              <w:top w:val="nil"/>
              <w:left w:val="nil"/>
              <w:bottom w:val="single" w:sz="4"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7 - 15</w:t>
            </w:r>
          </w:p>
        </w:tc>
        <w:tc>
          <w:tcPr>
            <w:tcW w:w="130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6 - 18</w:t>
            </w:r>
          </w:p>
        </w:tc>
        <w:tc>
          <w:tcPr>
            <w:tcW w:w="1276"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8 - 9</w:t>
            </w:r>
          </w:p>
        </w:tc>
        <w:tc>
          <w:tcPr>
            <w:tcW w:w="1275"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12 - 27</w:t>
            </w:r>
          </w:p>
        </w:tc>
        <w:tc>
          <w:tcPr>
            <w:tcW w:w="1531" w:type="dxa"/>
            <w:tcBorders>
              <w:top w:val="nil"/>
              <w:left w:val="nil"/>
              <w:bottom w:val="single" w:sz="4"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7 - 8</w:t>
            </w:r>
          </w:p>
        </w:tc>
      </w:tr>
      <w:tr w:rsidR="00FD5D22" w:rsidRPr="00FD5D22" w:rsidTr="00FD5D22">
        <w:trPr>
          <w:trHeight w:val="300"/>
          <w:jc w:val="center"/>
        </w:trPr>
        <w:tc>
          <w:tcPr>
            <w:tcW w:w="1589" w:type="dxa"/>
            <w:tcBorders>
              <w:top w:val="nil"/>
              <w:left w:val="single" w:sz="8" w:space="0" w:color="auto"/>
              <w:bottom w:val="nil"/>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Šveice</w:t>
            </w:r>
          </w:p>
        </w:tc>
        <w:tc>
          <w:tcPr>
            <w:tcW w:w="1388" w:type="dxa"/>
            <w:tcBorders>
              <w:top w:val="nil"/>
              <w:left w:val="nil"/>
              <w:bottom w:val="nil"/>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līdz 20</w:t>
            </w:r>
          </w:p>
        </w:tc>
        <w:tc>
          <w:tcPr>
            <w:tcW w:w="1305" w:type="dxa"/>
            <w:tcBorders>
              <w:top w:val="nil"/>
              <w:left w:val="nil"/>
              <w:bottom w:val="nil"/>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15 - 38</w:t>
            </w:r>
          </w:p>
        </w:tc>
        <w:tc>
          <w:tcPr>
            <w:tcW w:w="1276" w:type="dxa"/>
            <w:tcBorders>
              <w:top w:val="nil"/>
              <w:left w:val="nil"/>
              <w:bottom w:val="nil"/>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10 - 30</w:t>
            </w:r>
          </w:p>
        </w:tc>
        <w:tc>
          <w:tcPr>
            <w:tcW w:w="1275" w:type="dxa"/>
            <w:tcBorders>
              <w:top w:val="nil"/>
              <w:left w:val="nil"/>
              <w:bottom w:val="nil"/>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18 - 36</w:t>
            </w:r>
          </w:p>
        </w:tc>
        <w:tc>
          <w:tcPr>
            <w:tcW w:w="1531" w:type="dxa"/>
            <w:tcBorders>
              <w:top w:val="nil"/>
              <w:left w:val="nil"/>
              <w:bottom w:val="nil"/>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11 - 18</w:t>
            </w:r>
          </w:p>
        </w:tc>
      </w:tr>
      <w:tr w:rsidR="00FD5D22" w:rsidRPr="00FD5D22" w:rsidTr="00FD5D22">
        <w:trPr>
          <w:trHeight w:val="300"/>
          <w:jc w:val="center"/>
        </w:trPr>
        <w:tc>
          <w:tcPr>
            <w:tcW w:w="1589" w:type="dxa"/>
            <w:tcBorders>
              <w:top w:val="single" w:sz="4" w:space="0" w:color="auto"/>
              <w:left w:val="single" w:sz="8" w:space="0" w:color="auto"/>
              <w:bottom w:val="nil"/>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Turcija</w:t>
            </w:r>
          </w:p>
        </w:tc>
        <w:tc>
          <w:tcPr>
            <w:tcW w:w="1388" w:type="dxa"/>
            <w:tcBorders>
              <w:top w:val="single" w:sz="4" w:space="0" w:color="auto"/>
              <w:left w:val="nil"/>
              <w:bottom w:val="nil"/>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10 - 13</w:t>
            </w:r>
          </w:p>
        </w:tc>
        <w:tc>
          <w:tcPr>
            <w:tcW w:w="1305" w:type="dxa"/>
            <w:tcBorders>
              <w:top w:val="single" w:sz="4" w:space="0" w:color="auto"/>
              <w:left w:val="nil"/>
              <w:bottom w:val="nil"/>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10 - 12</w:t>
            </w:r>
          </w:p>
        </w:tc>
        <w:tc>
          <w:tcPr>
            <w:tcW w:w="1276" w:type="dxa"/>
            <w:tcBorders>
              <w:top w:val="single" w:sz="4" w:space="0" w:color="auto"/>
              <w:left w:val="nil"/>
              <w:bottom w:val="nil"/>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6 - 7</w:t>
            </w:r>
          </w:p>
        </w:tc>
        <w:tc>
          <w:tcPr>
            <w:tcW w:w="1275" w:type="dxa"/>
            <w:tcBorders>
              <w:top w:val="single" w:sz="4" w:space="0" w:color="auto"/>
              <w:left w:val="nil"/>
              <w:bottom w:val="nil"/>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10 - 17</w:t>
            </w:r>
          </w:p>
        </w:tc>
        <w:tc>
          <w:tcPr>
            <w:tcW w:w="1531" w:type="dxa"/>
            <w:tcBorders>
              <w:top w:val="single" w:sz="4" w:space="0" w:color="auto"/>
              <w:left w:val="nil"/>
              <w:bottom w:val="nil"/>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6 - 9</w:t>
            </w:r>
          </w:p>
        </w:tc>
      </w:tr>
      <w:tr w:rsidR="00FD5D22" w:rsidRPr="00FD5D22" w:rsidTr="00FD5D22">
        <w:trPr>
          <w:trHeight w:val="659"/>
          <w:jc w:val="center"/>
        </w:trPr>
        <w:tc>
          <w:tcPr>
            <w:tcW w:w="158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Apvienotā Karaliste</w:t>
            </w:r>
          </w:p>
        </w:tc>
        <w:tc>
          <w:tcPr>
            <w:tcW w:w="1388" w:type="dxa"/>
            <w:tcBorders>
              <w:top w:val="single" w:sz="4" w:space="0" w:color="auto"/>
              <w:left w:val="nil"/>
              <w:bottom w:val="single" w:sz="8" w:space="0" w:color="auto"/>
              <w:right w:val="single" w:sz="8" w:space="0" w:color="auto"/>
            </w:tcBorders>
            <w:shd w:val="clear" w:color="auto" w:fill="auto"/>
            <w:noWrap/>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12 - 8</w:t>
            </w:r>
          </w:p>
        </w:tc>
        <w:tc>
          <w:tcPr>
            <w:tcW w:w="1305" w:type="dxa"/>
            <w:tcBorders>
              <w:top w:val="single" w:sz="4" w:space="0" w:color="auto"/>
              <w:left w:val="nil"/>
              <w:bottom w:val="single" w:sz="8"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w:t>
            </w:r>
          </w:p>
        </w:tc>
        <w:tc>
          <w:tcPr>
            <w:tcW w:w="1276" w:type="dxa"/>
            <w:tcBorders>
              <w:top w:val="single" w:sz="4" w:space="0" w:color="auto"/>
              <w:left w:val="nil"/>
              <w:bottom w:val="single" w:sz="8"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6 - 27</w:t>
            </w:r>
          </w:p>
        </w:tc>
        <w:tc>
          <w:tcPr>
            <w:tcW w:w="1275" w:type="dxa"/>
            <w:tcBorders>
              <w:top w:val="single" w:sz="4" w:space="0" w:color="auto"/>
              <w:left w:val="nil"/>
              <w:bottom w:val="single" w:sz="8"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9 - 19</w:t>
            </w:r>
          </w:p>
        </w:tc>
        <w:tc>
          <w:tcPr>
            <w:tcW w:w="1531" w:type="dxa"/>
            <w:tcBorders>
              <w:top w:val="single" w:sz="4" w:space="0" w:color="auto"/>
              <w:left w:val="nil"/>
              <w:bottom w:val="single" w:sz="8" w:space="0" w:color="auto"/>
              <w:right w:val="single" w:sz="8" w:space="0" w:color="auto"/>
            </w:tcBorders>
            <w:shd w:val="clear" w:color="000000" w:fill="FFFFFF"/>
            <w:vAlign w:val="center"/>
            <w:hideMark/>
          </w:tcPr>
          <w:p w:rsidR="00FD5D22" w:rsidRPr="00FD5D22" w:rsidRDefault="00FD5D22" w:rsidP="0003742D">
            <w:pPr>
              <w:pStyle w:val="PlainText"/>
              <w:spacing w:before="0"/>
              <w:ind w:firstLine="0"/>
              <w:jc w:val="center"/>
              <w:rPr>
                <w:rFonts w:ascii="Times New Roman" w:hAnsi="Times New Roman" w:cs="Times New Roman"/>
                <w:sz w:val="24"/>
                <w:szCs w:val="24"/>
              </w:rPr>
            </w:pPr>
            <w:r w:rsidRPr="00FD5D22">
              <w:rPr>
                <w:rFonts w:ascii="Times New Roman" w:hAnsi="Times New Roman" w:cs="Times New Roman"/>
                <w:sz w:val="24"/>
                <w:szCs w:val="24"/>
              </w:rPr>
              <w:t>6 - 45</w:t>
            </w:r>
          </w:p>
        </w:tc>
      </w:tr>
    </w:tbl>
    <w:p w:rsidR="00FD5D22" w:rsidRDefault="00FD5D22" w:rsidP="008A259F">
      <w:pPr>
        <w:pStyle w:val="PlainText"/>
        <w:spacing w:after="120"/>
        <w:ind w:firstLine="0"/>
        <w:rPr>
          <w:rStyle w:val="Hyperlink"/>
          <w:color w:val="000000"/>
          <w:sz w:val="20"/>
        </w:rPr>
      </w:pPr>
      <w:r w:rsidRPr="008A259F">
        <w:rPr>
          <w:rFonts w:ascii="Times New Roman" w:hAnsi="Times New Roman"/>
          <w:iCs/>
          <w:color w:val="000000"/>
          <w:sz w:val="20"/>
          <w:szCs w:val="22"/>
        </w:rPr>
        <w:t xml:space="preserve">Avots: </w:t>
      </w:r>
      <w:r w:rsidR="00EC4FA2" w:rsidRPr="008A259F">
        <w:rPr>
          <w:rFonts w:ascii="Times New Roman" w:hAnsi="Times New Roman"/>
          <w:iCs/>
          <w:color w:val="000000"/>
          <w:sz w:val="20"/>
          <w:szCs w:val="22"/>
        </w:rPr>
        <w:t xml:space="preserve">Atjaunojamo energoresursu tiesiskā ietvara datubāze: </w:t>
      </w:r>
      <w:hyperlink r:id="rId38" w:history="1">
        <w:r w:rsidRPr="008A259F">
          <w:rPr>
            <w:rStyle w:val="Hyperlink"/>
            <w:rFonts w:ascii="Times New Roman" w:hAnsi="Times New Roman"/>
            <w:iCs/>
            <w:color w:val="000000"/>
            <w:sz w:val="20"/>
            <w:szCs w:val="22"/>
          </w:rPr>
          <w:t>http://www.res-legal.eu/</w:t>
        </w:r>
      </w:hyperlink>
      <w:r w:rsidRPr="008A259F">
        <w:rPr>
          <w:rStyle w:val="Hyperlink"/>
          <w:color w:val="000000"/>
          <w:sz w:val="20"/>
        </w:rPr>
        <w:t xml:space="preserve"> </w:t>
      </w:r>
    </w:p>
    <w:p w:rsidR="008A259F" w:rsidRPr="008A259F" w:rsidRDefault="008A259F" w:rsidP="008A259F">
      <w:pPr>
        <w:pStyle w:val="PlainText"/>
        <w:spacing w:after="120"/>
        <w:ind w:firstLine="0"/>
        <w:rPr>
          <w:rStyle w:val="Hyperlink"/>
          <w:color w:val="000000"/>
          <w:sz w:val="20"/>
        </w:rPr>
      </w:pPr>
    </w:p>
    <w:p w:rsidR="00FE125B" w:rsidRDefault="00FE125B" w:rsidP="00FE125B">
      <w:pPr>
        <w:pStyle w:val="Heading2"/>
        <w:numPr>
          <w:ilvl w:val="1"/>
          <w:numId w:val="23"/>
        </w:numPr>
      </w:pPr>
      <w:bookmarkStart w:id="52" w:name="_Toc342896043"/>
      <w:bookmarkStart w:id="53" w:name="_Toc344901695"/>
      <w:bookmarkStart w:id="54" w:name="_Toc344901827"/>
      <w:bookmarkStart w:id="55" w:name="_Toc344907252"/>
      <w:r>
        <w:t>Obligātā iepirkuma izmaksu pārdale pa lietotāju grupām</w:t>
      </w:r>
      <w:bookmarkEnd w:id="52"/>
      <w:bookmarkEnd w:id="53"/>
      <w:bookmarkEnd w:id="54"/>
      <w:bookmarkEnd w:id="55"/>
    </w:p>
    <w:p w:rsidR="003B2905" w:rsidRDefault="003B2905" w:rsidP="00EC4FA2">
      <w:pPr>
        <w:spacing w:line="240" w:lineRule="auto"/>
      </w:pPr>
      <w:r w:rsidRPr="003B2905">
        <w:t>Līdz ar atbalstu konkrētam elektroenerģijas ražotāju lokam  problēmas ar uzņēmumu konkurētspēju pieaugoš</w:t>
      </w:r>
      <w:r w:rsidR="00CA0961">
        <w:t>u</w:t>
      </w:r>
      <w:r w:rsidRPr="003B2905">
        <w:t xml:space="preserve"> elektroenerģijas maksājum</w:t>
      </w:r>
      <w:r w:rsidR="00CA0961">
        <w:t>u</w:t>
      </w:r>
      <w:r w:rsidRPr="003B2905">
        <w:t xml:space="preserve"> </w:t>
      </w:r>
      <w:r w:rsidR="00CA0961" w:rsidRPr="003B2905">
        <w:t xml:space="preserve">dēļ </w:t>
      </w:r>
      <w:r w:rsidRPr="003B2905">
        <w:t xml:space="preserve">ir pieaugušas arī citās ES dalībvalstīs. Vērtējot ES dalībvalstu pieredzi, atsevišķās valstīs tiek mazināts AER atbalsta izmaksu slogs lieliem industriālajiem elektroenerģijas patērētājiem. Zemāk sniegts neliels ieskats izmantotajos mehānismos, kā arī to saderība ar ES iekšējā tirgus principiem.  </w:t>
      </w:r>
    </w:p>
    <w:p w:rsidR="00FE125B" w:rsidRDefault="00FE125B" w:rsidP="00EC4FA2">
      <w:pPr>
        <w:spacing w:line="240" w:lineRule="auto"/>
      </w:pPr>
      <w:r>
        <w:rPr>
          <w:b/>
          <w:bCs/>
        </w:rPr>
        <w:t>Vācijā</w:t>
      </w:r>
      <w:r>
        <w:t xml:space="preserve"> lieliem rūpnieciskiem elektroenerģijas patērētājiem, kuru patēriņš ir virs 1 GWh gadā un elektroenerģijas izmaksas pret kopējo pievienoto vērtību koeficientam pārsniedz 14%, ir iespēja saņemt AER maksas samazinājumu. Taču Eiropas Komisija 2011. gada beigās ierosināja pārbaudes lietu (</w:t>
      </w:r>
      <w:r>
        <w:rPr>
          <w:i/>
          <w:iCs/>
        </w:rPr>
        <w:t xml:space="preserve">SA.22995 2011/CP </w:t>
      </w:r>
      <w:proofErr w:type="spellStart"/>
      <w:r>
        <w:rPr>
          <w:i/>
          <w:iCs/>
        </w:rPr>
        <w:t>Germany</w:t>
      </w:r>
      <w:proofErr w:type="spellEnd"/>
      <w:r>
        <w:t xml:space="preserve">) par Vācijas Federatīvajā republikā </w:t>
      </w:r>
      <w:r>
        <w:rPr>
          <w:i/>
          <w:iCs/>
        </w:rPr>
        <w:t>feed-in</w:t>
      </w:r>
      <w:r>
        <w:t xml:space="preserve"> atbalsta mehānisma ietvaros piešķirto atbrīvojumu energoietilpīgajām industrijām, kas paredz energoietilpīgajiem industriju uzņēmumiem atbrīvojumu pilnā apmērā no </w:t>
      </w:r>
      <w:r w:rsidRPr="009C0CDD">
        <w:rPr>
          <w:i/>
        </w:rPr>
        <w:t>feed-in</w:t>
      </w:r>
      <w:r>
        <w:t xml:space="preserve"> izmaksu segšanas, norādot, ka tas varētu saturēt valsts atbalsta pazīmes, jo kalpo nevis AER veicināšanai, bet gan energoietilpīgo industriju atbalstam. Eiropas Komisijas lēmums par šo jautājumu gaidāms 2012.</w:t>
      </w:r>
      <w:r w:rsidR="0003742D">
        <w:t> </w:t>
      </w:r>
      <w:r>
        <w:t xml:space="preserve">gada beigās. </w:t>
      </w:r>
    </w:p>
    <w:p w:rsidR="00FE125B" w:rsidRPr="0095522B" w:rsidRDefault="00FE125B" w:rsidP="00EC4FA2">
      <w:pPr>
        <w:spacing w:line="240" w:lineRule="auto"/>
        <w:rPr>
          <w:i/>
          <w:iCs/>
          <w:szCs w:val="28"/>
        </w:rPr>
      </w:pPr>
      <w:r w:rsidRPr="0095522B">
        <w:rPr>
          <w:szCs w:val="28"/>
        </w:rPr>
        <w:t xml:space="preserve">Lai nodrošinātu elektroenerģijas cenu stabilitāti ilgākā laika posmā, vairums </w:t>
      </w:r>
      <w:r w:rsidRPr="0095522B">
        <w:rPr>
          <w:b/>
          <w:bCs/>
          <w:szCs w:val="28"/>
        </w:rPr>
        <w:t xml:space="preserve">Somijas </w:t>
      </w:r>
      <w:r w:rsidRPr="0095522B">
        <w:rPr>
          <w:szCs w:val="28"/>
        </w:rPr>
        <w:t>lielo enerģijas patērētāju izmanto „</w:t>
      </w:r>
      <w:proofErr w:type="spellStart"/>
      <w:r w:rsidRPr="0095522B">
        <w:rPr>
          <w:szCs w:val="28"/>
        </w:rPr>
        <w:t>Mankala</w:t>
      </w:r>
      <w:proofErr w:type="spellEnd"/>
      <w:r w:rsidRPr="0095522B">
        <w:rPr>
          <w:szCs w:val="28"/>
        </w:rPr>
        <w:t>” jeb enerģijas par pašizmaksu modeli. „</w:t>
      </w:r>
      <w:proofErr w:type="spellStart"/>
      <w:r w:rsidRPr="0095522B">
        <w:rPr>
          <w:szCs w:val="28"/>
        </w:rPr>
        <w:t>Mankala</w:t>
      </w:r>
      <w:proofErr w:type="spellEnd"/>
      <w:r w:rsidRPr="0095522B">
        <w:rPr>
          <w:szCs w:val="28"/>
        </w:rPr>
        <w:t xml:space="preserve">” tipa enerģijas ražošanas uzņēmumu īpašnieki parasti ir enerģijas vairumtirgotāji, mazumtirgotāji, pārvadītāji un lieli rūpnieciski patērētāji. Šāda tipa uzņēmumi ir sabiedrības ar ierobežotu atbildību, kuru mērķis nav gūt peļņu vai saņemt dividendes, bet gan to īpašniekiem ir pienākums iegādāties elektroenerģiju no uzņēmuma par pašizmaksu un tādā apmērā, kas atbilst katra īpašnieka ieguldījumam uzņēmumā. Arī šī modeļa atbilstību ES iekšējā tirgus principiem pašlaik vērtē Eiropas Komisija. </w:t>
      </w:r>
    </w:p>
    <w:p w:rsidR="00FE125B" w:rsidRDefault="00FE125B" w:rsidP="00EC4FA2">
      <w:pPr>
        <w:pStyle w:val="PlainText"/>
        <w:spacing w:after="120"/>
        <w:rPr>
          <w:rFonts w:ascii="Times New Roman" w:hAnsi="Times New Roman" w:cs="Times New Roman"/>
          <w:szCs w:val="28"/>
        </w:rPr>
      </w:pPr>
      <w:r>
        <w:rPr>
          <w:rFonts w:ascii="Times New Roman" w:hAnsi="Times New Roman" w:cs="Times New Roman"/>
          <w:b/>
          <w:bCs/>
          <w:szCs w:val="28"/>
        </w:rPr>
        <w:lastRenderedPageBreak/>
        <w:t>Austrijas</w:t>
      </w:r>
      <w:r>
        <w:rPr>
          <w:rFonts w:ascii="Times New Roman" w:hAnsi="Times New Roman" w:cs="Times New Roman"/>
          <w:szCs w:val="28"/>
        </w:rPr>
        <w:t xml:space="preserve"> atjaunojamās enerģijas atbalsta modelis paredz neproporcionālu AER maksas sadali starp dažādām patērētāju grupām. Austrijas modelis paredz sadalīt patērētājus 7 kategorijās atkarībā no patērētāja tīkla sprieguma savienojuma punktā (</w:t>
      </w:r>
      <w:r w:rsidRPr="004D46D5">
        <w:rPr>
          <w:rFonts w:ascii="Times New Roman" w:hAnsi="Times New Roman" w:cs="Times New Roman"/>
          <w:i/>
          <w:szCs w:val="28"/>
        </w:rPr>
        <w:t>skat.</w:t>
      </w:r>
      <w:r w:rsidR="0003742D">
        <w:rPr>
          <w:rFonts w:ascii="Times New Roman" w:hAnsi="Times New Roman" w:cs="Times New Roman"/>
          <w:i/>
          <w:szCs w:val="28"/>
        </w:rPr>
        <w:t>7</w:t>
      </w:r>
      <w:r w:rsidRPr="004D46D5">
        <w:rPr>
          <w:rFonts w:ascii="Times New Roman" w:hAnsi="Times New Roman" w:cs="Times New Roman"/>
          <w:i/>
          <w:szCs w:val="28"/>
        </w:rPr>
        <w:t>.tabulu</w:t>
      </w:r>
      <w:r>
        <w:rPr>
          <w:rFonts w:ascii="Times New Roman" w:hAnsi="Times New Roman" w:cs="Times New Roman"/>
          <w:szCs w:val="28"/>
        </w:rPr>
        <w:t xml:space="preserve">). </w:t>
      </w:r>
    </w:p>
    <w:p w:rsidR="00FE125B" w:rsidRPr="008A259F" w:rsidRDefault="0003742D" w:rsidP="008A259F">
      <w:pPr>
        <w:pStyle w:val="PlainText"/>
        <w:ind w:firstLine="0"/>
        <w:jc w:val="right"/>
        <w:rPr>
          <w:rFonts w:ascii="Times New Roman" w:hAnsi="Times New Roman" w:cs="Times New Roman"/>
          <w:iCs/>
          <w:szCs w:val="28"/>
        </w:rPr>
      </w:pPr>
      <w:r>
        <w:rPr>
          <w:rFonts w:ascii="Times New Roman" w:hAnsi="Times New Roman" w:cs="Times New Roman"/>
          <w:iCs/>
          <w:szCs w:val="28"/>
        </w:rPr>
        <w:t>7</w:t>
      </w:r>
      <w:r w:rsidR="00FE125B" w:rsidRPr="008A259F">
        <w:rPr>
          <w:rFonts w:ascii="Times New Roman" w:hAnsi="Times New Roman" w:cs="Times New Roman"/>
          <w:iCs/>
          <w:szCs w:val="28"/>
        </w:rPr>
        <w:t>.tabula</w:t>
      </w:r>
    </w:p>
    <w:p w:rsidR="00FE125B" w:rsidRPr="008A259F" w:rsidRDefault="00FE125B" w:rsidP="008A259F">
      <w:pPr>
        <w:pStyle w:val="PlainText"/>
        <w:ind w:firstLine="0"/>
        <w:jc w:val="center"/>
        <w:rPr>
          <w:rFonts w:ascii="Times New Roman" w:hAnsi="Times New Roman" w:cs="Times New Roman"/>
          <w:iCs/>
          <w:szCs w:val="28"/>
        </w:rPr>
      </w:pPr>
      <w:r w:rsidRPr="008A259F">
        <w:rPr>
          <w:rFonts w:ascii="Times New Roman" w:hAnsi="Times New Roman" w:cs="Times New Roman"/>
          <w:iCs/>
          <w:szCs w:val="28"/>
        </w:rPr>
        <w:t>AER maksas sadale 7 patērētāju grupām</w:t>
      </w:r>
    </w:p>
    <w:tbl>
      <w:tblPr>
        <w:tblW w:w="0" w:type="auto"/>
        <w:jc w:val="center"/>
        <w:tblInd w:w="-638" w:type="dxa"/>
        <w:tblCellMar>
          <w:left w:w="0" w:type="dxa"/>
          <w:right w:w="0" w:type="dxa"/>
        </w:tblCellMar>
        <w:tblLook w:val="04A0" w:firstRow="1" w:lastRow="0" w:firstColumn="1" w:lastColumn="0" w:noHBand="0" w:noVBand="1"/>
      </w:tblPr>
      <w:tblGrid>
        <w:gridCol w:w="2706"/>
        <w:gridCol w:w="5339"/>
      </w:tblGrid>
      <w:tr w:rsidR="00FE125B" w:rsidTr="008F569A">
        <w:trPr>
          <w:jc w:val="center"/>
        </w:trPr>
        <w:tc>
          <w:tcPr>
            <w:tcW w:w="2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color w:val="000000"/>
                <w:sz w:val="24"/>
                <w:szCs w:val="24"/>
              </w:rPr>
            </w:pPr>
            <w:r w:rsidRPr="009C0CDD">
              <w:rPr>
                <w:b/>
                <w:bCs/>
                <w:color w:val="000000"/>
                <w:sz w:val="24"/>
                <w:szCs w:val="24"/>
                <w:lang w:eastAsia="lv-LV"/>
              </w:rPr>
              <w:t>Tīkla pieslēguma grupa</w:t>
            </w:r>
          </w:p>
        </w:tc>
        <w:tc>
          <w:tcPr>
            <w:tcW w:w="53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b/>
                <w:bCs/>
                <w:color w:val="000000"/>
                <w:sz w:val="24"/>
                <w:szCs w:val="24"/>
              </w:rPr>
            </w:pPr>
            <w:r w:rsidRPr="009C0CDD">
              <w:rPr>
                <w:b/>
                <w:bCs/>
                <w:color w:val="000000"/>
                <w:sz w:val="24"/>
                <w:szCs w:val="24"/>
              </w:rPr>
              <w:t>Tīkla spriegums savienojuma punktā</w:t>
            </w:r>
          </w:p>
        </w:tc>
      </w:tr>
      <w:tr w:rsidR="00FE125B" w:rsidTr="008F569A">
        <w:trPr>
          <w:jc w:val="center"/>
        </w:trPr>
        <w:tc>
          <w:tcPr>
            <w:tcW w:w="2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b/>
                <w:bCs/>
                <w:color w:val="000000"/>
                <w:sz w:val="24"/>
                <w:szCs w:val="24"/>
              </w:rPr>
            </w:pPr>
            <w:r w:rsidRPr="009C0CDD">
              <w:rPr>
                <w:b/>
                <w:bCs/>
                <w:color w:val="000000"/>
                <w:sz w:val="24"/>
                <w:szCs w:val="24"/>
              </w:rPr>
              <w:t>1</w:t>
            </w:r>
          </w:p>
        </w:tc>
        <w:tc>
          <w:tcPr>
            <w:tcW w:w="5339" w:type="dxa"/>
            <w:tcBorders>
              <w:top w:val="nil"/>
              <w:left w:val="nil"/>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color w:val="000000"/>
                <w:sz w:val="24"/>
                <w:szCs w:val="24"/>
              </w:rPr>
            </w:pPr>
            <w:r w:rsidRPr="009C0CDD">
              <w:rPr>
                <w:color w:val="000000"/>
                <w:sz w:val="24"/>
                <w:szCs w:val="24"/>
                <w:lang w:eastAsia="lv-LV"/>
              </w:rPr>
              <w:t>380 kV and 220 kV</w:t>
            </w:r>
          </w:p>
        </w:tc>
      </w:tr>
      <w:tr w:rsidR="00FE125B" w:rsidTr="008F569A">
        <w:trPr>
          <w:jc w:val="center"/>
        </w:trPr>
        <w:tc>
          <w:tcPr>
            <w:tcW w:w="2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b/>
                <w:bCs/>
                <w:color w:val="000000"/>
                <w:sz w:val="24"/>
                <w:szCs w:val="24"/>
              </w:rPr>
            </w:pPr>
            <w:r w:rsidRPr="009C0CDD">
              <w:rPr>
                <w:b/>
                <w:bCs/>
                <w:color w:val="000000"/>
                <w:sz w:val="24"/>
                <w:szCs w:val="24"/>
              </w:rPr>
              <w:t>2</w:t>
            </w:r>
          </w:p>
        </w:tc>
        <w:tc>
          <w:tcPr>
            <w:tcW w:w="5339" w:type="dxa"/>
            <w:tcBorders>
              <w:top w:val="nil"/>
              <w:left w:val="nil"/>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color w:val="000000"/>
                <w:sz w:val="24"/>
                <w:szCs w:val="24"/>
              </w:rPr>
            </w:pPr>
            <w:r w:rsidRPr="009C0CDD">
              <w:rPr>
                <w:color w:val="000000"/>
                <w:sz w:val="24"/>
                <w:szCs w:val="24"/>
                <w:lang w:eastAsia="lv-LV"/>
              </w:rPr>
              <w:t>Pārveidošana no 380 un 220 kV uz 110 kV</w:t>
            </w:r>
          </w:p>
        </w:tc>
      </w:tr>
      <w:tr w:rsidR="00FE125B" w:rsidTr="008F569A">
        <w:trPr>
          <w:jc w:val="center"/>
        </w:trPr>
        <w:tc>
          <w:tcPr>
            <w:tcW w:w="2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b/>
                <w:bCs/>
                <w:color w:val="000000"/>
                <w:sz w:val="24"/>
                <w:szCs w:val="24"/>
              </w:rPr>
            </w:pPr>
            <w:r w:rsidRPr="009C0CDD">
              <w:rPr>
                <w:b/>
                <w:bCs/>
                <w:color w:val="000000"/>
                <w:sz w:val="24"/>
                <w:szCs w:val="24"/>
              </w:rPr>
              <w:t>3</w:t>
            </w:r>
          </w:p>
        </w:tc>
        <w:tc>
          <w:tcPr>
            <w:tcW w:w="5339" w:type="dxa"/>
            <w:tcBorders>
              <w:top w:val="nil"/>
              <w:left w:val="nil"/>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color w:val="000000"/>
                <w:sz w:val="24"/>
                <w:szCs w:val="24"/>
              </w:rPr>
            </w:pPr>
            <w:r w:rsidRPr="009C0CDD">
              <w:rPr>
                <w:color w:val="000000"/>
                <w:sz w:val="24"/>
                <w:szCs w:val="24"/>
                <w:lang w:eastAsia="lv-LV"/>
              </w:rPr>
              <w:t>110 kV</w:t>
            </w:r>
          </w:p>
        </w:tc>
      </w:tr>
      <w:tr w:rsidR="00FE125B" w:rsidTr="008F569A">
        <w:trPr>
          <w:jc w:val="center"/>
        </w:trPr>
        <w:tc>
          <w:tcPr>
            <w:tcW w:w="2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b/>
                <w:bCs/>
                <w:color w:val="000000"/>
                <w:sz w:val="24"/>
                <w:szCs w:val="24"/>
              </w:rPr>
            </w:pPr>
            <w:r w:rsidRPr="009C0CDD">
              <w:rPr>
                <w:b/>
                <w:bCs/>
                <w:color w:val="000000"/>
                <w:sz w:val="24"/>
                <w:szCs w:val="24"/>
              </w:rPr>
              <w:t>4</w:t>
            </w:r>
          </w:p>
        </w:tc>
        <w:tc>
          <w:tcPr>
            <w:tcW w:w="5339" w:type="dxa"/>
            <w:tcBorders>
              <w:top w:val="nil"/>
              <w:left w:val="nil"/>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color w:val="000000"/>
                <w:sz w:val="24"/>
                <w:szCs w:val="24"/>
              </w:rPr>
            </w:pPr>
            <w:r w:rsidRPr="009C0CDD">
              <w:rPr>
                <w:color w:val="000000"/>
                <w:sz w:val="24"/>
                <w:szCs w:val="24"/>
                <w:lang w:eastAsia="lv-LV"/>
              </w:rPr>
              <w:t>Pārveidošana no 110 kV uz 10 kV - 30 kV</w:t>
            </w:r>
          </w:p>
        </w:tc>
      </w:tr>
      <w:tr w:rsidR="00FE125B" w:rsidTr="008F569A">
        <w:trPr>
          <w:jc w:val="center"/>
        </w:trPr>
        <w:tc>
          <w:tcPr>
            <w:tcW w:w="2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b/>
                <w:bCs/>
                <w:color w:val="000000"/>
                <w:sz w:val="24"/>
                <w:szCs w:val="24"/>
              </w:rPr>
            </w:pPr>
            <w:r w:rsidRPr="009C0CDD">
              <w:rPr>
                <w:b/>
                <w:bCs/>
                <w:color w:val="000000"/>
                <w:sz w:val="24"/>
                <w:szCs w:val="24"/>
              </w:rPr>
              <w:t>5</w:t>
            </w:r>
          </w:p>
        </w:tc>
        <w:tc>
          <w:tcPr>
            <w:tcW w:w="5339" w:type="dxa"/>
            <w:tcBorders>
              <w:top w:val="nil"/>
              <w:left w:val="nil"/>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color w:val="000000"/>
                <w:sz w:val="24"/>
                <w:szCs w:val="24"/>
              </w:rPr>
            </w:pPr>
            <w:r w:rsidRPr="009C0CDD">
              <w:rPr>
                <w:color w:val="000000"/>
                <w:sz w:val="24"/>
                <w:szCs w:val="24"/>
                <w:lang w:eastAsia="lv-LV"/>
              </w:rPr>
              <w:t>10 kV līdz 30 kV</w:t>
            </w:r>
          </w:p>
        </w:tc>
      </w:tr>
      <w:tr w:rsidR="00FE125B" w:rsidTr="008F569A">
        <w:trPr>
          <w:jc w:val="center"/>
        </w:trPr>
        <w:tc>
          <w:tcPr>
            <w:tcW w:w="2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b/>
                <w:bCs/>
                <w:color w:val="000000"/>
                <w:sz w:val="24"/>
                <w:szCs w:val="24"/>
              </w:rPr>
            </w:pPr>
            <w:r w:rsidRPr="009C0CDD">
              <w:rPr>
                <w:b/>
                <w:bCs/>
                <w:color w:val="000000"/>
                <w:sz w:val="24"/>
                <w:szCs w:val="24"/>
              </w:rPr>
              <w:t>6</w:t>
            </w:r>
          </w:p>
        </w:tc>
        <w:tc>
          <w:tcPr>
            <w:tcW w:w="5339" w:type="dxa"/>
            <w:tcBorders>
              <w:top w:val="nil"/>
              <w:left w:val="nil"/>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color w:val="000000"/>
                <w:sz w:val="24"/>
                <w:szCs w:val="24"/>
              </w:rPr>
            </w:pPr>
            <w:r w:rsidRPr="009C0CDD">
              <w:rPr>
                <w:color w:val="000000"/>
                <w:sz w:val="24"/>
                <w:szCs w:val="24"/>
                <w:lang w:eastAsia="lv-LV"/>
              </w:rPr>
              <w:t>Pārveidošana no 10 - 30 kV uz 400 V</w:t>
            </w:r>
          </w:p>
        </w:tc>
      </w:tr>
      <w:tr w:rsidR="00FE125B" w:rsidTr="008F569A">
        <w:trPr>
          <w:jc w:val="center"/>
        </w:trPr>
        <w:tc>
          <w:tcPr>
            <w:tcW w:w="2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b/>
                <w:bCs/>
                <w:color w:val="000000"/>
                <w:sz w:val="24"/>
                <w:szCs w:val="24"/>
              </w:rPr>
            </w:pPr>
            <w:r w:rsidRPr="009C0CDD">
              <w:rPr>
                <w:b/>
                <w:bCs/>
                <w:color w:val="000000"/>
                <w:sz w:val="24"/>
                <w:szCs w:val="24"/>
              </w:rPr>
              <w:t>7</w:t>
            </w:r>
          </w:p>
        </w:tc>
        <w:tc>
          <w:tcPr>
            <w:tcW w:w="5339" w:type="dxa"/>
            <w:tcBorders>
              <w:top w:val="nil"/>
              <w:left w:val="nil"/>
              <w:bottom w:val="single" w:sz="8" w:space="0" w:color="auto"/>
              <w:right w:val="single" w:sz="8" w:space="0" w:color="auto"/>
            </w:tcBorders>
            <w:tcMar>
              <w:top w:w="0" w:type="dxa"/>
              <w:left w:w="108" w:type="dxa"/>
              <w:bottom w:w="0" w:type="dxa"/>
              <w:right w:w="108" w:type="dxa"/>
            </w:tcMar>
            <w:hideMark/>
          </w:tcPr>
          <w:p w:rsidR="00FE125B" w:rsidRPr="009C0CDD" w:rsidRDefault="00FE125B" w:rsidP="008A259F">
            <w:pPr>
              <w:spacing w:before="0" w:after="0" w:line="240" w:lineRule="auto"/>
              <w:ind w:firstLine="0"/>
              <w:jc w:val="center"/>
              <w:rPr>
                <w:color w:val="000000"/>
                <w:sz w:val="24"/>
                <w:szCs w:val="24"/>
              </w:rPr>
            </w:pPr>
            <w:r w:rsidRPr="009C0CDD">
              <w:rPr>
                <w:color w:val="000000"/>
                <w:sz w:val="24"/>
                <w:szCs w:val="24"/>
                <w:lang w:eastAsia="lv-LV"/>
              </w:rPr>
              <w:t>400 V</w:t>
            </w:r>
          </w:p>
        </w:tc>
      </w:tr>
    </w:tbl>
    <w:p w:rsidR="00FE125B" w:rsidRDefault="00FE125B" w:rsidP="008A259F">
      <w:pPr>
        <w:spacing w:line="240" w:lineRule="auto"/>
        <w:ind w:firstLine="0"/>
        <w:rPr>
          <w:iCs/>
          <w:color w:val="000000"/>
          <w:sz w:val="20"/>
        </w:rPr>
      </w:pPr>
      <w:r w:rsidRPr="008A259F">
        <w:rPr>
          <w:iCs/>
          <w:color w:val="000000"/>
          <w:sz w:val="20"/>
        </w:rPr>
        <w:t xml:space="preserve">Avots:  Austrijas elektrotīklu operatora tīmekļa vietne: </w:t>
      </w:r>
      <w:hyperlink r:id="rId39" w:history="1">
        <w:r w:rsidRPr="008A259F">
          <w:rPr>
            <w:rStyle w:val="Hyperlink"/>
            <w:iCs/>
            <w:color w:val="000000"/>
            <w:sz w:val="20"/>
          </w:rPr>
          <w:t>http://www.apg.at/en/market/electricity-market/tariffs</w:t>
        </w:r>
      </w:hyperlink>
      <w:r w:rsidRPr="008A259F">
        <w:rPr>
          <w:iCs/>
          <w:color w:val="000000"/>
          <w:sz w:val="20"/>
        </w:rPr>
        <w:t xml:space="preserve"> </w:t>
      </w:r>
    </w:p>
    <w:p w:rsidR="008A259F" w:rsidRPr="008A259F" w:rsidRDefault="008A259F" w:rsidP="008A259F">
      <w:pPr>
        <w:spacing w:line="240" w:lineRule="auto"/>
        <w:ind w:firstLine="0"/>
        <w:rPr>
          <w:iCs/>
          <w:color w:val="000000"/>
          <w:sz w:val="20"/>
        </w:rPr>
      </w:pPr>
    </w:p>
    <w:p w:rsidR="00FE125B" w:rsidRDefault="00FE125B" w:rsidP="008A259F">
      <w:pPr>
        <w:spacing w:line="240" w:lineRule="auto"/>
        <w:rPr>
          <w:szCs w:val="28"/>
        </w:rPr>
      </w:pPr>
      <w:r>
        <w:rPr>
          <w:szCs w:val="28"/>
        </w:rPr>
        <w:t>Pirmajā, otrajā un  trešajā kategorijā ietilps lielie rūpnieciskie ražotāji, ceturtajā - rūpnieciskie ražotāji,  piektajā – lielie neindustriālie patērētāji un rūpnieciskie ražotāji, sestajā – mazie un vidējie uzņēmumi un septītajā – mājsaimniecības, mikrouzņēmumi, lauksaimniecības uzņēmumi.</w:t>
      </w:r>
    </w:p>
    <w:p w:rsidR="00FE125B" w:rsidRPr="0095522B" w:rsidRDefault="00FE125B" w:rsidP="008A259F">
      <w:pPr>
        <w:spacing w:line="240" w:lineRule="auto"/>
        <w:rPr>
          <w:szCs w:val="28"/>
        </w:rPr>
      </w:pPr>
      <w:r w:rsidRPr="0095522B">
        <w:rPr>
          <w:szCs w:val="28"/>
        </w:rPr>
        <w:t xml:space="preserve">Austrijā AER atbalsta mehānisma izmaksas energoietilpīgas industrijas uzņēmumiem atšķiras pēc tīkla maksas un tās  tiek sadalītas pēc attiecīgās tīkla pieslēguma grupas. Ņemot vērā, ka energoietilpīgas industrijas uzņēmumi ir dažādās tīkla pieslēguma grupās, </w:t>
      </w:r>
      <w:r w:rsidR="003714DF">
        <w:rPr>
          <w:szCs w:val="28"/>
        </w:rPr>
        <w:t xml:space="preserve">tad ne visi </w:t>
      </w:r>
      <w:proofErr w:type="spellStart"/>
      <w:r w:rsidR="003714DF">
        <w:rPr>
          <w:szCs w:val="28"/>
        </w:rPr>
        <w:t>energointensīvie</w:t>
      </w:r>
      <w:proofErr w:type="spellEnd"/>
      <w:r w:rsidR="003714DF">
        <w:rPr>
          <w:szCs w:val="28"/>
        </w:rPr>
        <w:t xml:space="preserve"> uzņēmumi maksā relatīvi mazākas pieslēguma maksas. Līdz ar to arī </w:t>
      </w:r>
      <w:r w:rsidRPr="0095522B">
        <w:rPr>
          <w:szCs w:val="28"/>
        </w:rPr>
        <w:t>Eiropas Komisija selektivitātes kritēriju esamību nesaskatīja.</w:t>
      </w:r>
      <w:r w:rsidRPr="00206C5F">
        <w:t xml:space="preserve"> </w:t>
      </w:r>
    </w:p>
    <w:p w:rsidR="00FE125B" w:rsidRDefault="00FE125B" w:rsidP="008A259F">
      <w:pPr>
        <w:pStyle w:val="PlainText"/>
        <w:spacing w:after="120"/>
        <w:rPr>
          <w:rFonts w:ascii="Times New Roman" w:hAnsi="Times New Roman" w:cs="Times New Roman"/>
          <w:szCs w:val="28"/>
        </w:rPr>
      </w:pPr>
      <w:r>
        <w:rPr>
          <w:rFonts w:ascii="Times New Roman" w:hAnsi="Times New Roman" w:cs="Times New Roman"/>
          <w:szCs w:val="28"/>
        </w:rPr>
        <w:t xml:space="preserve">Šobrīd arī </w:t>
      </w:r>
      <w:r>
        <w:rPr>
          <w:rFonts w:ascii="Times New Roman" w:hAnsi="Times New Roman" w:cs="Times New Roman"/>
          <w:b/>
          <w:bCs/>
          <w:szCs w:val="28"/>
        </w:rPr>
        <w:t>Bulgārijā</w:t>
      </w:r>
      <w:r>
        <w:rPr>
          <w:rFonts w:ascii="Times New Roman" w:hAnsi="Times New Roman" w:cs="Times New Roman"/>
          <w:szCs w:val="28"/>
        </w:rPr>
        <w:t xml:space="preserve">, kur pēdējos gados vērojams elektroenerģijas cenu pieaugums rūpnieciskajiem patērētājiem, plānots tiem piešķirt AER maksas atvieglojumu, līdzīgi kā tas pašreiz ir Austrijā. </w:t>
      </w:r>
    </w:p>
    <w:p w:rsidR="00FE125B" w:rsidRDefault="00FE125B" w:rsidP="008A259F">
      <w:pPr>
        <w:pStyle w:val="PlainText"/>
        <w:spacing w:after="120"/>
        <w:rPr>
          <w:rFonts w:ascii="Times New Roman" w:hAnsi="Times New Roman" w:cs="Times New Roman"/>
          <w:szCs w:val="28"/>
        </w:rPr>
      </w:pPr>
      <w:r w:rsidRPr="009C0CDD">
        <w:rPr>
          <w:rFonts w:ascii="Times New Roman" w:hAnsi="Times New Roman" w:cs="Times New Roman"/>
          <w:b/>
          <w:szCs w:val="28"/>
        </w:rPr>
        <w:t>Zviedrijā</w:t>
      </w:r>
      <w:r>
        <w:rPr>
          <w:rFonts w:ascii="Times New Roman" w:hAnsi="Times New Roman" w:cs="Times New Roman"/>
          <w:szCs w:val="28"/>
        </w:rPr>
        <w:t xml:space="preserve"> atjaunojamās enerģijas atbalstam izmanto „zaļo sertifikātu” shēmu, proti, ikvienam ražotājam, kas ražo elektroenerģiju, izmantojot AER, tiek piešķirts sertifikāts, savukārt visiem elektroenerģijas tirgotājiem un piegādātājiem ir pienākums iegādāties noteiktu skaitu zaļo sertifikātu, kuru nosaka atbilstoši fiksētai procentuālai daļai vai kvotai no to kopējā patērētā/saražotā elektroenerģijas apjoma. Vienlaikus šī sistēma paredz kvotu atbrīvojumu intensīviem elektroenerģijas patērētājiem.</w:t>
      </w:r>
    </w:p>
    <w:p w:rsidR="00FE125B" w:rsidRDefault="00FE125B" w:rsidP="00FE125B">
      <w:pPr>
        <w:pStyle w:val="Heading2"/>
      </w:pPr>
    </w:p>
    <w:p w:rsidR="00CC2A88" w:rsidRPr="00CC2A88" w:rsidRDefault="0095522B" w:rsidP="008A259F">
      <w:pPr>
        <w:pStyle w:val="Heading1"/>
        <w:numPr>
          <w:ilvl w:val="0"/>
          <w:numId w:val="22"/>
        </w:numPr>
        <w:ind w:left="0" w:firstLine="0"/>
        <w:jc w:val="center"/>
        <w:rPr>
          <w:rFonts w:cs="Times New Roman"/>
        </w:rPr>
      </w:pPr>
      <w:bookmarkStart w:id="56" w:name="_Toc344901696"/>
      <w:bookmarkStart w:id="57" w:name="_Toc344901828"/>
      <w:bookmarkStart w:id="58" w:name="_Toc344907253"/>
      <w:r>
        <w:rPr>
          <w:rFonts w:cs="Times New Roman"/>
        </w:rPr>
        <w:lastRenderedPageBreak/>
        <w:t>P</w:t>
      </w:r>
      <w:r w:rsidR="00CC2A88" w:rsidRPr="00CC2A88">
        <w:rPr>
          <w:rFonts w:cs="Times New Roman"/>
        </w:rPr>
        <w:t>riekšlikumi turpmākiem attīstības virzieniem</w:t>
      </w:r>
      <w:bookmarkEnd w:id="56"/>
      <w:bookmarkEnd w:id="57"/>
      <w:bookmarkEnd w:id="58"/>
    </w:p>
    <w:p w:rsidR="0095522B" w:rsidRPr="001F57E9" w:rsidRDefault="0095522B" w:rsidP="0095522B">
      <w:pPr>
        <w:pStyle w:val="Heading2"/>
        <w:numPr>
          <w:ilvl w:val="1"/>
          <w:numId w:val="22"/>
        </w:numPr>
        <w:spacing w:after="240"/>
        <w:rPr>
          <w:rFonts w:cs="Times New Roman"/>
        </w:rPr>
      </w:pPr>
      <w:bookmarkStart w:id="59" w:name="_Toc344901697"/>
      <w:bookmarkStart w:id="60" w:name="_Toc344901829"/>
      <w:bookmarkStart w:id="61" w:name="_Toc344907254"/>
      <w:r w:rsidRPr="001F57E9">
        <w:rPr>
          <w:rFonts w:cs="Times New Roman"/>
        </w:rPr>
        <w:t>OIK izmaksu samazināšanas iespējas</w:t>
      </w:r>
      <w:bookmarkEnd w:id="59"/>
      <w:bookmarkEnd w:id="60"/>
      <w:bookmarkEnd w:id="61"/>
      <w:r w:rsidRPr="001F57E9">
        <w:rPr>
          <w:rFonts w:cs="Times New Roman"/>
        </w:rPr>
        <w:t xml:space="preserve"> </w:t>
      </w:r>
    </w:p>
    <w:p w:rsidR="00A64D61" w:rsidRDefault="00A64D61" w:rsidP="0095522B">
      <w:pPr>
        <w:spacing w:line="240" w:lineRule="auto"/>
        <w:rPr>
          <w:szCs w:val="28"/>
        </w:rPr>
      </w:pPr>
      <w:r w:rsidRPr="00A64D61">
        <w:rPr>
          <w:szCs w:val="28"/>
        </w:rPr>
        <w:t>Lai nepasliktinātu tautsaimniecības konkurētspēju un nepalielinātu iedzīvotāju enerģētisko nabadzību, nepieciešamas turpmākas darbības, lai ierobežotu OIK maksājumu pieaugumu. Vienlīdz jārespektē to uzņēmumu likumiski pamatota tiesiskā paļāvība, kas jau darbojas kā elektroenerģijas ražotāji un rēķinās ar zināmiem ienākumiem un naudas plūsmu nākotnē. Līdz ar to būtu nepieciešama diferencēta pieeja</w:t>
      </w:r>
      <w:r w:rsidR="00033E6E">
        <w:rPr>
          <w:szCs w:val="28"/>
        </w:rPr>
        <w:t>, gan</w:t>
      </w:r>
      <w:r w:rsidRPr="00A64D61">
        <w:rPr>
          <w:szCs w:val="28"/>
        </w:rPr>
        <w:t xml:space="preserve"> respektējot jau strādājošus elektroenerģijas ražotājus, gan tos, kas vēl tikai saņēmuši pozitīvus lēmumus par obligāto iepirkumu, gan </w:t>
      </w:r>
      <w:r w:rsidR="00033E6E">
        <w:rPr>
          <w:szCs w:val="28"/>
        </w:rPr>
        <w:t xml:space="preserve">arī </w:t>
      </w:r>
      <w:r w:rsidRPr="00A64D61">
        <w:rPr>
          <w:szCs w:val="28"/>
        </w:rPr>
        <w:t xml:space="preserve">tos, kas vēl tikai gatavojas darboties šajā nozarē. </w:t>
      </w:r>
    </w:p>
    <w:p w:rsidR="0095522B" w:rsidRPr="00CC2A88" w:rsidRDefault="0095522B" w:rsidP="0095522B">
      <w:pPr>
        <w:spacing w:line="240" w:lineRule="auto"/>
        <w:rPr>
          <w:szCs w:val="28"/>
        </w:rPr>
      </w:pPr>
      <w:r>
        <w:rPr>
          <w:szCs w:val="28"/>
        </w:rPr>
        <w:t xml:space="preserve">Pašlaik Latvijā ražotājam tiek nodrošināta </w:t>
      </w:r>
      <w:r w:rsidRPr="00027788">
        <w:rPr>
          <w:szCs w:val="28"/>
        </w:rPr>
        <w:t>garantēta iepirkuma cena par</w:t>
      </w:r>
      <w:r>
        <w:rPr>
          <w:szCs w:val="28"/>
        </w:rPr>
        <w:t xml:space="preserve"> kWh. </w:t>
      </w:r>
      <w:r w:rsidRPr="00CC2A88">
        <w:rPr>
          <w:szCs w:val="28"/>
        </w:rPr>
        <w:t xml:space="preserve">Efektīvai </w:t>
      </w:r>
      <w:r>
        <w:rPr>
          <w:szCs w:val="28"/>
        </w:rPr>
        <w:t>atbalsta</w:t>
      </w:r>
      <w:r w:rsidRPr="00CC2A88">
        <w:rPr>
          <w:szCs w:val="28"/>
        </w:rPr>
        <w:t xml:space="preserve"> piemērošanai ir vairāki priekšnoteikumi</w:t>
      </w:r>
      <w:r w:rsidR="00CE10D9">
        <w:rPr>
          <w:szCs w:val="28"/>
        </w:rPr>
        <w:t>.</w:t>
      </w:r>
      <w:r w:rsidRPr="00CC2A88">
        <w:rPr>
          <w:szCs w:val="28"/>
        </w:rPr>
        <w:t xml:space="preserve"> </w:t>
      </w:r>
      <w:r w:rsidR="00CE10D9">
        <w:rPr>
          <w:szCs w:val="28"/>
        </w:rPr>
        <w:t xml:space="preserve">Daļa no tiem jau </w:t>
      </w:r>
      <w:r w:rsidR="00033E6E">
        <w:rPr>
          <w:szCs w:val="28"/>
        </w:rPr>
        <w:t xml:space="preserve">ir piemēroti, veicot atbilstošus </w:t>
      </w:r>
      <w:r w:rsidR="00CE10D9">
        <w:rPr>
          <w:szCs w:val="28"/>
        </w:rPr>
        <w:t>tiesību aktu grozījumu</w:t>
      </w:r>
      <w:r w:rsidR="00033E6E">
        <w:rPr>
          <w:szCs w:val="28"/>
        </w:rPr>
        <w:t>s</w:t>
      </w:r>
      <w:r w:rsidR="00CE10D9">
        <w:rPr>
          <w:szCs w:val="28"/>
        </w:rPr>
        <w:t xml:space="preserve">. </w:t>
      </w:r>
    </w:p>
    <w:p w:rsidR="0095522B" w:rsidRPr="00CC2A88" w:rsidRDefault="002418D1" w:rsidP="0095522B">
      <w:pPr>
        <w:pStyle w:val="ListParagraph"/>
        <w:numPr>
          <w:ilvl w:val="0"/>
          <w:numId w:val="4"/>
        </w:numPr>
        <w:spacing w:line="240" w:lineRule="auto"/>
        <w:ind w:left="357" w:hanging="357"/>
        <w:contextualSpacing w:val="0"/>
        <w:rPr>
          <w:szCs w:val="28"/>
        </w:rPr>
      </w:pPr>
      <w:r w:rsidRPr="002418D1">
        <w:rPr>
          <w:b/>
          <w:szCs w:val="28"/>
        </w:rPr>
        <w:t>Paredzamība.</w:t>
      </w:r>
      <w:r>
        <w:rPr>
          <w:szCs w:val="28"/>
        </w:rPr>
        <w:t xml:space="preserve"> </w:t>
      </w:r>
      <w:r w:rsidR="0095522B" w:rsidRPr="00760549">
        <w:rPr>
          <w:szCs w:val="28"/>
        </w:rPr>
        <w:t xml:space="preserve">Parasti garantētā iepirkuma </w:t>
      </w:r>
      <w:r w:rsidR="0095522B" w:rsidRPr="00760549">
        <w:rPr>
          <w:bCs/>
          <w:szCs w:val="28"/>
        </w:rPr>
        <w:t>cena ir noteikta konkrētam laika periodam</w:t>
      </w:r>
      <w:r w:rsidR="0095522B" w:rsidRPr="00760549">
        <w:rPr>
          <w:szCs w:val="28"/>
        </w:rPr>
        <w:t>. Saskaņā</w:t>
      </w:r>
      <w:r w:rsidR="0095522B" w:rsidRPr="00CC2A88">
        <w:rPr>
          <w:szCs w:val="28"/>
        </w:rPr>
        <w:t xml:space="preserve"> ar </w:t>
      </w:r>
      <w:r w:rsidR="0095522B">
        <w:rPr>
          <w:szCs w:val="28"/>
        </w:rPr>
        <w:t>MK n</w:t>
      </w:r>
      <w:r w:rsidR="0095522B" w:rsidRPr="00CC2A88">
        <w:rPr>
          <w:szCs w:val="28"/>
        </w:rPr>
        <w:t xml:space="preserve">oteikumiem Nr.262 Latvijā </w:t>
      </w:r>
      <w:r w:rsidR="0095522B">
        <w:rPr>
          <w:szCs w:val="28"/>
        </w:rPr>
        <w:t>piešķirtais AER</w:t>
      </w:r>
      <w:r w:rsidR="0095522B" w:rsidRPr="00CC2A88">
        <w:rPr>
          <w:szCs w:val="28"/>
        </w:rPr>
        <w:t xml:space="preserve"> atbalst</w:t>
      </w:r>
      <w:r w:rsidR="0095522B">
        <w:rPr>
          <w:szCs w:val="28"/>
        </w:rPr>
        <w:t>s</w:t>
      </w:r>
      <w:r w:rsidR="0095522B" w:rsidRPr="00CC2A88">
        <w:rPr>
          <w:szCs w:val="28"/>
        </w:rPr>
        <w:t xml:space="preserve"> tika paredzēts ar laika ierobežojumu </w:t>
      </w:r>
      <w:r w:rsidR="00033E6E">
        <w:rPr>
          <w:szCs w:val="28"/>
        </w:rPr>
        <w:t xml:space="preserve">- </w:t>
      </w:r>
      <w:r w:rsidR="0095522B" w:rsidRPr="004E37B0">
        <w:rPr>
          <w:szCs w:val="28"/>
        </w:rPr>
        <w:t>10+10</w:t>
      </w:r>
      <w:r w:rsidR="0095522B" w:rsidRPr="00CC2A88">
        <w:rPr>
          <w:szCs w:val="28"/>
        </w:rPr>
        <w:t xml:space="preserve"> gadi. Līdz ar grozījumiem </w:t>
      </w:r>
      <w:r w:rsidR="0095522B">
        <w:rPr>
          <w:szCs w:val="28"/>
        </w:rPr>
        <w:t>MK n</w:t>
      </w:r>
      <w:r w:rsidR="0095522B" w:rsidRPr="00CC2A88">
        <w:rPr>
          <w:szCs w:val="28"/>
        </w:rPr>
        <w:t xml:space="preserve">oteikumos Nr.221 laika posms atbalsta saņemšanai tika ierobežots arī koģenerācijas stacijām, nosakot </w:t>
      </w:r>
      <w:r w:rsidR="0095522B">
        <w:rPr>
          <w:szCs w:val="28"/>
        </w:rPr>
        <w:t>atbalsta periodu - 10 gadi stacijām līdz</w:t>
      </w:r>
      <w:r w:rsidR="0095522B" w:rsidRPr="00CC2A88">
        <w:rPr>
          <w:szCs w:val="28"/>
        </w:rPr>
        <w:t xml:space="preserve"> 4 MW un 15 gadi lielākām stacijām, kā arī 5 gad</w:t>
      </w:r>
      <w:r w:rsidR="0095522B">
        <w:rPr>
          <w:szCs w:val="28"/>
        </w:rPr>
        <w:t>u</w:t>
      </w:r>
      <w:r w:rsidR="0095522B" w:rsidRPr="00CC2A88">
        <w:rPr>
          <w:szCs w:val="28"/>
        </w:rPr>
        <w:t xml:space="preserve"> pārejas period</w:t>
      </w:r>
      <w:r w:rsidR="0095522B">
        <w:rPr>
          <w:szCs w:val="28"/>
        </w:rPr>
        <w:t>u</w:t>
      </w:r>
      <w:r w:rsidR="0095522B" w:rsidRPr="00CC2A88">
        <w:rPr>
          <w:szCs w:val="28"/>
        </w:rPr>
        <w:t xml:space="preserve"> stacijām, kas jau darbojas. </w:t>
      </w:r>
    </w:p>
    <w:p w:rsidR="002418D1" w:rsidRPr="00CE10D9" w:rsidRDefault="002418D1" w:rsidP="0095522B">
      <w:pPr>
        <w:pStyle w:val="ListParagraph"/>
        <w:numPr>
          <w:ilvl w:val="0"/>
          <w:numId w:val="5"/>
        </w:numPr>
        <w:spacing w:line="240" w:lineRule="auto"/>
        <w:ind w:left="357" w:hanging="357"/>
        <w:contextualSpacing w:val="0"/>
        <w:rPr>
          <w:b/>
          <w:szCs w:val="28"/>
        </w:rPr>
      </w:pPr>
      <w:r w:rsidRPr="002418D1">
        <w:rPr>
          <w:b/>
          <w:szCs w:val="28"/>
        </w:rPr>
        <w:t xml:space="preserve">Administratīvā kontrole. </w:t>
      </w:r>
      <w:r w:rsidR="00822115" w:rsidRPr="00822115">
        <w:rPr>
          <w:szCs w:val="28"/>
        </w:rPr>
        <w:t>Attiecīgi grozot MK not</w:t>
      </w:r>
      <w:r w:rsidR="002F41D7">
        <w:rPr>
          <w:szCs w:val="28"/>
        </w:rPr>
        <w:t>eikumus</w:t>
      </w:r>
      <w:r w:rsidR="002F41D7" w:rsidRPr="00822115">
        <w:rPr>
          <w:szCs w:val="28"/>
        </w:rPr>
        <w:t xml:space="preserve"> </w:t>
      </w:r>
      <w:r w:rsidR="0003742D">
        <w:rPr>
          <w:szCs w:val="28"/>
        </w:rPr>
        <w:t>Nr.</w:t>
      </w:r>
      <w:r w:rsidR="00822115" w:rsidRPr="00822115">
        <w:rPr>
          <w:szCs w:val="28"/>
        </w:rPr>
        <w:t>221.</w:t>
      </w:r>
      <w:r w:rsidR="00822115">
        <w:rPr>
          <w:szCs w:val="28"/>
        </w:rPr>
        <w:t xml:space="preserve"> un MK not</w:t>
      </w:r>
      <w:r w:rsidR="00033E6E">
        <w:rPr>
          <w:szCs w:val="28"/>
        </w:rPr>
        <w:t>e</w:t>
      </w:r>
      <w:r w:rsidR="0003742D">
        <w:rPr>
          <w:szCs w:val="28"/>
        </w:rPr>
        <w:t>ikumus Nr.</w:t>
      </w:r>
      <w:r w:rsidR="00822115">
        <w:rPr>
          <w:szCs w:val="28"/>
        </w:rPr>
        <w:t>262 ir paredzēta stingrāka uzraudzība</w:t>
      </w:r>
      <w:r w:rsidR="00027788">
        <w:rPr>
          <w:szCs w:val="28"/>
        </w:rPr>
        <w:t>. Konkrētāk, auditēts gada pārskats, kurā būs apliecināts, ka ir patērēts atbilstošais kurināmais, stingrāk tiks kontrolēts</w:t>
      </w:r>
      <w:r w:rsidR="00033E6E">
        <w:rPr>
          <w:szCs w:val="28"/>
        </w:rPr>
        <w:t>,</w:t>
      </w:r>
      <w:r w:rsidR="00027788">
        <w:rPr>
          <w:szCs w:val="28"/>
        </w:rPr>
        <w:t xml:space="preserve"> kā komersants ievēro būvniecību un būvju ekspluatācijas reglamentējošo normatīvo aktu prasības, kā arī komersantam nedrīkst būt nodokļu parādi. </w:t>
      </w:r>
    </w:p>
    <w:p w:rsidR="00CE10D9" w:rsidRPr="00760549" w:rsidRDefault="00CE10D9" w:rsidP="00CE10D9">
      <w:pPr>
        <w:spacing w:line="240" w:lineRule="auto"/>
        <w:ind w:firstLine="0"/>
        <w:rPr>
          <w:szCs w:val="28"/>
        </w:rPr>
      </w:pPr>
      <w:r w:rsidRPr="00760549">
        <w:rPr>
          <w:szCs w:val="28"/>
        </w:rPr>
        <w:t>Analizējot nākotnes elektroenerģijas kopējās cenu prognozes</w:t>
      </w:r>
      <w:r w:rsidR="0003742D">
        <w:rPr>
          <w:szCs w:val="28"/>
        </w:rPr>
        <w:t>,</w:t>
      </w:r>
      <w:r w:rsidRPr="00760549">
        <w:rPr>
          <w:szCs w:val="28"/>
        </w:rPr>
        <w:t xml:space="preserve"> jau ieviestie pasākumi nenodrošinās pietiekamu cenu pieauguma ierobežojumus. Līdz ar to nepieciešams </w:t>
      </w:r>
      <w:r w:rsidR="00760549" w:rsidRPr="00760549">
        <w:rPr>
          <w:szCs w:val="28"/>
        </w:rPr>
        <w:t>iz</w:t>
      </w:r>
      <w:r w:rsidRPr="00760549">
        <w:rPr>
          <w:szCs w:val="28"/>
        </w:rPr>
        <w:t>v</w:t>
      </w:r>
      <w:r w:rsidR="00760549" w:rsidRPr="00760549">
        <w:rPr>
          <w:szCs w:val="28"/>
        </w:rPr>
        <w:t xml:space="preserve">ērtēt vēl </w:t>
      </w:r>
      <w:r w:rsidR="00033E6E" w:rsidRPr="00760549">
        <w:rPr>
          <w:szCs w:val="28"/>
        </w:rPr>
        <w:t xml:space="preserve">iespējamos </w:t>
      </w:r>
      <w:r w:rsidR="00760549" w:rsidRPr="00760549">
        <w:rPr>
          <w:szCs w:val="28"/>
        </w:rPr>
        <w:t>papildu grozījumus.</w:t>
      </w:r>
    </w:p>
    <w:p w:rsidR="00A64D61" w:rsidRDefault="00A64D61" w:rsidP="00A64D61">
      <w:pPr>
        <w:pStyle w:val="ListParagraph"/>
        <w:numPr>
          <w:ilvl w:val="0"/>
          <w:numId w:val="5"/>
        </w:numPr>
        <w:spacing w:line="240" w:lineRule="auto"/>
        <w:ind w:left="357" w:hanging="357"/>
        <w:contextualSpacing w:val="0"/>
        <w:rPr>
          <w:szCs w:val="28"/>
        </w:rPr>
      </w:pPr>
      <w:r w:rsidRPr="00760549">
        <w:rPr>
          <w:b/>
          <w:szCs w:val="28"/>
        </w:rPr>
        <w:t>Atbalsta līmeņa pārskatīšana</w:t>
      </w:r>
      <w:r w:rsidRPr="00760549">
        <w:rPr>
          <w:szCs w:val="28"/>
        </w:rPr>
        <w:t>. Atbalsta līmenim ir jābūt pietiekami efektīvam, lai tas nepārsnie</w:t>
      </w:r>
      <w:r w:rsidR="00033E6E">
        <w:rPr>
          <w:szCs w:val="28"/>
        </w:rPr>
        <w:t>gtu</w:t>
      </w:r>
      <w:r w:rsidRPr="00760549">
        <w:rPr>
          <w:szCs w:val="28"/>
        </w:rPr>
        <w:t xml:space="preserve"> investīciju izmaksas un nodrošin</w:t>
      </w:r>
      <w:r w:rsidR="00033E6E">
        <w:rPr>
          <w:szCs w:val="28"/>
        </w:rPr>
        <w:t>ātu</w:t>
      </w:r>
      <w:r w:rsidRPr="00760549">
        <w:rPr>
          <w:szCs w:val="28"/>
        </w:rPr>
        <w:t xml:space="preserve"> godīgu peļņu</w:t>
      </w:r>
      <w:r>
        <w:rPr>
          <w:szCs w:val="28"/>
        </w:rPr>
        <w:t>, apmierinot tiesiskās paļāvības principa prasības</w:t>
      </w:r>
      <w:r w:rsidRPr="00760549">
        <w:rPr>
          <w:szCs w:val="28"/>
        </w:rPr>
        <w:t>, bet bez pārsubsidēšanas</w:t>
      </w:r>
      <w:r>
        <w:rPr>
          <w:szCs w:val="28"/>
        </w:rPr>
        <w:t>, kas uzliktu par pienākumu sabiedrībai un valstij segt nepamatotu virspeļņu</w:t>
      </w:r>
      <w:r w:rsidRPr="00760549">
        <w:rPr>
          <w:szCs w:val="28"/>
        </w:rPr>
        <w:t xml:space="preserve">. </w:t>
      </w:r>
      <w:r w:rsidR="00561BE3">
        <w:rPr>
          <w:szCs w:val="28"/>
        </w:rPr>
        <w:t>Ja subsīdija tiek kvalificēta kā valsts atbalsts, tad nosakot atbalsta līmeni, jāievēro valsts atbalsta noteiktās intensitātes.</w:t>
      </w:r>
    </w:p>
    <w:p w:rsidR="001E576F" w:rsidRDefault="00A64D61" w:rsidP="00A64D61">
      <w:pPr>
        <w:pStyle w:val="ListParagraph"/>
        <w:numPr>
          <w:ilvl w:val="0"/>
          <w:numId w:val="5"/>
        </w:numPr>
        <w:spacing w:line="240" w:lineRule="auto"/>
        <w:ind w:left="357" w:hanging="357"/>
        <w:contextualSpacing w:val="0"/>
        <w:rPr>
          <w:szCs w:val="28"/>
        </w:rPr>
      </w:pPr>
      <w:r>
        <w:rPr>
          <w:b/>
          <w:szCs w:val="28"/>
        </w:rPr>
        <w:t>Atbalsta piesaistes princips</w:t>
      </w:r>
      <w:r w:rsidRPr="008D71DA">
        <w:rPr>
          <w:szCs w:val="28"/>
        </w:rPr>
        <w:t>.</w:t>
      </w:r>
      <w:r>
        <w:rPr>
          <w:szCs w:val="28"/>
        </w:rPr>
        <w:t xml:space="preserve"> </w:t>
      </w:r>
      <w:r w:rsidRPr="00760549">
        <w:rPr>
          <w:szCs w:val="28"/>
        </w:rPr>
        <w:t xml:space="preserve">Pašlaik problēmas neefektīvai iepirkuma cenas noteikšanai rada formulu piesaiste dabasgāzes cenai. Salīdzinot ar atbalsta mehānisma ieviešanas sākumposmu, tā ir neprognozējami pieaugusi, līdz ar to </w:t>
      </w:r>
      <w:r w:rsidRPr="00760549">
        <w:rPr>
          <w:szCs w:val="28"/>
        </w:rPr>
        <w:lastRenderedPageBreak/>
        <w:t xml:space="preserve">ir jāvērtē, kā mazināt dabasgāzes tirdzniecības cenas ietekmi uz garantētā iepirkuma cenas noteikšanu. Viena no iespējām ir aprēķinu vajadzībām fiksēt noteiktu dabasgāzes cenu un līdz ar to obligātā iepirkuma izmaksu līmeni. </w:t>
      </w:r>
      <w:r>
        <w:rPr>
          <w:szCs w:val="28"/>
        </w:rPr>
        <w:t>Papildus jāvērtē iespēja indeksēt konkrētu tehnoloģiju atbalsta apjomu at</w:t>
      </w:r>
      <w:r w:rsidR="0003742D">
        <w:rPr>
          <w:szCs w:val="28"/>
        </w:rPr>
        <w:t>karībā no tehnoloģiju izmaksām.</w:t>
      </w:r>
    </w:p>
    <w:p w:rsidR="00A64D61" w:rsidRPr="00760549" w:rsidRDefault="00576EA1" w:rsidP="00A64D61">
      <w:pPr>
        <w:pStyle w:val="ListParagraph"/>
        <w:numPr>
          <w:ilvl w:val="0"/>
          <w:numId w:val="5"/>
        </w:numPr>
        <w:spacing w:line="240" w:lineRule="auto"/>
        <w:ind w:left="357" w:hanging="357"/>
        <w:contextualSpacing w:val="0"/>
        <w:rPr>
          <w:szCs w:val="28"/>
        </w:rPr>
      </w:pPr>
      <w:r>
        <w:rPr>
          <w:b/>
          <w:szCs w:val="28"/>
        </w:rPr>
        <w:t>G</w:t>
      </w:r>
      <w:r w:rsidR="00A64D61" w:rsidRPr="00760549">
        <w:rPr>
          <w:b/>
          <w:szCs w:val="28"/>
        </w:rPr>
        <w:t xml:space="preserve">arantētā obligātā iepirkuma aizstāšana tikai ar garantēto maksu par konkrētu uzstādīto jaudu. </w:t>
      </w:r>
      <w:r w:rsidR="00A64D61" w:rsidRPr="00760549">
        <w:rPr>
          <w:szCs w:val="28"/>
        </w:rPr>
        <w:t xml:space="preserve">Īpaši svarīgi tas ir attiecībā uz lielajām </w:t>
      </w:r>
      <w:r w:rsidR="00A64D61">
        <w:rPr>
          <w:szCs w:val="28"/>
        </w:rPr>
        <w:t xml:space="preserve">dabasgāzes </w:t>
      </w:r>
      <w:r w:rsidR="00A64D61" w:rsidRPr="00760549">
        <w:rPr>
          <w:szCs w:val="28"/>
        </w:rPr>
        <w:t xml:space="preserve">koģenerācijas stacijām, kas visvairāk ietekmē OIK maksājumu </w:t>
      </w:r>
      <w:r w:rsidR="00A64D61">
        <w:rPr>
          <w:szCs w:val="28"/>
        </w:rPr>
        <w:t>kopapjomu</w:t>
      </w:r>
      <w:r w:rsidR="00A64D61" w:rsidRPr="00760549">
        <w:rPr>
          <w:szCs w:val="28"/>
        </w:rPr>
        <w:t xml:space="preserve">. Elektroenerģijas tirgū pastāv gan augstu cenu periods, kad elektroenerģijas ražošanas mainīgās izmaksas koģenerācijas stacijās ir mazākas par tirgus cenu un ražotājiem ir nodrošināta papildu peļņa par katru saražoto enerģijas vienību, gan arī zemu cenu periods, kad elektroenerģijas ražošana nav rentabla un nenotiktu, ja ražotājam nebūtu tāds pienākums. </w:t>
      </w:r>
      <w:r w:rsidR="00A64D61">
        <w:rPr>
          <w:szCs w:val="28"/>
        </w:rPr>
        <w:t>P</w:t>
      </w:r>
      <w:r w:rsidR="00A64D61" w:rsidRPr="00760549">
        <w:rPr>
          <w:szCs w:val="28"/>
        </w:rPr>
        <w:t xml:space="preserve">ie nelabvēlīgas tirgus situācijas </w:t>
      </w:r>
      <w:r w:rsidR="00A64D61">
        <w:rPr>
          <w:szCs w:val="28"/>
        </w:rPr>
        <w:t>koģenerācijas stacijām nevajadzētu strādāt ar zaudējumiem. S</w:t>
      </w:r>
      <w:r w:rsidR="00A64D61" w:rsidRPr="00760549">
        <w:rPr>
          <w:szCs w:val="28"/>
        </w:rPr>
        <w:t xml:space="preserve">tacijas </w:t>
      </w:r>
      <w:r w:rsidR="00A64D61">
        <w:rPr>
          <w:szCs w:val="28"/>
        </w:rPr>
        <w:t xml:space="preserve">varētu </w:t>
      </w:r>
      <w:r w:rsidR="00A64D61" w:rsidRPr="00760549">
        <w:rPr>
          <w:szCs w:val="28"/>
        </w:rPr>
        <w:t>strādā tikai saskaņā ar pārvades operatora norādījumiem, proti, ja saražotā elektroenerģija nepieciešama drošības/balansēšanas nolūkiem, vai, iestājoties atbilstošiem klimatiskajiem apstākļiem, koģenerācijas stacijās saražotais siltums nepieciešams apkures procesa nodrošināšanai. Dīkstāves laikā uzņēmumiem tik</w:t>
      </w:r>
      <w:r w:rsidR="00A64D61">
        <w:rPr>
          <w:szCs w:val="28"/>
        </w:rPr>
        <w:t>tu</w:t>
      </w:r>
      <w:r w:rsidR="00A64D61" w:rsidRPr="00760549">
        <w:rPr>
          <w:szCs w:val="28"/>
        </w:rPr>
        <w:t xml:space="preserve"> izmaksāta kompensācija. Šādi tiktu samazināt</w:t>
      </w:r>
      <w:r w:rsidR="0003742D">
        <w:rPr>
          <w:szCs w:val="28"/>
        </w:rPr>
        <w:t>a gan OIK, gan gāzes patēriņš.</w:t>
      </w:r>
    </w:p>
    <w:p w:rsidR="00A64D61" w:rsidRPr="004E37B0" w:rsidRDefault="00A64D61" w:rsidP="00A64D61">
      <w:pPr>
        <w:pStyle w:val="ListParagraph"/>
        <w:numPr>
          <w:ilvl w:val="0"/>
          <w:numId w:val="5"/>
        </w:numPr>
        <w:spacing w:after="0" w:line="240" w:lineRule="auto"/>
        <w:ind w:left="357" w:hanging="357"/>
        <w:contextualSpacing w:val="0"/>
        <w:rPr>
          <w:i/>
          <w:iCs/>
          <w:color w:val="000000"/>
          <w:sz w:val="24"/>
          <w:szCs w:val="28"/>
        </w:rPr>
      </w:pPr>
      <w:r>
        <w:rPr>
          <w:b/>
          <w:bCs/>
          <w:szCs w:val="28"/>
        </w:rPr>
        <w:t>F</w:t>
      </w:r>
      <w:r w:rsidRPr="006C726D">
        <w:rPr>
          <w:b/>
          <w:bCs/>
          <w:szCs w:val="28"/>
        </w:rPr>
        <w:t xml:space="preserve">iskālu instrumentu </w:t>
      </w:r>
      <w:r>
        <w:rPr>
          <w:b/>
          <w:bCs/>
          <w:szCs w:val="28"/>
        </w:rPr>
        <w:t xml:space="preserve">piemērošana </w:t>
      </w:r>
      <w:r w:rsidRPr="006C726D">
        <w:rPr>
          <w:b/>
          <w:bCs/>
          <w:szCs w:val="28"/>
        </w:rPr>
        <w:t xml:space="preserve">OIK izmaksu mazināšanai. </w:t>
      </w:r>
      <w:r w:rsidRPr="006C726D">
        <w:rPr>
          <w:szCs w:val="28"/>
        </w:rPr>
        <w:t>Uzņēmumiem, kuriem piešķirtas tiesības pārdot saražoto elektroenerģiju obligātā iepirkuma ietvaros, tiek piedāvāta iespēja labprātīgi atteikties no obligātā iepirkuma</w:t>
      </w:r>
      <w:r>
        <w:rPr>
          <w:szCs w:val="28"/>
        </w:rPr>
        <w:t xml:space="preserve"> tiesībām</w:t>
      </w:r>
      <w:r w:rsidRPr="006C726D">
        <w:rPr>
          <w:szCs w:val="28"/>
        </w:rPr>
        <w:t>, par to saņemot kompensāciju, kas līdzinās ieguldītajām investīcijām, un/vai daļu no</w:t>
      </w:r>
      <w:r>
        <w:rPr>
          <w:szCs w:val="28"/>
        </w:rPr>
        <w:t xml:space="preserve"> pamatotas</w:t>
      </w:r>
      <w:r w:rsidRPr="006C726D">
        <w:rPr>
          <w:szCs w:val="28"/>
        </w:rPr>
        <w:t xml:space="preserve"> neiegūtās peļņas. Nepieciešamās investīcijas ir novērtētas </w:t>
      </w:r>
      <w:r w:rsidR="0003742D">
        <w:rPr>
          <w:szCs w:val="28"/>
        </w:rPr>
        <w:t>8.tabulā.</w:t>
      </w:r>
    </w:p>
    <w:p w:rsidR="0095522B" w:rsidRPr="008A259F" w:rsidRDefault="0003742D" w:rsidP="008A259F">
      <w:pPr>
        <w:spacing w:after="0" w:line="240" w:lineRule="auto"/>
        <w:ind w:left="-3" w:firstLine="3"/>
        <w:jc w:val="right"/>
        <w:rPr>
          <w:iCs/>
          <w:color w:val="000000"/>
          <w:szCs w:val="28"/>
        </w:rPr>
      </w:pPr>
      <w:r>
        <w:rPr>
          <w:iCs/>
          <w:color w:val="000000"/>
          <w:szCs w:val="28"/>
        </w:rPr>
        <w:t>8</w:t>
      </w:r>
      <w:r w:rsidR="0095522B" w:rsidRPr="008A259F">
        <w:rPr>
          <w:iCs/>
          <w:color w:val="000000"/>
          <w:szCs w:val="28"/>
        </w:rPr>
        <w:t>.tabula</w:t>
      </w:r>
    </w:p>
    <w:p w:rsidR="0095522B" w:rsidRPr="008A259F" w:rsidRDefault="0095522B" w:rsidP="008A259F">
      <w:pPr>
        <w:spacing w:after="0" w:line="240" w:lineRule="auto"/>
        <w:ind w:left="357" w:firstLine="3"/>
        <w:jc w:val="center"/>
        <w:rPr>
          <w:iCs/>
          <w:color w:val="000000"/>
          <w:szCs w:val="28"/>
        </w:rPr>
      </w:pPr>
      <w:r w:rsidRPr="008A259F">
        <w:rPr>
          <w:iCs/>
          <w:color w:val="000000"/>
          <w:szCs w:val="28"/>
        </w:rPr>
        <w:t>Nepieciešam</w:t>
      </w:r>
      <w:r w:rsidR="0002689F">
        <w:rPr>
          <w:iCs/>
          <w:color w:val="000000"/>
          <w:szCs w:val="28"/>
        </w:rPr>
        <w:t xml:space="preserve">o investīciju novērtējums </w:t>
      </w:r>
    </w:p>
    <w:tbl>
      <w:tblPr>
        <w:tblW w:w="0" w:type="auto"/>
        <w:jc w:val="center"/>
        <w:tblCellMar>
          <w:left w:w="0" w:type="dxa"/>
          <w:right w:w="0" w:type="dxa"/>
        </w:tblCellMar>
        <w:tblLook w:val="04A0" w:firstRow="1" w:lastRow="0" w:firstColumn="1" w:lastColumn="0" w:noHBand="0" w:noVBand="1"/>
      </w:tblPr>
      <w:tblGrid>
        <w:gridCol w:w="3686"/>
        <w:gridCol w:w="4536"/>
      </w:tblGrid>
      <w:tr w:rsidR="0095522B" w:rsidTr="008A259F">
        <w:trPr>
          <w:jc w:val="center"/>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522B" w:rsidRDefault="0095522B" w:rsidP="008A259F">
            <w:pPr>
              <w:spacing w:before="0" w:after="0" w:line="240" w:lineRule="auto"/>
              <w:ind w:firstLine="0"/>
              <w:jc w:val="center"/>
              <w:rPr>
                <w:color w:val="000000"/>
                <w:sz w:val="24"/>
                <w:szCs w:val="24"/>
              </w:rPr>
            </w:pPr>
            <w:r>
              <w:rPr>
                <w:b/>
                <w:bCs/>
                <w:color w:val="000000"/>
                <w:sz w:val="24"/>
                <w:szCs w:val="24"/>
              </w:rPr>
              <w:t>Izmantotais resursa veids</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5522B" w:rsidRDefault="0095522B" w:rsidP="008A259F">
            <w:pPr>
              <w:spacing w:before="0" w:after="0" w:line="240" w:lineRule="auto"/>
              <w:ind w:firstLine="0"/>
              <w:jc w:val="center"/>
              <w:rPr>
                <w:color w:val="000000"/>
                <w:sz w:val="24"/>
                <w:szCs w:val="24"/>
              </w:rPr>
            </w:pPr>
            <w:r>
              <w:rPr>
                <w:b/>
                <w:bCs/>
                <w:color w:val="000000"/>
                <w:sz w:val="24"/>
                <w:szCs w:val="24"/>
              </w:rPr>
              <w:t>Nepieciešamās investīcijas elektroenerģijas ražošanai (EUR/k</w:t>
            </w:r>
            <w:r w:rsidR="00C22381">
              <w:rPr>
                <w:b/>
                <w:bCs/>
                <w:color w:val="000000"/>
                <w:sz w:val="24"/>
                <w:szCs w:val="24"/>
              </w:rPr>
              <w:t>W</w:t>
            </w:r>
            <w:r>
              <w:rPr>
                <w:b/>
                <w:bCs/>
                <w:color w:val="000000"/>
                <w:sz w:val="24"/>
                <w:szCs w:val="24"/>
              </w:rPr>
              <w:t>)</w:t>
            </w:r>
          </w:p>
        </w:tc>
      </w:tr>
      <w:tr w:rsidR="0095522B" w:rsidTr="008A259F">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Biomasa¹</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2734 - 5252</w:t>
            </w:r>
          </w:p>
        </w:tc>
      </w:tr>
      <w:tr w:rsidR="0095522B" w:rsidTr="008A259F">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Biogāze¹</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1476 - 1876</w:t>
            </w:r>
          </w:p>
        </w:tc>
      </w:tr>
      <w:tr w:rsidR="0095522B" w:rsidTr="008A259F">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Vēja enerģija (sauszemes)¹</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1425 - 1618</w:t>
            </w:r>
          </w:p>
        </w:tc>
      </w:tr>
      <w:tr w:rsidR="0095522B" w:rsidTr="008A259F">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Vēja enerģija (jūrā)¹</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3081 - 3466</w:t>
            </w:r>
          </w:p>
        </w:tc>
      </w:tr>
      <w:tr w:rsidR="0095522B" w:rsidTr="008A259F">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Mazās HES¹</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1000 - 6162</w:t>
            </w:r>
          </w:p>
        </w:tc>
      </w:tr>
      <w:tr w:rsidR="0095522B" w:rsidTr="008A259F">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Lielās HES¹</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809 - 5893</w:t>
            </w:r>
          </w:p>
        </w:tc>
      </w:tr>
      <w:tr w:rsidR="0095522B" w:rsidTr="008A259F">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Dabasgāze²</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5522B" w:rsidRDefault="0095522B" w:rsidP="003B2905">
            <w:pPr>
              <w:spacing w:before="0" w:after="0" w:line="240" w:lineRule="auto"/>
              <w:ind w:firstLine="0"/>
              <w:jc w:val="center"/>
              <w:rPr>
                <w:color w:val="000000"/>
                <w:sz w:val="24"/>
                <w:szCs w:val="24"/>
              </w:rPr>
            </w:pPr>
            <w:r>
              <w:rPr>
                <w:color w:val="000000"/>
                <w:sz w:val="24"/>
                <w:szCs w:val="24"/>
              </w:rPr>
              <w:t>1422</w:t>
            </w:r>
          </w:p>
        </w:tc>
      </w:tr>
    </w:tbl>
    <w:p w:rsidR="008A259F" w:rsidRDefault="0095522B" w:rsidP="008A259F">
      <w:pPr>
        <w:spacing w:after="0" w:line="240" w:lineRule="auto"/>
        <w:ind w:firstLine="0"/>
        <w:rPr>
          <w:rFonts w:cs="Times New Roman"/>
          <w:color w:val="000000"/>
          <w:sz w:val="20"/>
          <w:szCs w:val="20"/>
        </w:rPr>
      </w:pPr>
      <w:r w:rsidRPr="008A259F">
        <w:rPr>
          <w:rFonts w:cs="Times New Roman"/>
          <w:color w:val="000000"/>
          <w:sz w:val="20"/>
          <w:szCs w:val="20"/>
        </w:rPr>
        <w:t xml:space="preserve">Avots: ¹Renewable energy </w:t>
      </w:r>
      <w:proofErr w:type="spellStart"/>
      <w:r w:rsidRPr="008A259F">
        <w:rPr>
          <w:rFonts w:cs="Times New Roman"/>
          <w:color w:val="000000"/>
          <w:sz w:val="20"/>
          <w:szCs w:val="20"/>
        </w:rPr>
        <w:t>technologies</w:t>
      </w:r>
      <w:proofErr w:type="spellEnd"/>
      <w:r w:rsidRPr="008A259F">
        <w:rPr>
          <w:rFonts w:cs="Times New Roman"/>
          <w:color w:val="000000"/>
          <w:sz w:val="20"/>
          <w:szCs w:val="20"/>
        </w:rPr>
        <w:t xml:space="preserve">: </w:t>
      </w:r>
      <w:proofErr w:type="spellStart"/>
      <w:r w:rsidRPr="008A259F">
        <w:rPr>
          <w:rFonts w:cs="Times New Roman"/>
          <w:color w:val="000000"/>
          <w:sz w:val="20"/>
          <w:szCs w:val="20"/>
        </w:rPr>
        <w:t>cost</w:t>
      </w:r>
      <w:proofErr w:type="spellEnd"/>
      <w:r w:rsidRPr="008A259F">
        <w:rPr>
          <w:rFonts w:cs="Times New Roman"/>
          <w:color w:val="000000"/>
          <w:sz w:val="20"/>
          <w:szCs w:val="20"/>
        </w:rPr>
        <w:t xml:space="preserve"> </w:t>
      </w:r>
      <w:proofErr w:type="spellStart"/>
      <w:r w:rsidRPr="008A259F">
        <w:rPr>
          <w:rFonts w:cs="Times New Roman"/>
          <w:color w:val="000000"/>
          <w:sz w:val="20"/>
          <w:szCs w:val="20"/>
        </w:rPr>
        <w:t>analysis</w:t>
      </w:r>
      <w:proofErr w:type="spellEnd"/>
      <w:r w:rsidRPr="008A259F">
        <w:rPr>
          <w:rFonts w:cs="Times New Roman"/>
          <w:color w:val="000000"/>
          <w:sz w:val="20"/>
          <w:szCs w:val="20"/>
        </w:rPr>
        <w:t xml:space="preserve"> </w:t>
      </w:r>
      <w:proofErr w:type="spellStart"/>
      <w:r w:rsidRPr="008A259F">
        <w:rPr>
          <w:rFonts w:cs="Times New Roman"/>
          <w:color w:val="000000"/>
          <w:sz w:val="20"/>
          <w:szCs w:val="20"/>
        </w:rPr>
        <w:t>series</w:t>
      </w:r>
      <w:proofErr w:type="spellEnd"/>
      <w:r w:rsidRPr="008A259F">
        <w:rPr>
          <w:rFonts w:cs="Times New Roman"/>
          <w:color w:val="000000"/>
          <w:sz w:val="20"/>
          <w:szCs w:val="20"/>
        </w:rPr>
        <w:t>, IRENA, 2012., (Pieejam</w:t>
      </w:r>
      <w:r w:rsidR="008A259F">
        <w:rPr>
          <w:rFonts w:cs="Times New Roman"/>
          <w:color w:val="000000"/>
          <w:sz w:val="20"/>
          <w:szCs w:val="20"/>
        </w:rPr>
        <w:t>s</w:t>
      </w:r>
      <w:r w:rsidRPr="008A259F">
        <w:rPr>
          <w:rFonts w:cs="Times New Roman"/>
          <w:color w:val="000000"/>
          <w:sz w:val="20"/>
          <w:szCs w:val="20"/>
        </w:rPr>
        <w:t xml:space="preserve">: </w:t>
      </w:r>
      <w:hyperlink r:id="rId40" w:history="1">
        <w:r w:rsidR="00636345" w:rsidRPr="00636345">
          <w:rPr>
            <w:rStyle w:val="Hyperlink"/>
            <w:rFonts w:cs="Times New Roman"/>
            <w:sz w:val="20"/>
            <w:szCs w:val="20"/>
          </w:rPr>
          <w:t>http://www.irena.org/</w:t>
        </w:r>
        <w:r w:rsidR="00636345" w:rsidRPr="00636345" w:rsidDel="00636345">
          <w:rPr>
            <w:rStyle w:val="Hyperlink"/>
            <w:rFonts w:cs="Times New Roman"/>
            <w:sz w:val="20"/>
            <w:szCs w:val="20"/>
          </w:rPr>
          <w:t xml:space="preserve"> </w:t>
        </w:r>
      </w:hyperlink>
      <w:r w:rsidRPr="008A259F">
        <w:rPr>
          <w:rFonts w:cs="Times New Roman"/>
          <w:color w:val="000000"/>
          <w:sz w:val="20"/>
          <w:szCs w:val="20"/>
        </w:rPr>
        <w:t>).</w:t>
      </w:r>
    </w:p>
    <w:p w:rsidR="0095522B" w:rsidRPr="008A259F" w:rsidRDefault="0095522B" w:rsidP="008A259F">
      <w:pPr>
        <w:spacing w:before="0" w:after="0" w:line="240" w:lineRule="auto"/>
        <w:ind w:firstLine="0"/>
        <w:rPr>
          <w:rFonts w:cs="Times New Roman"/>
          <w:color w:val="000000"/>
          <w:sz w:val="20"/>
          <w:szCs w:val="20"/>
        </w:rPr>
      </w:pPr>
      <w:r w:rsidRPr="008A259F">
        <w:rPr>
          <w:rFonts w:cs="Times New Roman"/>
          <w:sz w:val="20"/>
          <w:szCs w:val="20"/>
        </w:rPr>
        <w:t>²</w:t>
      </w:r>
      <w:hyperlink r:id="rId41" w:history="1">
        <w:r w:rsidRPr="008A259F">
          <w:rPr>
            <w:rStyle w:val="Hyperlink"/>
            <w:rFonts w:cs="Times New Roman"/>
            <w:color w:val="000000"/>
            <w:sz w:val="20"/>
            <w:szCs w:val="20"/>
          </w:rPr>
          <w:t>http://www.ebrd.com/projects</w:t>
        </w:r>
      </w:hyperlink>
      <w:r w:rsidRPr="008A259F">
        <w:rPr>
          <w:rStyle w:val="Hyperlink"/>
          <w:rFonts w:cs="Times New Roman"/>
          <w:color w:val="000000"/>
          <w:sz w:val="20"/>
          <w:szCs w:val="20"/>
        </w:rPr>
        <w:t>;</w:t>
      </w:r>
      <w:r w:rsidR="008A259F">
        <w:rPr>
          <w:rStyle w:val="Hyperlink"/>
          <w:rFonts w:cs="Times New Roman"/>
          <w:color w:val="000000"/>
          <w:sz w:val="20"/>
          <w:szCs w:val="20"/>
        </w:rPr>
        <w:t xml:space="preserve"> </w:t>
      </w:r>
      <w:hyperlink r:id="rId42" w:history="1">
        <w:r w:rsidRPr="008A259F">
          <w:rPr>
            <w:rStyle w:val="Hyperlink"/>
            <w:rFonts w:cs="Times New Roman"/>
            <w:color w:val="000000"/>
            <w:sz w:val="20"/>
            <w:szCs w:val="20"/>
          </w:rPr>
          <w:t>http://www.power-technology.com</w:t>
        </w:r>
      </w:hyperlink>
      <w:r w:rsidRPr="008A259F">
        <w:rPr>
          <w:rStyle w:val="Hyperlink"/>
          <w:color w:val="000000"/>
        </w:rPr>
        <w:t xml:space="preserve">; </w:t>
      </w:r>
      <w:hyperlink r:id="rId43" w:history="1">
        <w:r w:rsidRPr="008A259F">
          <w:rPr>
            <w:rStyle w:val="Hyperlink"/>
            <w:rFonts w:cs="Times New Roman"/>
            <w:color w:val="000000"/>
            <w:sz w:val="20"/>
            <w:szCs w:val="20"/>
          </w:rPr>
          <w:t>http://www.eib.org/projects/pipeline</w:t>
        </w:r>
      </w:hyperlink>
      <w:r w:rsidRPr="008A259F">
        <w:rPr>
          <w:rFonts w:cs="Times New Roman"/>
          <w:sz w:val="20"/>
          <w:szCs w:val="20"/>
        </w:rPr>
        <w:t>.</w:t>
      </w:r>
      <w:r w:rsidRPr="008A259F">
        <w:rPr>
          <w:rFonts w:cs="Times New Roman"/>
          <w:color w:val="000000"/>
          <w:sz w:val="20"/>
          <w:szCs w:val="20"/>
        </w:rPr>
        <w:t xml:space="preserve"> </w:t>
      </w:r>
    </w:p>
    <w:p w:rsidR="0095522B" w:rsidRDefault="0095522B" w:rsidP="0095522B">
      <w:pPr>
        <w:spacing w:before="240" w:line="240" w:lineRule="auto"/>
        <w:rPr>
          <w:szCs w:val="28"/>
        </w:rPr>
      </w:pPr>
      <w:r>
        <w:rPr>
          <w:szCs w:val="28"/>
        </w:rPr>
        <w:t>Š</w:t>
      </w:r>
      <w:r w:rsidR="00D7153F">
        <w:rPr>
          <w:szCs w:val="28"/>
        </w:rPr>
        <w:t>is</w:t>
      </w:r>
      <w:r>
        <w:rPr>
          <w:szCs w:val="28"/>
        </w:rPr>
        <w:t xml:space="preserve"> rīcības virzien</w:t>
      </w:r>
      <w:r w:rsidR="00D7153F">
        <w:rPr>
          <w:szCs w:val="28"/>
        </w:rPr>
        <w:t>s</w:t>
      </w:r>
      <w:r>
        <w:rPr>
          <w:szCs w:val="28"/>
        </w:rPr>
        <w:t xml:space="preserve"> būtu jāattiecina uz tām elektrostacijām, kas </w:t>
      </w:r>
      <w:r w:rsidR="00A64D61">
        <w:rPr>
          <w:szCs w:val="28"/>
        </w:rPr>
        <w:t xml:space="preserve">ir būvniecības procesā, proti, </w:t>
      </w:r>
      <w:r>
        <w:rPr>
          <w:szCs w:val="28"/>
        </w:rPr>
        <w:t>kuru būvniecība ir uzsākta, bet nav pabeigta. Kompensācijas izmaksas noteikt būs sarežģīti, bet vist</w:t>
      </w:r>
      <w:r w:rsidR="00A64D61">
        <w:rPr>
          <w:szCs w:val="28"/>
        </w:rPr>
        <w:t xml:space="preserve">icamāk tās jānosaka </w:t>
      </w:r>
      <w:r w:rsidR="00A64D61">
        <w:rPr>
          <w:szCs w:val="28"/>
        </w:rPr>
        <w:lastRenderedPageBreak/>
        <w:t xml:space="preserve">teorētiski, definējot attiecīgu metodiku, </w:t>
      </w:r>
      <w:r>
        <w:rPr>
          <w:szCs w:val="28"/>
        </w:rPr>
        <w:t xml:space="preserve">vērtējot noteiktas tehnoloģijas un noteiktas jaudas elektrostacijas. Minētās kompensācijas iespējams izmaksāt no valsts budžeta vai 5-10 gadu laikā segt ar OIK mehānismu. </w:t>
      </w:r>
    </w:p>
    <w:p w:rsidR="00A64D61" w:rsidRDefault="00A64D61" w:rsidP="00A64D61">
      <w:pPr>
        <w:spacing w:before="240" w:line="240" w:lineRule="auto"/>
        <w:rPr>
          <w:szCs w:val="28"/>
        </w:rPr>
      </w:pPr>
      <w:r>
        <w:rPr>
          <w:szCs w:val="28"/>
        </w:rPr>
        <w:t>Vienlaikus apsverama citu fiskālu instrumentu, piem</w:t>
      </w:r>
      <w:r w:rsidR="0003742D">
        <w:rPr>
          <w:szCs w:val="28"/>
        </w:rPr>
        <w:t>ēram,</w:t>
      </w:r>
      <w:r>
        <w:rPr>
          <w:szCs w:val="28"/>
        </w:rPr>
        <w:t xml:space="preserve"> OIK kompensācijas mehānisma izveide, no kura, izvērtējot valsts atbalsta nosacījumus un ierobežojumus, varētu kompensēt OIK radīto sadārdzinājumu tieši elektroenerģijas ražotājiem, kas saņēmuši tiesības pārdot elektroenerģiju OIK ietvaros, un/vai nepastarpināti valdības definētām lietotāju grupām. Šādu kompensācijas mehānismu varētu finansēt no </w:t>
      </w:r>
      <w:r w:rsidR="00561BE3">
        <w:rPr>
          <w:szCs w:val="28"/>
        </w:rPr>
        <w:t>resursiem, kas klasificējas kā publiskie resursi</w:t>
      </w:r>
      <w:r>
        <w:rPr>
          <w:szCs w:val="28"/>
        </w:rPr>
        <w:t>, citiem avotiem, kā arī</w:t>
      </w:r>
      <w:r w:rsidR="0003742D">
        <w:rPr>
          <w:szCs w:val="28"/>
        </w:rPr>
        <w:t>,</w:t>
      </w:r>
      <w:r>
        <w:rPr>
          <w:szCs w:val="28"/>
        </w:rPr>
        <w:t xml:space="preserve"> piem</w:t>
      </w:r>
      <w:r w:rsidR="0003742D">
        <w:rPr>
          <w:szCs w:val="28"/>
        </w:rPr>
        <w:t>ēram,</w:t>
      </w:r>
      <w:r>
        <w:rPr>
          <w:szCs w:val="28"/>
        </w:rPr>
        <w:t xml:space="preserve"> AS „Latvenergo” dividenžu maksājumiem.</w:t>
      </w:r>
      <w:r w:rsidR="00561BE3">
        <w:rPr>
          <w:szCs w:val="28"/>
        </w:rPr>
        <w:t xml:space="preserve"> Jāvērtē arī augstākminēto risinājumu atbilstība valsts atbalsta nosacījumiem. </w:t>
      </w:r>
    </w:p>
    <w:p w:rsidR="00A64D61" w:rsidRDefault="00A64D61" w:rsidP="00A64D61">
      <w:pPr>
        <w:spacing w:before="240" w:line="240" w:lineRule="auto"/>
        <w:rPr>
          <w:szCs w:val="28"/>
        </w:rPr>
      </w:pPr>
      <w:r>
        <w:rPr>
          <w:szCs w:val="28"/>
        </w:rPr>
        <w:t>OIK izmaksu pārdales rezultātā viens no lielākiem labuma guvējiem un varbūtējiem kompensāciju saņēmējiem ir AS „Latvenergo” un citi lielie dabasgāzes koģenerācijas ražotāji. AS „Latvenergo” ir uzstādīta dabasgāzes koģenerācijas stacija TEC1 ar kopējo jaudu 144 MW un TEC2 ar kopējo jaudu 633,3 MW.  2013.gadā plānots palielināt jaudu par vēl 199,2 MW. Vienlaikus daļa no AS „Latvenergo” peļņas tiek ieskaitīta valsts budžetā. Šajā kontekstā būtu vērtējamas iespējas</w:t>
      </w:r>
      <w:r w:rsidR="00A85829">
        <w:rPr>
          <w:szCs w:val="28"/>
        </w:rPr>
        <w:t>,</w:t>
      </w:r>
      <w:r>
        <w:rPr>
          <w:szCs w:val="28"/>
        </w:rPr>
        <w:t xml:space="preserve"> kā mazināt OIK izmaksas</w:t>
      </w:r>
      <w:r w:rsidR="00A85829">
        <w:rPr>
          <w:szCs w:val="28"/>
        </w:rPr>
        <w:t>,</w:t>
      </w:r>
      <w:r>
        <w:rPr>
          <w:szCs w:val="28"/>
        </w:rPr>
        <w:t xml:space="preserve"> vienlīdz nepasliktinot AS „Latvenergo” finansiālo stāvokli, aizņemšanās iespējas un spēju pildīt saistības pret kreditoriem. </w:t>
      </w:r>
    </w:p>
    <w:p w:rsidR="0095522B" w:rsidRDefault="0095522B" w:rsidP="0095522B">
      <w:pPr>
        <w:pStyle w:val="ListParagraph"/>
        <w:numPr>
          <w:ilvl w:val="0"/>
          <w:numId w:val="5"/>
        </w:numPr>
        <w:spacing w:line="240" w:lineRule="auto"/>
        <w:contextualSpacing w:val="0"/>
        <w:rPr>
          <w:szCs w:val="28"/>
        </w:rPr>
      </w:pPr>
      <w:r>
        <w:rPr>
          <w:b/>
          <w:bCs/>
          <w:szCs w:val="28"/>
        </w:rPr>
        <w:t xml:space="preserve">Grantu izmantošana investīciju izmaksu samazināšanai un spējas aizņemties uzlabošanai. </w:t>
      </w:r>
      <w:r>
        <w:rPr>
          <w:szCs w:val="28"/>
        </w:rPr>
        <w:t xml:space="preserve">Šāds maksājums samazina efektīvo cenu, tādejādi padarot tehnoloģiju konkurētspējīgāku. Līdz šim ražotājiem ir bijušas iespējas saņemt atbalstu ne tikai obligātā iepirkuma ietvaros, bet arī pretendēt uz atbalstu, izmantojot ES Kohēzijas fondus, Lauku attīstības programmu 2007.-2013.gadam un Klimata pārmaiņu finanšu instrumentu. Vienlaicīgi nevajadzētu saņemt grantu un atbalstu </w:t>
      </w:r>
      <w:r w:rsidRPr="00CC2A88">
        <w:rPr>
          <w:i/>
          <w:szCs w:val="28"/>
        </w:rPr>
        <w:t xml:space="preserve">feed-in </w:t>
      </w:r>
      <w:r w:rsidR="00D7153F" w:rsidRPr="00D7153F">
        <w:rPr>
          <w:szCs w:val="28"/>
        </w:rPr>
        <w:t xml:space="preserve">tarifa </w:t>
      </w:r>
      <w:r w:rsidR="008F569A">
        <w:rPr>
          <w:szCs w:val="28"/>
        </w:rPr>
        <w:t xml:space="preserve">ietvaros. </w:t>
      </w:r>
      <w:r w:rsidR="00F55A11">
        <w:rPr>
          <w:szCs w:val="28"/>
        </w:rPr>
        <w:t xml:space="preserve">Turpmāk grantu izmatošana būtu kombinējama ar </w:t>
      </w:r>
      <w:r w:rsidR="008F569A">
        <w:rPr>
          <w:szCs w:val="28"/>
        </w:rPr>
        <w:t>iespējamu atbalsta intensitātes samazināšanu un jauno atbalsta mehānismu.</w:t>
      </w:r>
    </w:p>
    <w:p w:rsidR="0095522B" w:rsidRDefault="0095522B" w:rsidP="0095522B">
      <w:pPr>
        <w:pStyle w:val="PlainText"/>
        <w:spacing w:after="120"/>
        <w:rPr>
          <w:rFonts w:ascii="Times New Roman" w:hAnsi="Times New Roman" w:cs="Times New Roman"/>
          <w:szCs w:val="28"/>
        </w:rPr>
      </w:pPr>
      <w:r>
        <w:rPr>
          <w:rFonts w:ascii="Times New Roman" w:hAnsi="Times New Roman" w:cs="Times New Roman"/>
          <w:szCs w:val="28"/>
        </w:rPr>
        <w:t>Nepieciešams izvērtēt, kādas ir iespējas pielietot augstākminētos risinājumus, ņemot vērā gan budžeta, gan citus finan</w:t>
      </w:r>
      <w:r w:rsidR="00F55A11">
        <w:rPr>
          <w:rFonts w:ascii="Times New Roman" w:hAnsi="Times New Roman" w:cs="Times New Roman"/>
          <w:szCs w:val="28"/>
        </w:rPr>
        <w:t>š</w:t>
      </w:r>
      <w:r>
        <w:rPr>
          <w:rFonts w:ascii="Times New Roman" w:hAnsi="Times New Roman" w:cs="Times New Roman"/>
          <w:szCs w:val="28"/>
        </w:rPr>
        <w:t xml:space="preserve">u instrumentus. Ja atbalsta politikas izmaksas tiek segtas no budžeta, tad jārēķinās ar to, ka tas varētu kvalificēties kā valsts atbalsts un izvēlētajam pasākumam ir jābūt atbilstošam ES iekšējā tirgus principiem. </w:t>
      </w:r>
    </w:p>
    <w:p w:rsidR="00CC2A88" w:rsidRPr="00CC2A88" w:rsidRDefault="00CC2A88" w:rsidP="00D7153F">
      <w:pPr>
        <w:pStyle w:val="Heading2"/>
        <w:numPr>
          <w:ilvl w:val="1"/>
          <w:numId w:val="22"/>
        </w:numPr>
        <w:spacing w:before="240" w:after="240"/>
        <w:rPr>
          <w:rFonts w:cs="Times New Roman"/>
          <w:i/>
        </w:rPr>
      </w:pPr>
      <w:r w:rsidRPr="00CC2A88">
        <w:rPr>
          <w:rFonts w:cs="Times New Roman"/>
          <w:i/>
        </w:rPr>
        <w:t xml:space="preserve"> </w:t>
      </w:r>
      <w:bookmarkStart w:id="62" w:name="_Toc344901698"/>
      <w:bookmarkStart w:id="63" w:name="_Toc344901830"/>
      <w:bookmarkStart w:id="64" w:name="_Toc344907255"/>
      <w:r w:rsidRPr="001F57E9">
        <w:rPr>
          <w:rFonts w:cs="Times New Roman"/>
        </w:rPr>
        <w:t>OIK izmaksu pārdale</w:t>
      </w:r>
      <w:r w:rsidR="0095522B" w:rsidRPr="001F57E9">
        <w:rPr>
          <w:rFonts w:cs="Times New Roman"/>
        </w:rPr>
        <w:t>s iespējas</w:t>
      </w:r>
      <w:r w:rsidRPr="001F57E9">
        <w:rPr>
          <w:rFonts w:cs="Times New Roman"/>
        </w:rPr>
        <w:t xml:space="preserve"> starp lietotāj</w:t>
      </w:r>
      <w:r w:rsidR="0095522B" w:rsidRPr="001F57E9">
        <w:rPr>
          <w:rFonts w:cs="Times New Roman"/>
        </w:rPr>
        <w:t>u grupām</w:t>
      </w:r>
      <w:bookmarkEnd w:id="62"/>
      <w:bookmarkEnd w:id="63"/>
      <w:bookmarkEnd w:id="64"/>
      <w:r w:rsidRPr="00CC2A88">
        <w:rPr>
          <w:rFonts w:cs="Times New Roman"/>
          <w:i/>
        </w:rPr>
        <w:t xml:space="preserve"> </w:t>
      </w:r>
    </w:p>
    <w:p w:rsidR="00CC2A88" w:rsidRDefault="00CC2A88" w:rsidP="00CC2A88">
      <w:pPr>
        <w:pStyle w:val="PlainText"/>
        <w:spacing w:after="120"/>
        <w:rPr>
          <w:rFonts w:ascii="Times New Roman" w:hAnsi="Times New Roman" w:cs="Times New Roman"/>
          <w:szCs w:val="28"/>
        </w:rPr>
      </w:pPr>
      <w:r>
        <w:rPr>
          <w:rFonts w:ascii="Times New Roman" w:hAnsi="Times New Roman" w:cs="Times New Roman"/>
          <w:szCs w:val="28"/>
        </w:rPr>
        <w:t xml:space="preserve">Pašlaik OIK izmaksas sedz visi galalietotāji proporcionāli patērētajai elektroenerģijai. Turpmāk šo jautājumu būtu jāskata dalīti, izšķirot uzņēmumu, it īpaši energointensīvo, un mājsaimniecību, it īpaši nabadzīgo,  spēju norēķināties </w:t>
      </w:r>
      <w:r>
        <w:rPr>
          <w:rFonts w:ascii="Times New Roman" w:hAnsi="Times New Roman" w:cs="Times New Roman"/>
          <w:szCs w:val="28"/>
        </w:rPr>
        <w:lastRenderedPageBreak/>
        <w:t xml:space="preserve">par elektroenerģiju. </w:t>
      </w:r>
      <w:r w:rsidR="00200657">
        <w:rPr>
          <w:rFonts w:ascii="Times New Roman" w:hAnsi="Times New Roman" w:cs="Times New Roman"/>
          <w:szCs w:val="28"/>
        </w:rPr>
        <w:t xml:space="preserve">Vadoties pēc elektroenerģijas cenu prognozēm, lielajiem lietotājiem elektroenerģijas cenas </w:t>
      </w:r>
      <w:r w:rsidR="00681523">
        <w:rPr>
          <w:rFonts w:ascii="Times New Roman" w:hAnsi="Times New Roman" w:cs="Times New Roman"/>
          <w:szCs w:val="28"/>
        </w:rPr>
        <w:t xml:space="preserve">jau īstermiņā </w:t>
      </w:r>
      <w:r w:rsidR="00200657">
        <w:rPr>
          <w:rFonts w:ascii="Times New Roman" w:hAnsi="Times New Roman" w:cs="Times New Roman"/>
          <w:szCs w:val="28"/>
        </w:rPr>
        <w:t xml:space="preserve">varētu ievērojami pārsniegt ES dalībvalstu elektroenerģijas tirgus cenas. Tai pat laikā valstī aizvien saasināsies enerģētiskās nabadzības jautājums.   </w:t>
      </w:r>
    </w:p>
    <w:p w:rsidR="00CC2A88" w:rsidRDefault="00CC2A88" w:rsidP="00CC2A88">
      <w:pPr>
        <w:pStyle w:val="PlainText"/>
        <w:spacing w:after="120"/>
        <w:rPr>
          <w:rFonts w:ascii="Times New Roman" w:hAnsi="Times New Roman" w:cs="Times New Roman"/>
          <w:szCs w:val="28"/>
        </w:rPr>
      </w:pPr>
      <w:r>
        <w:rPr>
          <w:rFonts w:ascii="Times New Roman" w:hAnsi="Times New Roman" w:cs="Times New Roman"/>
          <w:szCs w:val="28"/>
        </w:rPr>
        <w:t xml:space="preserve">Pamatojoties uz </w:t>
      </w:r>
      <w:r w:rsidR="00200657">
        <w:rPr>
          <w:rFonts w:ascii="Times New Roman" w:hAnsi="Times New Roman" w:cs="Times New Roman"/>
          <w:szCs w:val="28"/>
        </w:rPr>
        <w:t xml:space="preserve">citu dalībvalstu pieredzi un </w:t>
      </w:r>
      <w:r>
        <w:rPr>
          <w:rFonts w:ascii="Times New Roman" w:hAnsi="Times New Roman" w:cs="Times New Roman"/>
          <w:szCs w:val="28"/>
        </w:rPr>
        <w:t xml:space="preserve">SIA „KPMG </w:t>
      </w:r>
      <w:proofErr w:type="spellStart"/>
      <w:r>
        <w:rPr>
          <w:rFonts w:ascii="Times New Roman" w:hAnsi="Times New Roman" w:cs="Times New Roman"/>
          <w:szCs w:val="28"/>
        </w:rPr>
        <w:t>Baltics</w:t>
      </w:r>
      <w:proofErr w:type="spellEnd"/>
      <w:r>
        <w:rPr>
          <w:rFonts w:ascii="Times New Roman" w:hAnsi="Times New Roman" w:cs="Times New Roman"/>
          <w:szCs w:val="28"/>
        </w:rPr>
        <w:t xml:space="preserve">” veikto analīzi, tika secināts, ka </w:t>
      </w:r>
      <w:r w:rsidR="00200657">
        <w:rPr>
          <w:rFonts w:ascii="Times New Roman" w:hAnsi="Times New Roman" w:cs="Times New Roman"/>
          <w:szCs w:val="28"/>
        </w:rPr>
        <w:t>Latvijā varētu izmantot Austrijas modeli. T</w:t>
      </w:r>
      <w:r>
        <w:rPr>
          <w:rFonts w:ascii="Times New Roman" w:hAnsi="Times New Roman" w:cs="Times New Roman"/>
          <w:szCs w:val="28"/>
        </w:rPr>
        <w:t>as nerada papildu administratīvo/investīciju slogu un tā ieviešanai ir nepieciešams salīdzinoši īss laika periods (</w:t>
      </w:r>
      <w:r w:rsidR="00200657">
        <w:rPr>
          <w:rFonts w:ascii="Times New Roman" w:hAnsi="Times New Roman" w:cs="Times New Roman"/>
          <w:szCs w:val="28"/>
        </w:rPr>
        <w:t xml:space="preserve">~ 1 gads). Jāatzīmē, ka pārdales iespējas starp lietotāju grupām pastāv, ja vienlaikus </w:t>
      </w:r>
      <w:r w:rsidR="00923A81">
        <w:rPr>
          <w:rFonts w:ascii="Times New Roman" w:hAnsi="Times New Roman" w:cs="Times New Roman"/>
          <w:szCs w:val="28"/>
        </w:rPr>
        <w:t xml:space="preserve">tiek piemēroti OIK mazināšanas pasākumi. </w:t>
      </w:r>
    </w:p>
    <w:p w:rsidR="00CC2A88" w:rsidRDefault="00CC2A88" w:rsidP="00CC2A88">
      <w:pPr>
        <w:pStyle w:val="PlainText"/>
        <w:spacing w:after="120"/>
        <w:rPr>
          <w:rFonts w:ascii="Times New Roman" w:hAnsi="Times New Roman" w:cs="Times New Roman"/>
          <w:szCs w:val="28"/>
        </w:rPr>
      </w:pPr>
      <w:r>
        <w:rPr>
          <w:rFonts w:ascii="Times New Roman" w:hAnsi="Times New Roman" w:cs="Times New Roman"/>
          <w:szCs w:val="28"/>
        </w:rPr>
        <w:t>Veicot Latvijas energosistēmas klasifikāciju atbilstoši iepriekš minētajam Austrijas principam, tika iegūtas 12 grupas (</w:t>
      </w:r>
      <w:r w:rsidR="0003742D">
        <w:rPr>
          <w:rFonts w:ascii="Times New Roman" w:hAnsi="Times New Roman" w:cs="Times New Roman"/>
          <w:i/>
          <w:iCs/>
          <w:szCs w:val="28"/>
        </w:rPr>
        <w:t>skat.9</w:t>
      </w:r>
      <w:r w:rsidR="004D46D5">
        <w:rPr>
          <w:rFonts w:ascii="Times New Roman" w:hAnsi="Times New Roman" w:cs="Times New Roman"/>
          <w:i/>
          <w:iCs/>
          <w:szCs w:val="28"/>
        </w:rPr>
        <w:t>.</w:t>
      </w:r>
      <w:r>
        <w:rPr>
          <w:rFonts w:ascii="Times New Roman" w:hAnsi="Times New Roman" w:cs="Times New Roman"/>
          <w:i/>
          <w:iCs/>
          <w:szCs w:val="28"/>
        </w:rPr>
        <w:t>tabulu</w:t>
      </w:r>
      <w:r>
        <w:rPr>
          <w:rFonts w:ascii="Times New Roman" w:hAnsi="Times New Roman" w:cs="Times New Roman"/>
          <w:szCs w:val="28"/>
        </w:rPr>
        <w:t xml:space="preserve">). Patērētāju skaits katrā no grupām tika noteikts, pamatojoties uz AS „Sadales tīkls” un AS </w:t>
      </w:r>
      <w:r w:rsidR="0003742D">
        <w:rPr>
          <w:rFonts w:ascii="Times New Roman" w:hAnsi="Times New Roman" w:cs="Times New Roman"/>
          <w:szCs w:val="28"/>
        </w:rPr>
        <w:t>„Augstsprieguma  tīkls” datiem.</w:t>
      </w:r>
      <w:r>
        <w:rPr>
          <w:rFonts w:ascii="Times New Roman" w:hAnsi="Times New Roman" w:cs="Times New Roman"/>
          <w:szCs w:val="28"/>
        </w:rPr>
        <w:t xml:space="preserve"> 1.- 3.grupā pārsvarā ietilps mājsaimniecības, biroji un mikrouzņēmumi, 4.-9. grupā – galvenokārt mazie un vidējie ražošanas uzņēmumi, lielveikali, bankas, lielās viesnīcas</w:t>
      </w:r>
      <w:r w:rsidR="00887773">
        <w:rPr>
          <w:rFonts w:ascii="Times New Roman" w:hAnsi="Times New Roman" w:cs="Times New Roman"/>
          <w:szCs w:val="28"/>
        </w:rPr>
        <w:t>,</w:t>
      </w:r>
      <w:r>
        <w:rPr>
          <w:rFonts w:ascii="Times New Roman" w:hAnsi="Times New Roman" w:cs="Times New Roman"/>
          <w:szCs w:val="28"/>
        </w:rPr>
        <w:t xml:space="preserve"> 10.-12.grupā – lielie ražotāji. </w:t>
      </w:r>
    </w:p>
    <w:p w:rsidR="009F1BDD" w:rsidRDefault="006C726D" w:rsidP="006C726D">
      <w:pPr>
        <w:pStyle w:val="PlainText"/>
        <w:spacing w:after="120"/>
        <w:rPr>
          <w:rFonts w:ascii="Times New Roman" w:hAnsi="Times New Roman" w:cs="Times New Roman"/>
          <w:szCs w:val="28"/>
        </w:rPr>
      </w:pPr>
      <w:r>
        <w:rPr>
          <w:rFonts w:ascii="Times New Roman" w:hAnsi="Times New Roman" w:cs="Times New Roman"/>
          <w:szCs w:val="28"/>
        </w:rPr>
        <w:t>P</w:t>
      </w:r>
      <w:r w:rsidRPr="006C726D">
        <w:rPr>
          <w:rFonts w:ascii="Times New Roman" w:hAnsi="Times New Roman" w:cs="Times New Roman"/>
          <w:szCs w:val="28"/>
        </w:rPr>
        <w:t xml:space="preserve">iemērojot obligātā iepirkuma izmaksu segšanas sistēmu, kas pamatā balstīta uz Austrijas modeli, obligātā iepirkuma izmaksu segšanas maksa būtu jāpārdala starp </w:t>
      </w:r>
      <w:r w:rsidR="00994772">
        <w:rPr>
          <w:rFonts w:ascii="Times New Roman" w:hAnsi="Times New Roman" w:cs="Times New Roman"/>
          <w:szCs w:val="28"/>
        </w:rPr>
        <w:t xml:space="preserve">dažādām </w:t>
      </w:r>
      <w:r w:rsidR="00923A81">
        <w:rPr>
          <w:rFonts w:ascii="Times New Roman" w:hAnsi="Times New Roman" w:cs="Times New Roman"/>
          <w:szCs w:val="28"/>
        </w:rPr>
        <w:t xml:space="preserve">pieslēgumu </w:t>
      </w:r>
      <w:r w:rsidRPr="006C726D">
        <w:rPr>
          <w:rFonts w:ascii="Times New Roman" w:hAnsi="Times New Roman" w:cs="Times New Roman"/>
          <w:szCs w:val="28"/>
        </w:rPr>
        <w:t>grupām, kādai no grupām attiecīgi samazinot izmaksas un kādai palielinot.</w:t>
      </w:r>
      <w:r w:rsidR="00923A81">
        <w:rPr>
          <w:rFonts w:ascii="Times New Roman" w:hAnsi="Times New Roman" w:cs="Times New Roman"/>
          <w:szCs w:val="28"/>
        </w:rPr>
        <w:t xml:space="preserve"> Ņemot vērā, ka ikviens lietotājs plāno izmaksas, tad ir svarīgi ievērojami nepasliktināt </w:t>
      </w:r>
      <w:r w:rsidR="00994772">
        <w:rPr>
          <w:rFonts w:ascii="Times New Roman" w:hAnsi="Times New Roman" w:cs="Times New Roman"/>
          <w:szCs w:val="28"/>
        </w:rPr>
        <w:t xml:space="preserve">mājsaimniecību un </w:t>
      </w:r>
      <w:r w:rsidR="00811586">
        <w:rPr>
          <w:rFonts w:ascii="Times New Roman" w:hAnsi="Times New Roman" w:cs="Times New Roman"/>
          <w:szCs w:val="28"/>
        </w:rPr>
        <w:t>to uzņēmumu konkurētspēju, kas atrodas citā pieslēguma grupā.</w:t>
      </w:r>
      <w:r w:rsidR="009F1BDD">
        <w:rPr>
          <w:rFonts w:ascii="Times New Roman" w:hAnsi="Times New Roman" w:cs="Times New Roman"/>
          <w:szCs w:val="28"/>
        </w:rPr>
        <w:t xml:space="preserve"> </w:t>
      </w:r>
    </w:p>
    <w:p w:rsidR="0002689F" w:rsidRDefault="0002689F" w:rsidP="006C726D">
      <w:pPr>
        <w:pStyle w:val="PlainText"/>
        <w:spacing w:after="120"/>
        <w:rPr>
          <w:rFonts w:ascii="Times New Roman" w:hAnsi="Times New Roman" w:cs="Times New Roman"/>
          <w:szCs w:val="28"/>
        </w:rPr>
      </w:pPr>
      <w:r w:rsidRPr="0002689F">
        <w:rPr>
          <w:rFonts w:ascii="Times New Roman" w:hAnsi="Times New Roman" w:cs="Times New Roman"/>
          <w:szCs w:val="28"/>
        </w:rPr>
        <w:t xml:space="preserve">Attiecīgi palielinot OIK izmaksas mājsaimniecībām, ir vairāk jārēķinās ar zemas maksātspējas iedzīvotāju grupu. </w:t>
      </w:r>
      <w:r w:rsidR="00887773" w:rsidRPr="00887773">
        <w:rPr>
          <w:rFonts w:ascii="Times New Roman" w:hAnsi="Times New Roman" w:cs="Times New Roman"/>
          <w:szCs w:val="28"/>
        </w:rPr>
        <w:t xml:space="preserve">Kā piemēram Austrijā maznodrošinātās mājsaimniecības ir atbrīvotas no maksājumiem par atsevišķām elektroenerģijas kopējās cenas komponentēm. </w:t>
      </w:r>
      <w:r w:rsidRPr="0002689F">
        <w:rPr>
          <w:rFonts w:ascii="Times New Roman" w:hAnsi="Times New Roman" w:cs="Times New Roman"/>
          <w:szCs w:val="28"/>
        </w:rPr>
        <w:t>Enerģētiskās nabadzības novēršana tiek aizvien plašāk aktualizēta gan ES, gan globālā mērogā. Šobrīd Latvijā sociālo politiku maznodrošinātu lietotāju aizsardzībai nodrošina publiskais elektroenerģijas tirgotājs AS „Latvenergo, kas īsteno korporatīvās sociālās atbildības kampaņu, atbalstot sociāli mazaizsargātas iedzīvotāju grupas</w:t>
      </w:r>
      <w:r w:rsidR="00887773">
        <w:rPr>
          <w:rFonts w:ascii="Times New Roman" w:hAnsi="Times New Roman" w:cs="Times New Roman"/>
          <w:szCs w:val="28"/>
        </w:rPr>
        <w:t xml:space="preserve">. </w:t>
      </w:r>
      <w:r w:rsidRPr="0002689F">
        <w:rPr>
          <w:rFonts w:ascii="Times New Roman" w:hAnsi="Times New Roman" w:cs="Times New Roman"/>
          <w:szCs w:val="28"/>
        </w:rPr>
        <w:t>Elektroenerģijas direktīvā 2009/72/EK paredzēts ES dalībvalstu pienākums nodrošināt sociāli mazaizsargāto iedzīvotāju grupu aizsardzību un tas ir uzsvērts arī 2012.gada 16.novembrī publicētajā Komisijas paziņojumā par Iekšējo enerģijas tirgu. Līdz ar to sociālā politika enerģētiskās nabadzības novēršanai ir valsts atbildība.</w:t>
      </w:r>
    </w:p>
    <w:p w:rsidR="0002689F" w:rsidRDefault="0002689F" w:rsidP="006C726D">
      <w:pPr>
        <w:pStyle w:val="PlainText"/>
        <w:spacing w:after="120"/>
        <w:rPr>
          <w:rFonts w:ascii="Times New Roman" w:hAnsi="Times New Roman" w:cs="Times New Roman"/>
          <w:szCs w:val="28"/>
        </w:rPr>
        <w:sectPr w:rsidR="0002689F" w:rsidSect="00576EA1">
          <w:pgSz w:w="11906" w:h="16838"/>
          <w:pgMar w:top="1418" w:right="992" w:bottom="1134" w:left="1701" w:header="709" w:footer="709" w:gutter="0"/>
          <w:cols w:space="708"/>
          <w:titlePg/>
          <w:docGrid w:linePitch="360"/>
        </w:sectPr>
      </w:pPr>
    </w:p>
    <w:p w:rsidR="006C726D" w:rsidRPr="00D7153F" w:rsidRDefault="0003742D" w:rsidP="006C726D">
      <w:pPr>
        <w:pStyle w:val="PlainText"/>
        <w:jc w:val="right"/>
        <w:rPr>
          <w:rFonts w:ascii="Times New Roman" w:hAnsi="Times New Roman" w:cs="Times New Roman"/>
          <w:iCs/>
          <w:szCs w:val="28"/>
        </w:rPr>
      </w:pPr>
      <w:r>
        <w:rPr>
          <w:rFonts w:ascii="Times New Roman" w:hAnsi="Times New Roman" w:cs="Times New Roman"/>
          <w:iCs/>
          <w:szCs w:val="28"/>
        </w:rPr>
        <w:lastRenderedPageBreak/>
        <w:t>9</w:t>
      </w:r>
      <w:r w:rsidR="006C726D" w:rsidRPr="00D7153F">
        <w:rPr>
          <w:rFonts w:ascii="Times New Roman" w:hAnsi="Times New Roman" w:cs="Times New Roman"/>
          <w:iCs/>
          <w:szCs w:val="28"/>
        </w:rPr>
        <w:t>. tabula</w:t>
      </w:r>
    </w:p>
    <w:p w:rsidR="006C726D" w:rsidRPr="00D7153F" w:rsidRDefault="006C726D" w:rsidP="00D7153F">
      <w:pPr>
        <w:jc w:val="center"/>
        <w:rPr>
          <w:rFonts w:cs="Times New Roman"/>
          <w:szCs w:val="24"/>
        </w:rPr>
      </w:pPr>
      <w:r w:rsidRPr="00D7153F">
        <w:rPr>
          <w:rFonts w:cs="Times New Roman"/>
          <w:iCs/>
          <w:szCs w:val="24"/>
        </w:rPr>
        <w:t>Latvijas energosistēmas klasifikācija atbilstoši Austrijas sistēmai</w:t>
      </w:r>
    </w:p>
    <w:p w:rsidR="006C726D" w:rsidRDefault="006C726D" w:rsidP="006C726D">
      <w:pPr>
        <w:spacing w:after="0" w:line="240" w:lineRule="auto"/>
        <w:rPr>
          <w:rFonts w:eastAsia="Times New Roman" w:cs="Times New Roman"/>
          <w:color w:val="000000"/>
          <w:sz w:val="14"/>
          <w:szCs w:val="14"/>
          <w:lang w:eastAsia="lv-LV"/>
        </w:rPr>
      </w:pPr>
    </w:p>
    <w:tbl>
      <w:tblPr>
        <w:tblW w:w="13907" w:type="dxa"/>
        <w:jc w:val="center"/>
        <w:tblLayout w:type="fixed"/>
        <w:tblLook w:val="04A0" w:firstRow="1" w:lastRow="0" w:firstColumn="1" w:lastColumn="0" w:noHBand="0" w:noVBand="1"/>
      </w:tblPr>
      <w:tblGrid>
        <w:gridCol w:w="1858"/>
        <w:gridCol w:w="992"/>
        <w:gridCol w:w="953"/>
        <w:gridCol w:w="992"/>
        <w:gridCol w:w="992"/>
        <w:gridCol w:w="992"/>
        <w:gridCol w:w="993"/>
        <w:gridCol w:w="992"/>
        <w:gridCol w:w="1031"/>
        <w:gridCol w:w="1134"/>
        <w:gridCol w:w="992"/>
        <w:gridCol w:w="993"/>
        <w:gridCol w:w="993"/>
      </w:tblGrid>
      <w:tr w:rsidR="006C726D" w:rsidRPr="006C726D" w:rsidTr="0003742D">
        <w:trPr>
          <w:trHeight w:val="645"/>
          <w:jc w:val="center"/>
        </w:trPr>
        <w:tc>
          <w:tcPr>
            <w:tcW w:w="185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rPr>
                <w:rFonts w:eastAsia="Times New Roman" w:cs="Times New Roman"/>
                <w:color w:val="000000"/>
                <w:sz w:val="24"/>
                <w:szCs w:val="20"/>
                <w:lang w:eastAsia="lv-LV"/>
              </w:rPr>
            </w:pPr>
            <w:r w:rsidRPr="00D7153F">
              <w:rPr>
                <w:rFonts w:eastAsia="Times New Roman" w:cs="Times New Roman"/>
                <w:color w:val="000000"/>
                <w:sz w:val="24"/>
                <w:szCs w:val="20"/>
                <w:lang w:eastAsia="lv-LV"/>
              </w:rPr>
              <w:t>Austrijas energosistēmas grupas</w:t>
            </w:r>
          </w:p>
        </w:tc>
        <w:tc>
          <w:tcPr>
            <w:tcW w:w="2937" w:type="dxa"/>
            <w:gridSpan w:val="3"/>
            <w:tcBorders>
              <w:top w:val="single" w:sz="4" w:space="0" w:color="auto"/>
              <w:left w:val="nil"/>
              <w:bottom w:val="single" w:sz="8" w:space="0" w:color="auto"/>
              <w:right w:val="single" w:sz="8" w:space="0" w:color="000000"/>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7</w:t>
            </w:r>
          </w:p>
        </w:tc>
        <w:tc>
          <w:tcPr>
            <w:tcW w:w="2977" w:type="dxa"/>
            <w:gridSpan w:val="3"/>
            <w:tcBorders>
              <w:top w:val="single" w:sz="4" w:space="0" w:color="auto"/>
              <w:left w:val="nil"/>
              <w:bottom w:val="single" w:sz="8" w:space="0" w:color="auto"/>
              <w:right w:val="single" w:sz="8" w:space="0" w:color="000000"/>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6</w:t>
            </w:r>
          </w:p>
        </w:tc>
        <w:tc>
          <w:tcPr>
            <w:tcW w:w="2023" w:type="dxa"/>
            <w:gridSpan w:val="2"/>
            <w:tcBorders>
              <w:top w:val="single" w:sz="4" w:space="0" w:color="auto"/>
              <w:left w:val="nil"/>
              <w:bottom w:val="single" w:sz="8" w:space="0" w:color="auto"/>
              <w:right w:val="single" w:sz="8" w:space="0" w:color="000000"/>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5</w:t>
            </w:r>
          </w:p>
        </w:tc>
        <w:tc>
          <w:tcPr>
            <w:tcW w:w="2126" w:type="dxa"/>
            <w:gridSpan w:val="2"/>
            <w:tcBorders>
              <w:top w:val="single" w:sz="4" w:space="0" w:color="auto"/>
              <w:left w:val="nil"/>
              <w:bottom w:val="single" w:sz="8" w:space="0" w:color="auto"/>
              <w:right w:val="single" w:sz="8" w:space="0" w:color="000000"/>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4</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3</w:t>
            </w:r>
          </w:p>
        </w:tc>
        <w:tc>
          <w:tcPr>
            <w:tcW w:w="993" w:type="dxa"/>
            <w:tcBorders>
              <w:top w:val="single" w:sz="4" w:space="0" w:color="auto"/>
              <w:left w:val="nil"/>
              <w:bottom w:val="single" w:sz="8" w:space="0" w:color="auto"/>
              <w:right w:val="single" w:sz="4"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2-1</w:t>
            </w:r>
          </w:p>
        </w:tc>
      </w:tr>
      <w:tr w:rsidR="006C726D" w:rsidRPr="006C726D" w:rsidTr="0003742D">
        <w:trPr>
          <w:trHeight w:val="645"/>
          <w:jc w:val="center"/>
        </w:trPr>
        <w:tc>
          <w:tcPr>
            <w:tcW w:w="1858" w:type="dxa"/>
            <w:tcBorders>
              <w:top w:val="nil"/>
              <w:left w:val="single" w:sz="4" w:space="0" w:color="auto"/>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rPr>
                <w:rFonts w:eastAsia="Times New Roman" w:cs="Times New Roman"/>
                <w:color w:val="000000"/>
                <w:sz w:val="24"/>
                <w:szCs w:val="20"/>
                <w:lang w:eastAsia="lv-LV"/>
              </w:rPr>
            </w:pPr>
            <w:r w:rsidRPr="00D7153F">
              <w:rPr>
                <w:rFonts w:eastAsia="Times New Roman" w:cs="Times New Roman"/>
                <w:color w:val="000000"/>
                <w:sz w:val="24"/>
                <w:szCs w:val="20"/>
                <w:lang w:eastAsia="lv-LV"/>
              </w:rPr>
              <w:t>Latvijas energosistēmas grupas</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1</w:t>
            </w:r>
          </w:p>
        </w:tc>
        <w:tc>
          <w:tcPr>
            <w:tcW w:w="953"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2</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3</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4</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5</w:t>
            </w:r>
          </w:p>
        </w:tc>
        <w:tc>
          <w:tcPr>
            <w:tcW w:w="993"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6</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7</w:t>
            </w:r>
          </w:p>
        </w:tc>
        <w:tc>
          <w:tcPr>
            <w:tcW w:w="1031"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8</w:t>
            </w:r>
          </w:p>
        </w:tc>
        <w:tc>
          <w:tcPr>
            <w:tcW w:w="1134"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9</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10</w:t>
            </w:r>
          </w:p>
        </w:tc>
        <w:tc>
          <w:tcPr>
            <w:tcW w:w="993"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11</w:t>
            </w:r>
          </w:p>
        </w:tc>
        <w:tc>
          <w:tcPr>
            <w:tcW w:w="993" w:type="dxa"/>
            <w:tcBorders>
              <w:top w:val="nil"/>
              <w:left w:val="nil"/>
              <w:bottom w:val="single" w:sz="8" w:space="0" w:color="auto"/>
              <w:right w:val="single" w:sz="4"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12</w:t>
            </w:r>
          </w:p>
        </w:tc>
      </w:tr>
      <w:tr w:rsidR="006C726D" w:rsidRPr="006C726D" w:rsidTr="0003742D">
        <w:trPr>
          <w:trHeight w:val="315"/>
          <w:jc w:val="center"/>
        </w:trPr>
        <w:tc>
          <w:tcPr>
            <w:tcW w:w="1858" w:type="dxa"/>
            <w:tcBorders>
              <w:top w:val="nil"/>
              <w:left w:val="single" w:sz="4" w:space="0" w:color="auto"/>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rPr>
                <w:rFonts w:eastAsia="Times New Roman" w:cs="Times New Roman"/>
                <w:color w:val="000000"/>
                <w:sz w:val="24"/>
                <w:szCs w:val="20"/>
                <w:lang w:eastAsia="lv-LV"/>
              </w:rPr>
            </w:pPr>
            <w:r w:rsidRPr="00D7153F">
              <w:rPr>
                <w:rFonts w:eastAsia="Times New Roman" w:cs="Times New Roman"/>
                <w:color w:val="000000"/>
                <w:sz w:val="24"/>
                <w:szCs w:val="20"/>
                <w:lang w:eastAsia="lv-LV"/>
              </w:rPr>
              <w:t>Spriegums</w:t>
            </w:r>
          </w:p>
        </w:tc>
        <w:tc>
          <w:tcPr>
            <w:tcW w:w="5914" w:type="dxa"/>
            <w:gridSpan w:val="6"/>
            <w:tcBorders>
              <w:top w:val="single" w:sz="8" w:space="0" w:color="auto"/>
              <w:left w:val="nil"/>
              <w:bottom w:val="single" w:sz="8" w:space="0" w:color="auto"/>
              <w:right w:val="single" w:sz="8" w:space="0" w:color="000000"/>
            </w:tcBorders>
            <w:shd w:val="clear" w:color="auto" w:fill="auto"/>
            <w:vAlign w:val="center"/>
            <w:hideMark/>
          </w:tcPr>
          <w:p w:rsidR="006C726D" w:rsidRPr="00D7153F" w:rsidRDefault="006C726D" w:rsidP="0003742D">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0</w:t>
            </w:r>
            <w:r w:rsidR="0003742D">
              <w:rPr>
                <w:rFonts w:eastAsia="Times New Roman" w:cs="Times New Roman"/>
                <w:color w:val="000000"/>
                <w:sz w:val="24"/>
                <w:szCs w:val="20"/>
                <w:lang w:eastAsia="lv-LV"/>
              </w:rPr>
              <w:t>,</w:t>
            </w:r>
            <w:r w:rsidRPr="00D7153F">
              <w:rPr>
                <w:rFonts w:eastAsia="Times New Roman" w:cs="Times New Roman"/>
                <w:color w:val="000000"/>
                <w:sz w:val="24"/>
                <w:szCs w:val="20"/>
                <w:lang w:eastAsia="lv-LV"/>
              </w:rPr>
              <w:t>4kV</w:t>
            </w:r>
          </w:p>
        </w:tc>
        <w:tc>
          <w:tcPr>
            <w:tcW w:w="4149" w:type="dxa"/>
            <w:gridSpan w:val="4"/>
            <w:tcBorders>
              <w:top w:val="single" w:sz="8" w:space="0" w:color="auto"/>
              <w:left w:val="nil"/>
              <w:bottom w:val="single" w:sz="8" w:space="0" w:color="auto"/>
              <w:right w:val="single" w:sz="8" w:space="0" w:color="000000"/>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6-20kV</w:t>
            </w:r>
          </w:p>
        </w:tc>
        <w:tc>
          <w:tcPr>
            <w:tcW w:w="1986" w:type="dxa"/>
            <w:gridSpan w:val="2"/>
            <w:tcBorders>
              <w:top w:val="single" w:sz="8" w:space="0" w:color="auto"/>
              <w:left w:val="nil"/>
              <w:bottom w:val="single" w:sz="8" w:space="0" w:color="auto"/>
              <w:right w:val="single" w:sz="4"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110kV</w:t>
            </w:r>
          </w:p>
        </w:tc>
      </w:tr>
      <w:tr w:rsidR="006C726D" w:rsidRPr="006C726D" w:rsidTr="0003742D">
        <w:trPr>
          <w:trHeight w:val="435"/>
          <w:jc w:val="center"/>
        </w:trPr>
        <w:tc>
          <w:tcPr>
            <w:tcW w:w="1858" w:type="dxa"/>
            <w:tcBorders>
              <w:top w:val="nil"/>
              <w:left w:val="single" w:sz="4" w:space="0" w:color="auto"/>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rPr>
                <w:rFonts w:eastAsia="Times New Roman" w:cs="Times New Roman"/>
                <w:color w:val="000000"/>
                <w:sz w:val="24"/>
                <w:szCs w:val="20"/>
                <w:lang w:eastAsia="lv-LV"/>
              </w:rPr>
            </w:pPr>
            <w:r w:rsidRPr="00D7153F">
              <w:rPr>
                <w:rFonts w:eastAsia="Times New Roman" w:cs="Times New Roman"/>
                <w:color w:val="000000"/>
                <w:sz w:val="24"/>
                <w:szCs w:val="20"/>
                <w:lang w:eastAsia="lv-LV"/>
              </w:rPr>
              <w:t>Pieslēguma veids</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Līnija</w:t>
            </w:r>
          </w:p>
        </w:tc>
        <w:tc>
          <w:tcPr>
            <w:tcW w:w="953"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Līnija</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Līnija</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Kopnes</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Kopnes</w:t>
            </w:r>
          </w:p>
        </w:tc>
        <w:tc>
          <w:tcPr>
            <w:tcW w:w="993"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Kopnes</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Līnija</w:t>
            </w:r>
          </w:p>
        </w:tc>
        <w:tc>
          <w:tcPr>
            <w:tcW w:w="1031"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Līnija</w:t>
            </w:r>
          </w:p>
        </w:tc>
        <w:tc>
          <w:tcPr>
            <w:tcW w:w="1134"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Kopnes</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Kopnes</w:t>
            </w:r>
          </w:p>
        </w:tc>
        <w:tc>
          <w:tcPr>
            <w:tcW w:w="993"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Līnija</w:t>
            </w:r>
          </w:p>
        </w:tc>
        <w:tc>
          <w:tcPr>
            <w:tcW w:w="993" w:type="dxa"/>
            <w:tcBorders>
              <w:top w:val="nil"/>
              <w:left w:val="nil"/>
              <w:bottom w:val="single" w:sz="8" w:space="0" w:color="auto"/>
              <w:right w:val="single" w:sz="4"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Kopnes</w:t>
            </w:r>
          </w:p>
        </w:tc>
      </w:tr>
      <w:tr w:rsidR="006C726D" w:rsidRPr="006C726D" w:rsidTr="0003742D">
        <w:trPr>
          <w:trHeight w:val="645"/>
          <w:jc w:val="center"/>
        </w:trPr>
        <w:tc>
          <w:tcPr>
            <w:tcW w:w="1858" w:type="dxa"/>
            <w:tcBorders>
              <w:top w:val="nil"/>
              <w:left w:val="single" w:sz="4" w:space="0" w:color="auto"/>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rPr>
                <w:rFonts w:eastAsia="Times New Roman" w:cs="Times New Roman"/>
                <w:color w:val="000000"/>
                <w:sz w:val="24"/>
                <w:szCs w:val="20"/>
                <w:lang w:eastAsia="lv-LV"/>
              </w:rPr>
            </w:pPr>
            <w:r w:rsidRPr="00D7153F">
              <w:rPr>
                <w:rFonts w:eastAsia="Times New Roman" w:cs="Times New Roman"/>
                <w:color w:val="000000"/>
                <w:sz w:val="24"/>
                <w:szCs w:val="20"/>
                <w:lang w:eastAsia="lv-LV"/>
              </w:rPr>
              <w:t>Stāvas stiprums (A)</w:t>
            </w:r>
            <w:r w:rsidR="00D7153F">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w:t>
            </w:r>
            <w:r w:rsidR="00D7153F">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Jauda</w:t>
            </w:r>
            <w:r w:rsidR="00D7153F">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(kW)</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&lt;40A</w:t>
            </w:r>
          </w:p>
        </w:tc>
        <w:tc>
          <w:tcPr>
            <w:tcW w:w="953"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41-200</w:t>
            </w:r>
            <w:r w:rsidR="0003742D">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A</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201-800</w:t>
            </w:r>
            <w:r w:rsidR="0003742D">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A</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&lt;200</w:t>
            </w:r>
            <w:r w:rsidR="0003742D">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A</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201-800</w:t>
            </w:r>
            <w:r w:rsidR="0003742D">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A</w:t>
            </w:r>
          </w:p>
        </w:tc>
        <w:tc>
          <w:tcPr>
            <w:tcW w:w="993"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&gt;800</w:t>
            </w:r>
            <w:r w:rsidR="0003742D">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A</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&lt;400</w:t>
            </w:r>
            <w:r w:rsidR="0003742D">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kW</w:t>
            </w:r>
          </w:p>
        </w:tc>
        <w:tc>
          <w:tcPr>
            <w:tcW w:w="1031"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&gt;400</w:t>
            </w:r>
            <w:r w:rsidR="0003742D">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kW</w:t>
            </w:r>
          </w:p>
        </w:tc>
        <w:tc>
          <w:tcPr>
            <w:tcW w:w="1134"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&lt;400</w:t>
            </w:r>
            <w:r w:rsidR="0003742D">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kW</w:t>
            </w:r>
          </w:p>
        </w:tc>
        <w:tc>
          <w:tcPr>
            <w:tcW w:w="992"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&gt;400</w:t>
            </w:r>
            <w:r w:rsidR="0003742D">
              <w:rPr>
                <w:rFonts w:eastAsia="Times New Roman" w:cs="Times New Roman"/>
                <w:color w:val="000000"/>
                <w:sz w:val="24"/>
                <w:szCs w:val="20"/>
                <w:lang w:eastAsia="lv-LV"/>
              </w:rPr>
              <w:t xml:space="preserve"> </w:t>
            </w:r>
            <w:r w:rsidRPr="00D7153F">
              <w:rPr>
                <w:rFonts w:eastAsia="Times New Roman" w:cs="Times New Roman"/>
                <w:color w:val="000000"/>
                <w:sz w:val="24"/>
                <w:szCs w:val="20"/>
                <w:lang w:eastAsia="lv-LV"/>
              </w:rPr>
              <w:t>kW</w:t>
            </w:r>
          </w:p>
        </w:tc>
        <w:tc>
          <w:tcPr>
            <w:tcW w:w="993" w:type="dxa"/>
            <w:tcBorders>
              <w:top w:val="nil"/>
              <w:left w:val="nil"/>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w:t>
            </w:r>
          </w:p>
        </w:tc>
        <w:tc>
          <w:tcPr>
            <w:tcW w:w="993" w:type="dxa"/>
            <w:tcBorders>
              <w:top w:val="nil"/>
              <w:left w:val="nil"/>
              <w:bottom w:val="single" w:sz="8" w:space="0" w:color="auto"/>
              <w:right w:val="single" w:sz="4" w:space="0" w:color="auto"/>
            </w:tcBorders>
            <w:shd w:val="clear" w:color="auto" w:fill="auto"/>
            <w:vAlign w:val="center"/>
            <w:hideMark/>
          </w:tcPr>
          <w:p w:rsidR="006C726D" w:rsidRPr="00D7153F" w:rsidRDefault="006C726D" w:rsidP="00027788">
            <w:pPr>
              <w:spacing w:after="0" w:line="240" w:lineRule="auto"/>
              <w:ind w:firstLine="0"/>
              <w:jc w:val="center"/>
              <w:rPr>
                <w:rFonts w:eastAsia="Times New Roman" w:cs="Times New Roman"/>
                <w:color w:val="000000"/>
                <w:sz w:val="24"/>
                <w:szCs w:val="20"/>
                <w:lang w:eastAsia="lv-LV"/>
              </w:rPr>
            </w:pPr>
            <w:r w:rsidRPr="00D7153F">
              <w:rPr>
                <w:rFonts w:eastAsia="Times New Roman" w:cs="Times New Roman"/>
                <w:color w:val="000000"/>
                <w:sz w:val="24"/>
                <w:szCs w:val="20"/>
                <w:lang w:eastAsia="lv-LV"/>
              </w:rPr>
              <w:t>-</w:t>
            </w:r>
          </w:p>
        </w:tc>
      </w:tr>
      <w:tr w:rsidR="006C726D" w:rsidRPr="006C726D" w:rsidTr="0003742D">
        <w:trPr>
          <w:trHeight w:val="645"/>
          <w:jc w:val="center"/>
        </w:trPr>
        <w:tc>
          <w:tcPr>
            <w:tcW w:w="1858" w:type="dxa"/>
            <w:tcBorders>
              <w:top w:val="nil"/>
              <w:left w:val="single" w:sz="4" w:space="0" w:color="auto"/>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rPr>
                <w:rFonts w:eastAsia="Times New Roman" w:cs="Times New Roman"/>
                <w:color w:val="000000"/>
                <w:sz w:val="24"/>
                <w:szCs w:val="20"/>
                <w:lang w:eastAsia="lv-LV"/>
              </w:rPr>
            </w:pPr>
            <w:r w:rsidRPr="00D7153F">
              <w:rPr>
                <w:rFonts w:eastAsia="Times New Roman" w:cs="Times New Roman"/>
                <w:color w:val="000000"/>
                <w:sz w:val="24"/>
                <w:szCs w:val="20"/>
                <w:lang w:eastAsia="lv-LV"/>
              </w:rPr>
              <w:t>Paredzamais patērētāju skaits</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1026314</w:t>
            </w:r>
          </w:p>
        </w:tc>
        <w:tc>
          <w:tcPr>
            <w:tcW w:w="953"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20121</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1940</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6771</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2786</w:t>
            </w:r>
          </w:p>
        </w:tc>
        <w:tc>
          <w:tcPr>
            <w:tcW w:w="993"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764</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883</w:t>
            </w:r>
          </w:p>
        </w:tc>
        <w:tc>
          <w:tcPr>
            <w:tcW w:w="1031"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496</w:t>
            </w:r>
          </w:p>
        </w:tc>
        <w:tc>
          <w:tcPr>
            <w:tcW w:w="1134"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76</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135</w:t>
            </w:r>
          </w:p>
        </w:tc>
        <w:tc>
          <w:tcPr>
            <w:tcW w:w="993"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2</w:t>
            </w:r>
          </w:p>
        </w:tc>
        <w:tc>
          <w:tcPr>
            <w:tcW w:w="993" w:type="dxa"/>
            <w:tcBorders>
              <w:top w:val="nil"/>
              <w:left w:val="nil"/>
              <w:bottom w:val="single" w:sz="8" w:space="0" w:color="auto"/>
              <w:right w:val="single" w:sz="4"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6</w:t>
            </w:r>
          </w:p>
        </w:tc>
      </w:tr>
      <w:tr w:rsidR="006C726D" w:rsidRPr="006C726D" w:rsidTr="0003742D">
        <w:trPr>
          <w:trHeight w:val="645"/>
          <w:jc w:val="center"/>
        </w:trPr>
        <w:tc>
          <w:tcPr>
            <w:tcW w:w="1858" w:type="dxa"/>
            <w:tcBorders>
              <w:top w:val="nil"/>
              <w:left w:val="single" w:sz="4" w:space="0" w:color="auto"/>
              <w:bottom w:val="single" w:sz="8" w:space="0" w:color="auto"/>
              <w:right w:val="single" w:sz="8" w:space="0" w:color="auto"/>
            </w:tcBorders>
            <w:shd w:val="clear" w:color="auto" w:fill="auto"/>
            <w:vAlign w:val="center"/>
            <w:hideMark/>
          </w:tcPr>
          <w:p w:rsidR="006C726D" w:rsidRPr="00D7153F" w:rsidRDefault="006C726D" w:rsidP="00027788">
            <w:pPr>
              <w:spacing w:after="0" w:line="240" w:lineRule="auto"/>
              <w:ind w:firstLine="0"/>
              <w:rPr>
                <w:rFonts w:eastAsia="Times New Roman" w:cs="Times New Roman"/>
                <w:color w:val="000000"/>
                <w:sz w:val="24"/>
                <w:szCs w:val="20"/>
                <w:lang w:eastAsia="lv-LV"/>
              </w:rPr>
            </w:pPr>
            <w:r w:rsidRPr="00D7153F">
              <w:rPr>
                <w:rFonts w:eastAsia="Times New Roman" w:cs="Times New Roman"/>
                <w:color w:val="000000"/>
                <w:sz w:val="24"/>
                <w:szCs w:val="20"/>
                <w:lang w:eastAsia="lv-LV"/>
              </w:rPr>
              <w:t>2011.gada patēriņš (MWh/gadā)</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2</w:t>
            </w:r>
          </w:p>
        </w:tc>
        <w:tc>
          <w:tcPr>
            <w:tcW w:w="953"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32</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184</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30</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180</w:t>
            </w:r>
          </w:p>
        </w:tc>
        <w:tc>
          <w:tcPr>
            <w:tcW w:w="993"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790</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160</w:t>
            </w:r>
          </w:p>
        </w:tc>
        <w:tc>
          <w:tcPr>
            <w:tcW w:w="1031"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1830</w:t>
            </w:r>
          </w:p>
        </w:tc>
        <w:tc>
          <w:tcPr>
            <w:tcW w:w="1134"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255</w:t>
            </w:r>
          </w:p>
        </w:tc>
        <w:tc>
          <w:tcPr>
            <w:tcW w:w="992"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5400</w:t>
            </w:r>
          </w:p>
        </w:tc>
        <w:tc>
          <w:tcPr>
            <w:tcW w:w="993" w:type="dxa"/>
            <w:tcBorders>
              <w:top w:val="nil"/>
              <w:left w:val="nil"/>
              <w:bottom w:val="single" w:sz="8"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10000</w:t>
            </w:r>
          </w:p>
        </w:tc>
        <w:tc>
          <w:tcPr>
            <w:tcW w:w="993" w:type="dxa"/>
            <w:tcBorders>
              <w:top w:val="nil"/>
              <w:left w:val="nil"/>
              <w:bottom w:val="single" w:sz="8" w:space="0" w:color="auto"/>
              <w:right w:val="single" w:sz="4"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39000</w:t>
            </w:r>
          </w:p>
        </w:tc>
      </w:tr>
      <w:tr w:rsidR="006C726D" w:rsidRPr="006C726D" w:rsidTr="0003742D">
        <w:trPr>
          <w:trHeight w:val="645"/>
          <w:jc w:val="center"/>
        </w:trPr>
        <w:tc>
          <w:tcPr>
            <w:tcW w:w="1858" w:type="dxa"/>
            <w:tcBorders>
              <w:top w:val="nil"/>
              <w:left w:val="single" w:sz="4" w:space="0" w:color="auto"/>
              <w:bottom w:val="single" w:sz="4" w:space="0" w:color="auto"/>
              <w:right w:val="single" w:sz="8" w:space="0" w:color="auto"/>
            </w:tcBorders>
            <w:shd w:val="clear" w:color="auto" w:fill="auto"/>
            <w:vAlign w:val="center"/>
            <w:hideMark/>
          </w:tcPr>
          <w:p w:rsidR="006C726D" w:rsidRPr="00D7153F" w:rsidRDefault="006C726D" w:rsidP="00027788">
            <w:pPr>
              <w:spacing w:after="0" w:line="240" w:lineRule="auto"/>
              <w:ind w:firstLine="0"/>
              <w:rPr>
                <w:rFonts w:eastAsia="Times New Roman" w:cs="Times New Roman"/>
                <w:color w:val="000000"/>
                <w:sz w:val="24"/>
                <w:szCs w:val="20"/>
                <w:lang w:eastAsia="lv-LV"/>
              </w:rPr>
            </w:pPr>
            <w:r w:rsidRPr="00D7153F">
              <w:rPr>
                <w:rFonts w:eastAsia="Times New Roman" w:cs="Times New Roman"/>
                <w:color w:val="000000"/>
                <w:sz w:val="24"/>
                <w:szCs w:val="20"/>
                <w:lang w:eastAsia="lv-LV"/>
              </w:rPr>
              <w:t xml:space="preserve">Kopējais patēriņš grupā (MWh) </w:t>
            </w:r>
          </w:p>
        </w:tc>
        <w:tc>
          <w:tcPr>
            <w:tcW w:w="992"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2052628</w:t>
            </w:r>
          </w:p>
        </w:tc>
        <w:tc>
          <w:tcPr>
            <w:tcW w:w="953"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643872</w:t>
            </w:r>
          </w:p>
        </w:tc>
        <w:tc>
          <w:tcPr>
            <w:tcW w:w="992"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356960</w:t>
            </w:r>
          </w:p>
        </w:tc>
        <w:tc>
          <w:tcPr>
            <w:tcW w:w="992"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203130</w:t>
            </w:r>
          </w:p>
        </w:tc>
        <w:tc>
          <w:tcPr>
            <w:tcW w:w="992"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501480</w:t>
            </w:r>
          </w:p>
        </w:tc>
        <w:tc>
          <w:tcPr>
            <w:tcW w:w="993"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603560</w:t>
            </w:r>
          </w:p>
        </w:tc>
        <w:tc>
          <w:tcPr>
            <w:tcW w:w="992"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141280</w:t>
            </w:r>
          </w:p>
        </w:tc>
        <w:tc>
          <w:tcPr>
            <w:tcW w:w="1031"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907680</w:t>
            </w:r>
          </w:p>
        </w:tc>
        <w:tc>
          <w:tcPr>
            <w:tcW w:w="1134"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19380</w:t>
            </w:r>
          </w:p>
        </w:tc>
        <w:tc>
          <w:tcPr>
            <w:tcW w:w="992"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729000</w:t>
            </w:r>
          </w:p>
        </w:tc>
        <w:tc>
          <w:tcPr>
            <w:tcW w:w="993" w:type="dxa"/>
            <w:tcBorders>
              <w:top w:val="nil"/>
              <w:left w:val="nil"/>
              <w:bottom w:val="single" w:sz="4" w:space="0" w:color="auto"/>
              <w:right w:val="single" w:sz="8"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20000</w:t>
            </w:r>
          </w:p>
        </w:tc>
        <w:tc>
          <w:tcPr>
            <w:tcW w:w="993" w:type="dxa"/>
            <w:tcBorders>
              <w:top w:val="nil"/>
              <w:left w:val="nil"/>
              <w:bottom w:val="single" w:sz="4" w:space="0" w:color="auto"/>
              <w:right w:val="single" w:sz="4" w:space="0" w:color="auto"/>
            </w:tcBorders>
            <w:shd w:val="clear" w:color="auto" w:fill="auto"/>
            <w:vAlign w:val="center"/>
            <w:hideMark/>
          </w:tcPr>
          <w:p w:rsidR="006C726D" w:rsidRPr="0003742D" w:rsidRDefault="006C726D" w:rsidP="00027788">
            <w:pPr>
              <w:spacing w:after="0" w:line="240" w:lineRule="auto"/>
              <w:ind w:firstLine="0"/>
              <w:jc w:val="center"/>
              <w:rPr>
                <w:rFonts w:eastAsia="Times New Roman" w:cs="Times New Roman"/>
                <w:color w:val="000000"/>
                <w:sz w:val="22"/>
                <w:szCs w:val="20"/>
                <w:lang w:eastAsia="lv-LV"/>
              </w:rPr>
            </w:pPr>
            <w:r w:rsidRPr="0003742D">
              <w:rPr>
                <w:rFonts w:eastAsia="Times New Roman" w:cs="Times New Roman"/>
                <w:color w:val="000000"/>
                <w:sz w:val="22"/>
                <w:szCs w:val="20"/>
                <w:lang w:eastAsia="lv-LV"/>
              </w:rPr>
              <w:t>234000</w:t>
            </w:r>
          </w:p>
        </w:tc>
      </w:tr>
    </w:tbl>
    <w:p w:rsidR="006C726D" w:rsidRPr="00D7153F" w:rsidRDefault="006C726D" w:rsidP="00D7153F">
      <w:pPr>
        <w:pStyle w:val="PlainText"/>
        <w:spacing w:after="120"/>
        <w:ind w:firstLine="0"/>
        <w:rPr>
          <w:rFonts w:ascii="Times New Roman" w:hAnsi="Times New Roman" w:cs="Times New Roman"/>
          <w:sz w:val="20"/>
          <w:szCs w:val="20"/>
        </w:rPr>
      </w:pPr>
      <w:r w:rsidRPr="00D7153F">
        <w:rPr>
          <w:rFonts w:ascii="Times New Roman" w:hAnsi="Times New Roman" w:cs="Times New Roman"/>
          <w:sz w:val="20"/>
          <w:szCs w:val="20"/>
        </w:rPr>
        <w:t>Avots: Ekonomikas ministrija, KPMG</w:t>
      </w:r>
      <w:r w:rsidR="003714DF">
        <w:rPr>
          <w:rFonts w:ascii="Times New Roman" w:hAnsi="Times New Roman" w:cs="Times New Roman"/>
          <w:sz w:val="20"/>
          <w:szCs w:val="20"/>
        </w:rPr>
        <w:t xml:space="preserve">, AS „Sadales tīkls” </w:t>
      </w:r>
    </w:p>
    <w:p w:rsidR="00923A81" w:rsidRPr="006C726D" w:rsidRDefault="00923A81" w:rsidP="006C726D">
      <w:pPr>
        <w:pStyle w:val="PlainText"/>
        <w:spacing w:after="120"/>
        <w:rPr>
          <w:rFonts w:ascii="Times New Roman" w:hAnsi="Times New Roman" w:cs="Times New Roman"/>
          <w:i/>
          <w:sz w:val="24"/>
          <w:szCs w:val="24"/>
        </w:rPr>
        <w:sectPr w:rsidR="00923A81" w:rsidRPr="006C726D" w:rsidSect="00FC2B48">
          <w:pgSz w:w="16838" w:h="11906" w:orient="landscape"/>
          <w:pgMar w:top="1797" w:right="1440" w:bottom="1797" w:left="1440" w:header="709" w:footer="709" w:gutter="0"/>
          <w:cols w:space="708"/>
          <w:docGrid w:linePitch="360"/>
        </w:sectPr>
      </w:pPr>
    </w:p>
    <w:p w:rsidR="00521BB0" w:rsidRPr="00027788" w:rsidRDefault="0002689F" w:rsidP="0002689F">
      <w:pPr>
        <w:pStyle w:val="PlainText"/>
        <w:spacing w:after="120"/>
        <w:rPr>
          <w:rFonts w:ascii="Times New Roman" w:hAnsi="Times New Roman" w:cs="Times New Roman"/>
          <w:szCs w:val="28"/>
        </w:rPr>
      </w:pPr>
      <w:r w:rsidRPr="0002689F">
        <w:rPr>
          <w:rFonts w:ascii="Times New Roman" w:hAnsi="Times New Roman" w:cs="Times New Roman"/>
          <w:szCs w:val="28"/>
        </w:rPr>
        <w:lastRenderedPageBreak/>
        <w:t xml:space="preserve">Izskatot informatīvo ziņojumu „Par Latvijas elektroenerģijas tirgus pilnīgu atvēršanu” </w:t>
      </w:r>
      <w:r>
        <w:rPr>
          <w:rFonts w:ascii="Times New Roman" w:hAnsi="Times New Roman" w:cs="Times New Roman"/>
          <w:szCs w:val="28"/>
        </w:rPr>
        <w:t>a</w:t>
      </w:r>
      <w:r w:rsidR="00BD06A5" w:rsidRPr="00BD06A5">
        <w:rPr>
          <w:rFonts w:ascii="Times New Roman" w:hAnsi="Times New Roman" w:cs="Times New Roman"/>
          <w:szCs w:val="28"/>
        </w:rPr>
        <w:t xml:space="preserve">r Ministru kabineta 2012.gada 20.novembra sēdes protokollēmuma Nr.65 34. §, 4.punktu Labklājības ministrijai noteikts uzdevums, izstrādājot priekšlikumus sociālās drošības sistēmas pilnveidošanai, kas jāiesniedz Valsts kancelejai līdz 2013.gada 1.augustam, </w:t>
      </w:r>
      <w:r w:rsidR="00BD06A5" w:rsidRPr="0003742D">
        <w:rPr>
          <w:rFonts w:ascii="Times New Roman" w:hAnsi="Times New Roman" w:cs="Times New Roman"/>
          <w:b/>
          <w:szCs w:val="28"/>
        </w:rPr>
        <w:t>identificēt</w:t>
      </w:r>
      <w:r w:rsidR="00BD06A5" w:rsidRPr="00BD06A5">
        <w:rPr>
          <w:rFonts w:ascii="Times New Roman" w:hAnsi="Times New Roman" w:cs="Times New Roman"/>
          <w:szCs w:val="28"/>
        </w:rPr>
        <w:t xml:space="preserve"> </w:t>
      </w:r>
      <w:r w:rsidR="00521BB0" w:rsidRPr="00027788">
        <w:rPr>
          <w:rFonts w:ascii="Times New Roman" w:hAnsi="Times New Roman" w:cs="Times New Roman"/>
          <w:b/>
          <w:szCs w:val="28"/>
        </w:rPr>
        <w:t>sociāli mazaizsargātās iedzīvotāju grupas, kurām var būt grūtības norēķināties par patērēto enerģiju un iesniegt priekšlikumus</w:t>
      </w:r>
      <w:r w:rsidR="00DE45CB" w:rsidRPr="00027788">
        <w:rPr>
          <w:rFonts w:ascii="Times New Roman" w:hAnsi="Times New Roman" w:cs="Times New Roman"/>
          <w:b/>
          <w:szCs w:val="28"/>
        </w:rPr>
        <w:t>,</w:t>
      </w:r>
      <w:r w:rsidR="00521BB0" w:rsidRPr="00027788">
        <w:rPr>
          <w:rFonts w:ascii="Times New Roman" w:hAnsi="Times New Roman" w:cs="Times New Roman"/>
          <w:b/>
          <w:szCs w:val="28"/>
        </w:rPr>
        <w:t xml:space="preserve"> kā veidot mērķtiecīgu atbalstu kopējās sociālas drošības sistēmas ietvaros.</w:t>
      </w:r>
      <w:r w:rsidR="00521BB0" w:rsidRPr="00027788">
        <w:rPr>
          <w:rFonts w:ascii="Times New Roman" w:hAnsi="Times New Roman" w:cs="Times New Roman"/>
          <w:szCs w:val="28"/>
        </w:rPr>
        <w:t xml:space="preserve"> </w:t>
      </w:r>
    </w:p>
    <w:p w:rsidR="00CC2A88" w:rsidRDefault="00A64D61" w:rsidP="00CC2A88">
      <w:pPr>
        <w:pStyle w:val="PlainText"/>
        <w:spacing w:after="120"/>
        <w:rPr>
          <w:rFonts w:ascii="Times New Roman" w:hAnsi="Times New Roman" w:cs="Times New Roman"/>
          <w:szCs w:val="28"/>
        </w:rPr>
      </w:pPr>
      <w:r>
        <w:rPr>
          <w:rFonts w:ascii="Times New Roman" w:hAnsi="Times New Roman" w:cs="Times New Roman"/>
          <w:b/>
          <w:szCs w:val="28"/>
        </w:rPr>
        <w:t>Tā kā</w:t>
      </w:r>
      <w:r w:rsidR="00027788">
        <w:rPr>
          <w:rFonts w:ascii="Times New Roman" w:hAnsi="Times New Roman" w:cs="Times New Roman"/>
          <w:b/>
          <w:szCs w:val="28"/>
        </w:rPr>
        <w:t xml:space="preserve"> OIK izmaksu ietekmes mazināšana skar ne tikai Ekonomikas ministrijas kompetenci, </w:t>
      </w:r>
      <w:r>
        <w:rPr>
          <w:rFonts w:ascii="Times New Roman" w:hAnsi="Times New Roman" w:cs="Times New Roman"/>
          <w:b/>
          <w:szCs w:val="28"/>
        </w:rPr>
        <w:t>bet</w:t>
      </w:r>
      <w:r w:rsidR="00027788">
        <w:rPr>
          <w:rFonts w:ascii="Times New Roman" w:hAnsi="Times New Roman" w:cs="Times New Roman"/>
          <w:b/>
          <w:szCs w:val="28"/>
        </w:rPr>
        <w:t xml:space="preserve"> š</w:t>
      </w:r>
      <w:r w:rsidR="00681523">
        <w:rPr>
          <w:rFonts w:ascii="Times New Roman" w:hAnsi="Times New Roman" w:cs="Times New Roman"/>
          <w:b/>
          <w:szCs w:val="28"/>
        </w:rPr>
        <w:t>is</w:t>
      </w:r>
      <w:r w:rsidR="00027788">
        <w:rPr>
          <w:rFonts w:ascii="Times New Roman" w:hAnsi="Times New Roman" w:cs="Times New Roman"/>
          <w:b/>
          <w:szCs w:val="28"/>
        </w:rPr>
        <w:t xml:space="preserve"> pasākum</w:t>
      </w:r>
      <w:r w:rsidR="00681523">
        <w:rPr>
          <w:rFonts w:ascii="Times New Roman" w:hAnsi="Times New Roman" w:cs="Times New Roman"/>
          <w:b/>
          <w:szCs w:val="28"/>
        </w:rPr>
        <w:t xml:space="preserve">s ietekmē visu valsts ekonomikas attīstību kopumā, </w:t>
      </w:r>
      <w:r w:rsidR="00CC2A88" w:rsidRPr="00CC2A88">
        <w:rPr>
          <w:rFonts w:ascii="Times New Roman" w:hAnsi="Times New Roman" w:cs="Times New Roman"/>
          <w:b/>
          <w:szCs w:val="28"/>
        </w:rPr>
        <w:t>Ekonomikas ministrija ierosina kopīgi ar Finanšu, Tieslietu</w:t>
      </w:r>
      <w:r w:rsidR="00B07D49">
        <w:rPr>
          <w:rFonts w:ascii="Times New Roman" w:hAnsi="Times New Roman" w:cs="Times New Roman"/>
          <w:b/>
          <w:szCs w:val="28"/>
        </w:rPr>
        <w:t xml:space="preserve"> un </w:t>
      </w:r>
      <w:r w:rsidR="00CC2A88" w:rsidRPr="00CC2A88">
        <w:rPr>
          <w:rFonts w:ascii="Times New Roman" w:hAnsi="Times New Roman" w:cs="Times New Roman"/>
          <w:b/>
          <w:szCs w:val="28"/>
        </w:rPr>
        <w:t>Labklājības ministrij</w:t>
      </w:r>
      <w:r w:rsidR="00E75746">
        <w:rPr>
          <w:rFonts w:ascii="Times New Roman" w:hAnsi="Times New Roman" w:cs="Times New Roman"/>
          <w:b/>
          <w:szCs w:val="28"/>
        </w:rPr>
        <w:t>u</w:t>
      </w:r>
      <w:r w:rsidR="00CC2A88" w:rsidRPr="00CC2A88">
        <w:rPr>
          <w:rFonts w:ascii="Times New Roman" w:hAnsi="Times New Roman" w:cs="Times New Roman"/>
          <w:b/>
          <w:szCs w:val="28"/>
        </w:rPr>
        <w:t xml:space="preserve"> </w:t>
      </w:r>
      <w:r w:rsidR="00027788">
        <w:rPr>
          <w:rFonts w:ascii="Times New Roman" w:hAnsi="Times New Roman" w:cs="Times New Roman"/>
          <w:b/>
          <w:szCs w:val="28"/>
        </w:rPr>
        <w:t>līdz 2013.gada 1.</w:t>
      </w:r>
      <w:r w:rsidR="004910B6">
        <w:rPr>
          <w:rFonts w:ascii="Times New Roman" w:hAnsi="Times New Roman" w:cs="Times New Roman"/>
          <w:b/>
          <w:szCs w:val="28"/>
        </w:rPr>
        <w:t>aprīlim</w:t>
      </w:r>
      <w:r w:rsidR="00027788">
        <w:rPr>
          <w:rFonts w:ascii="Times New Roman" w:hAnsi="Times New Roman" w:cs="Times New Roman"/>
          <w:b/>
          <w:szCs w:val="28"/>
        </w:rPr>
        <w:t xml:space="preserve"> </w:t>
      </w:r>
      <w:r w:rsidR="00CC2A88" w:rsidRPr="00CC2A88">
        <w:rPr>
          <w:rFonts w:ascii="Times New Roman" w:hAnsi="Times New Roman" w:cs="Times New Roman"/>
          <w:b/>
          <w:szCs w:val="28"/>
        </w:rPr>
        <w:t xml:space="preserve">izstrādāt </w:t>
      </w:r>
      <w:r w:rsidR="00B07D49">
        <w:rPr>
          <w:rFonts w:ascii="Times New Roman" w:hAnsi="Times New Roman" w:cs="Times New Roman"/>
          <w:b/>
          <w:szCs w:val="28"/>
        </w:rPr>
        <w:t>elektroenerģijas cenu pieauguma risku ierobežošanas rīcības plānu</w:t>
      </w:r>
      <w:r w:rsidR="00027788">
        <w:rPr>
          <w:rFonts w:ascii="Times New Roman" w:hAnsi="Times New Roman" w:cs="Times New Roman"/>
          <w:b/>
          <w:szCs w:val="28"/>
        </w:rPr>
        <w:t xml:space="preserve"> un iesniegt to apstiprināšanai Ministru </w:t>
      </w:r>
      <w:r w:rsidR="00681523">
        <w:rPr>
          <w:rFonts w:ascii="Times New Roman" w:hAnsi="Times New Roman" w:cs="Times New Roman"/>
          <w:b/>
          <w:szCs w:val="28"/>
        </w:rPr>
        <w:t>k</w:t>
      </w:r>
      <w:r w:rsidR="00027788">
        <w:rPr>
          <w:rFonts w:ascii="Times New Roman" w:hAnsi="Times New Roman" w:cs="Times New Roman"/>
          <w:b/>
          <w:szCs w:val="28"/>
        </w:rPr>
        <w:t>abinet</w:t>
      </w:r>
      <w:r w:rsidR="00681523">
        <w:rPr>
          <w:rFonts w:ascii="Times New Roman" w:hAnsi="Times New Roman" w:cs="Times New Roman"/>
          <w:b/>
          <w:szCs w:val="28"/>
        </w:rPr>
        <w:t>ā</w:t>
      </w:r>
      <w:r w:rsidR="00027788">
        <w:rPr>
          <w:rFonts w:ascii="Times New Roman" w:hAnsi="Times New Roman" w:cs="Times New Roman"/>
          <w:b/>
          <w:szCs w:val="28"/>
        </w:rPr>
        <w:t xml:space="preserve">. </w:t>
      </w:r>
    </w:p>
    <w:p w:rsidR="00EC7189" w:rsidRDefault="00EC7189" w:rsidP="00463AF7">
      <w:pPr>
        <w:spacing w:before="0" w:after="0" w:line="240" w:lineRule="auto"/>
        <w:ind w:firstLine="0"/>
      </w:pPr>
    </w:p>
    <w:p w:rsidR="0081536D" w:rsidRDefault="0081536D" w:rsidP="00463AF7">
      <w:pPr>
        <w:spacing w:before="0" w:after="0" w:line="240" w:lineRule="auto"/>
        <w:ind w:firstLine="0"/>
      </w:pPr>
    </w:p>
    <w:p w:rsidR="00EC7189" w:rsidRPr="005E024A" w:rsidRDefault="00447819" w:rsidP="0081536D">
      <w:pPr>
        <w:pStyle w:val="BodyTextIndent2"/>
        <w:spacing w:before="0" w:after="0" w:line="240" w:lineRule="auto"/>
        <w:ind w:left="0" w:firstLine="0"/>
      </w:pPr>
      <w:r w:rsidRPr="00B876F1">
        <w:rPr>
          <w:szCs w:val="28"/>
        </w:rPr>
        <w:t xml:space="preserve">Ekonomikas </w:t>
      </w:r>
      <w:r w:rsidR="0081536D" w:rsidRPr="00B876F1">
        <w:rPr>
          <w:szCs w:val="28"/>
        </w:rPr>
        <w:t>ministr</w:t>
      </w:r>
      <w:r w:rsidR="0081536D">
        <w:rPr>
          <w:szCs w:val="28"/>
        </w:rPr>
        <w:t>s</w:t>
      </w:r>
      <w:r>
        <w:rPr>
          <w:color w:val="000000"/>
          <w:szCs w:val="28"/>
          <w:shd w:val="clear" w:color="auto" w:fill="FFFFFF"/>
        </w:rPr>
        <w:tab/>
      </w:r>
      <w:r w:rsidR="00636345">
        <w:rPr>
          <w:color w:val="000000"/>
          <w:szCs w:val="28"/>
          <w:shd w:val="clear" w:color="auto" w:fill="FFFFFF"/>
        </w:rPr>
        <w:tab/>
      </w:r>
      <w:r w:rsidR="00636345">
        <w:rPr>
          <w:color w:val="000000"/>
          <w:szCs w:val="28"/>
          <w:shd w:val="clear" w:color="auto" w:fill="FFFFFF"/>
        </w:rPr>
        <w:tab/>
      </w:r>
      <w:r w:rsidR="00636345">
        <w:rPr>
          <w:color w:val="000000"/>
          <w:szCs w:val="28"/>
          <w:shd w:val="clear" w:color="auto" w:fill="FFFFFF"/>
        </w:rPr>
        <w:tab/>
      </w:r>
      <w:r w:rsidR="00636345">
        <w:rPr>
          <w:color w:val="000000"/>
          <w:szCs w:val="28"/>
          <w:shd w:val="clear" w:color="auto" w:fill="FFFFFF"/>
        </w:rPr>
        <w:tab/>
      </w:r>
      <w:r w:rsidR="00636345">
        <w:rPr>
          <w:color w:val="000000"/>
          <w:szCs w:val="28"/>
          <w:shd w:val="clear" w:color="auto" w:fill="FFFFFF"/>
        </w:rPr>
        <w:tab/>
      </w:r>
      <w:r w:rsidR="00755AF8">
        <w:rPr>
          <w:color w:val="000000"/>
          <w:szCs w:val="28"/>
          <w:shd w:val="clear" w:color="auto" w:fill="FFFFFF"/>
        </w:rPr>
        <w:tab/>
      </w:r>
      <w:r w:rsidR="0081536D">
        <w:rPr>
          <w:color w:val="000000"/>
          <w:szCs w:val="28"/>
          <w:shd w:val="clear" w:color="auto" w:fill="FFFFFF"/>
        </w:rPr>
        <w:t>D.Pavļuts</w:t>
      </w:r>
      <w:r w:rsidDel="00447819">
        <w:t xml:space="preserve"> </w:t>
      </w:r>
    </w:p>
    <w:p w:rsidR="0002689F" w:rsidRDefault="0002689F" w:rsidP="005E024A">
      <w:pPr>
        <w:spacing w:before="0" w:after="0" w:line="240" w:lineRule="auto"/>
        <w:ind w:firstLine="0"/>
      </w:pPr>
    </w:p>
    <w:p w:rsidR="00DD2EC8" w:rsidRDefault="00DD2EC8" w:rsidP="00DD2EC8">
      <w:pPr>
        <w:spacing w:before="0" w:after="0" w:line="240" w:lineRule="auto"/>
        <w:ind w:firstLine="0"/>
      </w:pPr>
      <w:r>
        <w:t xml:space="preserve">Vīza: </w:t>
      </w:r>
    </w:p>
    <w:p w:rsidR="00DD2EC8" w:rsidRDefault="00DD2EC8" w:rsidP="00DD2EC8">
      <w:pPr>
        <w:spacing w:before="0" w:after="0" w:line="240" w:lineRule="auto"/>
        <w:ind w:firstLine="0"/>
      </w:pPr>
      <w:r>
        <w:t>valsts sekretāra pienākumu izpildītājs,</w:t>
      </w:r>
    </w:p>
    <w:p w:rsidR="00DD2EC8" w:rsidRDefault="00DD2EC8" w:rsidP="00DD2EC8">
      <w:pPr>
        <w:spacing w:before="0" w:after="0" w:line="240" w:lineRule="auto"/>
        <w:ind w:firstLine="0"/>
      </w:pPr>
      <w:r>
        <w:t>valsts sekretāra vietnieks</w:t>
      </w:r>
      <w:r>
        <w:tab/>
      </w:r>
      <w:r>
        <w:tab/>
      </w:r>
      <w:r>
        <w:tab/>
      </w:r>
      <w:r>
        <w:tab/>
      </w:r>
      <w:r>
        <w:tab/>
      </w:r>
      <w:r>
        <w:tab/>
        <w:t xml:space="preserve">          A.Liepiņš</w:t>
      </w:r>
    </w:p>
    <w:p w:rsidR="00EC7189" w:rsidRPr="005E024A" w:rsidRDefault="00BD1FE2" w:rsidP="005E024A">
      <w:pPr>
        <w:spacing w:before="0" w:after="0" w:line="240" w:lineRule="auto"/>
        <w:ind w:firstLine="0"/>
      </w:pPr>
      <w:r>
        <w:tab/>
      </w:r>
      <w:r>
        <w:tab/>
      </w:r>
      <w:r>
        <w:tab/>
      </w:r>
    </w:p>
    <w:p w:rsidR="00EC7189" w:rsidRPr="00036E09" w:rsidRDefault="00EC7189" w:rsidP="00EC7189">
      <w:pPr>
        <w:rPr>
          <w:rFonts w:cs="Times New Roman"/>
          <w:szCs w:val="28"/>
        </w:rPr>
      </w:pPr>
    </w:p>
    <w:p w:rsidR="00EC7189" w:rsidRDefault="00EC7189" w:rsidP="00EC7189">
      <w:pPr>
        <w:spacing w:after="0" w:line="240" w:lineRule="auto"/>
        <w:rPr>
          <w:rFonts w:cs="Times New Roman"/>
          <w:sz w:val="20"/>
          <w:szCs w:val="20"/>
        </w:rPr>
      </w:pPr>
    </w:p>
    <w:p w:rsidR="00EC7189" w:rsidRDefault="00EC7189" w:rsidP="00EC7189">
      <w:pPr>
        <w:spacing w:after="0" w:line="240" w:lineRule="auto"/>
        <w:rPr>
          <w:rFonts w:cs="Times New Roman"/>
          <w:sz w:val="20"/>
          <w:szCs w:val="20"/>
        </w:rPr>
      </w:pPr>
    </w:p>
    <w:p w:rsidR="00463AF7" w:rsidRDefault="00463AF7" w:rsidP="00EC7189">
      <w:pPr>
        <w:spacing w:after="0" w:line="240" w:lineRule="auto"/>
        <w:rPr>
          <w:rFonts w:cs="Times New Roman"/>
          <w:sz w:val="20"/>
          <w:szCs w:val="20"/>
        </w:rPr>
      </w:pPr>
    </w:p>
    <w:p w:rsidR="00463AF7" w:rsidRDefault="00463AF7" w:rsidP="00EC7189">
      <w:pPr>
        <w:spacing w:after="0" w:line="240" w:lineRule="auto"/>
        <w:rPr>
          <w:rFonts w:cs="Times New Roman"/>
          <w:sz w:val="20"/>
          <w:szCs w:val="20"/>
        </w:rPr>
      </w:pPr>
    </w:p>
    <w:p w:rsidR="00463AF7" w:rsidRDefault="00463AF7" w:rsidP="00EC7189">
      <w:pPr>
        <w:spacing w:after="0" w:line="240" w:lineRule="auto"/>
        <w:rPr>
          <w:rFonts w:cs="Times New Roman"/>
          <w:sz w:val="20"/>
          <w:szCs w:val="20"/>
        </w:rPr>
      </w:pPr>
    </w:p>
    <w:p w:rsidR="00EC7189" w:rsidRDefault="00EC7189" w:rsidP="00EC7189">
      <w:pPr>
        <w:spacing w:after="0" w:line="240" w:lineRule="auto"/>
        <w:rPr>
          <w:rFonts w:cs="Times New Roman"/>
          <w:sz w:val="20"/>
          <w:szCs w:val="20"/>
        </w:rPr>
      </w:pPr>
    </w:p>
    <w:p w:rsidR="00EC7189" w:rsidRPr="00A64D61" w:rsidRDefault="003204D9" w:rsidP="00EC7189">
      <w:pPr>
        <w:pStyle w:val="naisf"/>
        <w:spacing w:before="0" w:beforeAutospacing="0" w:after="0" w:afterAutospacing="0"/>
        <w:rPr>
          <w:sz w:val="20"/>
          <w:szCs w:val="20"/>
        </w:rPr>
      </w:pPr>
      <w:r>
        <w:rPr>
          <w:sz w:val="20"/>
          <w:szCs w:val="20"/>
        </w:rPr>
        <w:t>0</w:t>
      </w:r>
      <w:r w:rsidR="00DD2EC8">
        <w:rPr>
          <w:sz w:val="20"/>
          <w:szCs w:val="20"/>
        </w:rPr>
        <w:t>7</w:t>
      </w:r>
      <w:r w:rsidR="004E5D24">
        <w:rPr>
          <w:sz w:val="20"/>
          <w:szCs w:val="20"/>
        </w:rPr>
        <w:t>.</w:t>
      </w:r>
      <w:r w:rsidR="0003742D">
        <w:rPr>
          <w:sz w:val="20"/>
          <w:szCs w:val="20"/>
        </w:rPr>
        <w:t>01</w:t>
      </w:r>
      <w:r w:rsidR="00EC7189" w:rsidRPr="00A64D61">
        <w:rPr>
          <w:sz w:val="20"/>
          <w:szCs w:val="20"/>
        </w:rPr>
        <w:t>.201</w:t>
      </w:r>
      <w:r w:rsidR="0003742D">
        <w:rPr>
          <w:sz w:val="20"/>
          <w:szCs w:val="20"/>
        </w:rPr>
        <w:t>3</w:t>
      </w:r>
      <w:r w:rsidR="00EC7189" w:rsidRPr="00A64D61">
        <w:rPr>
          <w:sz w:val="20"/>
          <w:szCs w:val="20"/>
        </w:rPr>
        <w:t xml:space="preserve">. </w:t>
      </w:r>
      <w:r w:rsidR="0081536D">
        <w:rPr>
          <w:sz w:val="20"/>
          <w:szCs w:val="20"/>
        </w:rPr>
        <w:t>1</w:t>
      </w:r>
      <w:r w:rsidR="004910B6">
        <w:rPr>
          <w:sz w:val="20"/>
          <w:szCs w:val="20"/>
        </w:rPr>
        <w:t>3</w:t>
      </w:r>
      <w:r w:rsidR="00EC7189" w:rsidRPr="00A64D61">
        <w:rPr>
          <w:sz w:val="20"/>
          <w:szCs w:val="20"/>
        </w:rPr>
        <w:t>:</w:t>
      </w:r>
      <w:r w:rsidR="004910B6">
        <w:rPr>
          <w:sz w:val="20"/>
          <w:szCs w:val="20"/>
        </w:rPr>
        <w:t>44</w:t>
      </w:r>
      <w:bookmarkStart w:id="65" w:name="_GoBack"/>
      <w:bookmarkEnd w:id="65"/>
    </w:p>
    <w:p w:rsidR="00EC7189" w:rsidRPr="002F4D4D" w:rsidRDefault="0081536D" w:rsidP="00EC7189">
      <w:pPr>
        <w:pStyle w:val="naisf"/>
        <w:spacing w:before="0" w:beforeAutospacing="0" w:after="0" w:afterAutospacing="0"/>
        <w:jc w:val="both"/>
        <w:rPr>
          <w:sz w:val="20"/>
          <w:szCs w:val="20"/>
        </w:rPr>
      </w:pPr>
      <w:r>
        <w:rPr>
          <w:sz w:val="20"/>
          <w:szCs w:val="20"/>
        </w:rPr>
        <w:t>11</w:t>
      </w:r>
      <w:r w:rsidR="00BB6174">
        <w:rPr>
          <w:sz w:val="20"/>
          <w:szCs w:val="20"/>
        </w:rPr>
        <w:t>6</w:t>
      </w:r>
      <w:r w:rsidR="004910B6">
        <w:rPr>
          <w:sz w:val="20"/>
          <w:szCs w:val="20"/>
        </w:rPr>
        <w:t>46</w:t>
      </w:r>
    </w:p>
    <w:p w:rsidR="00EC7189" w:rsidRPr="002F4D4D" w:rsidRDefault="00CB203A" w:rsidP="00EC7189">
      <w:pPr>
        <w:pStyle w:val="naisf"/>
        <w:spacing w:before="0" w:beforeAutospacing="0" w:after="0" w:afterAutospacing="0"/>
        <w:jc w:val="both"/>
        <w:rPr>
          <w:sz w:val="20"/>
          <w:szCs w:val="20"/>
        </w:rPr>
      </w:pPr>
      <w:r>
        <w:rPr>
          <w:sz w:val="20"/>
          <w:szCs w:val="20"/>
        </w:rPr>
        <w:t>R.Šņuka</w:t>
      </w:r>
    </w:p>
    <w:p w:rsidR="00CA6568" w:rsidRDefault="00EC7189" w:rsidP="00CA5879">
      <w:pPr>
        <w:pStyle w:val="naisf"/>
        <w:spacing w:before="0" w:beforeAutospacing="0" w:after="0" w:afterAutospacing="0"/>
        <w:jc w:val="both"/>
        <w:rPr>
          <w:rStyle w:val="Hyperlink"/>
          <w:sz w:val="20"/>
          <w:szCs w:val="20"/>
        </w:rPr>
      </w:pPr>
      <w:r w:rsidRPr="002F4D4D">
        <w:rPr>
          <w:sz w:val="20"/>
          <w:szCs w:val="20"/>
        </w:rPr>
        <w:t>67013</w:t>
      </w:r>
      <w:r w:rsidR="00CB203A">
        <w:rPr>
          <w:sz w:val="20"/>
          <w:szCs w:val="20"/>
        </w:rPr>
        <w:t>234</w:t>
      </w:r>
      <w:r w:rsidRPr="002F4D4D">
        <w:rPr>
          <w:sz w:val="20"/>
          <w:szCs w:val="20"/>
        </w:rPr>
        <w:t xml:space="preserve">, </w:t>
      </w:r>
      <w:hyperlink r:id="rId44" w:history="1">
        <w:r w:rsidR="00CB203A" w:rsidRPr="00CB203A">
          <w:rPr>
            <w:rStyle w:val="Hyperlink"/>
            <w:sz w:val="20"/>
            <w:szCs w:val="20"/>
          </w:rPr>
          <w:t>Rota.Snuka</w:t>
        </w:r>
        <w:r w:rsidR="005E024A" w:rsidRPr="004C79EE">
          <w:rPr>
            <w:rStyle w:val="Hyperlink"/>
            <w:sz w:val="20"/>
            <w:szCs w:val="20"/>
          </w:rPr>
          <w:t>@em.gov.lv</w:t>
        </w:r>
      </w:hyperlink>
    </w:p>
    <w:p w:rsidR="00FC1117" w:rsidRDefault="00FC1117" w:rsidP="00CA5879">
      <w:pPr>
        <w:pStyle w:val="naisf"/>
        <w:spacing w:before="0" w:beforeAutospacing="0" w:after="0" w:afterAutospacing="0"/>
        <w:jc w:val="both"/>
        <w:rPr>
          <w:rStyle w:val="Hyperlink"/>
          <w:color w:val="000000" w:themeColor="text1"/>
          <w:sz w:val="20"/>
          <w:szCs w:val="20"/>
          <w:u w:val="none"/>
        </w:rPr>
      </w:pPr>
      <w:proofErr w:type="spellStart"/>
      <w:r w:rsidRPr="00FC1117">
        <w:rPr>
          <w:rStyle w:val="Hyperlink"/>
          <w:color w:val="000000" w:themeColor="text1"/>
          <w:sz w:val="20"/>
          <w:szCs w:val="20"/>
          <w:u w:val="none"/>
        </w:rPr>
        <w:t>E.Luca-Ratfeldere</w:t>
      </w:r>
      <w:proofErr w:type="spellEnd"/>
    </w:p>
    <w:p w:rsidR="00FC1117" w:rsidRDefault="00FC1117" w:rsidP="00FC1117">
      <w:pPr>
        <w:pStyle w:val="naisf"/>
        <w:spacing w:before="0" w:beforeAutospacing="0" w:after="0" w:afterAutospacing="0"/>
        <w:jc w:val="both"/>
        <w:rPr>
          <w:rStyle w:val="Hyperlink"/>
          <w:sz w:val="20"/>
          <w:szCs w:val="20"/>
        </w:rPr>
      </w:pPr>
      <w:r w:rsidRPr="002F4D4D">
        <w:rPr>
          <w:sz w:val="20"/>
          <w:szCs w:val="20"/>
        </w:rPr>
        <w:t>67013</w:t>
      </w:r>
      <w:r>
        <w:rPr>
          <w:sz w:val="20"/>
          <w:szCs w:val="20"/>
        </w:rPr>
        <w:t>113</w:t>
      </w:r>
      <w:r w:rsidRPr="002F4D4D">
        <w:rPr>
          <w:sz w:val="20"/>
          <w:szCs w:val="20"/>
        </w:rPr>
        <w:t xml:space="preserve">, </w:t>
      </w:r>
      <w:hyperlink r:id="rId45" w:history="1">
        <w:r w:rsidRPr="000B37E5">
          <w:rPr>
            <w:rStyle w:val="Hyperlink"/>
            <w:sz w:val="20"/>
            <w:szCs w:val="20"/>
          </w:rPr>
          <w:t>Elina.Luca-Ratfeldere@em.gov.lv</w:t>
        </w:r>
      </w:hyperlink>
    </w:p>
    <w:p w:rsidR="005E024A" w:rsidRDefault="00DD2EC8" w:rsidP="00CA5879">
      <w:pPr>
        <w:pStyle w:val="naisf"/>
        <w:spacing w:before="0" w:beforeAutospacing="0" w:after="0" w:afterAutospacing="0"/>
        <w:jc w:val="both"/>
        <w:rPr>
          <w:sz w:val="20"/>
          <w:szCs w:val="20"/>
        </w:rPr>
      </w:pPr>
      <w:r>
        <w:rPr>
          <w:sz w:val="20"/>
          <w:szCs w:val="20"/>
        </w:rPr>
        <w:t>K.Piģēns</w:t>
      </w:r>
      <w:r w:rsidR="005E024A">
        <w:rPr>
          <w:sz w:val="20"/>
          <w:szCs w:val="20"/>
        </w:rPr>
        <w:t>,</w:t>
      </w:r>
    </w:p>
    <w:p w:rsidR="005E024A" w:rsidRDefault="005E024A" w:rsidP="005E024A">
      <w:pPr>
        <w:pStyle w:val="naisf"/>
        <w:spacing w:before="0" w:beforeAutospacing="0" w:after="0" w:afterAutospacing="0"/>
        <w:jc w:val="both"/>
        <w:rPr>
          <w:sz w:val="20"/>
          <w:szCs w:val="20"/>
        </w:rPr>
      </w:pPr>
      <w:r w:rsidRPr="002F4D4D">
        <w:rPr>
          <w:sz w:val="20"/>
          <w:szCs w:val="20"/>
        </w:rPr>
        <w:t>67013</w:t>
      </w:r>
      <w:r>
        <w:rPr>
          <w:sz w:val="20"/>
          <w:szCs w:val="20"/>
        </w:rPr>
        <w:t>1</w:t>
      </w:r>
      <w:r w:rsidR="00DD2EC8">
        <w:rPr>
          <w:sz w:val="20"/>
          <w:szCs w:val="20"/>
        </w:rPr>
        <w:t>33</w:t>
      </w:r>
      <w:r w:rsidRPr="002F4D4D">
        <w:rPr>
          <w:sz w:val="20"/>
          <w:szCs w:val="20"/>
        </w:rPr>
        <w:t xml:space="preserve">, </w:t>
      </w:r>
      <w:hyperlink r:id="rId46" w:history="1">
        <w:r w:rsidR="00BB6174" w:rsidRPr="003E334B">
          <w:rPr>
            <w:rStyle w:val="Hyperlink"/>
            <w:sz w:val="20"/>
            <w:szCs w:val="20"/>
          </w:rPr>
          <w:t>Karlis.Pigens@em.gov.lv</w:t>
        </w:r>
      </w:hyperlink>
    </w:p>
    <w:p w:rsidR="005E024A" w:rsidRDefault="005E024A" w:rsidP="00CA5879">
      <w:pPr>
        <w:pStyle w:val="naisf"/>
        <w:spacing w:before="0" w:beforeAutospacing="0" w:after="0" w:afterAutospacing="0"/>
        <w:jc w:val="both"/>
      </w:pPr>
    </w:p>
    <w:sectPr w:rsidR="005E024A" w:rsidSect="00576EA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532" w:rsidRDefault="00927532" w:rsidP="00CD7149">
      <w:pPr>
        <w:spacing w:after="0" w:line="240" w:lineRule="auto"/>
      </w:pPr>
      <w:r>
        <w:separator/>
      </w:r>
    </w:p>
  </w:endnote>
  <w:endnote w:type="continuationSeparator" w:id="0">
    <w:p w:rsidR="00927532" w:rsidRDefault="00927532" w:rsidP="00CD7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YInterstate-Ligh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BDD" w:rsidRPr="00EC7189" w:rsidRDefault="009F1BDD" w:rsidP="00EC7189">
    <w:pPr>
      <w:spacing w:after="0" w:line="240" w:lineRule="auto"/>
      <w:ind w:firstLine="0"/>
      <w:rPr>
        <w:rFonts w:eastAsia="Calibri" w:cs="Times New Roman"/>
        <w:sz w:val="20"/>
        <w:szCs w:val="20"/>
      </w:rPr>
    </w:pPr>
    <w:r w:rsidRPr="00A64D61">
      <w:rPr>
        <w:rFonts w:cs="Times New Roman"/>
        <w:sz w:val="20"/>
        <w:szCs w:val="20"/>
      </w:rPr>
      <w:t>EMZino_</w:t>
    </w:r>
    <w:r w:rsidR="00DD2EC8">
      <w:rPr>
        <w:rFonts w:cs="Times New Roman"/>
        <w:sz w:val="20"/>
        <w:szCs w:val="20"/>
      </w:rPr>
      <w:t>070113</w:t>
    </w:r>
    <w:r w:rsidRPr="00A64D61">
      <w:rPr>
        <w:rFonts w:cs="Times New Roman"/>
        <w:sz w:val="20"/>
        <w:szCs w:val="20"/>
      </w:rPr>
      <w:t xml:space="preserve">_cenas: </w:t>
    </w:r>
    <w:r w:rsidRPr="00A64D61">
      <w:rPr>
        <w:rFonts w:eastAsia="Calibri" w:cs="Times New Roman"/>
        <w:sz w:val="20"/>
        <w:szCs w:val="20"/>
      </w:rPr>
      <w:t>Informatīvais ziņojums par elektroenerģijas cenu pieauguma riskiem un to ierobežošanu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532" w:rsidRDefault="00927532" w:rsidP="00CD7149">
      <w:pPr>
        <w:spacing w:after="0" w:line="240" w:lineRule="auto"/>
      </w:pPr>
      <w:r>
        <w:separator/>
      </w:r>
    </w:p>
  </w:footnote>
  <w:footnote w:type="continuationSeparator" w:id="0">
    <w:p w:rsidR="00927532" w:rsidRDefault="00927532" w:rsidP="00CD7149">
      <w:pPr>
        <w:spacing w:after="0" w:line="240" w:lineRule="auto"/>
      </w:pPr>
      <w:r>
        <w:continuationSeparator/>
      </w:r>
    </w:p>
  </w:footnote>
  <w:footnote w:id="1">
    <w:p w:rsidR="009F1BDD" w:rsidRPr="00A6432D" w:rsidRDefault="009F1BDD" w:rsidP="00B1519A">
      <w:pPr>
        <w:spacing w:after="0" w:line="240" w:lineRule="auto"/>
        <w:ind w:left="227" w:right="227" w:firstLine="0"/>
        <w:rPr>
          <w:rFonts w:eastAsia="Times New Roman"/>
          <w:sz w:val="20"/>
          <w:szCs w:val="20"/>
          <w:lang w:eastAsia="lv-LV"/>
        </w:rPr>
      </w:pPr>
      <w:r w:rsidRPr="001611A4">
        <w:rPr>
          <w:rStyle w:val="FootnoteReference"/>
          <w:sz w:val="20"/>
          <w:szCs w:val="20"/>
        </w:rPr>
        <w:footnoteRef/>
      </w:r>
      <w:r w:rsidRPr="001611A4">
        <w:rPr>
          <w:sz w:val="20"/>
          <w:szCs w:val="20"/>
        </w:rPr>
        <w:t xml:space="preserve"> </w:t>
      </w:r>
      <w:r w:rsidRPr="001611A4">
        <w:rPr>
          <w:rFonts w:eastAsia="Arial Unicode MS"/>
          <w:bCs/>
          <w:sz w:val="20"/>
          <w:szCs w:val="20"/>
          <w:lang w:eastAsia="lv-LV"/>
        </w:rPr>
        <w:t>Padomes Direktīva 2003/96/EK (2003.gada 27.oktobris), kas pārkārto Kopienas noteikumus par nodokļu uzlikšanu energoproduktiem un elektroenerģijai</w:t>
      </w:r>
      <w:r w:rsidRPr="001611A4">
        <w:rPr>
          <w:rFonts w:eastAsia="Times New Roman"/>
          <w:sz w:val="20"/>
          <w:szCs w:val="20"/>
          <w:lang w:eastAsia="lv-LV"/>
        </w:rPr>
        <w:t xml:space="preserve"> </w:t>
      </w:r>
      <w:r>
        <w:rPr>
          <w:rFonts w:eastAsia="Times New Roman"/>
          <w:sz w:val="20"/>
          <w:szCs w:val="20"/>
          <w:lang w:eastAsia="lv-LV"/>
        </w:rPr>
        <w:t xml:space="preserve">un </w:t>
      </w:r>
      <w:r w:rsidRPr="001611A4">
        <w:rPr>
          <w:rFonts w:eastAsia="Times New Roman"/>
          <w:sz w:val="20"/>
          <w:szCs w:val="20"/>
          <w:lang w:eastAsia="lv-LV"/>
        </w:rPr>
        <w:t>Padomes Direktīva 2004/74/EK (2004. gada 29.aprīlis), ar ko groza Direktīvu 2003/96/EK par dažu dalībvalstu iespēju piemērot nodokļu līmeņa pagaidu atbrīvojumus vai samazinājumus attiecībā uz enerģētikas produktiem un elektroenerģiju</w:t>
      </w:r>
    </w:p>
  </w:footnote>
  <w:footnote w:id="2">
    <w:p w:rsidR="009F1BDD" w:rsidRPr="00C25291" w:rsidRDefault="009F1BDD">
      <w:pPr>
        <w:pStyle w:val="FootnoteText"/>
        <w:rPr>
          <w:rFonts w:ascii="Times New Roman" w:hAnsi="Times New Roman"/>
        </w:rPr>
      </w:pPr>
      <w:r w:rsidRPr="00C25291">
        <w:rPr>
          <w:rStyle w:val="FootnoteReference"/>
          <w:rFonts w:ascii="Times New Roman" w:hAnsi="Times New Roman"/>
        </w:rPr>
        <w:footnoteRef/>
      </w:r>
      <w:r w:rsidRPr="00C25291">
        <w:rPr>
          <w:rFonts w:ascii="Times New Roman" w:hAnsi="Times New Roman"/>
        </w:rPr>
        <w:t xml:space="preserve"> Elektroenerģijas pārvades vai sadales sistēmas operatoram, vadot starpsistēmu elektroenerģijas plūsmas, jāievēro ekonomiskā pakāpeniskuma princips, kas prasa izmantojamos avotus secīgi sakārtot atbilstoši ekonomiski pamatotiem kritērijiem (tādiem kā piedāvātās enerģijas cena, energoapgādes nepārtrauktība un stabilitāte, sistēmas pamatfondu atjaunošana, enerģijas transportēšanas attālums), bet, ja šie nosacījumi ir līdzvērtīgi, priekšrocības izmantot elektroenerģijas pārvades vai sadales sistēmu ir valsts teritorijā izvietotajiem elektroenerģijas ražotājiem, kuri elektroenerģijas ražošanas tehnoloģiskajā procesā izmanto reģeneratīvos energoresursus, atkritumus vai koģenerācijas režīmu. Enerģētikas likuma 33.pants, ar 17.03.2005. grozījumiem. </w:t>
      </w:r>
    </w:p>
  </w:footnote>
  <w:footnote w:id="3">
    <w:p w:rsidR="009F1BDD" w:rsidRDefault="009F1BDD">
      <w:pPr>
        <w:pStyle w:val="FootnoteText"/>
      </w:pPr>
      <w:r>
        <w:rPr>
          <w:rStyle w:val="FootnoteReference"/>
        </w:rPr>
        <w:footnoteRef/>
      </w:r>
      <w:r>
        <w:t xml:space="preserve"> Spēkā līdz 2005.gada 15.aprīlim </w:t>
      </w:r>
    </w:p>
  </w:footnote>
  <w:footnote w:id="4">
    <w:p w:rsidR="009F1BDD" w:rsidRPr="00C25291" w:rsidRDefault="009F1BDD" w:rsidP="00C25291">
      <w:pPr>
        <w:pStyle w:val="FootnoteText"/>
        <w:spacing w:before="0"/>
        <w:rPr>
          <w:rFonts w:ascii="Times New Roman" w:hAnsi="Times New Roman"/>
        </w:rPr>
      </w:pPr>
      <w:r w:rsidRPr="00C25291">
        <w:rPr>
          <w:rStyle w:val="FootnoteReference"/>
          <w:rFonts w:ascii="Times New Roman" w:hAnsi="Times New Roman"/>
        </w:rPr>
        <w:footnoteRef/>
      </w:r>
      <w:r w:rsidRPr="00C25291">
        <w:rPr>
          <w:rFonts w:ascii="Times New Roman" w:hAnsi="Times New Roman"/>
        </w:rPr>
        <w:t xml:space="preserve"> Avots: 2011.gadā tīklā nodotās elektroenerģijas apjomi un iepirkums obligātā iepirkuma ietvaros. Pieejams: Ekonomikas ministrijas tīmekļa vietnē: </w:t>
      </w:r>
      <w:hyperlink r:id="rId1" w:history="1">
        <w:r w:rsidRPr="00C25291">
          <w:rPr>
            <w:rStyle w:val="Hyperlink"/>
            <w:rFonts w:ascii="Times New Roman" w:hAnsi="Times New Roman"/>
          </w:rPr>
          <w:t>http://www.em.gov.lv/em/2nd/?cat=30315</w:t>
        </w:r>
      </w:hyperlink>
      <w:r w:rsidRPr="00C25291">
        <w:rPr>
          <w:rFonts w:ascii="Times New Roman" w:hAnsi="Times New Roman"/>
        </w:rPr>
        <w:t xml:space="preserve"> </w:t>
      </w:r>
    </w:p>
  </w:footnote>
  <w:footnote w:id="5">
    <w:p w:rsidR="009F1BDD" w:rsidRPr="00E6525C" w:rsidRDefault="009F1BDD" w:rsidP="00DB709F">
      <w:pPr>
        <w:spacing w:before="0" w:after="0" w:line="240" w:lineRule="auto"/>
        <w:rPr>
          <w:sz w:val="20"/>
          <w:szCs w:val="20"/>
        </w:rPr>
      </w:pPr>
      <w:r w:rsidRPr="00E6525C">
        <w:rPr>
          <w:sz w:val="20"/>
          <w:szCs w:val="20"/>
        </w:rPr>
        <w:footnoteRef/>
      </w:r>
      <w:r w:rsidRPr="00E6525C">
        <w:rPr>
          <w:sz w:val="20"/>
          <w:szCs w:val="20"/>
        </w:rPr>
        <w:t xml:space="preserve"> Pārvades sistēmas operatora ikgadējie novērtējuma ziņojumi pieejami Ekonomikas ministrijas tīmekļa vietnē: http://www.em.gov.lv/em/2nd/?cat=30175</w:t>
      </w:r>
    </w:p>
    <w:p w:rsidR="009F1BDD" w:rsidRDefault="009F1BDD" w:rsidP="00DB709F">
      <w:pPr>
        <w:pStyle w:val="FootnoteText"/>
      </w:pPr>
    </w:p>
  </w:footnote>
  <w:footnote w:id="6">
    <w:p w:rsidR="009F1BDD" w:rsidRPr="001B36D2" w:rsidRDefault="009F1BDD" w:rsidP="00FE125B">
      <w:pPr>
        <w:pStyle w:val="FootnoteText"/>
        <w:rPr>
          <w:rFonts w:ascii="Times New Roman" w:hAnsi="Times New Roman"/>
        </w:rPr>
      </w:pPr>
      <w:r w:rsidRPr="001B36D2">
        <w:rPr>
          <w:rStyle w:val="FootnoteReference"/>
          <w:rFonts w:ascii="Times New Roman" w:hAnsi="Times New Roman"/>
        </w:rPr>
        <w:footnoteRef/>
      </w:r>
      <w:r w:rsidRPr="001B36D2">
        <w:rPr>
          <w:rFonts w:ascii="Times New Roman" w:hAnsi="Times New Roman"/>
        </w:rPr>
        <w:t xml:space="preserve"> Renewable Energy </w:t>
      </w:r>
      <w:proofErr w:type="spellStart"/>
      <w:r w:rsidRPr="001B36D2">
        <w:rPr>
          <w:rFonts w:ascii="Times New Roman" w:hAnsi="Times New Roman"/>
        </w:rPr>
        <w:t>Policy</w:t>
      </w:r>
      <w:proofErr w:type="spellEnd"/>
      <w:r w:rsidRPr="001B36D2">
        <w:rPr>
          <w:rFonts w:ascii="Times New Roman" w:hAnsi="Times New Roman"/>
        </w:rPr>
        <w:t xml:space="preserve"> </w:t>
      </w:r>
      <w:proofErr w:type="spellStart"/>
      <w:r w:rsidRPr="001B36D2">
        <w:rPr>
          <w:rFonts w:ascii="Times New Roman" w:hAnsi="Times New Roman"/>
        </w:rPr>
        <w:t>Network</w:t>
      </w:r>
      <w:proofErr w:type="spellEnd"/>
      <w:r w:rsidRPr="001B36D2">
        <w:rPr>
          <w:rFonts w:ascii="Times New Roman" w:hAnsi="Times New Roman"/>
        </w:rPr>
        <w:t xml:space="preserve">  for the </w:t>
      </w:r>
      <w:r w:rsidRPr="00AC696D">
        <w:rPr>
          <w:rFonts w:ascii="Times New Roman" w:hAnsi="Times New Roman"/>
          <w:color w:val="000000" w:themeColor="text1"/>
        </w:rPr>
        <w:t xml:space="preserve">21st </w:t>
      </w:r>
      <w:proofErr w:type="spellStart"/>
      <w:r w:rsidRPr="00AC696D">
        <w:rPr>
          <w:rFonts w:ascii="Times New Roman" w:hAnsi="Times New Roman"/>
          <w:color w:val="000000" w:themeColor="text1"/>
        </w:rPr>
        <w:t>Century</w:t>
      </w:r>
      <w:proofErr w:type="spellEnd"/>
      <w:r w:rsidRPr="00AC696D">
        <w:rPr>
          <w:rFonts w:ascii="Times New Roman" w:hAnsi="Times New Roman"/>
          <w:color w:val="000000" w:themeColor="text1"/>
        </w:rPr>
        <w:t xml:space="preserve"> (</w:t>
      </w:r>
      <w:hyperlink r:id="rId2" w:history="1">
        <w:r w:rsidRPr="00AC696D">
          <w:rPr>
            <w:rStyle w:val="Hyperlink"/>
            <w:rFonts w:ascii="Times New Roman" w:hAnsi="Times New Roman"/>
            <w:color w:val="000000" w:themeColor="text1"/>
            <w:u w:val="none"/>
          </w:rPr>
          <w:t>REN21), Global Status Report, 2012</w:t>
        </w:r>
      </w:hyperlink>
      <w:r w:rsidRPr="00AC696D">
        <w:rPr>
          <w:rStyle w:val="reference-text"/>
          <w:rFonts w:ascii="Times New Roman" w:hAnsi="Times New Roman"/>
          <w:color w:val="000000" w:themeColor="text1"/>
        </w:rPr>
        <w:t xml:space="preserve">. </w:t>
      </w:r>
      <w:r w:rsidRPr="001B36D2">
        <w:rPr>
          <w:rStyle w:val="reference-text"/>
          <w:rFonts w:ascii="Times New Roman" w:hAnsi="Times New Roman"/>
        </w:rPr>
        <w:t xml:space="preserve">Pieejams: </w:t>
      </w:r>
      <w:hyperlink r:id="rId3" w:history="1">
        <w:r w:rsidRPr="00636173">
          <w:rPr>
            <w:rStyle w:val="Hyperlink"/>
            <w:rFonts w:ascii="Times New Roman" w:hAnsi="Times New Roman"/>
          </w:rPr>
          <w:t>http://www.map.ren21.net/GSR/GSR2012.pdf</w:t>
        </w:r>
      </w:hyperlink>
      <w:r>
        <w:rPr>
          <w:rStyle w:val="reference-text"/>
          <w:rFonts w:ascii="Times New Roman" w:hAnsi="Times New Roman"/>
        </w:rPr>
        <w:t xml:space="preserve"> </w:t>
      </w:r>
      <w:r w:rsidRPr="001B36D2">
        <w:rPr>
          <w:rStyle w:val="reference-text"/>
          <w:rFonts w:ascii="Times New Roman" w:hAnsi="Times New Roman"/>
        </w:rPr>
        <w:t xml:space="preserve"> </w:t>
      </w:r>
    </w:p>
  </w:footnote>
  <w:footnote w:id="7">
    <w:p w:rsidR="009F1BDD" w:rsidRPr="00474786" w:rsidRDefault="009F1BDD" w:rsidP="00FE125B">
      <w:pPr>
        <w:pStyle w:val="Default"/>
        <w:jc w:val="both"/>
        <w:rPr>
          <w:rFonts w:ascii="Times New Roman" w:hAnsi="Times New Roman" w:cs="Times New Roman"/>
          <w:sz w:val="20"/>
          <w:szCs w:val="20"/>
        </w:rPr>
      </w:pPr>
      <w:r w:rsidRPr="00474786">
        <w:rPr>
          <w:rStyle w:val="FootnoteReference"/>
          <w:rFonts w:ascii="Times New Roman" w:hAnsi="Times New Roman" w:cs="Times New Roman"/>
          <w:sz w:val="20"/>
          <w:szCs w:val="20"/>
        </w:rPr>
        <w:footnoteRef/>
      </w:r>
      <w:r w:rsidRPr="00474786">
        <w:rPr>
          <w:rFonts w:ascii="Times New Roman" w:hAnsi="Times New Roman" w:cs="Times New Roman"/>
          <w:sz w:val="20"/>
          <w:szCs w:val="20"/>
        </w:rPr>
        <w:t xml:space="preserve">  European </w:t>
      </w:r>
      <w:proofErr w:type="spellStart"/>
      <w:r w:rsidRPr="00474786">
        <w:rPr>
          <w:rFonts w:ascii="Times New Roman" w:hAnsi="Times New Roman" w:cs="Times New Roman"/>
          <w:sz w:val="20"/>
          <w:szCs w:val="20"/>
        </w:rPr>
        <w:t>Summary</w:t>
      </w:r>
      <w:proofErr w:type="spellEnd"/>
      <w:r w:rsidRPr="00474786">
        <w:rPr>
          <w:rFonts w:ascii="Times New Roman" w:hAnsi="Times New Roman" w:cs="Times New Roman"/>
          <w:sz w:val="20"/>
          <w:szCs w:val="20"/>
        </w:rPr>
        <w:t xml:space="preserve"> </w:t>
      </w:r>
      <w:proofErr w:type="spellStart"/>
      <w:r w:rsidRPr="00474786">
        <w:rPr>
          <w:rFonts w:ascii="Times New Roman" w:hAnsi="Times New Roman" w:cs="Times New Roman"/>
          <w:sz w:val="20"/>
          <w:szCs w:val="20"/>
        </w:rPr>
        <w:t>Report</w:t>
      </w:r>
      <w:proofErr w:type="spellEnd"/>
      <w:r w:rsidRPr="00474786">
        <w:rPr>
          <w:rFonts w:ascii="Times New Roman" w:hAnsi="Times New Roman" w:cs="Times New Roman"/>
          <w:sz w:val="20"/>
          <w:szCs w:val="20"/>
        </w:rPr>
        <w:t xml:space="preserve"> on </w:t>
      </w:r>
      <w:r w:rsidRPr="00474786">
        <w:rPr>
          <w:rFonts w:ascii="Times New Roman" w:eastAsiaTheme="minorHAnsi" w:hAnsi="Times New Roman" w:cs="Times New Roman"/>
          <w:sz w:val="20"/>
          <w:szCs w:val="20"/>
        </w:rPr>
        <w:t xml:space="preserve">CHP support </w:t>
      </w:r>
      <w:proofErr w:type="spellStart"/>
      <w:r w:rsidRPr="00474786">
        <w:rPr>
          <w:rFonts w:ascii="Times New Roman" w:eastAsiaTheme="minorHAnsi" w:hAnsi="Times New Roman" w:cs="Times New Roman"/>
          <w:sz w:val="20"/>
          <w:szCs w:val="20"/>
        </w:rPr>
        <w:t>schemes</w:t>
      </w:r>
      <w:proofErr w:type="spellEnd"/>
      <w:r w:rsidRPr="00474786">
        <w:rPr>
          <w:rFonts w:ascii="Times New Roman" w:hAnsi="Times New Roman" w:cs="Times New Roman"/>
          <w:sz w:val="20"/>
          <w:szCs w:val="20"/>
        </w:rPr>
        <w:t xml:space="preserve">, Cogeneration </w:t>
      </w:r>
      <w:proofErr w:type="spellStart"/>
      <w:r w:rsidRPr="00474786">
        <w:rPr>
          <w:rFonts w:ascii="Times New Roman" w:hAnsi="Times New Roman" w:cs="Times New Roman"/>
          <w:sz w:val="20"/>
          <w:szCs w:val="20"/>
        </w:rPr>
        <w:t>observatory</w:t>
      </w:r>
      <w:proofErr w:type="spellEnd"/>
      <w:r w:rsidRPr="00474786">
        <w:rPr>
          <w:rFonts w:ascii="Times New Roman" w:hAnsi="Times New Roman" w:cs="Times New Roman"/>
          <w:sz w:val="20"/>
          <w:szCs w:val="20"/>
        </w:rPr>
        <w:t xml:space="preserve"> and </w:t>
      </w:r>
      <w:proofErr w:type="spellStart"/>
      <w:r w:rsidRPr="00474786">
        <w:rPr>
          <w:rFonts w:ascii="Times New Roman" w:hAnsi="Times New Roman" w:cs="Times New Roman"/>
          <w:sz w:val="20"/>
          <w:szCs w:val="20"/>
        </w:rPr>
        <w:t>disemination</w:t>
      </w:r>
      <w:proofErr w:type="spellEnd"/>
      <w:r w:rsidRPr="00474786">
        <w:rPr>
          <w:rFonts w:ascii="Times New Roman" w:hAnsi="Times New Roman" w:cs="Times New Roman"/>
          <w:sz w:val="20"/>
          <w:szCs w:val="20"/>
        </w:rPr>
        <w:t xml:space="preserve"> Europe, 2010 decembris. Pieejams: </w:t>
      </w:r>
      <w:hyperlink r:id="rId4" w:history="1">
        <w:r w:rsidRPr="00636173">
          <w:rPr>
            <w:rStyle w:val="Hyperlink"/>
            <w:rFonts w:ascii="Times New Roman" w:hAnsi="Times New Roman" w:cs="Times New Roman"/>
            <w:sz w:val="20"/>
            <w:szCs w:val="20"/>
          </w:rPr>
          <w:t>http://www.code-project.eu/wp-content/uploads/2011/02/231210-European-Summary-Report-on-CHP-support-schemes.pdf</w:t>
        </w:r>
      </w:hyperlink>
      <w:r>
        <w:rPr>
          <w:rFonts w:ascii="Times New Roman" w:hAnsi="Times New Roman" w:cs="Times New Roman"/>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894535"/>
      <w:docPartObj>
        <w:docPartGallery w:val="Page Numbers (Top of Page)"/>
        <w:docPartUnique/>
      </w:docPartObj>
    </w:sdtPr>
    <w:sdtEndPr>
      <w:rPr>
        <w:noProof/>
      </w:rPr>
    </w:sdtEndPr>
    <w:sdtContent>
      <w:p w:rsidR="009F1BDD" w:rsidRDefault="009F1BDD">
        <w:pPr>
          <w:pStyle w:val="Header"/>
          <w:jc w:val="center"/>
        </w:pPr>
        <w:r>
          <w:fldChar w:fldCharType="begin"/>
        </w:r>
        <w:r>
          <w:instrText xml:space="preserve"> PAGE   \* MERGEFORMAT </w:instrText>
        </w:r>
        <w:r>
          <w:fldChar w:fldCharType="separate"/>
        </w:r>
        <w:r w:rsidR="004910B6">
          <w:rPr>
            <w:noProof/>
          </w:rPr>
          <w:t>48</w:t>
        </w:r>
        <w:r>
          <w:rPr>
            <w:noProof/>
          </w:rPr>
          <w:fldChar w:fldCharType="end"/>
        </w:r>
      </w:p>
    </w:sdtContent>
  </w:sdt>
  <w:p w:rsidR="009F1BDD" w:rsidRDefault="009F1B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C36"/>
    <w:multiLevelType w:val="hybridMultilevel"/>
    <w:tmpl w:val="B9102B08"/>
    <w:lvl w:ilvl="0" w:tplc="6EBED102">
      <w:start w:val="1"/>
      <w:numFmt w:val="decimal"/>
      <w:lvlText w:val="%1."/>
      <w:lvlJc w:val="left"/>
      <w:pPr>
        <w:ind w:left="2160" w:hanging="144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03493A52"/>
    <w:multiLevelType w:val="hybridMultilevel"/>
    <w:tmpl w:val="3BE4EC74"/>
    <w:lvl w:ilvl="0" w:tplc="A0D46E84">
      <w:start w:val="200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D7E5EDB"/>
    <w:multiLevelType w:val="multilevel"/>
    <w:tmpl w:val="86F4B4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12AC00D6"/>
    <w:multiLevelType w:val="hybridMultilevel"/>
    <w:tmpl w:val="692AE292"/>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6230092"/>
    <w:multiLevelType w:val="hybridMultilevel"/>
    <w:tmpl w:val="F902725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nsid w:val="20267F78"/>
    <w:multiLevelType w:val="hybridMultilevel"/>
    <w:tmpl w:val="4D320620"/>
    <w:lvl w:ilvl="0" w:tplc="4CD01980">
      <w:start w:val="2"/>
      <w:numFmt w:val="decimal"/>
      <w:lvlText w:val="%1."/>
      <w:lvlJc w:val="left"/>
      <w:pPr>
        <w:ind w:left="1429" w:hanging="360"/>
      </w:pPr>
      <w:rPr>
        <w:rFonts w:ascii="Times New Roman" w:hAnsi="Times New Roman" w:cs="Times New Roman" w:hint="default"/>
        <w:b/>
        <w:sz w:val="28"/>
        <w:szCs w:val="28"/>
      </w:rPr>
    </w:lvl>
    <w:lvl w:ilvl="1" w:tplc="04260019">
      <w:start w:val="1"/>
      <w:numFmt w:val="lowerLetter"/>
      <w:lvlText w:val="%2."/>
      <w:lvlJc w:val="left"/>
      <w:pPr>
        <w:ind w:left="2149" w:hanging="360"/>
      </w:p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abstractNum w:abstractNumId="6">
    <w:nsid w:val="2E287AA8"/>
    <w:multiLevelType w:val="hybridMultilevel"/>
    <w:tmpl w:val="91B0A4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3FC7771F"/>
    <w:multiLevelType w:val="hybridMultilevel"/>
    <w:tmpl w:val="18944BB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46296783"/>
    <w:multiLevelType w:val="multilevel"/>
    <w:tmpl w:val="CA860A90"/>
    <w:lvl w:ilvl="0">
      <w:start w:val="6"/>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4DA61306"/>
    <w:multiLevelType w:val="hybridMultilevel"/>
    <w:tmpl w:val="1D84A1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nsid w:val="501618B1"/>
    <w:multiLevelType w:val="multilevel"/>
    <w:tmpl w:val="DCCAE260"/>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1A15C7A"/>
    <w:multiLevelType w:val="hybridMultilevel"/>
    <w:tmpl w:val="3F668726"/>
    <w:lvl w:ilvl="0" w:tplc="F050C752">
      <w:start w:val="3"/>
      <w:numFmt w:val="bullet"/>
      <w:lvlText w:val="-"/>
      <w:lvlJc w:val="left"/>
      <w:pPr>
        <w:ind w:left="1080" w:hanging="360"/>
      </w:pPr>
      <w:rPr>
        <w:rFonts w:ascii="Times New Roman" w:eastAsiaTheme="minorHAnsi"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nsid w:val="549512BC"/>
    <w:multiLevelType w:val="multilevel"/>
    <w:tmpl w:val="CE02A93E"/>
    <w:lvl w:ilvl="0">
      <w:start w:val="4"/>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5640260A"/>
    <w:multiLevelType w:val="hybridMultilevel"/>
    <w:tmpl w:val="085AA2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65B8135B"/>
    <w:multiLevelType w:val="multilevel"/>
    <w:tmpl w:val="06F43DCA"/>
    <w:lvl w:ilvl="0">
      <w:start w:val="2"/>
      <w:numFmt w:val="decimal"/>
      <w:lvlText w:val="%1."/>
      <w:lvlJc w:val="left"/>
      <w:pPr>
        <w:ind w:left="2628"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146"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15">
    <w:nsid w:val="65F37998"/>
    <w:multiLevelType w:val="hybridMultilevel"/>
    <w:tmpl w:val="2918D0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6C4E4DD2"/>
    <w:multiLevelType w:val="hybridMultilevel"/>
    <w:tmpl w:val="DB7E164C"/>
    <w:lvl w:ilvl="0" w:tplc="CCEABB00">
      <w:start w:val="1"/>
      <w:numFmt w:val="decimal"/>
      <w:lvlText w:val="%1."/>
      <w:lvlJc w:val="left"/>
      <w:pPr>
        <w:ind w:left="1069" w:hanging="360"/>
      </w:pPr>
      <w:rPr>
        <w:rFonts w:ascii="Times New Roman" w:hAnsi="Times New Roman" w:cs="Times New Roman" w:hint="default"/>
        <w:b/>
        <w:color w:val="auto"/>
        <w:sz w:val="28"/>
        <w:szCs w:val="28"/>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7">
    <w:nsid w:val="6CC93ACA"/>
    <w:multiLevelType w:val="multilevel"/>
    <w:tmpl w:val="C60E8A0E"/>
    <w:lvl w:ilvl="0">
      <w:start w:val="7"/>
      <w:numFmt w:val="decimal"/>
      <w:lvlText w:val="%1."/>
      <w:lvlJc w:val="left"/>
      <w:pPr>
        <w:ind w:left="1080" w:hanging="360"/>
      </w:pPr>
      <w:rPr>
        <w:rFonts w:hint="default"/>
      </w:rPr>
    </w:lvl>
    <w:lvl w:ilvl="1">
      <w:start w:val="1"/>
      <w:numFmt w:val="decimal"/>
      <w:isLgl/>
      <w:lvlText w:val="%1.%2."/>
      <w:lvlJc w:val="left"/>
      <w:pPr>
        <w:ind w:left="1440" w:hanging="72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nsid w:val="6F6E2633"/>
    <w:multiLevelType w:val="hybridMultilevel"/>
    <w:tmpl w:val="5CF4805C"/>
    <w:lvl w:ilvl="0" w:tplc="A0D46E84">
      <w:start w:val="2001"/>
      <w:numFmt w:val="bullet"/>
      <w:lvlText w:val="-"/>
      <w:lvlJc w:val="left"/>
      <w:pPr>
        <w:ind w:left="720" w:hanging="360"/>
      </w:pPr>
      <w:rPr>
        <w:rFonts w:ascii="Times New Roman" w:eastAsiaTheme="minorHAnsi" w:hAnsi="Times New Roman" w:cs="Times New Roman"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nsid w:val="716D280D"/>
    <w:multiLevelType w:val="hybridMultilevel"/>
    <w:tmpl w:val="D0A01820"/>
    <w:lvl w:ilvl="0" w:tplc="AD1CA00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74761294"/>
    <w:multiLevelType w:val="multilevel"/>
    <w:tmpl w:val="D1AC38B0"/>
    <w:lvl w:ilvl="0">
      <w:start w:val="2"/>
      <w:numFmt w:val="decimal"/>
      <w:lvlText w:val="%1."/>
      <w:lvlJc w:val="left"/>
      <w:pPr>
        <w:ind w:left="450" w:hanging="450"/>
      </w:pPr>
      <w:rPr>
        <w:rFonts w:hint="default"/>
        <w:i/>
      </w:rPr>
    </w:lvl>
    <w:lvl w:ilvl="1">
      <w:start w:val="1"/>
      <w:numFmt w:val="decimal"/>
      <w:lvlText w:val="%1.%2."/>
      <w:lvlJc w:val="left"/>
      <w:pPr>
        <w:ind w:left="1080" w:hanging="72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960" w:hanging="180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21">
    <w:nsid w:val="75465618"/>
    <w:multiLevelType w:val="hybridMultilevel"/>
    <w:tmpl w:val="C48E0BD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76EA4126"/>
    <w:multiLevelType w:val="multilevel"/>
    <w:tmpl w:val="86F4B4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2"/>
  </w:num>
  <w:num w:numId="3">
    <w:abstractNumId w:val="10"/>
  </w:num>
  <w:num w:numId="4">
    <w:abstractNumId w:val="1"/>
  </w:num>
  <w:num w:numId="5">
    <w:abstractNumId w:val="18"/>
  </w:num>
  <w:num w:numId="6">
    <w:abstractNumId w:val="18"/>
  </w:num>
  <w:num w:numId="7">
    <w:abstractNumId w:val="16"/>
  </w:num>
  <w:num w:numId="8">
    <w:abstractNumId w:val="0"/>
  </w:num>
  <w:num w:numId="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4"/>
  </w:num>
  <w:num w:numId="12">
    <w:abstractNumId w:val="15"/>
  </w:num>
  <w:num w:numId="13">
    <w:abstractNumId w:val="7"/>
  </w:num>
  <w:num w:numId="14">
    <w:abstractNumId w:val="21"/>
  </w:num>
  <w:num w:numId="15">
    <w:abstractNumId w:val="19"/>
  </w:num>
  <w:num w:numId="16">
    <w:abstractNumId w:val="11"/>
  </w:num>
  <w:num w:numId="17">
    <w:abstractNumId w:val="6"/>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2"/>
  </w:num>
  <w:num w:numId="21">
    <w:abstractNumId w:val="22"/>
  </w:num>
  <w:num w:numId="22">
    <w:abstractNumId w:val="17"/>
  </w:num>
  <w:num w:numId="23">
    <w:abstractNumId w:val="14"/>
  </w:num>
  <w:num w:numId="24">
    <w:abstractNumId w:val="2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149"/>
    <w:rsid w:val="000057CA"/>
    <w:rsid w:val="00013577"/>
    <w:rsid w:val="00013CD7"/>
    <w:rsid w:val="00017EBA"/>
    <w:rsid w:val="00021C5C"/>
    <w:rsid w:val="0002689F"/>
    <w:rsid w:val="00027788"/>
    <w:rsid w:val="00031E9C"/>
    <w:rsid w:val="00032093"/>
    <w:rsid w:val="00033E6E"/>
    <w:rsid w:val="000341A8"/>
    <w:rsid w:val="0003742D"/>
    <w:rsid w:val="000413D1"/>
    <w:rsid w:val="000529C3"/>
    <w:rsid w:val="00063A68"/>
    <w:rsid w:val="000660F3"/>
    <w:rsid w:val="000662C6"/>
    <w:rsid w:val="00085F48"/>
    <w:rsid w:val="000B6A98"/>
    <w:rsid w:val="000D260F"/>
    <w:rsid w:val="000E2A05"/>
    <w:rsid w:val="000E3220"/>
    <w:rsid w:val="00122FBD"/>
    <w:rsid w:val="0014575E"/>
    <w:rsid w:val="00147E9E"/>
    <w:rsid w:val="00171490"/>
    <w:rsid w:val="00177849"/>
    <w:rsid w:val="0019442B"/>
    <w:rsid w:val="001A55F9"/>
    <w:rsid w:val="001A685B"/>
    <w:rsid w:val="001B551D"/>
    <w:rsid w:val="001B5C55"/>
    <w:rsid w:val="001B76F7"/>
    <w:rsid w:val="001C72F1"/>
    <w:rsid w:val="001D1CE9"/>
    <w:rsid w:val="001E37D5"/>
    <w:rsid w:val="001E576F"/>
    <w:rsid w:val="001F57E9"/>
    <w:rsid w:val="00200657"/>
    <w:rsid w:val="00204FFF"/>
    <w:rsid w:val="0020563E"/>
    <w:rsid w:val="00221144"/>
    <w:rsid w:val="00224236"/>
    <w:rsid w:val="002418D1"/>
    <w:rsid w:val="002671FD"/>
    <w:rsid w:val="00281377"/>
    <w:rsid w:val="0028461F"/>
    <w:rsid w:val="00290914"/>
    <w:rsid w:val="002B1543"/>
    <w:rsid w:val="002C29CA"/>
    <w:rsid w:val="002C5CA0"/>
    <w:rsid w:val="002C6008"/>
    <w:rsid w:val="002D6158"/>
    <w:rsid w:val="002D6C7C"/>
    <w:rsid w:val="002E7B7D"/>
    <w:rsid w:val="002F2551"/>
    <w:rsid w:val="002F41D7"/>
    <w:rsid w:val="002F4D7B"/>
    <w:rsid w:val="003147D7"/>
    <w:rsid w:val="003204D9"/>
    <w:rsid w:val="00321D36"/>
    <w:rsid w:val="00335C8E"/>
    <w:rsid w:val="00341DAB"/>
    <w:rsid w:val="00351587"/>
    <w:rsid w:val="003545A9"/>
    <w:rsid w:val="003714DF"/>
    <w:rsid w:val="00381E00"/>
    <w:rsid w:val="00390F30"/>
    <w:rsid w:val="0039430A"/>
    <w:rsid w:val="00395833"/>
    <w:rsid w:val="003A1B3E"/>
    <w:rsid w:val="003A3FD0"/>
    <w:rsid w:val="003A4867"/>
    <w:rsid w:val="003B2905"/>
    <w:rsid w:val="003B29AB"/>
    <w:rsid w:val="003B2B91"/>
    <w:rsid w:val="003B4087"/>
    <w:rsid w:val="003B5A5E"/>
    <w:rsid w:val="003D3EF2"/>
    <w:rsid w:val="003F72A7"/>
    <w:rsid w:val="003F7466"/>
    <w:rsid w:val="00412F89"/>
    <w:rsid w:val="00414A86"/>
    <w:rsid w:val="00427EFB"/>
    <w:rsid w:val="00436A5F"/>
    <w:rsid w:val="004375B6"/>
    <w:rsid w:val="004419D9"/>
    <w:rsid w:val="00442EEA"/>
    <w:rsid w:val="00447819"/>
    <w:rsid w:val="004511B3"/>
    <w:rsid w:val="0046353E"/>
    <w:rsid w:val="00463A48"/>
    <w:rsid w:val="00463AF7"/>
    <w:rsid w:val="00466B07"/>
    <w:rsid w:val="004910B6"/>
    <w:rsid w:val="004A68C7"/>
    <w:rsid w:val="004C3C42"/>
    <w:rsid w:val="004C53DB"/>
    <w:rsid w:val="004C686D"/>
    <w:rsid w:val="004D158B"/>
    <w:rsid w:val="004D46D5"/>
    <w:rsid w:val="004E37B0"/>
    <w:rsid w:val="004E5D24"/>
    <w:rsid w:val="005023DE"/>
    <w:rsid w:val="00510601"/>
    <w:rsid w:val="0051177C"/>
    <w:rsid w:val="00513AC7"/>
    <w:rsid w:val="00521BB0"/>
    <w:rsid w:val="00526F70"/>
    <w:rsid w:val="00527BC9"/>
    <w:rsid w:val="005362B8"/>
    <w:rsid w:val="00537FCC"/>
    <w:rsid w:val="005454A4"/>
    <w:rsid w:val="005456C1"/>
    <w:rsid w:val="00553CC9"/>
    <w:rsid w:val="00561BE3"/>
    <w:rsid w:val="005639E0"/>
    <w:rsid w:val="005702CC"/>
    <w:rsid w:val="00576EA1"/>
    <w:rsid w:val="0059654F"/>
    <w:rsid w:val="005A3701"/>
    <w:rsid w:val="005E024A"/>
    <w:rsid w:val="005E55FE"/>
    <w:rsid w:val="005E7125"/>
    <w:rsid w:val="005E75EC"/>
    <w:rsid w:val="005E7C5A"/>
    <w:rsid w:val="005F6066"/>
    <w:rsid w:val="00601214"/>
    <w:rsid w:val="00601F3F"/>
    <w:rsid w:val="00614E55"/>
    <w:rsid w:val="00622FA4"/>
    <w:rsid w:val="00625280"/>
    <w:rsid w:val="00631B8D"/>
    <w:rsid w:val="00631C84"/>
    <w:rsid w:val="00632861"/>
    <w:rsid w:val="00634E89"/>
    <w:rsid w:val="00636345"/>
    <w:rsid w:val="00650CF0"/>
    <w:rsid w:val="0066233C"/>
    <w:rsid w:val="006629E3"/>
    <w:rsid w:val="00681523"/>
    <w:rsid w:val="0069182E"/>
    <w:rsid w:val="006A338B"/>
    <w:rsid w:val="006B14A9"/>
    <w:rsid w:val="006B3895"/>
    <w:rsid w:val="006B3DDA"/>
    <w:rsid w:val="006B438A"/>
    <w:rsid w:val="006B57B9"/>
    <w:rsid w:val="006B68BF"/>
    <w:rsid w:val="006C034F"/>
    <w:rsid w:val="006C22E9"/>
    <w:rsid w:val="006C2E00"/>
    <w:rsid w:val="006C726D"/>
    <w:rsid w:val="006D30E4"/>
    <w:rsid w:val="006E04B3"/>
    <w:rsid w:val="006E0AD5"/>
    <w:rsid w:val="006E0F5A"/>
    <w:rsid w:val="006E350C"/>
    <w:rsid w:val="006E5353"/>
    <w:rsid w:val="006E64B9"/>
    <w:rsid w:val="006F2C6E"/>
    <w:rsid w:val="006F7603"/>
    <w:rsid w:val="00705D5F"/>
    <w:rsid w:val="00710649"/>
    <w:rsid w:val="00712C7C"/>
    <w:rsid w:val="00717244"/>
    <w:rsid w:val="00731520"/>
    <w:rsid w:val="00740BDC"/>
    <w:rsid w:val="00744293"/>
    <w:rsid w:val="00744B8F"/>
    <w:rsid w:val="00753020"/>
    <w:rsid w:val="00755AF8"/>
    <w:rsid w:val="00760099"/>
    <w:rsid w:val="00760549"/>
    <w:rsid w:val="00764DF4"/>
    <w:rsid w:val="00767A94"/>
    <w:rsid w:val="00771703"/>
    <w:rsid w:val="00771FF1"/>
    <w:rsid w:val="00773801"/>
    <w:rsid w:val="00785141"/>
    <w:rsid w:val="0078551D"/>
    <w:rsid w:val="0079416B"/>
    <w:rsid w:val="007A50DB"/>
    <w:rsid w:val="007B491F"/>
    <w:rsid w:val="007C540D"/>
    <w:rsid w:val="007F2690"/>
    <w:rsid w:val="00802AF5"/>
    <w:rsid w:val="0080408A"/>
    <w:rsid w:val="00811586"/>
    <w:rsid w:val="0081536D"/>
    <w:rsid w:val="00822115"/>
    <w:rsid w:val="00825CFF"/>
    <w:rsid w:val="0083423F"/>
    <w:rsid w:val="00834CF7"/>
    <w:rsid w:val="00840991"/>
    <w:rsid w:val="008418DA"/>
    <w:rsid w:val="00844BBC"/>
    <w:rsid w:val="00847CE9"/>
    <w:rsid w:val="00857DD7"/>
    <w:rsid w:val="008607EC"/>
    <w:rsid w:val="008725A8"/>
    <w:rsid w:val="008737A6"/>
    <w:rsid w:val="008812A7"/>
    <w:rsid w:val="0088152E"/>
    <w:rsid w:val="00887773"/>
    <w:rsid w:val="008A259F"/>
    <w:rsid w:val="008A6D9C"/>
    <w:rsid w:val="008B276C"/>
    <w:rsid w:val="008C0A9D"/>
    <w:rsid w:val="008D36F2"/>
    <w:rsid w:val="008E2E18"/>
    <w:rsid w:val="008E4AF1"/>
    <w:rsid w:val="008F569A"/>
    <w:rsid w:val="00915325"/>
    <w:rsid w:val="0091747A"/>
    <w:rsid w:val="009203BA"/>
    <w:rsid w:val="00920DBA"/>
    <w:rsid w:val="00923A81"/>
    <w:rsid w:val="00927532"/>
    <w:rsid w:val="0092785B"/>
    <w:rsid w:val="00931CDE"/>
    <w:rsid w:val="0094104E"/>
    <w:rsid w:val="00942112"/>
    <w:rsid w:val="009422BF"/>
    <w:rsid w:val="00943DDF"/>
    <w:rsid w:val="00947823"/>
    <w:rsid w:val="0095258B"/>
    <w:rsid w:val="00954684"/>
    <w:rsid w:val="0095522B"/>
    <w:rsid w:val="009557C7"/>
    <w:rsid w:val="00985B25"/>
    <w:rsid w:val="00990DA0"/>
    <w:rsid w:val="00994772"/>
    <w:rsid w:val="009A19F4"/>
    <w:rsid w:val="009A55A2"/>
    <w:rsid w:val="009A6A73"/>
    <w:rsid w:val="009A7982"/>
    <w:rsid w:val="009B058A"/>
    <w:rsid w:val="009B2EDF"/>
    <w:rsid w:val="009B59A3"/>
    <w:rsid w:val="009B731B"/>
    <w:rsid w:val="009C0970"/>
    <w:rsid w:val="009C100D"/>
    <w:rsid w:val="009C550F"/>
    <w:rsid w:val="009D7557"/>
    <w:rsid w:val="009E56F4"/>
    <w:rsid w:val="009F1BDD"/>
    <w:rsid w:val="009F4373"/>
    <w:rsid w:val="00A06CE4"/>
    <w:rsid w:val="00A17407"/>
    <w:rsid w:val="00A31C72"/>
    <w:rsid w:val="00A351A4"/>
    <w:rsid w:val="00A42DA7"/>
    <w:rsid w:val="00A4315D"/>
    <w:rsid w:val="00A466AB"/>
    <w:rsid w:val="00A6432D"/>
    <w:rsid w:val="00A64D61"/>
    <w:rsid w:val="00A70550"/>
    <w:rsid w:val="00A85829"/>
    <w:rsid w:val="00A8725F"/>
    <w:rsid w:val="00A96EA6"/>
    <w:rsid w:val="00A97F27"/>
    <w:rsid w:val="00AA08E1"/>
    <w:rsid w:val="00AB3B95"/>
    <w:rsid w:val="00AB3D58"/>
    <w:rsid w:val="00AC316C"/>
    <w:rsid w:val="00AC3E1C"/>
    <w:rsid w:val="00AC696D"/>
    <w:rsid w:val="00AC6C4F"/>
    <w:rsid w:val="00AC76C2"/>
    <w:rsid w:val="00AD587F"/>
    <w:rsid w:val="00AF13C3"/>
    <w:rsid w:val="00B01D94"/>
    <w:rsid w:val="00B03F39"/>
    <w:rsid w:val="00B07D49"/>
    <w:rsid w:val="00B1519A"/>
    <w:rsid w:val="00B15EE9"/>
    <w:rsid w:val="00B431C1"/>
    <w:rsid w:val="00B55406"/>
    <w:rsid w:val="00B55E8A"/>
    <w:rsid w:val="00B57248"/>
    <w:rsid w:val="00B65B62"/>
    <w:rsid w:val="00B66ECE"/>
    <w:rsid w:val="00B67D57"/>
    <w:rsid w:val="00B83CEF"/>
    <w:rsid w:val="00B93E91"/>
    <w:rsid w:val="00BA475F"/>
    <w:rsid w:val="00BB145D"/>
    <w:rsid w:val="00BB6174"/>
    <w:rsid w:val="00BC06B8"/>
    <w:rsid w:val="00BC0D10"/>
    <w:rsid w:val="00BD06A5"/>
    <w:rsid w:val="00BD1FE2"/>
    <w:rsid w:val="00BE692E"/>
    <w:rsid w:val="00BE7805"/>
    <w:rsid w:val="00BE7893"/>
    <w:rsid w:val="00BF39B3"/>
    <w:rsid w:val="00BF738F"/>
    <w:rsid w:val="00C1118E"/>
    <w:rsid w:val="00C22381"/>
    <w:rsid w:val="00C25291"/>
    <w:rsid w:val="00C312AC"/>
    <w:rsid w:val="00C37F96"/>
    <w:rsid w:val="00C439E6"/>
    <w:rsid w:val="00C54788"/>
    <w:rsid w:val="00C551D2"/>
    <w:rsid w:val="00C61CBA"/>
    <w:rsid w:val="00C66BFA"/>
    <w:rsid w:val="00C8104D"/>
    <w:rsid w:val="00C9053D"/>
    <w:rsid w:val="00CA0961"/>
    <w:rsid w:val="00CA5879"/>
    <w:rsid w:val="00CA6568"/>
    <w:rsid w:val="00CA7E5C"/>
    <w:rsid w:val="00CB203A"/>
    <w:rsid w:val="00CC2A88"/>
    <w:rsid w:val="00CD3E66"/>
    <w:rsid w:val="00CD5B6C"/>
    <w:rsid w:val="00CD7149"/>
    <w:rsid w:val="00CE078D"/>
    <w:rsid w:val="00CE10D9"/>
    <w:rsid w:val="00CE36C8"/>
    <w:rsid w:val="00CE5FE5"/>
    <w:rsid w:val="00D00E97"/>
    <w:rsid w:val="00D04EA2"/>
    <w:rsid w:val="00D1604F"/>
    <w:rsid w:val="00D1654D"/>
    <w:rsid w:val="00D30284"/>
    <w:rsid w:val="00D35423"/>
    <w:rsid w:val="00D4524D"/>
    <w:rsid w:val="00D55386"/>
    <w:rsid w:val="00D56CE5"/>
    <w:rsid w:val="00D703D3"/>
    <w:rsid w:val="00D7153F"/>
    <w:rsid w:val="00D87DFA"/>
    <w:rsid w:val="00D9161A"/>
    <w:rsid w:val="00D93A81"/>
    <w:rsid w:val="00D965C2"/>
    <w:rsid w:val="00DB709F"/>
    <w:rsid w:val="00DC2C8A"/>
    <w:rsid w:val="00DD2EC8"/>
    <w:rsid w:val="00DD6C21"/>
    <w:rsid w:val="00DE35A5"/>
    <w:rsid w:val="00DE45CB"/>
    <w:rsid w:val="00DE4A95"/>
    <w:rsid w:val="00DE5581"/>
    <w:rsid w:val="00DF10E9"/>
    <w:rsid w:val="00DF765A"/>
    <w:rsid w:val="00E02C93"/>
    <w:rsid w:val="00E10419"/>
    <w:rsid w:val="00E1299E"/>
    <w:rsid w:val="00E14005"/>
    <w:rsid w:val="00E160B4"/>
    <w:rsid w:val="00E228D3"/>
    <w:rsid w:val="00E36326"/>
    <w:rsid w:val="00E40B58"/>
    <w:rsid w:val="00E41AD8"/>
    <w:rsid w:val="00E41E90"/>
    <w:rsid w:val="00E5146A"/>
    <w:rsid w:val="00E518C9"/>
    <w:rsid w:val="00E6525C"/>
    <w:rsid w:val="00E7170E"/>
    <w:rsid w:val="00E72F4E"/>
    <w:rsid w:val="00E75746"/>
    <w:rsid w:val="00E7750C"/>
    <w:rsid w:val="00E82A69"/>
    <w:rsid w:val="00E87457"/>
    <w:rsid w:val="00E94993"/>
    <w:rsid w:val="00E9597F"/>
    <w:rsid w:val="00EA7698"/>
    <w:rsid w:val="00EB01AB"/>
    <w:rsid w:val="00EC2B9C"/>
    <w:rsid w:val="00EC4FA2"/>
    <w:rsid w:val="00EC7189"/>
    <w:rsid w:val="00EC7AFC"/>
    <w:rsid w:val="00ED49EE"/>
    <w:rsid w:val="00ED5F53"/>
    <w:rsid w:val="00EE3074"/>
    <w:rsid w:val="00EE4484"/>
    <w:rsid w:val="00EF17B8"/>
    <w:rsid w:val="00F22E49"/>
    <w:rsid w:val="00F337EC"/>
    <w:rsid w:val="00F342C8"/>
    <w:rsid w:val="00F44199"/>
    <w:rsid w:val="00F55A11"/>
    <w:rsid w:val="00F63C66"/>
    <w:rsid w:val="00F90514"/>
    <w:rsid w:val="00F9424B"/>
    <w:rsid w:val="00F958C0"/>
    <w:rsid w:val="00FB3924"/>
    <w:rsid w:val="00FC0855"/>
    <w:rsid w:val="00FC1117"/>
    <w:rsid w:val="00FC25E7"/>
    <w:rsid w:val="00FC2B48"/>
    <w:rsid w:val="00FC4509"/>
    <w:rsid w:val="00FC78CD"/>
    <w:rsid w:val="00FD0F29"/>
    <w:rsid w:val="00FD5D22"/>
    <w:rsid w:val="00FE125B"/>
    <w:rsid w:val="00FE74DD"/>
    <w:rsid w:val="00FE7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57"/>
    <w:pPr>
      <w:spacing w:before="120" w:after="120"/>
      <w:ind w:firstLine="720"/>
      <w:jc w:val="both"/>
    </w:pPr>
    <w:rPr>
      <w:rFonts w:ascii="Times New Roman" w:hAnsi="Times New Roman"/>
      <w:sz w:val="28"/>
    </w:rPr>
  </w:style>
  <w:style w:type="paragraph" w:styleId="Heading1">
    <w:name w:val="heading 1"/>
    <w:basedOn w:val="Normal"/>
    <w:next w:val="Normal"/>
    <w:link w:val="Heading1Char"/>
    <w:uiPriority w:val="9"/>
    <w:qFormat/>
    <w:rsid w:val="00FE125B"/>
    <w:pPr>
      <w:keepNext/>
      <w:keepLines/>
      <w:pageBreakBefore/>
      <w:spacing w:before="240" w:after="240" w:line="240" w:lineRule="auto"/>
      <w:outlineLvl w:val="0"/>
    </w:pPr>
    <w:rPr>
      <w:rFonts w:eastAsiaTheme="majorEastAsia" w:cstheme="majorBidi"/>
      <w:b/>
      <w:bCs/>
      <w:smallCaps/>
      <w:sz w:val="32"/>
      <w:szCs w:val="28"/>
    </w:rPr>
  </w:style>
  <w:style w:type="paragraph" w:styleId="Heading2">
    <w:name w:val="heading 2"/>
    <w:basedOn w:val="Normal"/>
    <w:next w:val="Normal"/>
    <w:link w:val="Heading2Char"/>
    <w:uiPriority w:val="9"/>
    <w:unhideWhenUsed/>
    <w:qFormat/>
    <w:rsid w:val="00177849"/>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F57E9"/>
    <w:pPr>
      <w:keepNext/>
      <w:keepLines/>
      <w:spacing w:before="240" w:line="240" w:lineRule="auto"/>
      <w:outlineLvl w:val="2"/>
    </w:pPr>
    <w:rPr>
      <w:rFonts w:eastAsiaTheme="majorEastAsia"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5B"/>
    <w:rPr>
      <w:rFonts w:ascii="Times New Roman" w:eastAsiaTheme="majorEastAsia" w:hAnsi="Times New Roman" w:cstheme="majorBidi"/>
      <w:b/>
      <w:bCs/>
      <w:smallCaps/>
      <w:sz w:val="32"/>
      <w:szCs w:val="28"/>
    </w:rPr>
  </w:style>
  <w:style w:type="character" w:customStyle="1" w:styleId="Heading2Char">
    <w:name w:val="Heading 2 Char"/>
    <w:basedOn w:val="DefaultParagraphFont"/>
    <w:link w:val="Heading2"/>
    <w:uiPriority w:val="9"/>
    <w:rsid w:val="00177849"/>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1F57E9"/>
    <w:rPr>
      <w:rFonts w:ascii="Times New Roman" w:eastAsiaTheme="majorEastAsia" w:hAnsi="Times New Roman" w:cstheme="majorBidi"/>
      <w:b/>
      <w:bCs/>
      <w:i/>
      <w:sz w:val="28"/>
    </w:rPr>
  </w:style>
  <w:style w:type="character" w:styleId="CommentReference">
    <w:name w:val="annotation reference"/>
    <w:uiPriority w:val="99"/>
    <w:semiHidden/>
    <w:unhideWhenUsed/>
    <w:rsid w:val="00CD7149"/>
    <w:rPr>
      <w:sz w:val="16"/>
      <w:szCs w:val="16"/>
    </w:rPr>
  </w:style>
  <w:style w:type="paragraph" w:styleId="CommentText">
    <w:name w:val="annotation text"/>
    <w:basedOn w:val="Normal"/>
    <w:link w:val="CommentTextChar"/>
    <w:uiPriority w:val="99"/>
    <w:unhideWhenUsed/>
    <w:rsid w:val="00CD7149"/>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D7149"/>
    <w:rPr>
      <w:rFonts w:ascii="Calibri" w:eastAsia="Calibri" w:hAnsi="Calibri" w:cs="Times New Roman"/>
      <w:sz w:val="20"/>
      <w:szCs w:val="20"/>
    </w:rPr>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
    <w:basedOn w:val="Normal"/>
    <w:link w:val="FootnoteTextChar"/>
    <w:uiPriority w:val="99"/>
    <w:unhideWhenUsed/>
    <w:rsid w:val="00CD7149"/>
    <w:pPr>
      <w:spacing w:after="0" w:line="240" w:lineRule="auto"/>
    </w:pPr>
    <w:rPr>
      <w:rFonts w:ascii="Calibri" w:eastAsia="Calibri" w:hAnsi="Calibri" w:cs="Times New Roman"/>
      <w:sz w:val="20"/>
      <w:szCs w:val="20"/>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rsid w:val="00CD7149"/>
    <w:rPr>
      <w:rFonts w:ascii="Calibri" w:eastAsia="Calibri" w:hAnsi="Calibri" w:cs="Times New Roman"/>
      <w:sz w:val="20"/>
      <w:szCs w:val="20"/>
    </w:rPr>
  </w:style>
  <w:style w:type="character" w:styleId="FootnoteReference">
    <w:name w:val="footnote reference"/>
    <w:aliases w:val="Footnote Reference Number,SUPERS"/>
    <w:uiPriority w:val="99"/>
    <w:unhideWhenUsed/>
    <w:rsid w:val="00CD7149"/>
    <w:rPr>
      <w:vertAlign w:val="superscript"/>
    </w:rPr>
  </w:style>
  <w:style w:type="paragraph" w:styleId="BalloonText">
    <w:name w:val="Balloon Text"/>
    <w:basedOn w:val="Normal"/>
    <w:link w:val="BalloonTextChar"/>
    <w:uiPriority w:val="99"/>
    <w:semiHidden/>
    <w:unhideWhenUsed/>
    <w:rsid w:val="00CD7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149"/>
    <w:rPr>
      <w:rFonts w:ascii="Tahoma" w:hAnsi="Tahoma" w:cs="Tahoma"/>
      <w:sz w:val="16"/>
      <w:szCs w:val="16"/>
    </w:rPr>
  </w:style>
  <w:style w:type="paragraph" w:styleId="ListParagraph">
    <w:name w:val="List Paragraph"/>
    <w:basedOn w:val="Normal"/>
    <w:uiPriority w:val="34"/>
    <w:qFormat/>
    <w:rsid w:val="00DC2C8A"/>
    <w:pPr>
      <w:ind w:left="720"/>
      <w:contextualSpacing/>
    </w:pPr>
  </w:style>
  <w:style w:type="paragraph" w:styleId="TOC1">
    <w:name w:val="toc 1"/>
    <w:basedOn w:val="Normal"/>
    <w:next w:val="Normal"/>
    <w:autoRedefine/>
    <w:uiPriority w:val="39"/>
    <w:unhideWhenUsed/>
    <w:qFormat/>
    <w:rsid w:val="00FE125B"/>
    <w:pPr>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DC2C8A"/>
    <w:pPr>
      <w:spacing w:before="0" w:after="0"/>
      <w:ind w:left="28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DC2C8A"/>
    <w:pPr>
      <w:spacing w:before="0" w:after="0"/>
      <w:ind w:left="56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DC2C8A"/>
    <w:rPr>
      <w:color w:val="0000FF" w:themeColor="hyperlink"/>
      <w:u w:val="single"/>
    </w:rPr>
  </w:style>
  <w:style w:type="paragraph" w:styleId="PlainText">
    <w:name w:val="Plain Text"/>
    <w:basedOn w:val="Normal"/>
    <w:link w:val="PlainTextChar"/>
    <w:uiPriority w:val="99"/>
    <w:unhideWhenUsed/>
    <w:rsid w:val="00CA656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A6568"/>
    <w:rPr>
      <w:rFonts w:ascii="Calibri" w:hAnsi="Calibri"/>
      <w:szCs w:val="21"/>
    </w:rPr>
  </w:style>
  <w:style w:type="paragraph" w:customStyle="1" w:styleId="Default">
    <w:name w:val="Default"/>
    <w:rsid w:val="002C29CA"/>
    <w:pPr>
      <w:autoSpaceDE w:val="0"/>
      <w:autoSpaceDN w:val="0"/>
      <w:adjustRightInd w:val="0"/>
      <w:spacing w:after="0" w:line="240" w:lineRule="auto"/>
    </w:pPr>
    <w:rPr>
      <w:rFonts w:ascii="Arial" w:eastAsia="Calibri" w:hAnsi="Arial" w:cs="Arial"/>
      <w:color w:val="000000"/>
      <w:sz w:val="24"/>
      <w:szCs w:val="24"/>
      <w:lang w:eastAsia="lv-LV"/>
    </w:rPr>
  </w:style>
  <w:style w:type="paragraph" w:styleId="CommentSubject">
    <w:name w:val="annotation subject"/>
    <w:basedOn w:val="CommentText"/>
    <w:next w:val="CommentText"/>
    <w:link w:val="CommentSubjectChar"/>
    <w:uiPriority w:val="99"/>
    <w:semiHidden/>
    <w:unhideWhenUsed/>
    <w:rsid w:val="002C29CA"/>
    <w:rPr>
      <w:b/>
      <w:bCs/>
    </w:rPr>
  </w:style>
  <w:style w:type="character" w:customStyle="1" w:styleId="CommentSubjectChar">
    <w:name w:val="Comment Subject Char"/>
    <w:basedOn w:val="CommentTextChar"/>
    <w:link w:val="CommentSubject"/>
    <w:uiPriority w:val="99"/>
    <w:semiHidden/>
    <w:rsid w:val="002C29CA"/>
    <w:rPr>
      <w:rFonts w:ascii="Calibri" w:eastAsia="Calibri" w:hAnsi="Calibri" w:cs="Times New Roman"/>
      <w:b/>
      <w:bCs/>
      <w:sz w:val="20"/>
      <w:szCs w:val="20"/>
    </w:rPr>
  </w:style>
  <w:style w:type="table" w:styleId="TableGrid">
    <w:name w:val="Table Grid"/>
    <w:basedOn w:val="TableNormal"/>
    <w:uiPriority w:val="59"/>
    <w:rsid w:val="002C2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C29CA"/>
    <w:pPr>
      <w:tabs>
        <w:tab w:val="center" w:pos="4153"/>
        <w:tab w:val="right" w:pos="8306"/>
      </w:tabs>
      <w:spacing w:line="240" w:lineRule="auto"/>
    </w:pPr>
    <w:rPr>
      <w:rFonts w:eastAsia="Times New Roman" w:cs="Times New Roman"/>
      <w:sz w:val="24"/>
      <w:szCs w:val="24"/>
      <w:lang w:val="en-GB"/>
    </w:rPr>
  </w:style>
  <w:style w:type="character" w:customStyle="1" w:styleId="HeaderChar">
    <w:name w:val="Header Char"/>
    <w:basedOn w:val="DefaultParagraphFont"/>
    <w:link w:val="Header"/>
    <w:uiPriority w:val="99"/>
    <w:rsid w:val="002C29CA"/>
    <w:rPr>
      <w:rFonts w:ascii="Times New Roman" w:eastAsia="Times New Roman" w:hAnsi="Times New Roman" w:cs="Times New Roman"/>
      <w:sz w:val="24"/>
      <w:szCs w:val="24"/>
      <w:lang w:val="en-GB"/>
    </w:rPr>
  </w:style>
  <w:style w:type="character" w:customStyle="1" w:styleId="st1">
    <w:name w:val="st1"/>
    <w:basedOn w:val="DefaultParagraphFont"/>
    <w:rsid w:val="002C29CA"/>
  </w:style>
  <w:style w:type="paragraph" w:styleId="Footer">
    <w:name w:val="footer"/>
    <w:basedOn w:val="Normal"/>
    <w:link w:val="FooterChar"/>
    <w:uiPriority w:val="99"/>
    <w:unhideWhenUsed/>
    <w:rsid w:val="002C29CA"/>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C29CA"/>
    <w:rPr>
      <w:rFonts w:ascii="Calibri" w:eastAsia="Calibri" w:hAnsi="Calibri" w:cs="Times New Roman"/>
    </w:rPr>
  </w:style>
  <w:style w:type="paragraph" w:customStyle="1" w:styleId="naislab">
    <w:name w:val="naislab"/>
    <w:basedOn w:val="Normal"/>
    <w:rsid w:val="002C29CA"/>
    <w:pPr>
      <w:spacing w:before="75" w:after="75" w:line="240" w:lineRule="auto"/>
      <w:jc w:val="right"/>
    </w:pPr>
    <w:rPr>
      <w:rFonts w:eastAsia="Times New Roman" w:cs="Times New Roman"/>
      <w:sz w:val="24"/>
      <w:szCs w:val="24"/>
      <w:lang w:eastAsia="lv-LV"/>
    </w:rPr>
  </w:style>
  <w:style w:type="paragraph" w:styleId="BodyText">
    <w:name w:val="Body Text"/>
    <w:basedOn w:val="Normal"/>
    <w:link w:val="BodyTextChar"/>
    <w:uiPriority w:val="99"/>
    <w:unhideWhenUsed/>
    <w:rsid w:val="002C29CA"/>
    <w:pPr>
      <w:spacing w:line="240" w:lineRule="auto"/>
    </w:pPr>
    <w:rPr>
      <w:rFonts w:ascii="Calibri" w:eastAsia="Calibri" w:hAnsi="Calibri" w:cs="Times New Roman"/>
    </w:rPr>
  </w:style>
  <w:style w:type="character" w:customStyle="1" w:styleId="BodyTextChar">
    <w:name w:val="Body Text Char"/>
    <w:basedOn w:val="DefaultParagraphFont"/>
    <w:link w:val="BodyText"/>
    <w:uiPriority w:val="99"/>
    <w:rsid w:val="002C29CA"/>
    <w:rPr>
      <w:rFonts w:ascii="Calibri" w:eastAsia="Calibri" w:hAnsi="Calibri" w:cs="Times New Roman"/>
    </w:rPr>
  </w:style>
  <w:style w:type="character" w:styleId="Emphasis">
    <w:name w:val="Emphasis"/>
    <w:basedOn w:val="DefaultParagraphFont"/>
    <w:uiPriority w:val="20"/>
    <w:qFormat/>
    <w:rsid w:val="000662C6"/>
    <w:rPr>
      <w:b/>
      <w:bCs/>
      <w:i w:val="0"/>
      <w:iCs w:val="0"/>
    </w:rPr>
  </w:style>
  <w:style w:type="character" w:customStyle="1" w:styleId="st">
    <w:name w:val="st"/>
    <w:basedOn w:val="DefaultParagraphFont"/>
    <w:rsid w:val="000662C6"/>
  </w:style>
  <w:style w:type="character" w:customStyle="1" w:styleId="longtext">
    <w:name w:val="long_text"/>
    <w:rsid w:val="00FE125B"/>
  </w:style>
  <w:style w:type="character" w:customStyle="1" w:styleId="reference-text">
    <w:name w:val="reference-text"/>
    <w:rsid w:val="00FE125B"/>
  </w:style>
  <w:style w:type="paragraph" w:styleId="NormalWeb">
    <w:name w:val="Normal (Web)"/>
    <w:basedOn w:val="Normal"/>
    <w:uiPriority w:val="99"/>
    <w:rsid w:val="00EC7189"/>
    <w:pPr>
      <w:spacing w:before="100" w:beforeAutospacing="1" w:after="100" w:afterAutospacing="1" w:line="240" w:lineRule="auto"/>
      <w:ind w:firstLine="0"/>
      <w:jc w:val="left"/>
    </w:pPr>
    <w:rPr>
      <w:rFonts w:ascii="Helvetica" w:eastAsia="Times New Roman" w:hAnsi="Helvetica" w:cs="Times New Roman"/>
      <w:color w:val="000000"/>
      <w:sz w:val="20"/>
      <w:szCs w:val="20"/>
      <w:lang w:eastAsia="lv-LV"/>
    </w:rPr>
  </w:style>
  <w:style w:type="paragraph" w:customStyle="1" w:styleId="naisf">
    <w:name w:val="naisf"/>
    <w:basedOn w:val="Normal"/>
    <w:rsid w:val="00EC7189"/>
    <w:pPr>
      <w:spacing w:before="100" w:beforeAutospacing="1" w:after="100" w:afterAutospacing="1" w:line="240" w:lineRule="auto"/>
      <w:ind w:firstLine="0"/>
      <w:jc w:val="left"/>
    </w:pPr>
    <w:rPr>
      <w:rFonts w:eastAsia="Times New Roman" w:cs="Times New Roman"/>
      <w:sz w:val="24"/>
      <w:szCs w:val="24"/>
      <w:lang w:eastAsia="lv-LV"/>
    </w:rPr>
  </w:style>
  <w:style w:type="character" w:styleId="FollowedHyperlink">
    <w:name w:val="FollowedHyperlink"/>
    <w:basedOn w:val="DefaultParagraphFont"/>
    <w:uiPriority w:val="99"/>
    <w:semiHidden/>
    <w:unhideWhenUsed/>
    <w:rsid w:val="00FD5D22"/>
    <w:rPr>
      <w:color w:val="800080" w:themeColor="followedHyperlink"/>
      <w:u w:val="single"/>
    </w:rPr>
  </w:style>
  <w:style w:type="character" w:styleId="HTMLCite">
    <w:name w:val="HTML Cite"/>
    <w:basedOn w:val="DefaultParagraphFont"/>
    <w:uiPriority w:val="99"/>
    <w:semiHidden/>
    <w:unhideWhenUsed/>
    <w:rsid w:val="00CA7E5C"/>
    <w:rPr>
      <w:i w:val="0"/>
      <w:iCs w:val="0"/>
      <w:color w:val="009933"/>
    </w:rPr>
  </w:style>
  <w:style w:type="paragraph" w:styleId="BodyTextIndent2">
    <w:name w:val="Body Text Indent 2"/>
    <w:basedOn w:val="Normal"/>
    <w:link w:val="BodyTextIndent2Char"/>
    <w:uiPriority w:val="99"/>
    <w:unhideWhenUsed/>
    <w:rsid w:val="00447819"/>
    <w:pPr>
      <w:spacing w:line="480" w:lineRule="auto"/>
      <w:ind w:left="283"/>
    </w:pPr>
  </w:style>
  <w:style w:type="character" w:customStyle="1" w:styleId="BodyTextIndent2Char">
    <w:name w:val="Body Text Indent 2 Char"/>
    <w:basedOn w:val="DefaultParagraphFont"/>
    <w:link w:val="BodyTextIndent2"/>
    <w:uiPriority w:val="99"/>
    <w:rsid w:val="00447819"/>
    <w:rPr>
      <w:rFonts w:ascii="Times New Roman" w:hAnsi="Times New Roman"/>
      <w:sz w:val="28"/>
    </w:rPr>
  </w:style>
  <w:style w:type="paragraph" w:styleId="TOCHeading">
    <w:name w:val="TOC Heading"/>
    <w:basedOn w:val="Heading1"/>
    <w:next w:val="Normal"/>
    <w:uiPriority w:val="39"/>
    <w:semiHidden/>
    <w:unhideWhenUsed/>
    <w:qFormat/>
    <w:rsid w:val="006D30E4"/>
    <w:pPr>
      <w:pageBreakBefore w:val="0"/>
      <w:spacing w:before="480" w:after="0" w:line="276" w:lineRule="auto"/>
      <w:ind w:firstLine="0"/>
      <w:jc w:val="left"/>
      <w:outlineLvl w:val="9"/>
    </w:pPr>
    <w:rPr>
      <w:rFonts w:asciiTheme="majorHAnsi" w:hAnsiTheme="majorHAnsi"/>
      <w:smallCaps w:val="0"/>
      <w:color w:val="365F91" w:themeColor="accent1" w:themeShade="BF"/>
      <w:sz w:val="28"/>
      <w:lang w:val="en-US" w:eastAsia="ja-JP"/>
    </w:rPr>
  </w:style>
  <w:style w:type="paragraph" w:styleId="TOC4">
    <w:name w:val="toc 4"/>
    <w:basedOn w:val="Normal"/>
    <w:next w:val="Normal"/>
    <w:autoRedefine/>
    <w:uiPriority w:val="39"/>
    <w:unhideWhenUsed/>
    <w:rsid w:val="006D30E4"/>
    <w:pPr>
      <w:spacing w:before="0" w:after="0"/>
      <w:ind w:left="84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6D30E4"/>
    <w:pPr>
      <w:spacing w:before="0" w:after="0"/>
      <w:ind w:left="112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6D30E4"/>
    <w:pPr>
      <w:spacing w:before="0" w:after="0"/>
      <w:ind w:left="14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6D30E4"/>
    <w:pPr>
      <w:spacing w:before="0" w:after="0"/>
      <w:ind w:left="168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6D30E4"/>
    <w:pPr>
      <w:spacing w:before="0" w:after="0"/>
      <w:ind w:left="196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6D30E4"/>
    <w:pPr>
      <w:spacing w:before="0" w:after="0"/>
      <w:ind w:left="2240"/>
      <w:jc w:val="left"/>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57"/>
    <w:pPr>
      <w:spacing w:before="120" w:after="120"/>
      <w:ind w:firstLine="720"/>
      <w:jc w:val="both"/>
    </w:pPr>
    <w:rPr>
      <w:rFonts w:ascii="Times New Roman" w:hAnsi="Times New Roman"/>
      <w:sz w:val="28"/>
    </w:rPr>
  </w:style>
  <w:style w:type="paragraph" w:styleId="Heading1">
    <w:name w:val="heading 1"/>
    <w:basedOn w:val="Normal"/>
    <w:next w:val="Normal"/>
    <w:link w:val="Heading1Char"/>
    <w:uiPriority w:val="9"/>
    <w:qFormat/>
    <w:rsid w:val="00FE125B"/>
    <w:pPr>
      <w:keepNext/>
      <w:keepLines/>
      <w:pageBreakBefore/>
      <w:spacing w:before="240" w:after="240" w:line="240" w:lineRule="auto"/>
      <w:outlineLvl w:val="0"/>
    </w:pPr>
    <w:rPr>
      <w:rFonts w:eastAsiaTheme="majorEastAsia" w:cstheme="majorBidi"/>
      <w:b/>
      <w:bCs/>
      <w:smallCaps/>
      <w:sz w:val="32"/>
      <w:szCs w:val="28"/>
    </w:rPr>
  </w:style>
  <w:style w:type="paragraph" w:styleId="Heading2">
    <w:name w:val="heading 2"/>
    <w:basedOn w:val="Normal"/>
    <w:next w:val="Normal"/>
    <w:link w:val="Heading2Char"/>
    <w:uiPriority w:val="9"/>
    <w:unhideWhenUsed/>
    <w:qFormat/>
    <w:rsid w:val="00177849"/>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F57E9"/>
    <w:pPr>
      <w:keepNext/>
      <w:keepLines/>
      <w:spacing w:before="240" w:line="240" w:lineRule="auto"/>
      <w:outlineLvl w:val="2"/>
    </w:pPr>
    <w:rPr>
      <w:rFonts w:eastAsiaTheme="majorEastAsia"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5B"/>
    <w:rPr>
      <w:rFonts w:ascii="Times New Roman" w:eastAsiaTheme="majorEastAsia" w:hAnsi="Times New Roman" w:cstheme="majorBidi"/>
      <w:b/>
      <w:bCs/>
      <w:smallCaps/>
      <w:sz w:val="32"/>
      <w:szCs w:val="28"/>
    </w:rPr>
  </w:style>
  <w:style w:type="character" w:customStyle="1" w:styleId="Heading2Char">
    <w:name w:val="Heading 2 Char"/>
    <w:basedOn w:val="DefaultParagraphFont"/>
    <w:link w:val="Heading2"/>
    <w:uiPriority w:val="9"/>
    <w:rsid w:val="00177849"/>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1F57E9"/>
    <w:rPr>
      <w:rFonts w:ascii="Times New Roman" w:eastAsiaTheme="majorEastAsia" w:hAnsi="Times New Roman" w:cstheme="majorBidi"/>
      <w:b/>
      <w:bCs/>
      <w:i/>
      <w:sz w:val="28"/>
    </w:rPr>
  </w:style>
  <w:style w:type="character" w:styleId="CommentReference">
    <w:name w:val="annotation reference"/>
    <w:uiPriority w:val="99"/>
    <w:semiHidden/>
    <w:unhideWhenUsed/>
    <w:rsid w:val="00CD7149"/>
    <w:rPr>
      <w:sz w:val="16"/>
      <w:szCs w:val="16"/>
    </w:rPr>
  </w:style>
  <w:style w:type="paragraph" w:styleId="CommentText">
    <w:name w:val="annotation text"/>
    <w:basedOn w:val="Normal"/>
    <w:link w:val="CommentTextChar"/>
    <w:uiPriority w:val="99"/>
    <w:unhideWhenUsed/>
    <w:rsid w:val="00CD7149"/>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D7149"/>
    <w:rPr>
      <w:rFonts w:ascii="Calibri" w:eastAsia="Calibri" w:hAnsi="Calibri" w:cs="Times New Roman"/>
      <w:sz w:val="20"/>
      <w:szCs w:val="20"/>
    </w:rPr>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
    <w:basedOn w:val="Normal"/>
    <w:link w:val="FootnoteTextChar"/>
    <w:uiPriority w:val="99"/>
    <w:unhideWhenUsed/>
    <w:rsid w:val="00CD7149"/>
    <w:pPr>
      <w:spacing w:after="0" w:line="240" w:lineRule="auto"/>
    </w:pPr>
    <w:rPr>
      <w:rFonts w:ascii="Calibri" w:eastAsia="Calibri" w:hAnsi="Calibri" w:cs="Times New Roman"/>
      <w:sz w:val="20"/>
      <w:szCs w:val="20"/>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rsid w:val="00CD7149"/>
    <w:rPr>
      <w:rFonts w:ascii="Calibri" w:eastAsia="Calibri" w:hAnsi="Calibri" w:cs="Times New Roman"/>
      <w:sz w:val="20"/>
      <w:szCs w:val="20"/>
    </w:rPr>
  </w:style>
  <w:style w:type="character" w:styleId="FootnoteReference">
    <w:name w:val="footnote reference"/>
    <w:aliases w:val="Footnote Reference Number,SUPERS"/>
    <w:uiPriority w:val="99"/>
    <w:unhideWhenUsed/>
    <w:rsid w:val="00CD7149"/>
    <w:rPr>
      <w:vertAlign w:val="superscript"/>
    </w:rPr>
  </w:style>
  <w:style w:type="paragraph" w:styleId="BalloonText">
    <w:name w:val="Balloon Text"/>
    <w:basedOn w:val="Normal"/>
    <w:link w:val="BalloonTextChar"/>
    <w:uiPriority w:val="99"/>
    <w:semiHidden/>
    <w:unhideWhenUsed/>
    <w:rsid w:val="00CD7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149"/>
    <w:rPr>
      <w:rFonts w:ascii="Tahoma" w:hAnsi="Tahoma" w:cs="Tahoma"/>
      <w:sz w:val="16"/>
      <w:szCs w:val="16"/>
    </w:rPr>
  </w:style>
  <w:style w:type="paragraph" w:styleId="ListParagraph">
    <w:name w:val="List Paragraph"/>
    <w:basedOn w:val="Normal"/>
    <w:uiPriority w:val="34"/>
    <w:qFormat/>
    <w:rsid w:val="00DC2C8A"/>
    <w:pPr>
      <w:ind w:left="720"/>
      <w:contextualSpacing/>
    </w:pPr>
  </w:style>
  <w:style w:type="paragraph" w:styleId="TOC1">
    <w:name w:val="toc 1"/>
    <w:basedOn w:val="Normal"/>
    <w:next w:val="Normal"/>
    <w:autoRedefine/>
    <w:uiPriority w:val="39"/>
    <w:unhideWhenUsed/>
    <w:qFormat/>
    <w:rsid w:val="00FE125B"/>
    <w:pPr>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DC2C8A"/>
    <w:pPr>
      <w:spacing w:before="0" w:after="0"/>
      <w:ind w:left="28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DC2C8A"/>
    <w:pPr>
      <w:spacing w:before="0" w:after="0"/>
      <w:ind w:left="56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DC2C8A"/>
    <w:rPr>
      <w:color w:val="0000FF" w:themeColor="hyperlink"/>
      <w:u w:val="single"/>
    </w:rPr>
  </w:style>
  <w:style w:type="paragraph" w:styleId="PlainText">
    <w:name w:val="Plain Text"/>
    <w:basedOn w:val="Normal"/>
    <w:link w:val="PlainTextChar"/>
    <w:uiPriority w:val="99"/>
    <w:unhideWhenUsed/>
    <w:rsid w:val="00CA656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A6568"/>
    <w:rPr>
      <w:rFonts w:ascii="Calibri" w:hAnsi="Calibri"/>
      <w:szCs w:val="21"/>
    </w:rPr>
  </w:style>
  <w:style w:type="paragraph" w:customStyle="1" w:styleId="Default">
    <w:name w:val="Default"/>
    <w:rsid w:val="002C29CA"/>
    <w:pPr>
      <w:autoSpaceDE w:val="0"/>
      <w:autoSpaceDN w:val="0"/>
      <w:adjustRightInd w:val="0"/>
      <w:spacing w:after="0" w:line="240" w:lineRule="auto"/>
    </w:pPr>
    <w:rPr>
      <w:rFonts w:ascii="Arial" w:eastAsia="Calibri" w:hAnsi="Arial" w:cs="Arial"/>
      <w:color w:val="000000"/>
      <w:sz w:val="24"/>
      <w:szCs w:val="24"/>
      <w:lang w:eastAsia="lv-LV"/>
    </w:rPr>
  </w:style>
  <w:style w:type="paragraph" w:styleId="CommentSubject">
    <w:name w:val="annotation subject"/>
    <w:basedOn w:val="CommentText"/>
    <w:next w:val="CommentText"/>
    <w:link w:val="CommentSubjectChar"/>
    <w:uiPriority w:val="99"/>
    <w:semiHidden/>
    <w:unhideWhenUsed/>
    <w:rsid w:val="002C29CA"/>
    <w:rPr>
      <w:b/>
      <w:bCs/>
    </w:rPr>
  </w:style>
  <w:style w:type="character" w:customStyle="1" w:styleId="CommentSubjectChar">
    <w:name w:val="Comment Subject Char"/>
    <w:basedOn w:val="CommentTextChar"/>
    <w:link w:val="CommentSubject"/>
    <w:uiPriority w:val="99"/>
    <w:semiHidden/>
    <w:rsid w:val="002C29CA"/>
    <w:rPr>
      <w:rFonts w:ascii="Calibri" w:eastAsia="Calibri" w:hAnsi="Calibri" w:cs="Times New Roman"/>
      <w:b/>
      <w:bCs/>
      <w:sz w:val="20"/>
      <w:szCs w:val="20"/>
    </w:rPr>
  </w:style>
  <w:style w:type="table" w:styleId="TableGrid">
    <w:name w:val="Table Grid"/>
    <w:basedOn w:val="TableNormal"/>
    <w:uiPriority w:val="59"/>
    <w:rsid w:val="002C2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C29CA"/>
    <w:pPr>
      <w:tabs>
        <w:tab w:val="center" w:pos="4153"/>
        <w:tab w:val="right" w:pos="8306"/>
      </w:tabs>
      <w:spacing w:line="240" w:lineRule="auto"/>
    </w:pPr>
    <w:rPr>
      <w:rFonts w:eastAsia="Times New Roman" w:cs="Times New Roman"/>
      <w:sz w:val="24"/>
      <w:szCs w:val="24"/>
      <w:lang w:val="en-GB"/>
    </w:rPr>
  </w:style>
  <w:style w:type="character" w:customStyle="1" w:styleId="HeaderChar">
    <w:name w:val="Header Char"/>
    <w:basedOn w:val="DefaultParagraphFont"/>
    <w:link w:val="Header"/>
    <w:uiPriority w:val="99"/>
    <w:rsid w:val="002C29CA"/>
    <w:rPr>
      <w:rFonts w:ascii="Times New Roman" w:eastAsia="Times New Roman" w:hAnsi="Times New Roman" w:cs="Times New Roman"/>
      <w:sz w:val="24"/>
      <w:szCs w:val="24"/>
      <w:lang w:val="en-GB"/>
    </w:rPr>
  </w:style>
  <w:style w:type="character" w:customStyle="1" w:styleId="st1">
    <w:name w:val="st1"/>
    <w:basedOn w:val="DefaultParagraphFont"/>
    <w:rsid w:val="002C29CA"/>
  </w:style>
  <w:style w:type="paragraph" w:styleId="Footer">
    <w:name w:val="footer"/>
    <w:basedOn w:val="Normal"/>
    <w:link w:val="FooterChar"/>
    <w:uiPriority w:val="99"/>
    <w:unhideWhenUsed/>
    <w:rsid w:val="002C29CA"/>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C29CA"/>
    <w:rPr>
      <w:rFonts w:ascii="Calibri" w:eastAsia="Calibri" w:hAnsi="Calibri" w:cs="Times New Roman"/>
    </w:rPr>
  </w:style>
  <w:style w:type="paragraph" w:customStyle="1" w:styleId="naislab">
    <w:name w:val="naislab"/>
    <w:basedOn w:val="Normal"/>
    <w:rsid w:val="002C29CA"/>
    <w:pPr>
      <w:spacing w:before="75" w:after="75" w:line="240" w:lineRule="auto"/>
      <w:jc w:val="right"/>
    </w:pPr>
    <w:rPr>
      <w:rFonts w:eastAsia="Times New Roman" w:cs="Times New Roman"/>
      <w:sz w:val="24"/>
      <w:szCs w:val="24"/>
      <w:lang w:eastAsia="lv-LV"/>
    </w:rPr>
  </w:style>
  <w:style w:type="paragraph" w:styleId="BodyText">
    <w:name w:val="Body Text"/>
    <w:basedOn w:val="Normal"/>
    <w:link w:val="BodyTextChar"/>
    <w:uiPriority w:val="99"/>
    <w:unhideWhenUsed/>
    <w:rsid w:val="002C29CA"/>
    <w:pPr>
      <w:spacing w:line="240" w:lineRule="auto"/>
    </w:pPr>
    <w:rPr>
      <w:rFonts w:ascii="Calibri" w:eastAsia="Calibri" w:hAnsi="Calibri" w:cs="Times New Roman"/>
    </w:rPr>
  </w:style>
  <w:style w:type="character" w:customStyle="1" w:styleId="BodyTextChar">
    <w:name w:val="Body Text Char"/>
    <w:basedOn w:val="DefaultParagraphFont"/>
    <w:link w:val="BodyText"/>
    <w:uiPriority w:val="99"/>
    <w:rsid w:val="002C29CA"/>
    <w:rPr>
      <w:rFonts w:ascii="Calibri" w:eastAsia="Calibri" w:hAnsi="Calibri" w:cs="Times New Roman"/>
    </w:rPr>
  </w:style>
  <w:style w:type="character" w:styleId="Emphasis">
    <w:name w:val="Emphasis"/>
    <w:basedOn w:val="DefaultParagraphFont"/>
    <w:uiPriority w:val="20"/>
    <w:qFormat/>
    <w:rsid w:val="000662C6"/>
    <w:rPr>
      <w:b/>
      <w:bCs/>
      <w:i w:val="0"/>
      <w:iCs w:val="0"/>
    </w:rPr>
  </w:style>
  <w:style w:type="character" w:customStyle="1" w:styleId="st">
    <w:name w:val="st"/>
    <w:basedOn w:val="DefaultParagraphFont"/>
    <w:rsid w:val="000662C6"/>
  </w:style>
  <w:style w:type="character" w:customStyle="1" w:styleId="longtext">
    <w:name w:val="long_text"/>
    <w:rsid w:val="00FE125B"/>
  </w:style>
  <w:style w:type="character" w:customStyle="1" w:styleId="reference-text">
    <w:name w:val="reference-text"/>
    <w:rsid w:val="00FE125B"/>
  </w:style>
  <w:style w:type="paragraph" w:styleId="NormalWeb">
    <w:name w:val="Normal (Web)"/>
    <w:basedOn w:val="Normal"/>
    <w:uiPriority w:val="99"/>
    <w:rsid w:val="00EC7189"/>
    <w:pPr>
      <w:spacing w:before="100" w:beforeAutospacing="1" w:after="100" w:afterAutospacing="1" w:line="240" w:lineRule="auto"/>
      <w:ind w:firstLine="0"/>
      <w:jc w:val="left"/>
    </w:pPr>
    <w:rPr>
      <w:rFonts w:ascii="Helvetica" w:eastAsia="Times New Roman" w:hAnsi="Helvetica" w:cs="Times New Roman"/>
      <w:color w:val="000000"/>
      <w:sz w:val="20"/>
      <w:szCs w:val="20"/>
      <w:lang w:eastAsia="lv-LV"/>
    </w:rPr>
  </w:style>
  <w:style w:type="paragraph" w:customStyle="1" w:styleId="naisf">
    <w:name w:val="naisf"/>
    <w:basedOn w:val="Normal"/>
    <w:rsid w:val="00EC7189"/>
    <w:pPr>
      <w:spacing w:before="100" w:beforeAutospacing="1" w:after="100" w:afterAutospacing="1" w:line="240" w:lineRule="auto"/>
      <w:ind w:firstLine="0"/>
      <w:jc w:val="left"/>
    </w:pPr>
    <w:rPr>
      <w:rFonts w:eastAsia="Times New Roman" w:cs="Times New Roman"/>
      <w:sz w:val="24"/>
      <w:szCs w:val="24"/>
      <w:lang w:eastAsia="lv-LV"/>
    </w:rPr>
  </w:style>
  <w:style w:type="character" w:styleId="FollowedHyperlink">
    <w:name w:val="FollowedHyperlink"/>
    <w:basedOn w:val="DefaultParagraphFont"/>
    <w:uiPriority w:val="99"/>
    <w:semiHidden/>
    <w:unhideWhenUsed/>
    <w:rsid w:val="00FD5D22"/>
    <w:rPr>
      <w:color w:val="800080" w:themeColor="followedHyperlink"/>
      <w:u w:val="single"/>
    </w:rPr>
  </w:style>
  <w:style w:type="character" w:styleId="HTMLCite">
    <w:name w:val="HTML Cite"/>
    <w:basedOn w:val="DefaultParagraphFont"/>
    <w:uiPriority w:val="99"/>
    <w:semiHidden/>
    <w:unhideWhenUsed/>
    <w:rsid w:val="00CA7E5C"/>
    <w:rPr>
      <w:i w:val="0"/>
      <w:iCs w:val="0"/>
      <w:color w:val="009933"/>
    </w:rPr>
  </w:style>
  <w:style w:type="paragraph" w:styleId="BodyTextIndent2">
    <w:name w:val="Body Text Indent 2"/>
    <w:basedOn w:val="Normal"/>
    <w:link w:val="BodyTextIndent2Char"/>
    <w:uiPriority w:val="99"/>
    <w:unhideWhenUsed/>
    <w:rsid w:val="00447819"/>
    <w:pPr>
      <w:spacing w:line="480" w:lineRule="auto"/>
      <w:ind w:left="283"/>
    </w:pPr>
  </w:style>
  <w:style w:type="character" w:customStyle="1" w:styleId="BodyTextIndent2Char">
    <w:name w:val="Body Text Indent 2 Char"/>
    <w:basedOn w:val="DefaultParagraphFont"/>
    <w:link w:val="BodyTextIndent2"/>
    <w:uiPriority w:val="99"/>
    <w:rsid w:val="00447819"/>
    <w:rPr>
      <w:rFonts w:ascii="Times New Roman" w:hAnsi="Times New Roman"/>
      <w:sz w:val="28"/>
    </w:rPr>
  </w:style>
  <w:style w:type="paragraph" w:styleId="TOCHeading">
    <w:name w:val="TOC Heading"/>
    <w:basedOn w:val="Heading1"/>
    <w:next w:val="Normal"/>
    <w:uiPriority w:val="39"/>
    <w:semiHidden/>
    <w:unhideWhenUsed/>
    <w:qFormat/>
    <w:rsid w:val="006D30E4"/>
    <w:pPr>
      <w:pageBreakBefore w:val="0"/>
      <w:spacing w:before="480" w:after="0" w:line="276" w:lineRule="auto"/>
      <w:ind w:firstLine="0"/>
      <w:jc w:val="left"/>
      <w:outlineLvl w:val="9"/>
    </w:pPr>
    <w:rPr>
      <w:rFonts w:asciiTheme="majorHAnsi" w:hAnsiTheme="majorHAnsi"/>
      <w:smallCaps w:val="0"/>
      <w:color w:val="365F91" w:themeColor="accent1" w:themeShade="BF"/>
      <w:sz w:val="28"/>
      <w:lang w:val="en-US" w:eastAsia="ja-JP"/>
    </w:rPr>
  </w:style>
  <w:style w:type="paragraph" w:styleId="TOC4">
    <w:name w:val="toc 4"/>
    <w:basedOn w:val="Normal"/>
    <w:next w:val="Normal"/>
    <w:autoRedefine/>
    <w:uiPriority w:val="39"/>
    <w:unhideWhenUsed/>
    <w:rsid w:val="006D30E4"/>
    <w:pPr>
      <w:spacing w:before="0" w:after="0"/>
      <w:ind w:left="84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6D30E4"/>
    <w:pPr>
      <w:spacing w:before="0" w:after="0"/>
      <w:ind w:left="112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6D30E4"/>
    <w:pPr>
      <w:spacing w:before="0" w:after="0"/>
      <w:ind w:left="14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6D30E4"/>
    <w:pPr>
      <w:spacing w:before="0" w:after="0"/>
      <w:ind w:left="168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6D30E4"/>
    <w:pPr>
      <w:spacing w:before="0" w:after="0"/>
      <w:ind w:left="196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6D30E4"/>
    <w:pPr>
      <w:spacing w:before="0" w:after="0"/>
      <w:ind w:left="224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267211">
      <w:bodyDiv w:val="1"/>
      <w:marLeft w:val="0"/>
      <w:marRight w:val="0"/>
      <w:marTop w:val="0"/>
      <w:marBottom w:val="0"/>
      <w:divBdr>
        <w:top w:val="none" w:sz="0" w:space="0" w:color="auto"/>
        <w:left w:val="none" w:sz="0" w:space="0" w:color="auto"/>
        <w:bottom w:val="none" w:sz="0" w:space="0" w:color="auto"/>
        <w:right w:val="none" w:sz="0" w:space="0" w:color="auto"/>
      </w:divBdr>
    </w:div>
    <w:div w:id="370110665">
      <w:bodyDiv w:val="1"/>
      <w:marLeft w:val="0"/>
      <w:marRight w:val="0"/>
      <w:marTop w:val="0"/>
      <w:marBottom w:val="0"/>
      <w:divBdr>
        <w:top w:val="none" w:sz="0" w:space="0" w:color="auto"/>
        <w:left w:val="none" w:sz="0" w:space="0" w:color="auto"/>
        <w:bottom w:val="none" w:sz="0" w:space="0" w:color="auto"/>
        <w:right w:val="none" w:sz="0" w:space="0" w:color="auto"/>
      </w:divBdr>
    </w:div>
    <w:div w:id="519398310">
      <w:bodyDiv w:val="1"/>
      <w:marLeft w:val="0"/>
      <w:marRight w:val="0"/>
      <w:marTop w:val="0"/>
      <w:marBottom w:val="0"/>
      <w:divBdr>
        <w:top w:val="none" w:sz="0" w:space="0" w:color="auto"/>
        <w:left w:val="none" w:sz="0" w:space="0" w:color="auto"/>
        <w:bottom w:val="none" w:sz="0" w:space="0" w:color="auto"/>
        <w:right w:val="none" w:sz="0" w:space="0" w:color="auto"/>
      </w:divBdr>
    </w:div>
    <w:div w:id="765805114">
      <w:bodyDiv w:val="1"/>
      <w:marLeft w:val="0"/>
      <w:marRight w:val="0"/>
      <w:marTop w:val="0"/>
      <w:marBottom w:val="0"/>
      <w:divBdr>
        <w:top w:val="none" w:sz="0" w:space="0" w:color="auto"/>
        <w:left w:val="none" w:sz="0" w:space="0" w:color="auto"/>
        <w:bottom w:val="none" w:sz="0" w:space="0" w:color="auto"/>
        <w:right w:val="none" w:sz="0" w:space="0" w:color="auto"/>
      </w:divBdr>
    </w:div>
    <w:div w:id="798035297">
      <w:bodyDiv w:val="1"/>
      <w:marLeft w:val="0"/>
      <w:marRight w:val="0"/>
      <w:marTop w:val="0"/>
      <w:marBottom w:val="0"/>
      <w:divBdr>
        <w:top w:val="none" w:sz="0" w:space="0" w:color="auto"/>
        <w:left w:val="none" w:sz="0" w:space="0" w:color="auto"/>
        <w:bottom w:val="none" w:sz="0" w:space="0" w:color="auto"/>
        <w:right w:val="none" w:sz="0" w:space="0" w:color="auto"/>
      </w:divBdr>
    </w:div>
    <w:div w:id="877085596">
      <w:bodyDiv w:val="1"/>
      <w:marLeft w:val="0"/>
      <w:marRight w:val="0"/>
      <w:marTop w:val="0"/>
      <w:marBottom w:val="0"/>
      <w:divBdr>
        <w:top w:val="none" w:sz="0" w:space="0" w:color="auto"/>
        <w:left w:val="none" w:sz="0" w:space="0" w:color="auto"/>
        <w:bottom w:val="none" w:sz="0" w:space="0" w:color="auto"/>
        <w:right w:val="none" w:sz="0" w:space="0" w:color="auto"/>
      </w:divBdr>
    </w:div>
    <w:div w:id="1274366948">
      <w:bodyDiv w:val="1"/>
      <w:marLeft w:val="0"/>
      <w:marRight w:val="0"/>
      <w:marTop w:val="0"/>
      <w:marBottom w:val="0"/>
      <w:divBdr>
        <w:top w:val="none" w:sz="0" w:space="0" w:color="auto"/>
        <w:left w:val="none" w:sz="0" w:space="0" w:color="auto"/>
        <w:bottom w:val="none" w:sz="0" w:space="0" w:color="auto"/>
        <w:right w:val="none" w:sz="0" w:space="0" w:color="auto"/>
      </w:divBdr>
      <w:divsChild>
        <w:div w:id="313725772">
          <w:marLeft w:val="0"/>
          <w:marRight w:val="0"/>
          <w:marTop w:val="0"/>
          <w:marBottom w:val="0"/>
          <w:divBdr>
            <w:top w:val="none" w:sz="0" w:space="0" w:color="auto"/>
            <w:left w:val="single" w:sz="18" w:space="5" w:color="FFFFFF"/>
            <w:bottom w:val="none" w:sz="0" w:space="0" w:color="auto"/>
            <w:right w:val="single" w:sz="18" w:space="5" w:color="FFFFFF"/>
          </w:divBdr>
          <w:divsChild>
            <w:div w:id="945962252">
              <w:marLeft w:val="300"/>
              <w:marRight w:val="225"/>
              <w:marTop w:val="0"/>
              <w:marBottom w:val="0"/>
              <w:divBdr>
                <w:top w:val="none" w:sz="0" w:space="0" w:color="auto"/>
                <w:left w:val="none" w:sz="0" w:space="0" w:color="auto"/>
                <w:bottom w:val="none" w:sz="0" w:space="0" w:color="auto"/>
                <w:right w:val="none" w:sz="0" w:space="0" w:color="auto"/>
              </w:divBdr>
              <w:divsChild>
                <w:div w:id="5161941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60006666">
      <w:bodyDiv w:val="1"/>
      <w:marLeft w:val="0"/>
      <w:marRight w:val="0"/>
      <w:marTop w:val="0"/>
      <w:marBottom w:val="0"/>
      <w:divBdr>
        <w:top w:val="none" w:sz="0" w:space="0" w:color="auto"/>
        <w:left w:val="none" w:sz="0" w:space="0" w:color="auto"/>
        <w:bottom w:val="none" w:sz="0" w:space="0" w:color="auto"/>
        <w:right w:val="none" w:sz="0" w:space="0" w:color="auto"/>
      </w:divBdr>
    </w:div>
    <w:div w:id="1495221421">
      <w:bodyDiv w:val="1"/>
      <w:marLeft w:val="0"/>
      <w:marRight w:val="0"/>
      <w:marTop w:val="0"/>
      <w:marBottom w:val="0"/>
      <w:divBdr>
        <w:top w:val="none" w:sz="0" w:space="0" w:color="auto"/>
        <w:left w:val="none" w:sz="0" w:space="0" w:color="auto"/>
        <w:bottom w:val="none" w:sz="0" w:space="0" w:color="auto"/>
        <w:right w:val="none" w:sz="0" w:space="0" w:color="auto"/>
      </w:divBdr>
    </w:div>
    <w:div w:id="180133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pexspot.com"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www.apg.at/en/market/electricity-market/tariffs"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hart" Target="charts/chart11.xml"/><Relationship Id="rId42" Type="http://schemas.openxmlformats.org/officeDocument/2006/relationships/hyperlink" Target="http://www.power-technology.co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cid:image001.png@01CDDD05.32770BD0" TargetMode="External"/><Relationship Id="rId25" Type="http://schemas.openxmlformats.org/officeDocument/2006/relationships/chart" Target="charts/chart7.xml"/><Relationship Id="rId33" Type="http://schemas.openxmlformats.org/officeDocument/2006/relationships/chart" Target="charts/chart10.xml"/><Relationship Id="rId38" Type="http://schemas.openxmlformats.org/officeDocument/2006/relationships/hyperlink" Target="http://www.res-legal.eu/" TargetMode="External"/><Relationship Id="rId46" Type="http://schemas.openxmlformats.org/officeDocument/2006/relationships/hyperlink" Target="mailto:Karlis.Pigens@em.gov.lv"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jpeg"/><Relationship Id="rId29" Type="http://schemas.openxmlformats.org/officeDocument/2006/relationships/image" Target="media/image9.png"/><Relationship Id="rId41" Type="http://schemas.openxmlformats.org/officeDocument/2006/relationships/hyperlink" Target="http://www.ebrd.com/proje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6.xml"/><Relationship Id="rId32" Type="http://schemas.openxmlformats.org/officeDocument/2006/relationships/chart" Target="charts/chart9.xml"/><Relationship Id="rId37" Type="http://schemas.openxmlformats.org/officeDocument/2006/relationships/image" Target="media/image11.png"/><Relationship Id="rId40" Type="http://schemas.openxmlformats.org/officeDocument/2006/relationships/hyperlink" Target="http://www.irena.org/%20" TargetMode="External"/><Relationship Id="rId45" Type="http://schemas.openxmlformats.org/officeDocument/2006/relationships/hyperlink" Target="mailto:Elina.Luca-Ratfeldere@em.gov.lv"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5.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http://www.nasdaqomx.com/commodities" TargetMode="External"/><Relationship Id="rId19" Type="http://schemas.openxmlformats.org/officeDocument/2006/relationships/image" Target="cid:image001.png@01CDDD0C.9AF95530" TargetMode="External"/><Relationship Id="rId31" Type="http://schemas.openxmlformats.org/officeDocument/2006/relationships/chart" Target="charts/chart8.xml"/><Relationship Id="rId44" Type="http://schemas.openxmlformats.org/officeDocument/2006/relationships/hyperlink" Target="mailto:Karlis.Pigens@em.gov.lv"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ww.nordpoolspot.com" TargetMode="Externa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 Id="rId43" Type="http://schemas.openxmlformats.org/officeDocument/2006/relationships/hyperlink" Target="http://www.eib.org/projects/pipeline"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ap.ren21.net/GSR/GSR2012.pdf" TargetMode="External"/><Relationship Id="rId2" Type="http://schemas.openxmlformats.org/officeDocument/2006/relationships/hyperlink" Target="file:///C:\Documents%20and%20Settings\PigensK\Desktop\REN21),%20Global%20Status%20Report,%202012" TargetMode="External"/><Relationship Id="rId1" Type="http://schemas.openxmlformats.org/officeDocument/2006/relationships/hyperlink" Target="http://www.em.gov.lv/em/2nd/?cat=30315" TargetMode="External"/><Relationship Id="rId4" Type="http://schemas.openxmlformats.org/officeDocument/2006/relationships/hyperlink" Target="http://www.code-project.eu/wp-content/uploads/2011/02/231210-European-Summary-Report-on-CHP-support-schemes.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d:\NiedriteI\My%20Documents\RES\KPMG\Cen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iedriteI\My%20Documents\RES\KPMG\Cena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RatfeldereE\Local%20Settings\Temporary%20Internet%20Files\Content.Outlook\93NZ887O\Importa%20cena.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BunkovskisJ\Desktop\Book1.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StrodahaE\Local%20Settings\Temporary%20Internet%20Files\Content.Outlook\3WUH0AVJ\sadal&#299;jum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UmbraskoI\My%20Documents\zinojums_par_cenam\Gala_variantam.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UmbraskoI\My%20Documents\zinojums_par_cenam\Gala_varianta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mbraskoI\My%20Documents\zinojums_par_cenam\OIK_prognoz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iedriteI\My%20Documents\RES\KPMG\Cen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iedriteI\My%20Documents\RES\KPMG\Cen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100"/>
              <a:t>Elektroenerģijas nākotnes darījumu (</a:t>
            </a:r>
            <a:r>
              <a:rPr lang="lv-LV" sz="1100" i="1"/>
              <a:t>forward</a:t>
            </a:r>
            <a:r>
              <a:rPr lang="lv-LV" sz="1100"/>
              <a:t>) cenas Somijas cenu zonā</a:t>
            </a:r>
          </a:p>
        </c:rich>
      </c:tx>
      <c:layout>
        <c:manualLayout>
          <c:xMode val="edge"/>
          <c:yMode val="edge"/>
          <c:x val="0.12921780986762954"/>
          <c:y val="2.4767801857585141E-2"/>
        </c:manualLayout>
      </c:layout>
      <c:overlay val="0"/>
    </c:title>
    <c:autoTitleDeleted val="0"/>
    <c:plotArea>
      <c:layout>
        <c:manualLayout>
          <c:layoutTarget val="inner"/>
          <c:xMode val="edge"/>
          <c:yMode val="edge"/>
          <c:x val="9.0623193761429702E-2"/>
          <c:y val="0.24479903247388202"/>
          <c:w val="0.88337147418335327"/>
          <c:h val="0.63218091546606214"/>
        </c:manualLayout>
      </c:layout>
      <c:lineChart>
        <c:grouping val="stacked"/>
        <c:varyColors val="0"/>
        <c:ser>
          <c:idx val="0"/>
          <c:order val="0"/>
          <c:tx>
            <c:strRef>
              <c:f>Sheet1!$B$1</c:f>
              <c:strCache>
                <c:ptCount val="1"/>
                <c:pt idx="0">
                  <c:v>Elektroenerģijas nākotnes darījumu (forward) cenas Somijas cenu zonā</c:v>
                </c:pt>
              </c:strCache>
            </c:strRef>
          </c:tx>
          <c:marker>
            <c:symbol val="circle"/>
            <c:size val="5"/>
          </c:marker>
          <c:dLbls>
            <c:dLbl>
              <c:idx val="0"/>
              <c:layout>
                <c:manualLayout>
                  <c:x val="-2.6474222832237718E-2"/>
                  <c:y val="-6.1792583619355301E-2"/>
                </c:manualLayout>
              </c:layout>
              <c:showLegendKey val="0"/>
              <c:showVal val="1"/>
              <c:showCatName val="0"/>
              <c:showSerName val="0"/>
              <c:showPercent val="0"/>
              <c:showBubbleSize val="0"/>
            </c:dLbl>
            <c:dLbl>
              <c:idx val="1"/>
              <c:layout>
                <c:manualLayout>
                  <c:x val="-2.8880830263189591E-2"/>
                  <c:y val="-5.3536307961504818E-2"/>
                </c:manualLayout>
              </c:layout>
              <c:showLegendKey val="0"/>
              <c:showVal val="1"/>
              <c:showCatName val="0"/>
              <c:showSerName val="0"/>
              <c:showPercent val="0"/>
              <c:showBubbleSize val="0"/>
            </c:dLbl>
            <c:dLbl>
              <c:idx val="2"/>
              <c:layout>
                <c:manualLayout>
                  <c:x val="-3.3694430398035109E-2"/>
                  <c:y val="-6.1792583619355239E-2"/>
                </c:manualLayout>
              </c:layout>
              <c:showLegendKey val="0"/>
              <c:showVal val="1"/>
              <c:showCatName val="0"/>
              <c:showSerName val="0"/>
              <c:showPercent val="0"/>
              <c:showBubbleSize val="0"/>
            </c:dLbl>
            <c:dLbl>
              <c:idx val="3"/>
              <c:layout>
                <c:manualLayout>
                  <c:x val="-3.6101083032490981E-2"/>
                  <c:y val="-5.7791537667698741E-2"/>
                </c:manualLayout>
              </c:layout>
              <c:showLegendKey val="0"/>
              <c:showVal val="1"/>
              <c:showCatName val="0"/>
              <c:showSerName val="0"/>
              <c:showPercent val="0"/>
              <c:showBubbleSize val="0"/>
            </c:dLbl>
            <c:dLbl>
              <c:idx val="4"/>
              <c:layout>
                <c:manualLayout>
                  <c:x val="-3.3694344163658241E-2"/>
                  <c:y val="-5.36635706914344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29.8</c:v>
                </c:pt>
                <c:pt idx="1">
                  <c:v>30.5</c:v>
                </c:pt>
                <c:pt idx="2">
                  <c:v>30.2</c:v>
                </c:pt>
                <c:pt idx="3">
                  <c:v>30.4</c:v>
                </c:pt>
                <c:pt idx="4">
                  <c:v>32</c:v>
                </c:pt>
              </c:numCache>
            </c:numRef>
          </c:val>
          <c:smooth val="0"/>
        </c:ser>
        <c:dLbls>
          <c:showLegendKey val="0"/>
          <c:showVal val="0"/>
          <c:showCatName val="0"/>
          <c:showSerName val="0"/>
          <c:showPercent val="0"/>
          <c:showBubbleSize val="0"/>
        </c:dLbls>
        <c:marker val="1"/>
        <c:smooth val="0"/>
        <c:axId val="173367680"/>
        <c:axId val="173369216"/>
      </c:lineChart>
      <c:catAx>
        <c:axId val="173367680"/>
        <c:scaling>
          <c:orientation val="minMax"/>
        </c:scaling>
        <c:delete val="0"/>
        <c:axPos val="b"/>
        <c:numFmt formatCode="General" sourceLinked="1"/>
        <c:majorTickMark val="out"/>
        <c:minorTickMark val="none"/>
        <c:tickLblPos val="nextTo"/>
        <c:crossAx val="173369216"/>
        <c:crosses val="autoZero"/>
        <c:auto val="1"/>
        <c:lblAlgn val="ctr"/>
        <c:lblOffset val="100"/>
        <c:noMultiLvlLbl val="0"/>
      </c:catAx>
      <c:valAx>
        <c:axId val="173369216"/>
        <c:scaling>
          <c:orientation val="minMax"/>
          <c:max val="35"/>
          <c:min val="25"/>
        </c:scaling>
        <c:delete val="0"/>
        <c:axPos val="l"/>
        <c:majorGridlines/>
        <c:title>
          <c:tx>
            <c:rich>
              <a:bodyPr rot="0" vert="horz"/>
              <a:lstStyle/>
              <a:p>
                <a:pPr>
                  <a:defRPr/>
                </a:pPr>
                <a:r>
                  <a:rPr lang="lv-LV"/>
                  <a:t>LVL/MWh</a:t>
                </a:r>
              </a:p>
            </c:rich>
          </c:tx>
          <c:layout>
            <c:manualLayout>
              <c:xMode val="edge"/>
              <c:yMode val="edge"/>
              <c:x val="3.8507821901323715E-2"/>
              <c:y val="0.13411661777571918"/>
            </c:manualLayout>
          </c:layout>
          <c:overlay val="0"/>
        </c:title>
        <c:numFmt formatCode="General" sourceLinked="0"/>
        <c:majorTickMark val="out"/>
        <c:minorTickMark val="none"/>
        <c:tickLblPos val="nextTo"/>
        <c:crossAx val="173367680"/>
        <c:crosses val="autoZero"/>
        <c:crossBetween val="between"/>
        <c:majorUnit val="5"/>
      </c:valAx>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'Labotās cenas'!$B$31</c:f>
              <c:strCache>
                <c:ptCount val="1"/>
                <c:pt idx="0">
                  <c:v>Elektroenerģijas cena</c:v>
                </c:pt>
              </c:strCache>
            </c:strRef>
          </c:tx>
          <c:spPr>
            <a:solidFill>
              <a:schemeClr val="accent1">
                <a:lumMod val="60000"/>
                <a:lumOff val="40000"/>
              </a:schemeClr>
            </a:solidFill>
            <a:ln>
              <a:solidFill>
                <a:schemeClr val="accent1"/>
              </a:solidFill>
            </a:ln>
          </c:spPr>
          <c:invertIfNegative val="0"/>
          <c:cat>
            <c:numRef>
              <c:f>'Labotās cenas'!$C$30:$K$30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cenas'!$C$31:$K$31</c:f>
              <c:numCache>
                <c:formatCode>General</c:formatCode>
                <c:ptCount val="9"/>
                <c:pt idx="0">
                  <c:v>30</c:v>
                </c:pt>
                <c:pt idx="1">
                  <c:v>30</c:v>
                </c:pt>
                <c:pt idx="2">
                  <c:v>31</c:v>
                </c:pt>
                <c:pt idx="3">
                  <c:v>30</c:v>
                </c:pt>
                <c:pt idx="4">
                  <c:v>31</c:v>
                </c:pt>
                <c:pt idx="5">
                  <c:v>32</c:v>
                </c:pt>
                <c:pt idx="6">
                  <c:v>34</c:v>
                </c:pt>
                <c:pt idx="7">
                  <c:v>35</c:v>
                </c:pt>
                <c:pt idx="8">
                  <c:v>36</c:v>
                </c:pt>
              </c:numCache>
            </c:numRef>
          </c:val>
        </c:ser>
        <c:ser>
          <c:idx val="1"/>
          <c:order val="1"/>
          <c:tx>
            <c:strRef>
              <c:f>'Labotās cenas'!$B$32</c:f>
              <c:strCache>
                <c:ptCount val="1"/>
                <c:pt idx="0">
                  <c:v>Sistēmas pakalpojumi</c:v>
                </c:pt>
              </c:strCache>
            </c:strRef>
          </c:tx>
          <c:spPr>
            <a:pattFill prst="pct10">
              <a:fgClr>
                <a:schemeClr val="accent2"/>
              </a:fgClr>
              <a:bgClr>
                <a:schemeClr val="bg1"/>
              </a:bgClr>
            </a:pattFill>
            <a:ln>
              <a:solidFill>
                <a:schemeClr val="accent2"/>
              </a:solidFill>
            </a:ln>
          </c:spPr>
          <c:invertIfNegative val="0"/>
          <c:cat>
            <c:numRef>
              <c:f>'Labotās cenas'!$C$30:$K$30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cenas'!$C$32:$K$32</c:f>
              <c:numCache>
                <c:formatCode>General</c:formatCode>
                <c:ptCount val="9"/>
                <c:pt idx="0">
                  <c:v>34.230000000000011</c:v>
                </c:pt>
                <c:pt idx="1">
                  <c:v>34.340000000000003</c:v>
                </c:pt>
                <c:pt idx="2">
                  <c:v>37.230000000000011</c:v>
                </c:pt>
                <c:pt idx="3">
                  <c:v>40.020000000000003</c:v>
                </c:pt>
                <c:pt idx="4">
                  <c:v>43.55</c:v>
                </c:pt>
                <c:pt idx="5">
                  <c:v>43.59</c:v>
                </c:pt>
                <c:pt idx="6">
                  <c:v>43.6</c:v>
                </c:pt>
                <c:pt idx="7">
                  <c:v>45.77</c:v>
                </c:pt>
                <c:pt idx="8">
                  <c:v>45.760000000000012</c:v>
                </c:pt>
              </c:numCache>
            </c:numRef>
          </c:val>
        </c:ser>
        <c:ser>
          <c:idx val="2"/>
          <c:order val="2"/>
          <c:tx>
            <c:strRef>
              <c:f>'Labotās cenas'!$B$33</c:f>
              <c:strCache>
                <c:ptCount val="1"/>
                <c:pt idx="0">
                  <c:v>OIK</c:v>
                </c:pt>
              </c:strCache>
            </c:strRef>
          </c:tx>
          <c:spPr>
            <a:pattFill prst="ltUpDiag">
              <a:fgClr>
                <a:schemeClr val="accent3">
                  <a:lumMod val="75000"/>
                </a:schemeClr>
              </a:fgClr>
              <a:bgClr>
                <a:schemeClr val="bg1"/>
              </a:bgClr>
            </a:pattFill>
            <a:ln>
              <a:solidFill>
                <a:schemeClr val="accent3">
                  <a:lumMod val="75000"/>
                </a:schemeClr>
              </a:solidFill>
            </a:ln>
          </c:spPr>
          <c:invertIfNegative val="0"/>
          <c:cat>
            <c:numRef>
              <c:f>'Labotās cenas'!$C$30:$K$30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cenas'!$C$33:$K$33</c:f>
              <c:numCache>
                <c:formatCode>0</c:formatCode>
                <c:ptCount val="9"/>
                <c:pt idx="0" formatCode="0.00">
                  <c:v>12.3</c:v>
                </c:pt>
                <c:pt idx="1">
                  <c:v>19.399999999999999</c:v>
                </c:pt>
                <c:pt idx="2">
                  <c:v>24.75</c:v>
                </c:pt>
                <c:pt idx="3">
                  <c:v>28.73</c:v>
                </c:pt>
                <c:pt idx="4">
                  <c:v>34.39</c:v>
                </c:pt>
                <c:pt idx="5">
                  <c:v>38.630000000000003</c:v>
                </c:pt>
                <c:pt idx="6">
                  <c:v>42.25</c:v>
                </c:pt>
                <c:pt idx="7">
                  <c:v>47.06</c:v>
                </c:pt>
                <c:pt idx="8">
                  <c:v>44.6</c:v>
                </c:pt>
              </c:numCache>
            </c:numRef>
          </c:val>
        </c:ser>
        <c:dLbls>
          <c:showLegendKey val="0"/>
          <c:showVal val="1"/>
          <c:showCatName val="0"/>
          <c:showSerName val="0"/>
          <c:showPercent val="0"/>
          <c:showBubbleSize val="0"/>
        </c:dLbls>
        <c:gapWidth val="70"/>
        <c:overlap val="100"/>
        <c:axId val="174439040"/>
        <c:axId val="174450176"/>
      </c:barChart>
      <c:lineChart>
        <c:grouping val="standard"/>
        <c:varyColors val="0"/>
        <c:ser>
          <c:idx val="3"/>
          <c:order val="3"/>
          <c:tx>
            <c:strRef>
              <c:f>'Labotās cenas'!$B$34</c:f>
              <c:strCache>
                <c:ptCount val="1"/>
                <c:pt idx="0">
                  <c:v>KOPĀ</c:v>
                </c:pt>
              </c:strCache>
            </c:strRef>
          </c:tx>
          <c:spPr>
            <a:ln>
              <a:noFill/>
            </a:ln>
          </c:spPr>
          <c:marker>
            <c:spPr>
              <a:ln>
                <a:noFill/>
              </a:ln>
            </c:spPr>
          </c:marker>
          <c:dLbls>
            <c:txPr>
              <a:bodyPr/>
              <a:lstStyle/>
              <a:p>
                <a:pPr>
                  <a:defRPr b="1"/>
                </a:pPr>
                <a:endParaRPr lang="lv-LV"/>
              </a:p>
            </c:txPr>
            <c:dLblPos val="t"/>
            <c:showLegendKey val="0"/>
            <c:showVal val="1"/>
            <c:showCatName val="0"/>
            <c:showSerName val="0"/>
            <c:showPercent val="0"/>
            <c:showBubbleSize val="0"/>
            <c:showLeaderLines val="0"/>
          </c:dLbls>
          <c:val>
            <c:numRef>
              <c:f>'Labotās cenas'!$C$34:$K$34</c:f>
              <c:numCache>
                <c:formatCode>0</c:formatCode>
                <c:ptCount val="9"/>
                <c:pt idx="0" formatCode="General">
                  <c:v>76.529999999999987</c:v>
                </c:pt>
                <c:pt idx="1">
                  <c:v>83.740000000000023</c:v>
                </c:pt>
                <c:pt idx="2">
                  <c:v>92.97999999999999</c:v>
                </c:pt>
                <c:pt idx="3">
                  <c:v>98.750000000000014</c:v>
                </c:pt>
                <c:pt idx="4">
                  <c:v>108.94000000000003</c:v>
                </c:pt>
                <c:pt idx="5">
                  <c:v>114.22</c:v>
                </c:pt>
                <c:pt idx="6">
                  <c:v>119.85</c:v>
                </c:pt>
                <c:pt idx="7">
                  <c:v>127.83000000000001</c:v>
                </c:pt>
                <c:pt idx="8">
                  <c:v>126.35999999999999</c:v>
                </c:pt>
              </c:numCache>
            </c:numRef>
          </c:val>
          <c:smooth val="0"/>
        </c:ser>
        <c:dLbls>
          <c:showLegendKey val="0"/>
          <c:showVal val="1"/>
          <c:showCatName val="0"/>
          <c:showSerName val="0"/>
          <c:showPercent val="0"/>
          <c:showBubbleSize val="0"/>
        </c:dLbls>
        <c:marker val="1"/>
        <c:smooth val="0"/>
        <c:axId val="174439040"/>
        <c:axId val="174450176"/>
      </c:lineChart>
      <c:catAx>
        <c:axId val="174439040"/>
        <c:scaling>
          <c:orientation val="minMax"/>
        </c:scaling>
        <c:delete val="0"/>
        <c:axPos val="b"/>
        <c:numFmt formatCode="General" sourceLinked="1"/>
        <c:majorTickMark val="out"/>
        <c:minorTickMark val="none"/>
        <c:tickLblPos val="nextTo"/>
        <c:crossAx val="174450176"/>
        <c:crosses val="autoZero"/>
        <c:auto val="1"/>
        <c:lblAlgn val="ctr"/>
        <c:lblOffset val="100"/>
        <c:noMultiLvlLbl val="0"/>
      </c:catAx>
      <c:valAx>
        <c:axId val="174450176"/>
        <c:scaling>
          <c:orientation val="minMax"/>
        </c:scaling>
        <c:delete val="0"/>
        <c:axPos val="l"/>
        <c:majorGridlines/>
        <c:title>
          <c:tx>
            <c:rich>
              <a:bodyPr rot="-5400000" vert="horz"/>
              <a:lstStyle/>
              <a:p>
                <a:pPr>
                  <a:defRPr/>
                </a:pPr>
                <a:r>
                  <a:rPr lang="en-US"/>
                  <a:t>L</a:t>
                </a:r>
                <a:r>
                  <a:rPr lang="lv-LV"/>
                  <a:t>VL</a:t>
                </a:r>
                <a:r>
                  <a:rPr lang="en-US"/>
                  <a:t>/MWh</a:t>
                </a:r>
              </a:p>
            </c:rich>
          </c:tx>
          <c:overlay val="0"/>
        </c:title>
        <c:numFmt formatCode="General" sourceLinked="1"/>
        <c:majorTickMark val="out"/>
        <c:minorTickMark val="none"/>
        <c:tickLblPos val="nextTo"/>
        <c:crossAx val="174439040"/>
        <c:crosses val="autoZero"/>
        <c:crossBetween val="between"/>
      </c:valAx>
    </c:plotArea>
    <c:legend>
      <c:legendPos val="b"/>
      <c:legendEntry>
        <c:idx val="3"/>
        <c:delete val="1"/>
      </c:legendEntry>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'Labotās cenas'!$B$57</c:f>
              <c:strCache>
                <c:ptCount val="1"/>
                <c:pt idx="0">
                  <c:v>Elektroenerģijas cena</c:v>
                </c:pt>
              </c:strCache>
            </c:strRef>
          </c:tx>
          <c:spPr>
            <a:solidFill>
              <a:schemeClr val="accent1">
                <a:lumMod val="60000"/>
                <a:lumOff val="40000"/>
              </a:schemeClr>
            </a:solidFill>
            <a:ln>
              <a:solidFill>
                <a:schemeClr val="accent1"/>
              </a:solidFill>
            </a:ln>
          </c:spPr>
          <c:invertIfNegative val="0"/>
          <c:dLbls>
            <c:showLegendKey val="0"/>
            <c:showVal val="1"/>
            <c:showCatName val="0"/>
            <c:showSerName val="0"/>
            <c:showPercent val="0"/>
            <c:showBubbleSize val="0"/>
            <c:showLeaderLines val="0"/>
          </c:dLbls>
          <c:cat>
            <c:numRef>
              <c:f>'Labotās cenas'!$C$56:$K$56</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cenas'!$C$57:$K$57</c:f>
              <c:numCache>
                <c:formatCode>General</c:formatCode>
                <c:ptCount val="9"/>
                <c:pt idx="0">
                  <c:v>34.4</c:v>
                </c:pt>
                <c:pt idx="1">
                  <c:v>30</c:v>
                </c:pt>
                <c:pt idx="2">
                  <c:v>31</c:v>
                </c:pt>
                <c:pt idx="3">
                  <c:v>30</c:v>
                </c:pt>
                <c:pt idx="4">
                  <c:v>31</c:v>
                </c:pt>
                <c:pt idx="5">
                  <c:v>32</c:v>
                </c:pt>
                <c:pt idx="6">
                  <c:v>34</c:v>
                </c:pt>
                <c:pt idx="7">
                  <c:v>35</c:v>
                </c:pt>
                <c:pt idx="8">
                  <c:v>36</c:v>
                </c:pt>
              </c:numCache>
            </c:numRef>
          </c:val>
        </c:ser>
        <c:ser>
          <c:idx val="1"/>
          <c:order val="1"/>
          <c:tx>
            <c:strRef>
              <c:f>'Labotās cenas'!$B$58</c:f>
              <c:strCache>
                <c:ptCount val="1"/>
                <c:pt idx="0">
                  <c:v>Sistēmas pakalpojumi</c:v>
                </c:pt>
              </c:strCache>
            </c:strRef>
          </c:tx>
          <c:spPr>
            <a:pattFill prst="pct10">
              <a:fgClr>
                <a:schemeClr val="accent2"/>
              </a:fgClr>
              <a:bgClr>
                <a:schemeClr val="bg1"/>
              </a:bgClr>
            </a:pattFill>
            <a:ln>
              <a:solidFill>
                <a:schemeClr val="accent2"/>
              </a:solidFill>
            </a:ln>
          </c:spPr>
          <c:invertIfNegative val="0"/>
          <c:dLbls>
            <c:showLegendKey val="0"/>
            <c:showVal val="1"/>
            <c:showCatName val="0"/>
            <c:showSerName val="0"/>
            <c:showPercent val="0"/>
            <c:showBubbleSize val="0"/>
            <c:showLeaderLines val="0"/>
          </c:dLbls>
          <c:cat>
            <c:numRef>
              <c:f>'Labotās cenas'!$C$56:$K$56</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cenas'!$C$58:$K$58</c:f>
              <c:numCache>
                <c:formatCode>0.00</c:formatCode>
                <c:ptCount val="9"/>
                <c:pt idx="0">
                  <c:v>41.3</c:v>
                </c:pt>
                <c:pt idx="1">
                  <c:v>41.51</c:v>
                </c:pt>
                <c:pt idx="2">
                  <c:v>44.46</c:v>
                </c:pt>
                <c:pt idx="3">
                  <c:v>47.220000000000013</c:v>
                </c:pt>
                <c:pt idx="4">
                  <c:v>51.3</c:v>
                </c:pt>
                <c:pt idx="5">
                  <c:v>51.41</c:v>
                </c:pt>
                <c:pt idx="6">
                  <c:v>51.45</c:v>
                </c:pt>
                <c:pt idx="7">
                  <c:v>53.96</c:v>
                </c:pt>
                <c:pt idx="8">
                  <c:v>53.92</c:v>
                </c:pt>
              </c:numCache>
            </c:numRef>
          </c:val>
        </c:ser>
        <c:ser>
          <c:idx val="2"/>
          <c:order val="2"/>
          <c:tx>
            <c:strRef>
              <c:f>'Labotās cenas'!$B$59</c:f>
              <c:strCache>
                <c:ptCount val="1"/>
                <c:pt idx="0">
                  <c:v>OIK</c:v>
                </c:pt>
              </c:strCache>
            </c:strRef>
          </c:tx>
          <c:spPr>
            <a:pattFill prst="ltUpDiag">
              <a:fgClr>
                <a:schemeClr val="accent3">
                  <a:lumMod val="75000"/>
                </a:schemeClr>
              </a:fgClr>
              <a:bgClr>
                <a:schemeClr val="bg1"/>
              </a:bgClr>
            </a:pattFill>
            <a:ln>
              <a:solidFill>
                <a:schemeClr val="accent3">
                  <a:lumMod val="75000"/>
                </a:schemeClr>
              </a:solidFill>
            </a:ln>
          </c:spPr>
          <c:invertIfNegative val="0"/>
          <c:dLbls>
            <c:showLegendKey val="0"/>
            <c:showVal val="1"/>
            <c:showCatName val="0"/>
            <c:showSerName val="0"/>
            <c:showPercent val="0"/>
            <c:showBubbleSize val="0"/>
            <c:showLeaderLines val="0"/>
          </c:dLbls>
          <c:cat>
            <c:numRef>
              <c:f>'Labotās cenas'!$C$56:$K$56</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cenas'!$C$59:$K$59</c:f>
              <c:numCache>
                <c:formatCode>0</c:formatCode>
                <c:ptCount val="9"/>
                <c:pt idx="0" formatCode="General">
                  <c:v>12.3</c:v>
                </c:pt>
                <c:pt idx="1">
                  <c:v>19.399999999999999</c:v>
                </c:pt>
                <c:pt idx="2">
                  <c:v>24.75</c:v>
                </c:pt>
                <c:pt idx="3">
                  <c:v>28.73</c:v>
                </c:pt>
                <c:pt idx="4">
                  <c:v>34.39</c:v>
                </c:pt>
                <c:pt idx="5">
                  <c:v>38.630000000000003</c:v>
                </c:pt>
                <c:pt idx="6">
                  <c:v>42.25</c:v>
                </c:pt>
                <c:pt idx="7">
                  <c:v>47.06</c:v>
                </c:pt>
                <c:pt idx="8">
                  <c:v>44.6</c:v>
                </c:pt>
              </c:numCache>
            </c:numRef>
          </c:val>
        </c:ser>
        <c:dLbls>
          <c:showLegendKey val="0"/>
          <c:showVal val="0"/>
          <c:showCatName val="0"/>
          <c:showSerName val="0"/>
          <c:showPercent val="0"/>
          <c:showBubbleSize val="0"/>
        </c:dLbls>
        <c:gapWidth val="70"/>
        <c:overlap val="100"/>
        <c:axId val="174487808"/>
        <c:axId val="174510080"/>
      </c:barChart>
      <c:lineChart>
        <c:grouping val="standard"/>
        <c:varyColors val="0"/>
        <c:ser>
          <c:idx val="3"/>
          <c:order val="3"/>
          <c:tx>
            <c:strRef>
              <c:f>'Labotās cenas'!$B$60</c:f>
              <c:strCache>
                <c:ptCount val="1"/>
                <c:pt idx="0">
                  <c:v>KOPĀ</c:v>
                </c:pt>
              </c:strCache>
            </c:strRef>
          </c:tx>
          <c:spPr>
            <a:ln>
              <a:noFill/>
            </a:ln>
          </c:spPr>
          <c:marker>
            <c:spPr>
              <a:ln>
                <a:noFill/>
              </a:ln>
            </c:spPr>
          </c:marker>
          <c:dLbls>
            <c:txPr>
              <a:bodyPr/>
              <a:lstStyle/>
              <a:p>
                <a:pPr>
                  <a:defRPr b="1"/>
                </a:pPr>
                <a:endParaRPr lang="lv-LV"/>
              </a:p>
            </c:txPr>
            <c:dLblPos val="t"/>
            <c:showLegendKey val="0"/>
            <c:showVal val="1"/>
            <c:showCatName val="0"/>
            <c:showSerName val="0"/>
            <c:showPercent val="0"/>
            <c:showBubbleSize val="0"/>
            <c:showLeaderLines val="0"/>
          </c:dLbls>
          <c:val>
            <c:numRef>
              <c:f>'Labotās cenas'!$C$60:$K$60</c:f>
              <c:numCache>
                <c:formatCode>0</c:formatCode>
                <c:ptCount val="9"/>
                <c:pt idx="0" formatCode="General">
                  <c:v>88</c:v>
                </c:pt>
                <c:pt idx="1">
                  <c:v>90.910000000000025</c:v>
                </c:pt>
                <c:pt idx="2">
                  <c:v>100.21000000000002</c:v>
                </c:pt>
                <c:pt idx="3">
                  <c:v>105.95</c:v>
                </c:pt>
                <c:pt idx="4">
                  <c:v>116.69</c:v>
                </c:pt>
                <c:pt idx="5">
                  <c:v>122.03999999999999</c:v>
                </c:pt>
                <c:pt idx="6">
                  <c:v>127.7</c:v>
                </c:pt>
                <c:pt idx="7">
                  <c:v>136.02000000000001</c:v>
                </c:pt>
                <c:pt idx="8">
                  <c:v>134.52000000000001</c:v>
                </c:pt>
              </c:numCache>
            </c:numRef>
          </c:val>
          <c:smooth val="0"/>
        </c:ser>
        <c:dLbls>
          <c:showLegendKey val="0"/>
          <c:showVal val="0"/>
          <c:showCatName val="0"/>
          <c:showSerName val="0"/>
          <c:showPercent val="0"/>
          <c:showBubbleSize val="0"/>
        </c:dLbls>
        <c:marker val="1"/>
        <c:smooth val="0"/>
        <c:axId val="174487808"/>
        <c:axId val="174510080"/>
      </c:lineChart>
      <c:catAx>
        <c:axId val="174487808"/>
        <c:scaling>
          <c:orientation val="minMax"/>
        </c:scaling>
        <c:delete val="0"/>
        <c:axPos val="b"/>
        <c:numFmt formatCode="General" sourceLinked="1"/>
        <c:majorTickMark val="out"/>
        <c:minorTickMark val="none"/>
        <c:tickLblPos val="nextTo"/>
        <c:crossAx val="174510080"/>
        <c:crosses val="autoZero"/>
        <c:auto val="1"/>
        <c:lblAlgn val="ctr"/>
        <c:lblOffset val="100"/>
        <c:noMultiLvlLbl val="0"/>
      </c:catAx>
      <c:valAx>
        <c:axId val="174510080"/>
        <c:scaling>
          <c:orientation val="minMax"/>
        </c:scaling>
        <c:delete val="0"/>
        <c:axPos val="l"/>
        <c:majorGridlines/>
        <c:title>
          <c:tx>
            <c:rich>
              <a:bodyPr rot="-5400000" vert="horz"/>
              <a:lstStyle/>
              <a:p>
                <a:pPr>
                  <a:defRPr/>
                </a:pPr>
                <a:r>
                  <a:rPr lang="en-US"/>
                  <a:t>L</a:t>
                </a:r>
                <a:r>
                  <a:rPr lang="lv-LV"/>
                  <a:t>VL/</a:t>
                </a:r>
                <a:r>
                  <a:rPr lang="en-US"/>
                  <a:t>MWh</a:t>
                </a:r>
              </a:p>
            </c:rich>
          </c:tx>
          <c:overlay val="0"/>
        </c:title>
        <c:numFmt formatCode="General" sourceLinked="1"/>
        <c:majorTickMark val="out"/>
        <c:minorTickMark val="none"/>
        <c:tickLblPos val="nextTo"/>
        <c:crossAx val="174487808"/>
        <c:crosses val="autoZero"/>
        <c:crossBetween val="between"/>
      </c:valAx>
    </c:plotArea>
    <c:legend>
      <c:legendPos val="b"/>
      <c:legendEntry>
        <c:idx val="3"/>
        <c:delete val="1"/>
      </c:legendEntry>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Sheet3!$B$6</c:f>
              <c:strCache>
                <c:ptCount val="1"/>
                <c:pt idx="0">
                  <c:v>Elektroenerģijas importa cen\</c:v>
                </c:pt>
              </c:strCache>
            </c:strRef>
          </c:tx>
          <c:marker>
            <c:symbol val="square"/>
            <c:size val="5"/>
          </c:marker>
          <c:dLbls>
            <c:dLblPos val="t"/>
            <c:showLegendKey val="0"/>
            <c:showVal val="1"/>
            <c:showCatName val="0"/>
            <c:showSerName val="0"/>
            <c:showPercent val="0"/>
            <c:showBubbleSize val="0"/>
            <c:showLeaderLines val="0"/>
          </c:dLbls>
          <c:cat>
            <c:numRef>
              <c:f>Sheet3!$C$5:$K$5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Sheet3!$C$6:$K$6</c:f>
              <c:numCache>
                <c:formatCode>General</c:formatCode>
                <c:ptCount val="9"/>
                <c:pt idx="0">
                  <c:v>32.1</c:v>
                </c:pt>
                <c:pt idx="1">
                  <c:v>30.9</c:v>
                </c:pt>
                <c:pt idx="2">
                  <c:v>31</c:v>
                </c:pt>
                <c:pt idx="3">
                  <c:v>30.6</c:v>
                </c:pt>
                <c:pt idx="4">
                  <c:v>31.5</c:v>
                </c:pt>
                <c:pt idx="5">
                  <c:v>32.4</c:v>
                </c:pt>
                <c:pt idx="6">
                  <c:v>33.6</c:v>
                </c:pt>
                <c:pt idx="7">
                  <c:v>34.800000000000004</c:v>
                </c:pt>
                <c:pt idx="8">
                  <c:v>36.1</c:v>
                </c:pt>
              </c:numCache>
            </c:numRef>
          </c:val>
          <c:smooth val="0"/>
        </c:ser>
        <c:dLbls>
          <c:showLegendKey val="0"/>
          <c:showVal val="0"/>
          <c:showCatName val="0"/>
          <c:showSerName val="0"/>
          <c:showPercent val="0"/>
          <c:showBubbleSize val="0"/>
        </c:dLbls>
        <c:marker val="1"/>
        <c:smooth val="0"/>
        <c:axId val="173385984"/>
        <c:axId val="173404160"/>
      </c:lineChart>
      <c:catAx>
        <c:axId val="173385984"/>
        <c:scaling>
          <c:orientation val="minMax"/>
        </c:scaling>
        <c:delete val="0"/>
        <c:axPos val="b"/>
        <c:numFmt formatCode="General" sourceLinked="1"/>
        <c:majorTickMark val="out"/>
        <c:minorTickMark val="none"/>
        <c:tickLblPos val="nextTo"/>
        <c:crossAx val="173404160"/>
        <c:crosses val="autoZero"/>
        <c:auto val="1"/>
        <c:lblAlgn val="ctr"/>
        <c:lblOffset val="100"/>
        <c:noMultiLvlLbl val="0"/>
      </c:catAx>
      <c:valAx>
        <c:axId val="173404160"/>
        <c:scaling>
          <c:orientation val="minMax"/>
          <c:max val="60"/>
          <c:min val="0"/>
        </c:scaling>
        <c:delete val="0"/>
        <c:axPos val="l"/>
        <c:majorGridlines/>
        <c:title>
          <c:tx>
            <c:rich>
              <a:bodyPr rot="-5400000" vert="horz"/>
              <a:lstStyle/>
              <a:p>
                <a:pPr>
                  <a:defRPr/>
                </a:pPr>
                <a:r>
                  <a:rPr lang="en-US"/>
                  <a:t>L</a:t>
                </a:r>
                <a:r>
                  <a:rPr lang="lv-LV"/>
                  <a:t>VL</a:t>
                </a:r>
                <a:r>
                  <a:rPr lang="en-US"/>
                  <a:t>/MWh</a:t>
                </a:r>
              </a:p>
            </c:rich>
          </c:tx>
          <c:overlay val="0"/>
        </c:title>
        <c:numFmt formatCode="General" sourceLinked="1"/>
        <c:majorTickMark val="out"/>
        <c:minorTickMark val="none"/>
        <c:tickLblPos val="nextTo"/>
        <c:crossAx val="173385984"/>
        <c:crosses val="autoZero"/>
        <c:crossBetween val="between"/>
      </c:valAx>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695844524119321E-2"/>
          <c:y val="4.5749075653200612E-2"/>
          <c:w val="0.89391288698667037"/>
          <c:h val="0.75263344227158846"/>
        </c:manualLayout>
      </c:layout>
      <c:lineChart>
        <c:grouping val="standard"/>
        <c:varyColors val="0"/>
        <c:ser>
          <c:idx val="2"/>
          <c:order val="0"/>
          <c:tx>
            <c:strRef>
              <c:f>Sheet2!$H$7</c:f>
              <c:strCache>
                <c:ptCount val="1"/>
                <c:pt idx="0">
                  <c:v>Nord Pool Spot</c:v>
                </c:pt>
              </c:strCache>
            </c:strRef>
          </c:tx>
          <c:spPr>
            <a:ln w="25400">
              <a:solidFill>
                <a:srgbClr val="00B0F0">
                  <a:alpha val="75000"/>
                </a:srgbClr>
              </a:solidFill>
              <a:prstDash val="solid"/>
            </a:ln>
          </c:spPr>
          <c:marker>
            <c:symbol val="none"/>
          </c:marker>
          <c:cat>
            <c:numRef>
              <c:f>Sheet2!$E$8:$E$26</c:f>
              <c:numCache>
                <c:formatCode>General</c:formatCode>
                <c:ptCount val="19"/>
                <c:pt idx="0">
                  <c:v>2008</c:v>
                </c:pt>
                <c:pt idx="4">
                  <c:v>2009</c:v>
                </c:pt>
                <c:pt idx="8">
                  <c:v>2010</c:v>
                </c:pt>
                <c:pt idx="12">
                  <c:v>2011</c:v>
                </c:pt>
                <c:pt idx="16">
                  <c:v>2012</c:v>
                </c:pt>
              </c:numCache>
            </c:numRef>
          </c:cat>
          <c:val>
            <c:numRef>
              <c:f>Sheet2!$H$8:$H$26</c:f>
              <c:numCache>
                <c:formatCode>General</c:formatCode>
                <c:ptCount val="19"/>
                <c:pt idx="0">
                  <c:v>38.6</c:v>
                </c:pt>
                <c:pt idx="1">
                  <c:v>34.49</c:v>
                </c:pt>
                <c:pt idx="2">
                  <c:v>54.96</c:v>
                </c:pt>
                <c:pt idx="3">
                  <c:v>51.4</c:v>
                </c:pt>
                <c:pt idx="4">
                  <c:v>38.300000000000004</c:v>
                </c:pt>
                <c:pt idx="5">
                  <c:v>30.06</c:v>
                </c:pt>
                <c:pt idx="6">
                  <c:v>30.73</c:v>
                </c:pt>
                <c:pt idx="7">
                  <c:v>37.190000000000012</c:v>
                </c:pt>
                <c:pt idx="8">
                  <c:v>59.47</c:v>
                </c:pt>
                <c:pt idx="9">
                  <c:v>44.85</c:v>
                </c:pt>
                <c:pt idx="10">
                  <c:v>45.86</c:v>
                </c:pt>
                <c:pt idx="11">
                  <c:v>62.11</c:v>
                </c:pt>
                <c:pt idx="12">
                  <c:v>66.149999999999991</c:v>
                </c:pt>
                <c:pt idx="13">
                  <c:v>52.27</c:v>
                </c:pt>
                <c:pt idx="14">
                  <c:v>36.03</c:v>
                </c:pt>
                <c:pt idx="15">
                  <c:v>34.21</c:v>
                </c:pt>
                <c:pt idx="16">
                  <c:v>38.25</c:v>
                </c:pt>
                <c:pt idx="17">
                  <c:v>28.419999999999987</c:v>
                </c:pt>
                <c:pt idx="18">
                  <c:v>20.84</c:v>
                </c:pt>
              </c:numCache>
            </c:numRef>
          </c:val>
          <c:smooth val="0"/>
        </c:ser>
        <c:dLbls>
          <c:showLegendKey val="0"/>
          <c:showVal val="0"/>
          <c:showCatName val="0"/>
          <c:showSerName val="0"/>
          <c:showPercent val="0"/>
          <c:showBubbleSize val="0"/>
        </c:dLbls>
        <c:marker val="1"/>
        <c:smooth val="0"/>
        <c:axId val="173762048"/>
        <c:axId val="173763584"/>
      </c:lineChart>
      <c:lineChart>
        <c:grouping val="standard"/>
        <c:varyColors val="0"/>
        <c:ser>
          <c:idx val="0"/>
          <c:order val="1"/>
          <c:tx>
            <c:strRef>
              <c:f>Sheet2!$G$7</c:f>
              <c:strCache>
                <c:ptCount val="1"/>
                <c:pt idx="0">
                  <c:v>EPEX Spot</c:v>
                </c:pt>
              </c:strCache>
            </c:strRef>
          </c:tx>
          <c:spPr>
            <a:ln w="25400">
              <a:solidFill>
                <a:srgbClr val="FF0000"/>
              </a:solidFill>
              <a:prstDash val="dash"/>
            </a:ln>
          </c:spPr>
          <c:marker>
            <c:symbol val="none"/>
          </c:marker>
          <c:cat>
            <c:numRef>
              <c:f>Sheet2!$E$8:$E$26</c:f>
              <c:numCache>
                <c:formatCode>General</c:formatCode>
                <c:ptCount val="19"/>
                <c:pt idx="0">
                  <c:v>2008</c:v>
                </c:pt>
                <c:pt idx="4">
                  <c:v>2009</c:v>
                </c:pt>
                <c:pt idx="8">
                  <c:v>2010</c:v>
                </c:pt>
                <c:pt idx="12">
                  <c:v>2011</c:v>
                </c:pt>
                <c:pt idx="16">
                  <c:v>2012</c:v>
                </c:pt>
              </c:numCache>
            </c:numRef>
          </c:cat>
          <c:val>
            <c:numRef>
              <c:f>Sheet2!$G$8:$G$26</c:f>
              <c:numCache>
                <c:formatCode>#,##0.00</c:formatCode>
                <c:ptCount val="19"/>
                <c:pt idx="0">
                  <c:v>56.2</c:v>
                </c:pt>
                <c:pt idx="1">
                  <c:v>65.540000000000006</c:v>
                </c:pt>
                <c:pt idx="2">
                  <c:v>73.169999999999987</c:v>
                </c:pt>
                <c:pt idx="3">
                  <c:v>68.010000000000005</c:v>
                </c:pt>
                <c:pt idx="4">
                  <c:v>47.35</c:v>
                </c:pt>
                <c:pt idx="5">
                  <c:v>32.380000000000003</c:v>
                </c:pt>
                <c:pt idx="6">
                  <c:v>37.03</c:v>
                </c:pt>
                <c:pt idx="7">
                  <c:v>38.760000000000012</c:v>
                </c:pt>
                <c:pt idx="8">
                  <c:v>41.02</c:v>
                </c:pt>
                <c:pt idx="9">
                  <c:v>41.52</c:v>
                </c:pt>
                <c:pt idx="10">
                  <c:v>43.81</c:v>
                </c:pt>
                <c:pt idx="11">
                  <c:v>51.49</c:v>
                </c:pt>
                <c:pt idx="12">
                  <c:v>51.85</c:v>
                </c:pt>
                <c:pt idx="13">
                  <c:v>53.61</c:v>
                </c:pt>
                <c:pt idx="14">
                  <c:v>49.17</c:v>
                </c:pt>
                <c:pt idx="15">
                  <c:v>49.91</c:v>
                </c:pt>
                <c:pt idx="16">
                  <c:v>45.1</c:v>
                </c:pt>
                <c:pt idx="17">
                  <c:v>40.39</c:v>
                </c:pt>
                <c:pt idx="18">
                  <c:v>43.52</c:v>
                </c:pt>
              </c:numCache>
            </c:numRef>
          </c:val>
          <c:smooth val="0"/>
        </c:ser>
        <c:dLbls>
          <c:showLegendKey val="0"/>
          <c:showVal val="0"/>
          <c:showCatName val="0"/>
          <c:showSerName val="0"/>
          <c:showPercent val="0"/>
          <c:showBubbleSize val="0"/>
        </c:dLbls>
        <c:marker val="1"/>
        <c:smooth val="0"/>
        <c:axId val="173767296"/>
        <c:axId val="173765760"/>
      </c:lineChart>
      <c:catAx>
        <c:axId val="173762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ill Sans MT"/>
                <a:ea typeface="Gill Sans MT"/>
                <a:cs typeface="Gill Sans MT"/>
              </a:defRPr>
            </a:pPr>
            <a:endParaRPr lang="lv-LV"/>
          </a:p>
        </c:txPr>
        <c:crossAx val="173763584"/>
        <c:crosses val="autoZero"/>
        <c:auto val="1"/>
        <c:lblAlgn val="ctr"/>
        <c:lblOffset val="100"/>
        <c:tickLblSkip val="1"/>
        <c:tickMarkSkip val="1"/>
        <c:noMultiLvlLbl val="0"/>
      </c:catAx>
      <c:valAx>
        <c:axId val="173763584"/>
        <c:scaling>
          <c:orientation val="minMax"/>
          <c:max val="85"/>
          <c:min val="10"/>
        </c:scaling>
        <c:delete val="0"/>
        <c:axPos val="l"/>
        <c:majorGridlines>
          <c:spPr>
            <a:ln w="3175">
              <a:solidFill>
                <a:srgbClr val="C0C0C0"/>
              </a:solidFill>
              <a:prstDash val="solid"/>
            </a:ln>
          </c:spPr>
        </c:majorGridlines>
        <c:title>
          <c:tx>
            <c:rich>
              <a:bodyPr rot="0" vert="horz"/>
              <a:lstStyle/>
              <a:p>
                <a:pPr>
                  <a:defRPr sz="1000" b="0" i="0" u="none" strike="noStrike" baseline="0">
                    <a:solidFill>
                      <a:srgbClr val="000000"/>
                    </a:solidFill>
                    <a:latin typeface="Gill Sans MT"/>
                    <a:ea typeface="Gill Sans MT"/>
                    <a:cs typeface="Gill Sans MT"/>
                  </a:defRPr>
                </a:pPr>
                <a:r>
                  <a:rPr lang="lv-LV" sz="800"/>
                  <a:t>EUR/MW</a:t>
                </a:r>
                <a:r>
                  <a:rPr lang="lv-LV"/>
                  <a:t>h</a:t>
                </a:r>
              </a:p>
            </c:rich>
          </c:tx>
          <c:layout>
            <c:manualLayout>
              <c:xMode val="edge"/>
              <c:yMode val="edge"/>
              <c:x val="5.3816423754930183E-2"/>
              <c:y val="5.1729897399188764E-3"/>
            </c:manualLayout>
          </c:layout>
          <c:overlay val="0"/>
          <c:spPr>
            <a:noFill/>
            <a:ln w="25400">
              <a:noFill/>
            </a:ln>
          </c:spPr>
        </c:title>
        <c:numFmt formatCode="_(* #,##0.0_);_(* \(#,##0.0\);_(* &quot;-&quot;??_);_(@_)" sourceLinked="0"/>
        <c:majorTickMark val="out"/>
        <c:minorTickMark val="none"/>
        <c:tickLblPos val="nextTo"/>
        <c:spPr>
          <a:ln w="9525">
            <a:noFill/>
          </a:ln>
        </c:spPr>
        <c:txPr>
          <a:bodyPr rot="0" vert="horz"/>
          <a:lstStyle/>
          <a:p>
            <a:pPr>
              <a:defRPr sz="1000" b="0" i="0" u="none" strike="noStrike" baseline="0">
                <a:solidFill>
                  <a:srgbClr val="000000"/>
                </a:solidFill>
                <a:latin typeface="Gill Sans MT"/>
                <a:ea typeface="Gill Sans MT"/>
                <a:cs typeface="Gill Sans MT"/>
              </a:defRPr>
            </a:pPr>
            <a:endParaRPr lang="lv-LV"/>
          </a:p>
        </c:txPr>
        <c:crossAx val="173762048"/>
        <c:crosses val="autoZero"/>
        <c:crossBetween val="between"/>
        <c:majorUnit val="10"/>
        <c:minorUnit val="0.5"/>
      </c:valAx>
      <c:valAx>
        <c:axId val="173765760"/>
        <c:scaling>
          <c:orientation val="minMax"/>
        </c:scaling>
        <c:delete val="1"/>
        <c:axPos val="r"/>
        <c:numFmt formatCode="#,##0.00" sourceLinked="1"/>
        <c:majorTickMark val="out"/>
        <c:minorTickMark val="none"/>
        <c:tickLblPos val="none"/>
        <c:crossAx val="173767296"/>
        <c:crosses val="max"/>
        <c:crossBetween val="between"/>
      </c:valAx>
      <c:catAx>
        <c:axId val="173767296"/>
        <c:scaling>
          <c:orientation val="minMax"/>
        </c:scaling>
        <c:delete val="1"/>
        <c:axPos val="b"/>
        <c:numFmt formatCode="General" sourceLinked="1"/>
        <c:majorTickMark val="out"/>
        <c:minorTickMark val="none"/>
        <c:tickLblPos val="none"/>
        <c:crossAx val="173765760"/>
        <c:crosses val="autoZero"/>
        <c:auto val="1"/>
        <c:lblAlgn val="ctr"/>
        <c:lblOffset val="100"/>
        <c:noMultiLvlLbl val="0"/>
      </c:catAx>
    </c:plotArea>
    <c:legend>
      <c:legendPos val="b"/>
      <c:layout>
        <c:manualLayout>
          <c:xMode val="edge"/>
          <c:yMode val="edge"/>
          <c:x val="0.26921242460586481"/>
          <c:y val="0.90722159730033769"/>
          <c:w val="0.56753541568893295"/>
          <c:h val="7.1953443414910223E-2"/>
        </c:manualLayout>
      </c:layout>
      <c:overlay val="0"/>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Gill Sans MT"/>
          <a:ea typeface="Gill Sans MT"/>
          <a:cs typeface="Gill Sans MT"/>
        </a:defRPr>
      </a:pPr>
      <a:endParaRPr lang="lv-LV"/>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0101041380176751"/>
          <c:y val="0.13732004429678837"/>
          <c:w val="0.86064257535390865"/>
          <c:h val="0.68969367201192944"/>
        </c:manualLayout>
      </c:layout>
      <c:barChart>
        <c:barDir val="bar"/>
        <c:grouping val="percentStacked"/>
        <c:varyColors val="0"/>
        <c:ser>
          <c:idx val="0"/>
          <c:order val="0"/>
          <c:tx>
            <c:strRef>
              <c:f>Sheet3!$D$3</c:f>
              <c:strCache>
                <c:ptCount val="1"/>
                <c:pt idx="0">
                  <c:v>Vienošanās cena</c:v>
                </c:pt>
              </c:strCache>
            </c:strRef>
          </c:tx>
          <c:spPr>
            <a:pattFill prst="trellis">
              <a:fgClr>
                <a:schemeClr val="accent3">
                  <a:lumMod val="75000"/>
                </a:schemeClr>
              </a:fgClr>
              <a:bgClr>
                <a:schemeClr val="bg1"/>
              </a:bgClr>
            </a:pattFill>
            <a:ln>
              <a:solidFill>
                <a:schemeClr val="accent3">
                  <a:lumMod val="75000"/>
                </a:schemeClr>
              </a:solidFill>
            </a:ln>
          </c:spPr>
          <c:invertIfNegative val="0"/>
          <c:dLbls>
            <c:spPr>
              <a:ln w="3175"/>
            </c:spPr>
            <c:dLblPos val="ctr"/>
            <c:showLegendKey val="0"/>
            <c:showVal val="1"/>
            <c:showCatName val="0"/>
            <c:showSerName val="0"/>
            <c:showPercent val="0"/>
            <c:showBubbleSize val="0"/>
            <c:showLeaderLines val="0"/>
          </c:dLbls>
          <c:cat>
            <c:strRef>
              <c:f>Sheet3!$E$2:$H$2</c:f>
              <c:strCache>
                <c:ptCount val="4"/>
                <c:pt idx="0">
                  <c:v>2013 Sep</c:v>
                </c:pt>
                <c:pt idx="1">
                  <c:v>2012 Nov</c:v>
                </c:pt>
                <c:pt idx="2">
                  <c:v>2012 Apr</c:v>
                </c:pt>
                <c:pt idx="3">
                  <c:v>2008</c:v>
                </c:pt>
              </c:strCache>
            </c:strRef>
          </c:cat>
          <c:val>
            <c:numRef>
              <c:f>Sheet3!$E$3:$H$3</c:f>
              <c:numCache>
                <c:formatCode>General</c:formatCode>
                <c:ptCount val="4"/>
                <c:pt idx="0">
                  <c:v>100</c:v>
                </c:pt>
                <c:pt idx="1">
                  <c:v>75</c:v>
                </c:pt>
                <c:pt idx="2">
                  <c:v>66</c:v>
                </c:pt>
                <c:pt idx="3">
                  <c:v>35</c:v>
                </c:pt>
              </c:numCache>
            </c:numRef>
          </c:val>
        </c:ser>
        <c:ser>
          <c:idx val="1"/>
          <c:order val="1"/>
          <c:tx>
            <c:strRef>
              <c:f>Sheet3!$D$4</c:f>
              <c:strCache>
                <c:ptCount val="1"/>
                <c:pt idx="0">
                  <c:v>Regulēta cena</c:v>
                </c:pt>
              </c:strCache>
            </c:strRef>
          </c:tx>
          <c:spPr>
            <a:pattFill prst="wdUpDiag">
              <a:fgClr>
                <a:schemeClr val="accent6">
                  <a:lumMod val="75000"/>
                </a:schemeClr>
              </a:fgClr>
              <a:bgClr>
                <a:schemeClr val="bg1"/>
              </a:bgClr>
            </a:pattFill>
            <a:ln>
              <a:solidFill>
                <a:schemeClr val="accent6">
                  <a:lumMod val="75000"/>
                </a:schemeClr>
              </a:solidFill>
            </a:ln>
          </c:spPr>
          <c:invertIfNegative val="0"/>
          <c:cat>
            <c:strRef>
              <c:f>Sheet3!$E$2:$H$2</c:f>
              <c:strCache>
                <c:ptCount val="4"/>
                <c:pt idx="0">
                  <c:v>2013 Sep</c:v>
                </c:pt>
                <c:pt idx="1">
                  <c:v>2012 Nov</c:v>
                </c:pt>
                <c:pt idx="2">
                  <c:v>2012 Apr</c:v>
                </c:pt>
                <c:pt idx="3">
                  <c:v>2008</c:v>
                </c:pt>
              </c:strCache>
            </c:strRef>
          </c:cat>
          <c:val>
            <c:numRef>
              <c:f>Sheet3!$E$4:$H$4</c:f>
              <c:numCache>
                <c:formatCode>General</c:formatCode>
                <c:ptCount val="4"/>
                <c:pt idx="1">
                  <c:v>25</c:v>
                </c:pt>
                <c:pt idx="2">
                  <c:v>34</c:v>
                </c:pt>
                <c:pt idx="3">
                  <c:v>65</c:v>
                </c:pt>
              </c:numCache>
            </c:numRef>
          </c:val>
        </c:ser>
        <c:dLbls>
          <c:showLegendKey val="0"/>
          <c:showVal val="1"/>
          <c:showCatName val="0"/>
          <c:showSerName val="0"/>
          <c:showPercent val="0"/>
          <c:showBubbleSize val="0"/>
        </c:dLbls>
        <c:gapWidth val="150"/>
        <c:overlap val="100"/>
        <c:axId val="173933312"/>
        <c:axId val="173934848"/>
      </c:barChart>
      <c:catAx>
        <c:axId val="173933312"/>
        <c:scaling>
          <c:orientation val="minMax"/>
        </c:scaling>
        <c:delete val="0"/>
        <c:axPos val="l"/>
        <c:majorTickMark val="out"/>
        <c:minorTickMark val="none"/>
        <c:tickLblPos val="nextTo"/>
        <c:crossAx val="173934848"/>
        <c:crosses val="autoZero"/>
        <c:auto val="1"/>
        <c:lblAlgn val="ctr"/>
        <c:lblOffset val="100"/>
        <c:noMultiLvlLbl val="0"/>
      </c:catAx>
      <c:valAx>
        <c:axId val="173934848"/>
        <c:scaling>
          <c:orientation val="minMax"/>
        </c:scaling>
        <c:delete val="0"/>
        <c:axPos val="b"/>
        <c:majorGridlines/>
        <c:numFmt formatCode="0%" sourceLinked="1"/>
        <c:majorTickMark val="out"/>
        <c:minorTickMark val="none"/>
        <c:tickLblPos val="nextTo"/>
        <c:crossAx val="173933312"/>
        <c:crosses val="autoZero"/>
        <c:crossBetween val="between"/>
      </c:valAx>
    </c:plotArea>
    <c:legend>
      <c:legendPos val="b"/>
      <c:layout>
        <c:manualLayout>
          <c:xMode val="edge"/>
          <c:yMode val="edge"/>
          <c:x val="0.46639112349223494"/>
          <c:y val="0.90660946451461077"/>
          <c:w val="0.52053330198642001"/>
          <c:h val="8.0101498940539556E-2"/>
        </c:manualLayout>
      </c:layout>
      <c:overlay val="0"/>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42552247700583E-2"/>
          <c:y val="7.9592894937691755E-2"/>
          <c:w val="0.54973044290751671"/>
          <c:h val="0.80862720014820266"/>
        </c:manualLayout>
      </c:layout>
      <c:areaChart>
        <c:grouping val="stacked"/>
        <c:varyColors val="0"/>
        <c:ser>
          <c:idx val="1"/>
          <c:order val="0"/>
          <c:tx>
            <c:strRef>
              <c:f>Sheet1!$E$22</c:f>
              <c:strCache>
                <c:ptCount val="1"/>
                <c:pt idx="0">
                  <c:v>Obligātais iepirkums AER CHP</c:v>
                </c:pt>
              </c:strCache>
            </c:strRef>
          </c:tx>
          <c:spPr>
            <a:pattFill prst="wdUpDiag">
              <a:fgClr>
                <a:schemeClr val="accent3"/>
              </a:fgClr>
              <a:bgClr>
                <a:schemeClr val="bg1"/>
              </a:bgClr>
            </a:pattFill>
            <a:ln>
              <a:solidFill>
                <a:schemeClr val="accent3"/>
              </a:solidFill>
            </a:ln>
          </c:spPr>
          <c:cat>
            <c:numRef>
              <c:f>Sheet1!$A$3:$A$10</c:f>
              <c:numCache>
                <c:formatCode>General</c:formatCode>
                <c:ptCount val="8"/>
                <c:pt idx="0">
                  <c:v>2013</c:v>
                </c:pt>
                <c:pt idx="1">
                  <c:v>2014</c:v>
                </c:pt>
                <c:pt idx="2">
                  <c:v>2015</c:v>
                </c:pt>
                <c:pt idx="3">
                  <c:v>2016</c:v>
                </c:pt>
                <c:pt idx="4">
                  <c:v>2017</c:v>
                </c:pt>
                <c:pt idx="5">
                  <c:v>2018</c:v>
                </c:pt>
                <c:pt idx="6">
                  <c:v>2019</c:v>
                </c:pt>
                <c:pt idx="7">
                  <c:v>2020</c:v>
                </c:pt>
              </c:numCache>
            </c:numRef>
          </c:cat>
          <c:val>
            <c:numRef>
              <c:f>Sheet1!$E$3:$E$10</c:f>
              <c:numCache>
                <c:formatCode>General</c:formatCode>
                <c:ptCount val="8"/>
                <c:pt idx="0">
                  <c:v>11.207000000000001</c:v>
                </c:pt>
                <c:pt idx="1">
                  <c:v>274.18394561111108</c:v>
                </c:pt>
                <c:pt idx="2">
                  <c:v>1319.9542896722223</c:v>
                </c:pt>
                <c:pt idx="3">
                  <c:v>2242.8005257222217</c:v>
                </c:pt>
                <c:pt idx="4">
                  <c:v>3289.4234906666657</c:v>
                </c:pt>
                <c:pt idx="5">
                  <c:v>4724.3617340000037</c:v>
                </c:pt>
                <c:pt idx="6">
                  <c:v>4724.3617340000037</c:v>
                </c:pt>
                <c:pt idx="7">
                  <c:v>4723.0776256666704</c:v>
                </c:pt>
              </c:numCache>
            </c:numRef>
          </c:val>
        </c:ser>
        <c:ser>
          <c:idx val="0"/>
          <c:order val="1"/>
          <c:tx>
            <c:strRef>
              <c:f>Sheet1!$D$22</c:f>
              <c:strCache>
                <c:ptCount val="1"/>
                <c:pt idx="0">
                  <c:v>Obligātais iepirkums AER </c:v>
                </c:pt>
              </c:strCache>
            </c:strRef>
          </c:tx>
          <c:spPr>
            <a:pattFill prst="wave">
              <a:fgClr>
                <a:schemeClr val="accent1"/>
              </a:fgClr>
              <a:bgClr>
                <a:schemeClr val="bg1"/>
              </a:bgClr>
            </a:pattFill>
            <a:ln>
              <a:solidFill>
                <a:schemeClr val="accent1"/>
              </a:solidFill>
            </a:ln>
          </c:spPr>
          <c:cat>
            <c:numRef>
              <c:f>Sheet1!$A$3:$A$10</c:f>
              <c:numCache>
                <c:formatCode>General</c:formatCode>
                <c:ptCount val="8"/>
                <c:pt idx="0">
                  <c:v>2013</c:v>
                </c:pt>
                <c:pt idx="1">
                  <c:v>2014</c:v>
                </c:pt>
                <c:pt idx="2">
                  <c:v>2015</c:v>
                </c:pt>
                <c:pt idx="3">
                  <c:v>2016</c:v>
                </c:pt>
                <c:pt idx="4">
                  <c:v>2017</c:v>
                </c:pt>
                <c:pt idx="5">
                  <c:v>2018</c:v>
                </c:pt>
                <c:pt idx="6">
                  <c:v>2019</c:v>
                </c:pt>
                <c:pt idx="7">
                  <c:v>2020</c:v>
                </c:pt>
              </c:numCache>
            </c:numRef>
          </c:cat>
          <c:val>
            <c:numRef>
              <c:f>Sheet1!$D$3:$D$10</c:f>
              <c:numCache>
                <c:formatCode>General</c:formatCode>
                <c:ptCount val="8"/>
                <c:pt idx="0">
                  <c:v>886.45221299999889</c:v>
                </c:pt>
                <c:pt idx="1">
                  <c:v>886.45221299999889</c:v>
                </c:pt>
                <c:pt idx="2">
                  <c:v>886.45221299999889</c:v>
                </c:pt>
                <c:pt idx="3">
                  <c:v>886.45221299999889</c:v>
                </c:pt>
                <c:pt idx="4">
                  <c:v>886.45221299999889</c:v>
                </c:pt>
                <c:pt idx="5">
                  <c:v>886.45221299999889</c:v>
                </c:pt>
                <c:pt idx="6">
                  <c:v>886.45221299999889</c:v>
                </c:pt>
                <c:pt idx="7">
                  <c:v>886.45221299999889</c:v>
                </c:pt>
              </c:numCache>
            </c:numRef>
          </c:val>
        </c:ser>
        <c:ser>
          <c:idx val="2"/>
          <c:order val="2"/>
          <c:tx>
            <c:strRef>
              <c:f>Sheet1!$F$22</c:f>
              <c:strCache>
                <c:ptCount val="1"/>
                <c:pt idx="0">
                  <c:v>Obligātais iepirkums fosilie CHP</c:v>
                </c:pt>
              </c:strCache>
            </c:strRef>
          </c:tx>
          <c:spPr>
            <a:pattFill prst="dotGrid">
              <a:fgClr>
                <a:schemeClr val="accent4"/>
              </a:fgClr>
              <a:bgClr>
                <a:schemeClr val="bg1"/>
              </a:bgClr>
            </a:pattFill>
            <a:ln>
              <a:solidFill>
                <a:schemeClr val="accent4"/>
              </a:solidFill>
            </a:ln>
          </c:spPr>
          <c:cat>
            <c:numRef>
              <c:f>Sheet1!$A$3:$A$10</c:f>
              <c:numCache>
                <c:formatCode>General</c:formatCode>
                <c:ptCount val="8"/>
                <c:pt idx="0">
                  <c:v>2013</c:v>
                </c:pt>
                <c:pt idx="1">
                  <c:v>2014</c:v>
                </c:pt>
                <c:pt idx="2">
                  <c:v>2015</c:v>
                </c:pt>
                <c:pt idx="3">
                  <c:v>2016</c:v>
                </c:pt>
                <c:pt idx="4">
                  <c:v>2017</c:v>
                </c:pt>
                <c:pt idx="5">
                  <c:v>2018</c:v>
                </c:pt>
                <c:pt idx="6">
                  <c:v>2019</c:v>
                </c:pt>
                <c:pt idx="7">
                  <c:v>2020</c:v>
                </c:pt>
              </c:numCache>
            </c:numRef>
          </c:cat>
          <c:val>
            <c:numRef>
              <c:f>Sheet1!$F$3:$F$10</c:f>
              <c:numCache>
                <c:formatCode>General</c:formatCode>
                <c:ptCount val="8"/>
                <c:pt idx="0">
                  <c:v>2735.8623200000002</c:v>
                </c:pt>
                <c:pt idx="1">
                  <c:v>3802.861775833333</c:v>
                </c:pt>
                <c:pt idx="2">
                  <c:v>4030.9232998333378</c:v>
                </c:pt>
                <c:pt idx="3">
                  <c:v>4142.2196400000021</c:v>
                </c:pt>
                <c:pt idx="4">
                  <c:v>4060.9651350000026</c:v>
                </c:pt>
                <c:pt idx="5">
                  <c:v>3939.1642605555585</c:v>
                </c:pt>
                <c:pt idx="6">
                  <c:v>3729.2059661111143</c:v>
                </c:pt>
                <c:pt idx="7">
                  <c:v>3540.2775599444471</c:v>
                </c:pt>
              </c:numCache>
            </c:numRef>
          </c:val>
        </c:ser>
        <c:ser>
          <c:idx val="4"/>
          <c:order val="4"/>
          <c:tx>
            <c:strRef>
              <c:f>Sheet1!$G$22</c:f>
              <c:strCache>
                <c:ptCount val="1"/>
                <c:pt idx="0">
                  <c:v>Daugavas HES</c:v>
                </c:pt>
              </c:strCache>
            </c:strRef>
          </c:tx>
          <c:spPr>
            <a:solidFill>
              <a:schemeClr val="accent1">
                <a:lumMod val="60000"/>
                <a:lumOff val="40000"/>
                <a:alpha val="77000"/>
              </a:schemeClr>
            </a:solidFill>
            <a:ln w="25400">
              <a:solidFill>
                <a:schemeClr val="accent1">
                  <a:lumMod val="40000"/>
                  <a:lumOff val="60000"/>
                </a:schemeClr>
              </a:solidFill>
            </a:ln>
          </c:spPr>
          <c:cat>
            <c:numRef>
              <c:f>Sheet1!$A$3:$A$10</c:f>
              <c:numCache>
                <c:formatCode>General</c:formatCode>
                <c:ptCount val="8"/>
                <c:pt idx="0">
                  <c:v>2013</c:v>
                </c:pt>
                <c:pt idx="1">
                  <c:v>2014</c:v>
                </c:pt>
                <c:pt idx="2">
                  <c:v>2015</c:v>
                </c:pt>
                <c:pt idx="3">
                  <c:v>2016</c:v>
                </c:pt>
                <c:pt idx="4">
                  <c:v>2017</c:v>
                </c:pt>
                <c:pt idx="5">
                  <c:v>2018</c:v>
                </c:pt>
                <c:pt idx="6">
                  <c:v>2019</c:v>
                </c:pt>
                <c:pt idx="7">
                  <c:v>2020</c:v>
                </c:pt>
              </c:numCache>
            </c:numRef>
          </c:cat>
          <c:val>
            <c:numRef>
              <c:f>Sheet1!$G$3:$G$10</c:f>
              <c:numCache>
                <c:formatCode>General</c:formatCode>
                <c:ptCount val="8"/>
                <c:pt idx="0">
                  <c:v>2740</c:v>
                </c:pt>
                <c:pt idx="1">
                  <c:v>2740</c:v>
                </c:pt>
                <c:pt idx="2">
                  <c:v>2740</c:v>
                </c:pt>
                <c:pt idx="3">
                  <c:v>2740</c:v>
                </c:pt>
                <c:pt idx="4">
                  <c:v>2770</c:v>
                </c:pt>
                <c:pt idx="5">
                  <c:v>2770</c:v>
                </c:pt>
                <c:pt idx="6">
                  <c:v>2770</c:v>
                </c:pt>
                <c:pt idx="7">
                  <c:v>2770</c:v>
                </c:pt>
              </c:numCache>
            </c:numRef>
          </c:val>
        </c:ser>
        <c:dLbls>
          <c:showLegendKey val="0"/>
          <c:showVal val="0"/>
          <c:showCatName val="0"/>
          <c:showSerName val="0"/>
          <c:showPercent val="0"/>
          <c:showBubbleSize val="0"/>
        </c:dLbls>
        <c:axId val="174067072"/>
        <c:axId val="174068864"/>
      </c:areaChart>
      <c:areaChart>
        <c:grouping val="stacked"/>
        <c:varyColors val="0"/>
        <c:ser>
          <c:idx val="3"/>
          <c:order val="3"/>
          <c:tx>
            <c:strRef>
              <c:f>Sheet1!$B$22</c:f>
              <c:strCache>
                <c:ptCount val="1"/>
                <c:pt idx="0">
                  <c:v>Elektroenerģijas pieprasījums</c:v>
                </c:pt>
              </c:strCache>
            </c:strRef>
          </c:tx>
          <c:spPr>
            <a:noFill/>
            <a:ln w="19050">
              <a:solidFill>
                <a:srgbClr val="C00000"/>
              </a:solidFill>
            </a:ln>
          </c:spPr>
          <c:val>
            <c:numRef>
              <c:f>Sheet1!$B$3:$B$10</c:f>
              <c:numCache>
                <c:formatCode>General</c:formatCode>
                <c:ptCount val="8"/>
                <c:pt idx="0">
                  <c:v>7672</c:v>
                </c:pt>
                <c:pt idx="1">
                  <c:v>7805</c:v>
                </c:pt>
                <c:pt idx="2">
                  <c:v>7962</c:v>
                </c:pt>
                <c:pt idx="3">
                  <c:v>8122</c:v>
                </c:pt>
                <c:pt idx="4">
                  <c:v>8292</c:v>
                </c:pt>
                <c:pt idx="5">
                  <c:v>8458</c:v>
                </c:pt>
                <c:pt idx="6">
                  <c:v>8637</c:v>
                </c:pt>
                <c:pt idx="7">
                  <c:v>8811</c:v>
                </c:pt>
              </c:numCache>
            </c:numRef>
          </c:val>
        </c:ser>
        <c:dLbls>
          <c:showLegendKey val="0"/>
          <c:showVal val="0"/>
          <c:showCatName val="0"/>
          <c:showSerName val="0"/>
          <c:showPercent val="0"/>
          <c:showBubbleSize val="0"/>
        </c:dLbls>
        <c:axId val="174080768"/>
        <c:axId val="174070784"/>
      </c:areaChart>
      <c:catAx>
        <c:axId val="174067072"/>
        <c:scaling>
          <c:orientation val="minMax"/>
        </c:scaling>
        <c:delete val="0"/>
        <c:axPos val="b"/>
        <c:numFmt formatCode="General" sourceLinked="1"/>
        <c:majorTickMark val="out"/>
        <c:minorTickMark val="none"/>
        <c:tickLblPos val="nextTo"/>
        <c:spPr>
          <a:ln w="19050"/>
        </c:spPr>
        <c:crossAx val="174068864"/>
        <c:crosses val="autoZero"/>
        <c:auto val="1"/>
        <c:lblAlgn val="ctr"/>
        <c:lblOffset val="100"/>
        <c:noMultiLvlLbl val="0"/>
      </c:catAx>
      <c:valAx>
        <c:axId val="174068864"/>
        <c:scaling>
          <c:orientation val="minMax"/>
          <c:max val="14000"/>
          <c:min val="0"/>
        </c:scaling>
        <c:delete val="0"/>
        <c:axPos val="l"/>
        <c:majorGridlines/>
        <c:title>
          <c:tx>
            <c:rich>
              <a:bodyPr rot="0" vert="horz"/>
              <a:lstStyle/>
              <a:p>
                <a:pPr>
                  <a:defRPr/>
                </a:pPr>
                <a:r>
                  <a:rPr lang="lv-LV"/>
                  <a:t>GWh</a:t>
                </a:r>
              </a:p>
            </c:rich>
          </c:tx>
          <c:layout>
            <c:manualLayout>
              <c:xMode val="edge"/>
              <c:yMode val="edge"/>
              <c:x val="8.0221058025117378E-2"/>
              <c:y val="4.2517733610436294E-3"/>
            </c:manualLayout>
          </c:layout>
          <c:overlay val="0"/>
        </c:title>
        <c:numFmt formatCode="General" sourceLinked="1"/>
        <c:majorTickMark val="out"/>
        <c:minorTickMark val="none"/>
        <c:tickLblPos val="nextTo"/>
        <c:spPr>
          <a:ln w="19050"/>
        </c:spPr>
        <c:crossAx val="174067072"/>
        <c:crosses val="autoZero"/>
        <c:crossBetween val="midCat"/>
        <c:majorUnit val="2000"/>
      </c:valAx>
      <c:valAx>
        <c:axId val="174070784"/>
        <c:scaling>
          <c:orientation val="minMax"/>
          <c:max val="14000"/>
          <c:min val="0"/>
        </c:scaling>
        <c:delete val="0"/>
        <c:axPos val="r"/>
        <c:numFmt formatCode="General" sourceLinked="1"/>
        <c:majorTickMark val="none"/>
        <c:minorTickMark val="none"/>
        <c:tickLblPos val="none"/>
        <c:spPr>
          <a:ln w="6350"/>
        </c:spPr>
        <c:crossAx val="174080768"/>
        <c:crosses val="max"/>
        <c:crossBetween val="midCat"/>
        <c:majorUnit val="2000"/>
      </c:valAx>
      <c:catAx>
        <c:axId val="174080768"/>
        <c:scaling>
          <c:orientation val="minMax"/>
        </c:scaling>
        <c:delete val="1"/>
        <c:axPos val="b"/>
        <c:majorTickMark val="out"/>
        <c:minorTickMark val="none"/>
        <c:tickLblPos val="none"/>
        <c:crossAx val="174070784"/>
        <c:crosses val="autoZero"/>
        <c:auto val="1"/>
        <c:lblAlgn val="ctr"/>
        <c:lblOffset val="100"/>
        <c:noMultiLvlLbl val="0"/>
      </c:catAx>
      <c:spPr>
        <a:ln w="22225"/>
      </c:spPr>
    </c:plotArea>
    <c:legend>
      <c:legendPos val="r"/>
      <c:layout>
        <c:manualLayout>
          <c:xMode val="edge"/>
          <c:yMode val="edge"/>
          <c:x val="0.66433895221581141"/>
          <c:y val="0.24027033927317673"/>
          <c:w val="0.32391625465421503"/>
          <c:h val="0.60367903212041063"/>
        </c:manualLayout>
      </c:layout>
      <c:overlay val="0"/>
    </c:legend>
    <c:plotVisOnly val="1"/>
    <c:dispBlanksAs val="zero"/>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42552247700583E-2"/>
          <c:y val="7.9592894937691755E-2"/>
          <c:w val="0.54973044290751671"/>
          <c:h val="0.80862720014820266"/>
        </c:manualLayout>
      </c:layout>
      <c:areaChart>
        <c:grouping val="stacked"/>
        <c:varyColors val="0"/>
        <c:ser>
          <c:idx val="1"/>
          <c:order val="0"/>
          <c:tx>
            <c:strRef>
              <c:f>Sheet1!$E$22</c:f>
              <c:strCache>
                <c:ptCount val="1"/>
                <c:pt idx="0">
                  <c:v>Obligātais iepirkums AER CHP</c:v>
                </c:pt>
              </c:strCache>
            </c:strRef>
          </c:tx>
          <c:spPr>
            <a:pattFill prst="wdUpDiag">
              <a:fgClr>
                <a:schemeClr val="accent3"/>
              </a:fgClr>
              <a:bgClr>
                <a:schemeClr val="bg1"/>
              </a:bgClr>
            </a:pattFill>
            <a:ln>
              <a:solidFill>
                <a:schemeClr val="accent3"/>
              </a:solidFill>
            </a:ln>
          </c:spPr>
          <c:cat>
            <c:numRef>
              <c:f>Sheet1!$A$3:$A$10</c:f>
              <c:numCache>
                <c:formatCode>General</c:formatCode>
                <c:ptCount val="8"/>
                <c:pt idx="0">
                  <c:v>2013</c:v>
                </c:pt>
                <c:pt idx="1">
                  <c:v>2014</c:v>
                </c:pt>
                <c:pt idx="2">
                  <c:v>2015</c:v>
                </c:pt>
                <c:pt idx="3">
                  <c:v>2016</c:v>
                </c:pt>
                <c:pt idx="4">
                  <c:v>2017</c:v>
                </c:pt>
                <c:pt idx="5">
                  <c:v>2018</c:v>
                </c:pt>
                <c:pt idx="6">
                  <c:v>2019</c:v>
                </c:pt>
                <c:pt idx="7">
                  <c:v>2020</c:v>
                </c:pt>
              </c:numCache>
            </c:numRef>
          </c:cat>
          <c:val>
            <c:numRef>
              <c:f>Sheet1!$E$13:$E$20</c:f>
              <c:numCache>
                <c:formatCode>General</c:formatCode>
                <c:ptCount val="8"/>
                <c:pt idx="0">
                  <c:v>11.207000000000001</c:v>
                </c:pt>
                <c:pt idx="1">
                  <c:v>95.11727535</c:v>
                </c:pt>
                <c:pt idx="2">
                  <c:v>424.96054690166665</c:v>
                </c:pt>
                <c:pt idx="3">
                  <c:v>714.53775771666653</c:v>
                </c:pt>
                <c:pt idx="4">
                  <c:v>1027.2229972</c:v>
                </c:pt>
                <c:pt idx="5">
                  <c:v>1456.4028201999995</c:v>
                </c:pt>
                <c:pt idx="6">
                  <c:v>1456.4028201999995</c:v>
                </c:pt>
                <c:pt idx="7">
                  <c:v>1455.1187118666667</c:v>
                </c:pt>
              </c:numCache>
            </c:numRef>
          </c:val>
        </c:ser>
        <c:ser>
          <c:idx val="0"/>
          <c:order val="1"/>
          <c:tx>
            <c:strRef>
              <c:f>Sheet1!$D$22</c:f>
              <c:strCache>
                <c:ptCount val="1"/>
                <c:pt idx="0">
                  <c:v>Obligātais iepirkums AER </c:v>
                </c:pt>
              </c:strCache>
            </c:strRef>
          </c:tx>
          <c:spPr>
            <a:pattFill prst="wave">
              <a:fgClr>
                <a:schemeClr val="accent1"/>
              </a:fgClr>
              <a:bgClr>
                <a:schemeClr val="bg1"/>
              </a:bgClr>
            </a:pattFill>
            <a:ln>
              <a:solidFill>
                <a:schemeClr val="accent1"/>
              </a:solidFill>
            </a:ln>
          </c:spPr>
          <c:cat>
            <c:numRef>
              <c:f>Sheet1!$A$3:$A$10</c:f>
              <c:numCache>
                <c:formatCode>General</c:formatCode>
                <c:ptCount val="8"/>
                <c:pt idx="0">
                  <c:v>2013</c:v>
                </c:pt>
                <c:pt idx="1">
                  <c:v>2014</c:v>
                </c:pt>
                <c:pt idx="2">
                  <c:v>2015</c:v>
                </c:pt>
                <c:pt idx="3">
                  <c:v>2016</c:v>
                </c:pt>
                <c:pt idx="4">
                  <c:v>2017</c:v>
                </c:pt>
                <c:pt idx="5">
                  <c:v>2018</c:v>
                </c:pt>
                <c:pt idx="6">
                  <c:v>2019</c:v>
                </c:pt>
                <c:pt idx="7">
                  <c:v>2020</c:v>
                </c:pt>
              </c:numCache>
            </c:numRef>
          </c:cat>
          <c:val>
            <c:numRef>
              <c:f>Sheet1!$D$13:$D$20</c:f>
              <c:numCache>
                <c:formatCode>General</c:formatCode>
                <c:ptCount val="8"/>
                <c:pt idx="0">
                  <c:v>813.46966659999919</c:v>
                </c:pt>
                <c:pt idx="1">
                  <c:v>850.32712659999902</c:v>
                </c:pt>
                <c:pt idx="2">
                  <c:v>850.32712659999902</c:v>
                </c:pt>
                <c:pt idx="3">
                  <c:v>850.32712659999902</c:v>
                </c:pt>
                <c:pt idx="4">
                  <c:v>850.32712659999902</c:v>
                </c:pt>
                <c:pt idx="5">
                  <c:v>850.32712659999902</c:v>
                </c:pt>
                <c:pt idx="6">
                  <c:v>850.32712659999902</c:v>
                </c:pt>
                <c:pt idx="7">
                  <c:v>850.32712659999902</c:v>
                </c:pt>
              </c:numCache>
            </c:numRef>
          </c:val>
        </c:ser>
        <c:ser>
          <c:idx val="2"/>
          <c:order val="2"/>
          <c:tx>
            <c:strRef>
              <c:f>Sheet1!$F$22</c:f>
              <c:strCache>
                <c:ptCount val="1"/>
                <c:pt idx="0">
                  <c:v>Obligātais iepirkums fosilie CHP</c:v>
                </c:pt>
              </c:strCache>
            </c:strRef>
          </c:tx>
          <c:spPr>
            <a:pattFill prst="dotGrid">
              <a:fgClr>
                <a:schemeClr val="accent4"/>
              </a:fgClr>
              <a:bgClr>
                <a:schemeClr val="bg1"/>
              </a:bgClr>
            </a:pattFill>
            <a:ln>
              <a:solidFill>
                <a:schemeClr val="accent4"/>
              </a:solidFill>
            </a:ln>
          </c:spPr>
          <c:cat>
            <c:numRef>
              <c:f>Sheet1!$A$3:$A$10</c:f>
              <c:numCache>
                <c:formatCode>General</c:formatCode>
                <c:ptCount val="8"/>
                <c:pt idx="0">
                  <c:v>2013</c:v>
                </c:pt>
                <c:pt idx="1">
                  <c:v>2014</c:v>
                </c:pt>
                <c:pt idx="2">
                  <c:v>2015</c:v>
                </c:pt>
                <c:pt idx="3">
                  <c:v>2016</c:v>
                </c:pt>
                <c:pt idx="4">
                  <c:v>2017</c:v>
                </c:pt>
                <c:pt idx="5">
                  <c:v>2018</c:v>
                </c:pt>
                <c:pt idx="6">
                  <c:v>2019</c:v>
                </c:pt>
                <c:pt idx="7">
                  <c:v>2020</c:v>
                </c:pt>
              </c:numCache>
            </c:numRef>
          </c:cat>
          <c:val>
            <c:numRef>
              <c:f>Sheet1!$F$13:$F$20</c:f>
              <c:numCache>
                <c:formatCode>General</c:formatCode>
                <c:ptCount val="8"/>
                <c:pt idx="0">
                  <c:v>2735.8623200000002</c:v>
                </c:pt>
                <c:pt idx="1">
                  <c:v>3784.1667228333322</c:v>
                </c:pt>
                <c:pt idx="2">
                  <c:v>3967.6573418833368</c:v>
                </c:pt>
                <c:pt idx="3">
                  <c:v>4052.5933050000012</c:v>
                </c:pt>
                <c:pt idx="4">
                  <c:v>3971.3388000000018</c:v>
                </c:pt>
                <c:pt idx="5">
                  <c:v>3849.5379255555576</c:v>
                </c:pt>
                <c:pt idx="6">
                  <c:v>3639.5796311111135</c:v>
                </c:pt>
                <c:pt idx="7">
                  <c:v>3450.6512249444472</c:v>
                </c:pt>
              </c:numCache>
            </c:numRef>
          </c:val>
        </c:ser>
        <c:ser>
          <c:idx val="4"/>
          <c:order val="4"/>
          <c:tx>
            <c:strRef>
              <c:f>Sheet1!$G$22</c:f>
              <c:strCache>
                <c:ptCount val="1"/>
                <c:pt idx="0">
                  <c:v>Daugavas HES</c:v>
                </c:pt>
              </c:strCache>
            </c:strRef>
          </c:tx>
          <c:spPr>
            <a:solidFill>
              <a:schemeClr val="accent1">
                <a:lumMod val="60000"/>
                <a:lumOff val="40000"/>
                <a:alpha val="77000"/>
              </a:schemeClr>
            </a:solidFill>
            <a:ln w="25400">
              <a:noFill/>
            </a:ln>
          </c:spPr>
          <c:cat>
            <c:numRef>
              <c:f>Sheet1!$A$3:$A$10</c:f>
              <c:numCache>
                <c:formatCode>General</c:formatCode>
                <c:ptCount val="8"/>
                <c:pt idx="0">
                  <c:v>2013</c:v>
                </c:pt>
                <c:pt idx="1">
                  <c:v>2014</c:v>
                </c:pt>
                <c:pt idx="2">
                  <c:v>2015</c:v>
                </c:pt>
                <c:pt idx="3">
                  <c:v>2016</c:v>
                </c:pt>
                <c:pt idx="4">
                  <c:v>2017</c:v>
                </c:pt>
                <c:pt idx="5">
                  <c:v>2018</c:v>
                </c:pt>
                <c:pt idx="6">
                  <c:v>2019</c:v>
                </c:pt>
                <c:pt idx="7">
                  <c:v>2020</c:v>
                </c:pt>
              </c:numCache>
            </c:numRef>
          </c:cat>
          <c:val>
            <c:numRef>
              <c:f>Sheet1!$G$13:$G$20</c:f>
              <c:numCache>
                <c:formatCode>General</c:formatCode>
                <c:ptCount val="8"/>
                <c:pt idx="0">
                  <c:v>2740</c:v>
                </c:pt>
                <c:pt idx="1">
                  <c:v>2740</c:v>
                </c:pt>
                <c:pt idx="2">
                  <c:v>2740</c:v>
                </c:pt>
                <c:pt idx="3">
                  <c:v>2740</c:v>
                </c:pt>
                <c:pt idx="4">
                  <c:v>2770</c:v>
                </c:pt>
                <c:pt idx="5">
                  <c:v>2770</c:v>
                </c:pt>
                <c:pt idx="6">
                  <c:v>2770</c:v>
                </c:pt>
                <c:pt idx="7">
                  <c:v>2770</c:v>
                </c:pt>
              </c:numCache>
            </c:numRef>
          </c:val>
        </c:ser>
        <c:dLbls>
          <c:showLegendKey val="0"/>
          <c:showVal val="0"/>
          <c:showCatName val="0"/>
          <c:showSerName val="0"/>
          <c:showPercent val="0"/>
          <c:showBubbleSize val="0"/>
        </c:dLbls>
        <c:axId val="174122496"/>
        <c:axId val="174124032"/>
      </c:areaChart>
      <c:areaChart>
        <c:grouping val="stacked"/>
        <c:varyColors val="0"/>
        <c:ser>
          <c:idx val="3"/>
          <c:order val="3"/>
          <c:tx>
            <c:strRef>
              <c:f>Sheet1!$B$22</c:f>
              <c:strCache>
                <c:ptCount val="1"/>
                <c:pt idx="0">
                  <c:v>Elektroenerģijas pieprasījums</c:v>
                </c:pt>
              </c:strCache>
            </c:strRef>
          </c:tx>
          <c:spPr>
            <a:noFill/>
            <a:ln w="19050">
              <a:solidFill>
                <a:srgbClr val="C00000"/>
              </a:solidFill>
            </a:ln>
          </c:spPr>
          <c:val>
            <c:numRef>
              <c:f>Sheet1!$B$3:$B$10</c:f>
              <c:numCache>
                <c:formatCode>General</c:formatCode>
                <c:ptCount val="8"/>
                <c:pt idx="0">
                  <c:v>7672</c:v>
                </c:pt>
                <c:pt idx="1">
                  <c:v>7805</c:v>
                </c:pt>
                <c:pt idx="2">
                  <c:v>7962</c:v>
                </c:pt>
                <c:pt idx="3">
                  <c:v>8122</c:v>
                </c:pt>
                <c:pt idx="4">
                  <c:v>8292</c:v>
                </c:pt>
                <c:pt idx="5">
                  <c:v>8458</c:v>
                </c:pt>
                <c:pt idx="6">
                  <c:v>8637</c:v>
                </c:pt>
                <c:pt idx="7">
                  <c:v>8811</c:v>
                </c:pt>
              </c:numCache>
            </c:numRef>
          </c:val>
        </c:ser>
        <c:dLbls>
          <c:showLegendKey val="0"/>
          <c:showVal val="0"/>
          <c:showCatName val="0"/>
          <c:showSerName val="0"/>
          <c:showPercent val="0"/>
          <c:showBubbleSize val="0"/>
        </c:dLbls>
        <c:axId val="174135936"/>
        <c:axId val="174134400"/>
      </c:areaChart>
      <c:catAx>
        <c:axId val="174122496"/>
        <c:scaling>
          <c:orientation val="minMax"/>
        </c:scaling>
        <c:delete val="0"/>
        <c:axPos val="b"/>
        <c:numFmt formatCode="General" sourceLinked="1"/>
        <c:majorTickMark val="out"/>
        <c:minorTickMark val="none"/>
        <c:tickLblPos val="nextTo"/>
        <c:spPr>
          <a:ln w="19050"/>
        </c:spPr>
        <c:crossAx val="174124032"/>
        <c:crosses val="autoZero"/>
        <c:auto val="1"/>
        <c:lblAlgn val="ctr"/>
        <c:lblOffset val="100"/>
        <c:noMultiLvlLbl val="0"/>
      </c:catAx>
      <c:valAx>
        <c:axId val="174124032"/>
        <c:scaling>
          <c:orientation val="minMax"/>
          <c:max val="14000"/>
          <c:min val="0"/>
        </c:scaling>
        <c:delete val="0"/>
        <c:axPos val="l"/>
        <c:majorGridlines/>
        <c:title>
          <c:tx>
            <c:rich>
              <a:bodyPr rot="0" vert="horz"/>
              <a:lstStyle/>
              <a:p>
                <a:pPr>
                  <a:defRPr/>
                </a:pPr>
                <a:r>
                  <a:rPr lang="lv-LV"/>
                  <a:t>GWh</a:t>
                </a:r>
              </a:p>
            </c:rich>
          </c:tx>
          <c:layout>
            <c:manualLayout>
              <c:xMode val="edge"/>
              <c:yMode val="edge"/>
              <c:x val="7.3476461509727031E-2"/>
              <c:y val="4.5623565347014559E-3"/>
            </c:manualLayout>
          </c:layout>
          <c:overlay val="0"/>
        </c:title>
        <c:numFmt formatCode="General" sourceLinked="1"/>
        <c:majorTickMark val="out"/>
        <c:minorTickMark val="none"/>
        <c:tickLblPos val="nextTo"/>
        <c:spPr>
          <a:ln w="19050"/>
        </c:spPr>
        <c:crossAx val="174122496"/>
        <c:crosses val="autoZero"/>
        <c:crossBetween val="midCat"/>
        <c:majorUnit val="2000"/>
      </c:valAx>
      <c:valAx>
        <c:axId val="174134400"/>
        <c:scaling>
          <c:orientation val="minMax"/>
          <c:max val="14000"/>
          <c:min val="0"/>
        </c:scaling>
        <c:delete val="0"/>
        <c:axPos val="r"/>
        <c:numFmt formatCode="General" sourceLinked="1"/>
        <c:majorTickMark val="none"/>
        <c:minorTickMark val="none"/>
        <c:tickLblPos val="none"/>
        <c:spPr>
          <a:ln w="6350"/>
        </c:spPr>
        <c:crossAx val="174135936"/>
        <c:crosses val="max"/>
        <c:crossBetween val="midCat"/>
        <c:majorUnit val="2000"/>
      </c:valAx>
      <c:catAx>
        <c:axId val="174135936"/>
        <c:scaling>
          <c:orientation val="minMax"/>
        </c:scaling>
        <c:delete val="1"/>
        <c:axPos val="b"/>
        <c:majorTickMark val="out"/>
        <c:minorTickMark val="none"/>
        <c:tickLblPos val="none"/>
        <c:crossAx val="174134400"/>
        <c:crosses val="autoZero"/>
        <c:auto val="1"/>
        <c:lblAlgn val="ctr"/>
        <c:lblOffset val="100"/>
        <c:noMultiLvlLbl val="0"/>
      </c:catAx>
      <c:spPr>
        <a:ln w="22225"/>
      </c:spPr>
    </c:plotArea>
    <c:legend>
      <c:legendPos val="r"/>
      <c:layout>
        <c:manualLayout>
          <c:xMode val="edge"/>
          <c:yMode val="edge"/>
          <c:x val="0.64508504126514932"/>
          <c:y val="0.1958793424587586"/>
          <c:w val="0.34847610398327039"/>
          <c:h val="0.6656589628580889"/>
        </c:manualLayout>
      </c:layout>
      <c:overlay val="0"/>
    </c:legend>
    <c:plotVisOnly val="1"/>
    <c:dispBlanksAs val="zero"/>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OIK prognoze</a:t>
            </a:r>
          </a:p>
        </c:rich>
      </c:tx>
      <c:overlay val="0"/>
    </c:title>
    <c:autoTitleDeleted val="0"/>
    <c:plotArea>
      <c:layout>
        <c:manualLayout>
          <c:layoutTarget val="inner"/>
          <c:xMode val="edge"/>
          <c:yMode val="edge"/>
          <c:x val="0.15548848060659098"/>
          <c:y val="0.14601266018218323"/>
          <c:w val="0.67389459434453869"/>
          <c:h val="0.72014512891770877"/>
        </c:manualLayout>
      </c:layout>
      <c:barChart>
        <c:barDir val="col"/>
        <c:grouping val="stacked"/>
        <c:varyColors val="0"/>
        <c:ser>
          <c:idx val="0"/>
          <c:order val="0"/>
          <c:tx>
            <c:strRef>
              <c:f>'[OIK_prognozes.xlsx]OIK(prognoze)'!$D$31</c:f>
              <c:strCache>
                <c:ptCount val="1"/>
                <c:pt idx="0">
                  <c:v>AER</c:v>
                </c:pt>
              </c:strCache>
            </c:strRef>
          </c:tx>
          <c:spPr>
            <a:pattFill prst="zigZag">
              <a:fgClr>
                <a:schemeClr val="accent1"/>
              </a:fgClr>
              <a:bgClr>
                <a:schemeClr val="bg1"/>
              </a:bgClr>
            </a:pattFill>
            <a:ln>
              <a:solidFill>
                <a:schemeClr val="accent1"/>
              </a:solidFill>
            </a:ln>
          </c:spPr>
          <c:invertIfNegative val="0"/>
          <c:cat>
            <c:numRef>
              <c:f>'[OIK_prognozes.xlsx]OIK(prognoze)'!$A$32:$A$40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'[OIK_prognozes.xlsx]OIK(prognoze)'!$D$32:$D$40</c:f>
              <c:numCache>
                <c:formatCode>General</c:formatCode>
                <c:ptCount val="9"/>
                <c:pt idx="0">
                  <c:v>2.9</c:v>
                </c:pt>
                <c:pt idx="1">
                  <c:v>5.8</c:v>
                </c:pt>
                <c:pt idx="2" formatCode="0.0000">
                  <c:v>8.8277411285045382</c:v>
                </c:pt>
                <c:pt idx="3" formatCode="0.0000">
                  <c:v>8.5741058122917551</c:v>
                </c:pt>
                <c:pt idx="4" formatCode="0.0000">
                  <c:v>8.4422497945973163</c:v>
                </c:pt>
                <c:pt idx="5" formatCode="0.0000">
                  <c:v>8.2757971574986247</c:v>
                </c:pt>
                <c:pt idx="6" formatCode="0.0000">
                  <c:v>8.132198546480323</c:v>
                </c:pt>
                <c:pt idx="7" formatCode="0.0000">
                  <c:v>7.8002571395660221</c:v>
                </c:pt>
                <c:pt idx="8" formatCode="0.0000">
                  <c:v>7.5860720486790028</c:v>
                </c:pt>
              </c:numCache>
            </c:numRef>
          </c:val>
        </c:ser>
        <c:ser>
          <c:idx val="2"/>
          <c:order val="1"/>
          <c:tx>
            <c:strRef>
              <c:f>'[OIK_prognozes.xlsx]OIK(prognoze)'!$E$31</c:f>
              <c:strCache>
                <c:ptCount val="1"/>
                <c:pt idx="0">
                  <c:v>AER CHP</c:v>
                </c:pt>
              </c:strCache>
            </c:strRef>
          </c:tx>
          <c:spPr>
            <a:pattFill prst="wdUpDiag">
              <a:fgClr>
                <a:schemeClr val="accent3"/>
              </a:fgClr>
              <a:bgClr>
                <a:schemeClr val="bg1"/>
              </a:bgClr>
            </a:pattFill>
            <a:ln>
              <a:solidFill>
                <a:schemeClr val="accent3"/>
              </a:solidFill>
            </a:ln>
          </c:spPr>
          <c:invertIfNegative val="0"/>
          <c:cat>
            <c:numRef>
              <c:f>'[OIK_prognozes.xlsx]OIK(prognoze)'!$A$32:$A$40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'[OIK_prognozes.xlsx]OIK(prognoze)'!$E$32:$E$40</c:f>
              <c:numCache>
                <c:formatCode>General</c:formatCode>
                <c:ptCount val="9"/>
                <c:pt idx="0">
                  <c:v>0</c:v>
                </c:pt>
                <c:pt idx="1">
                  <c:v>0</c:v>
                </c:pt>
                <c:pt idx="2" formatCode="0.0000">
                  <c:v>0.78785175815945729</c:v>
                </c:pt>
                <c:pt idx="3" formatCode="0.0000">
                  <c:v>1.9229829670201573</c:v>
                </c:pt>
                <c:pt idx="4" formatCode="0.0000">
                  <c:v>6.5482983033863444</c:v>
                </c:pt>
                <c:pt idx="5" formatCode="0.0000">
                  <c:v>10.503335111113405</c:v>
                </c:pt>
                <c:pt idx="6" formatCode="0.0000">
                  <c:v>15.058012758209554</c:v>
                </c:pt>
                <c:pt idx="7" formatCode="0.0000">
                  <c:v>20.682602326769285</c:v>
                </c:pt>
                <c:pt idx="8" formatCode="0.0000">
                  <c:v>20.664618084505602</c:v>
                </c:pt>
              </c:numCache>
            </c:numRef>
          </c:val>
        </c:ser>
        <c:ser>
          <c:idx val="3"/>
          <c:order val="2"/>
          <c:tx>
            <c:strRef>
              <c:f>'[OIK_prognozes.xlsx]OIK(prognoze)'!$F$31</c:f>
              <c:strCache>
                <c:ptCount val="1"/>
                <c:pt idx="0">
                  <c:v>Fosilie CHP</c:v>
                </c:pt>
              </c:strCache>
            </c:strRef>
          </c:tx>
          <c:spPr>
            <a:pattFill prst="dotGrid">
              <a:fgClr>
                <a:schemeClr val="accent4"/>
              </a:fgClr>
              <a:bgClr>
                <a:schemeClr val="bg1"/>
              </a:bgClr>
            </a:pattFill>
            <a:ln>
              <a:solidFill>
                <a:schemeClr val="accent4"/>
              </a:solidFill>
            </a:ln>
          </c:spPr>
          <c:invertIfNegative val="0"/>
          <c:cat>
            <c:numRef>
              <c:f>'[OIK_prognozes.xlsx]OIK(prognoze)'!$A$32:$A$40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'[OIK_prognozes.xlsx]OIK(prognoze)'!$F$32:$F$40</c:f>
              <c:numCache>
                <c:formatCode>General</c:formatCode>
                <c:ptCount val="9"/>
                <c:pt idx="0">
                  <c:v>9.4</c:v>
                </c:pt>
                <c:pt idx="1">
                  <c:v>13.6</c:v>
                </c:pt>
                <c:pt idx="2" formatCode="0.0">
                  <c:v>15.138485896411723</c:v>
                </c:pt>
                <c:pt idx="3" formatCode="0.0">
                  <c:v>18.240526548520414</c:v>
                </c:pt>
                <c:pt idx="4" formatCode="0.0">
                  <c:v>19.402956665481575</c:v>
                </c:pt>
                <c:pt idx="5" formatCode="0.0">
                  <c:v>19.848699892679953</c:v>
                </c:pt>
                <c:pt idx="6" formatCode="0.0">
                  <c:v>19.058659261507742</c:v>
                </c:pt>
                <c:pt idx="7" formatCode="0.0">
                  <c:v>18.574178285874623</c:v>
                </c:pt>
                <c:pt idx="8" formatCode="0.0">
                  <c:v>16.348987986314313</c:v>
                </c:pt>
              </c:numCache>
            </c:numRef>
          </c:val>
        </c:ser>
        <c:dLbls>
          <c:showLegendKey val="0"/>
          <c:showVal val="0"/>
          <c:showCatName val="0"/>
          <c:showSerName val="0"/>
          <c:showPercent val="0"/>
          <c:showBubbleSize val="0"/>
        </c:dLbls>
        <c:gapWidth val="150"/>
        <c:overlap val="100"/>
        <c:axId val="174166784"/>
        <c:axId val="174168320"/>
      </c:barChart>
      <c:catAx>
        <c:axId val="174166784"/>
        <c:scaling>
          <c:orientation val="minMax"/>
        </c:scaling>
        <c:delete val="0"/>
        <c:axPos val="b"/>
        <c:numFmt formatCode="General" sourceLinked="1"/>
        <c:majorTickMark val="none"/>
        <c:minorTickMark val="none"/>
        <c:tickLblPos val="nextTo"/>
        <c:spPr>
          <a:ln w="25400"/>
        </c:spPr>
        <c:crossAx val="174168320"/>
        <c:crosses val="autoZero"/>
        <c:auto val="0"/>
        <c:lblAlgn val="ctr"/>
        <c:lblOffset val="100"/>
        <c:noMultiLvlLbl val="0"/>
      </c:catAx>
      <c:valAx>
        <c:axId val="174168320"/>
        <c:scaling>
          <c:orientation val="minMax"/>
        </c:scaling>
        <c:delete val="0"/>
        <c:axPos val="l"/>
        <c:majorGridlines/>
        <c:title>
          <c:tx>
            <c:rich>
              <a:bodyPr rot="0" vert="horz"/>
              <a:lstStyle/>
              <a:p>
                <a:pPr>
                  <a:defRPr/>
                </a:pPr>
                <a:r>
                  <a:rPr lang="lv-LV"/>
                  <a:t>LVL/MWh</a:t>
                </a:r>
              </a:p>
            </c:rich>
          </c:tx>
          <c:overlay val="0"/>
        </c:title>
        <c:numFmt formatCode="General" sourceLinked="1"/>
        <c:majorTickMark val="none"/>
        <c:minorTickMark val="none"/>
        <c:tickLblPos val="nextTo"/>
        <c:spPr>
          <a:ln w="25400"/>
        </c:spPr>
        <c:crossAx val="174166784"/>
        <c:crossesAt val="1"/>
        <c:crossBetween val="between"/>
      </c:valAx>
      <c:spPr>
        <a:ln>
          <a:noFill/>
        </a:ln>
      </c:spPr>
    </c:plotArea>
    <c:legend>
      <c:legendPos val="r"/>
      <c:layout>
        <c:manualLayout>
          <c:xMode val="edge"/>
          <c:yMode val="edge"/>
          <c:x val="0.83662766112569265"/>
          <c:y val="0.28243199011888231"/>
          <c:w val="0.14998650006993941"/>
          <c:h val="0.28598473634473065"/>
        </c:manualLayout>
      </c:layout>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lineChart>
        <c:grouping val="standard"/>
        <c:varyColors val="0"/>
        <c:ser>
          <c:idx val="0"/>
          <c:order val="0"/>
          <c:tx>
            <c:strRef>
              <c:f>'Labotās cenas'!$B$109</c:f>
              <c:strCache>
                <c:ptCount val="1"/>
                <c:pt idx="0">
                  <c:v>Elektroenerģijas vidējā kopējā cena</c:v>
                </c:pt>
              </c:strCache>
            </c:strRef>
          </c:tx>
          <c:spPr>
            <a:ln w="66675"/>
          </c:spPr>
          <c:marker>
            <c:symbol val="square"/>
            <c:size val="6"/>
          </c:marker>
          <c:dLbls>
            <c:dLblPos val="t"/>
            <c:showLegendKey val="0"/>
            <c:showVal val="1"/>
            <c:showCatName val="0"/>
            <c:showSerName val="0"/>
            <c:showPercent val="0"/>
            <c:showBubbleSize val="0"/>
            <c:showLeaderLines val="0"/>
          </c:dLbls>
          <c:cat>
            <c:numRef>
              <c:f>'Labotās cenas'!$C$108:$K$108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cenas'!$C$109:$K$109</c:f>
              <c:numCache>
                <c:formatCode>General</c:formatCode>
                <c:ptCount val="9"/>
                <c:pt idx="0">
                  <c:v>74.45</c:v>
                </c:pt>
                <c:pt idx="1">
                  <c:v>80</c:v>
                </c:pt>
                <c:pt idx="2">
                  <c:v>89</c:v>
                </c:pt>
                <c:pt idx="3">
                  <c:v>94</c:v>
                </c:pt>
                <c:pt idx="4">
                  <c:v>104</c:v>
                </c:pt>
                <c:pt idx="5">
                  <c:v>109</c:v>
                </c:pt>
                <c:pt idx="6">
                  <c:v>115</c:v>
                </c:pt>
                <c:pt idx="7">
                  <c:v>123</c:v>
                </c:pt>
                <c:pt idx="8">
                  <c:v>121</c:v>
                </c:pt>
              </c:numCache>
            </c:numRef>
          </c:val>
          <c:smooth val="0"/>
        </c:ser>
        <c:dLbls>
          <c:showLegendKey val="0"/>
          <c:showVal val="0"/>
          <c:showCatName val="0"/>
          <c:showSerName val="0"/>
          <c:showPercent val="0"/>
          <c:showBubbleSize val="0"/>
        </c:dLbls>
        <c:marker val="1"/>
        <c:smooth val="0"/>
        <c:axId val="174193664"/>
        <c:axId val="174330624"/>
      </c:lineChart>
      <c:catAx>
        <c:axId val="174193664"/>
        <c:scaling>
          <c:orientation val="minMax"/>
        </c:scaling>
        <c:delete val="0"/>
        <c:axPos val="b"/>
        <c:numFmt formatCode="General" sourceLinked="1"/>
        <c:majorTickMark val="out"/>
        <c:minorTickMark val="none"/>
        <c:tickLblPos val="nextTo"/>
        <c:crossAx val="174330624"/>
        <c:crosses val="autoZero"/>
        <c:auto val="1"/>
        <c:lblAlgn val="ctr"/>
        <c:lblOffset val="100"/>
        <c:noMultiLvlLbl val="0"/>
      </c:catAx>
      <c:valAx>
        <c:axId val="174330624"/>
        <c:scaling>
          <c:orientation val="minMax"/>
          <c:max val="180"/>
        </c:scaling>
        <c:delete val="0"/>
        <c:axPos val="l"/>
        <c:majorGridlines/>
        <c:title>
          <c:tx>
            <c:rich>
              <a:bodyPr rot="-5400000" vert="horz"/>
              <a:lstStyle/>
              <a:p>
                <a:pPr>
                  <a:defRPr/>
                </a:pPr>
                <a:r>
                  <a:rPr lang="en-US"/>
                  <a:t>L</a:t>
                </a:r>
                <a:r>
                  <a:rPr lang="lv-LV"/>
                  <a:t>VL</a:t>
                </a:r>
                <a:r>
                  <a:rPr lang="en-US"/>
                  <a:t>/MWh</a:t>
                </a:r>
              </a:p>
            </c:rich>
          </c:tx>
          <c:overlay val="0"/>
        </c:title>
        <c:numFmt formatCode="General" sourceLinked="1"/>
        <c:majorTickMark val="out"/>
        <c:minorTickMark val="none"/>
        <c:tickLblPos val="nextTo"/>
        <c:crossAx val="174193664"/>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'Labotās cenas'!$B$6</c:f>
              <c:strCache>
                <c:ptCount val="1"/>
                <c:pt idx="0">
                  <c:v>Elektroenerģijas cena</c:v>
                </c:pt>
              </c:strCache>
            </c:strRef>
          </c:tx>
          <c:spPr>
            <a:solidFill>
              <a:schemeClr val="accent1">
                <a:lumMod val="60000"/>
                <a:lumOff val="40000"/>
              </a:schemeClr>
            </a:solidFill>
            <a:ln>
              <a:solidFill>
                <a:schemeClr val="accent1"/>
              </a:solidFill>
            </a:ln>
          </c:spPr>
          <c:invertIfNegative val="0"/>
          <c:dLbls>
            <c:showLegendKey val="0"/>
            <c:showVal val="1"/>
            <c:showCatName val="0"/>
            <c:showSerName val="0"/>
            <c:showPercent val="0"/>
            <c:showBubbleSize val="0"/>
            <c:showLeaderLines val="0"/>
          </c:dLbls>
          <c:cat>
            <c:numRef>
              <c:f>'Labotās cenas'!$C$5:$K$5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cenas'!$C$6:$K$6</c:f>
              <c:numCache>
                <c:formatCode>General</c:formatCode>
                <c:ptCount val="9"/>
                <c:pt idx="0">
                  <c:v>30</c:v>
                </c:pt>
                <c:pt idx="1">
                  <c:v>30</c:v>
                </c:pt>
                <c:pt idx="2">
                  <c:v>31</c:v>
                </c:pt>
                <c:pt idx="3">
                  <c:v>30</c:v>
                </c:pt>
                <c:pt idx="4">
                  <c:v>31</c:v>
                </c:pt>
                <c:pt idx="5">
                  <c:v>32</c:v>
                </c:pt>
                <c:pt idx="6">
                  <c:v>34</c:v>
                </c:pt>
                <c:pt idx="7">
                  <c:v>35</c:v>
                </c:pt>
                <c:pt idx="8">
                  <c:v>36</c:v>
                </c:pt>
              </c:numCache>
            </c:numRef>
          </c:val>
        </c:ser>
        <c:ser>
          <c:idx val="1"/>
          <c:order val="1"/>
          <c:tx>
            <c:strRef>
              <c:f>'Labotās cenas'!$B$7</c:f>
              <c:strCache>
                <c:ptCount val="1"/>
                <c:pt idx="0">
                  <c:v>Sistēmas pakalpojumi</c:v>
                </c:pt>
              </c:strCache>
            </c:strRef>
          </c:tx>
          <c:spPr>
            <a:pattFill prst="pct10">
              <a:fgClr>
                <a:schemeClr val="accent2"/>
              </a:fgClr>
              <a:bgClr>
                <a:schemeClr val="bg1"/>
              </a:bgClr>
            </a:pattFill>
            <a:ln>
              <a:solidFill>
                <a:schemeClr val="accent2"/>
              </a:solidFill>
            </a:ln>
          </c:spPr>
          <c:invertIfNegative val="0"/>
          <c:dLbls>
            <c:showLegendKey val="0"/>
            <c:showVal val="1"/>
            <c:showCatName val="0"/>
            <c:showSerName val="0"/>
            <c:showPercent val="0"/>
            <c:showBubbleSize val="0"/>
            <c:showLeaderLines val="0"/>
          </c:dLbls>
          <c:cat>
            <c:numRef>
              <c:f>'Labotās cenas'!$C$5:$K$5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cenas'!$C$7:$K$7</c:f>
              <c:numCache>
                <c:formatCode>0.00</c:formatCode>
                <c:ptCount val="9"/>
                <c:pt idx="0">
                  <c:v>16.64</c:v>
                </c:pt>
                <c:pt idx="1">
                  <c:v>16.71</c:v>
                </c:pt>
                <c:pt idx="2">
                  <c:v>17.32</c:v>
                </c:pt>
                <c:pt idx="3">
                  <c:v>18.439999999999994</c:v>
                </c:pt>
                <c:pt idx="4">
                  <c:v>20.14</c:v>
                </c:pt>
                <c:pt idx="5">
                  <c:v>20.170000000000005</c:v>
                </c:pt>
                <c:pt idx="6">
                  <c:v>20.18</c:v>
                </c:pt>
                <c:pt idx="7">
                  <c:v>21.17</c:v>
                </c:pt>
                <c:pt idx="8">
                  <c:v>21.16</c:v>
                </c:pt>
              </c:numCache>
            </c:numRef>
          </c:val>
        </c:ser>
        <c:ser>
          <c:idx val="2"/>
          <c:order val="2"/>
          <c:tx>
            <c:strRef>
              <c:f>'Labotās cenas'!$B$8</c:f>
              <c:strCache>
                <c:ptCount val="1"/>
                <c:pt idx="0">
                  <c:v>OIK</c:v>
                </c:pt>
              </c:strCache>
            </c:strRef>
          </c:tx>
          <c:spPr>
            <a:pattFill prst="ltUpDiag">
              <a:fgClr>
                <a:schemeClr val="accent3">
                  <a:lumMod val="75000"/>
                </a:schemeClr>
              </a:fgClr>
              <a:bgClr>
                <a:schemeClr val="bg1"/>
              </a:bgClr>
            </a:pattFill>
            <a:ln>
              <a:solidFill>
                <a:schemeClr val="accent3">
                  <a:lumMod val="75000"/>
                </a:schemeClr>
              </a:solidFill>
            </a:ln>
          </c:spPr>
          <c:invertIfNegative val="0"/>
          <c:dLbls>
            <c:showLegendKey val="0"/>
            <c:showVal val="1"/>
            <c:showCatName val="0"/>
            <c:showSerName val="0"/>
            <c:showPercent val="0"/>
            <c:showBubbleSize val="0"/>
            <c:showLeaderLines val="0"/>
          </c:dLbls>
          <c:cat>
            <c:numRef>
              <c:f>'Labotās cenas'!$C$5:$K$5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'Labotās cenas'!$C$8:$K$8</c:f>
              <c:numCache>
                <c:formatCode>0</c:formatCode>
                <c:ptCount val="9"/>
                <c:pt idx="0" formatCode="0.00">
                  <c:v>12.3</c:v>
                </c:pt>
                <c:pt idx="1">
                  <c:v>19.399999999999999</c:v>
                </c:pt>
                <c:pt idx="2">
                  <c:v>24.75</c:v>
                </c:pt>
                <c:pt idx="3">
                  <c:v>28.73</c:v>
                </c:pt>
                <c:pt idx="4">
                  <c:v>34.39</c:v>
                </c:pt>
                <c:pt idx="5">
                  <c:v>38.630000000000003</c:v>
                </c:pt>
                <c:pt idx="6">
                  <c:v>42.25</c:v>
                </c:pt>
                <c:pt idx="7">
                  <c:v>47.06</c:v>
                </c:pt>
                <c:pt idx="8">
                  <c:v>44.6</c:v>
                </c:pt>
              </c:numCache>
            </c:numRef>
          </c:val>
        </c:ser>
        <c:dLbls>
          <c:showLegendKey val="0"/>
          <c:showVal val="0"/>
          <c:showCatName val="0"/>
          <c:showSerName val="0"/>
          <c:showPercent val="0"/>
          <c:showBubbleSize val="0"/>
        </c:dLbls>
        <c:gapWidth val="70"/>
        <c:overlap val="100"/>
        <c:axId val="174375680"/>
        <c:axId val="174377216"/>
      </c:barChart>
      <c:lineChart>
        <c:grouping val="standard"/>
        <c:varyColors val="0"/>
        <c:ser>
          <c:idx val="3"/>
          <c:order val="3"/>
          <c:tx>
            <c:strRef>
              <c:f>'Labotās cenas'!$B$9</c:f>
              <c:strCache>
                <c:ptCount val="1"/>
                <c:pt idx="0">
                  <c:v>KOPĀ</c:v>
                </c:pt>
              </c:strCache>
            </c:strRef>
          </c:tx>
          <c:spPr>
            <a:ln>
              <a:noFill/>
            </a:ln>
          </c:spPr>
          <c:marker>
            <c:spPr>
              <a:ln>
                <a:noFill/>
              </a:ln>
            </c:spPr>
          </c:marker>
          <c:dLbls>
            <c:txPr>
              <a:bodyPr/>
              <a:lstStyle/>
              <a:p>
                <a:pPr>
                  <a:defRPr b="1"/>
                </a:pPr>
                <a:endParaRPr lang="lv-LV"/>
              </a:p>
            </c:txPr>
            <c:dLblPos val="t"/>
            <c:showLegendKey val="0"/>
            <c:showVal val="1"/>
            <c:showCatName val="0"/>
            <c:showSerName val="0"/>
            <c:showPercent val="0"/>
            <c:showBubbleSize val="0"/>
            <c:showLeaderLines val="0"/>
          </c:dLbls>
          <c:val>
            <c:numRef>
              <c:f>'Labotās cenas'!$C$9:$K$9</c:f>
              <c:numCache>
                <c:formatCode>0</c:formatCode>
                <c:ptCount val="9"/>
                <c:pt idx="0" formatCode="General">
                  <c:v>58.94</c:v>
                </c:pt>
                <c:pt idx="1">
                  <c:v>66.11</c:v>
                </c:pt>
                <c:pt idx="2">
                  <c:v>73.069999999999993</c:v>
                </c:pt>
                <c:pt idx="3">
                  <c:v>77.169999999999987</c:v>
                </c:pt>
                <c:pt idx="4">
                  <c:v>85.53</c:v>
                </c:pt>
                <c:pt idx="5">
                  <c:v>90.800000000000011</c:v>
                </c:pt>
                <c:pt idx="6">
                  <c:v>96.43</c:v>
                </c:pt>
                <c:pt idx="7">
                  <c:v>103.23</c:v>
                </c:pt>
                <c:pt idx="8">
                  <c:v>101.75999999999999</c:v>
                </c:pt>
              </c:numCache>
            </c:numRef>
          </c:val>
          <c:smooth val="0"/>
        </c:ser>
        <c:dLbls>
          <c:showLegendKey val="0"/>
          <c:showVal val="0"/>
          <c:showCatName val="0"/>
          <c:showSerName val="0"/>
          <c:showPercent val="0"/>
          <c:showBubbleSize val="0"/>
        </c:dLbls>
        <c:marker val="1"/>
        <c:smooth val="0"/>
        <c:axId val="174375680"/>
        <c:axId val="174377216"/>
      </c:lineChart>
      <c:catAx>
        <c:axId val="174375680"/>
        <c:scaling>
          <c:orientation val="minMax"/>
        </c:scaling>
        <c:delete val="0"/>
        <c:axPos val="b"/>
        <c:numFmt formatCode="General" sourceLinked="1"/>
        <c:majorTickMark val="out"/>
        <c:minorTickMark val="none"/>
        <c:tickLblPos val="nextTo"/>
        <c:crossAx val="174377216"/>
        <c:crosses val="autoZero"/>
        <c:auto val="1"/>
        <c:lblAlgn val="ctr"/>
        <c:lblOffset val="100"/>
        <c:noMultiLvlLbl val="0"/>
      </c:catAx>
      <c:valAx>
        <c:axId val="174377216"/>
        <c:scaling>
          <c:orientation val="minMax"/>
        </c:scaling>
        <c:delete val="0"/>
        <c:axPos val="l"/>
        <c:majorGridlines/>
        <c:title>
          <c:tx>
            <c:rich>
              <a:bodyPr rot="-5400000" vert="horz"/>
              <a:lstStyle/>
              <a:p>
                <a:pPr>
                  <a:defRPr/>
                </a:pPr>
                <a:r>
                  <a:rPr lang="en-US"/>
                  <a:t>L</a:t>
                </a:r>
                <a:r>
                  <a:rPr lang="lv-LV"/>
                  <a:t>VL</a:t>
                </a:r>
                <a:r>
                  <a:rPr lang="en-US"/>
                  <a:t>/MWh</a:t>
                </a:r>
              </a:p>
            </c:rich>
          </c:tx>
          <c:overlay val="0"/>
        </c:title>
        <c:numFmt formatCode="General" sourceLinked="1"/>
        <c:majorTickMark val="out"/>
        <c:minorTickMark val="none"/>
        <c:tickLblPos val="nextTo"/>
        <c:crossAx val="174375680"/>
        <c:crosses val="autoZero"/>
        <c:crossBetween val="between"/>
      </c:valAx>
    </c:plotArea>
    <c:legend>
      <c:legendPos val="b"/>
      <c:legendEntry>
        <c:idx val="3"/>
        <c:delete val="1"/>
      </c:legendEntry>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0.7661</cdr:x>
      <cdr:y>0.06918</cdr:y>
    </cdr:from>
    <cdr:to>
      <cdr:x>0.91186</cdr:x>
      <cdr:y>0.15723</cdr:y>
    </cdr:to>
    <cdr:sp macro="" textlink="">
      <cdr:nvSpPr>
        <cdr:cNvPr id="2" name="TextBox 1"/>
        <cdr:cNvSpPr txBox="1"/>
      </cdr:nvSpPr>
      <cdr:spPr>
        <a:xfrm xmlns:a="http://schemas.openxmlformats.org/drawingml/2006/main">
          <a:off x="5006162" y="162442"/>
          <a:ext cx="952500" cy="2067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a:p>
      </cdr:txBody>
    </cdr:sp>
  </cdr:relSizeAnchor>
</c:userShapes>
</file>

<file path=word/drawings/drawing2.xml><?xml version="1.0" encoding="utf-8"?>
<c:userShapes xmlns:c="http://schemas.openxmlformats.org/drawingml/2006/chart">
  <cdr:relSizeAnchor xmlns:cdr="http://schemas.openxmlformats.org/drawingml/2006/chartDrawing">
    <cdr:from>
      <cdr:x>0.08538</cdr:x>
      <cdr:y>0.90583</cdr:y>
    </cdr:from>
    <cdr:to>
      <cdr:x>0.59928</cdr:x>
      <cdr:y>1</cdr:y>
    </cdr:to>
    <cdr:sp macro="" textlink="">
      <cdr:nvSpPr>
        <cdr:cNvPr id="2" name="TextBox 1"/>
        <cdr:cNvSpPr txBox="1"/>
      </cdr:nvSpPr>
      <cdr:spPr>
        <a:xfrm xmlns:a="http://schemas.openxmlformats.org/drawingml/2006/main">
          <a:off x="450537" y="1924050"/>
          <a:ext cx="271176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latin typeface="+mn-lt"/>
            </a:rPr>
            <a:t>Procentuāla daļa no kopējā</a:t>
          </a:r>
          <a:r>
            <a:rPr lang="lv-LV" sz="1000" b="1" baseline="0">
              <a:latin typeface="+mn-lt"/>
            </a:rPr>
            <a:t> patēriņa</a:t>
          </a:r>
          <a:endParaRPr lang="lv-LV" sz="1000" b="1">
            <a:latin typeface="+mn-l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0.6616</cdr:x>
      <cdr:y>0.73788</cdr:y>
    </cdr:from>
    <cdr:to>
      <cdr:x>0.69049</cdr:x>
      <cdr:y>0.78963</cdr:y>
    </cdr:to>
    <cdr:sp macro="" textlink="">
      <cdr:nvSpPr>
        <cdr:cNvPr id="2" name="Rectangle 1"/>
        <cdr:cNvSpPr/>
      </cdr:nvSpPr>
      <cdr:spPr>
        <a:xfrm xmlns:a="http://schemas.openxmlformats.org/drawingml/2006/main">
          <a:off x="3489491" y="2543327"/>
          <a:ext cx="152375" cy="17834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0.66812</cdr:x>
      <cdr:y>0.76148</cdr:y>
    </cdr:from>
    <cdr:to>
      <cdr:x>0.68942</cdr:x>
      <cdr:y>0.76148</cdr:y>
    </cdr:to>
    <cdr:cxnSp macro="">
      <cdr:nvCxnSpPr>
        <cdr:cNvPr id="3" name="Straight Connector 2"/>
        <cdr:cNvCxnSpPr/>
      </cdr:nvCxnSpPr>
      <cdr:spPr>
        <a:xfrm xmlns:a="http://schemas.openxmlformats.org/drawingml/2006/main">
          <a:off x="3523849" y="2624653"/>
          <a:ext cx="112342" cy="0"/>
        </a:xfrm>
        <a:prstGeom xmlns:a="http://schemas.openxmlformats.org/drawingml/2006/main" prst="line">
          <a:avLst/>
        </a:prstGeom>
        <a:ln xmlns:a="http://schemas.openxmlformats.org/drawingml/2006/main" w="28575" cmpd="sng">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0.65005</cdr:x>
      <cdr:y>0.72364</cdr:y>
    </cdr:from>
    <cdr:to>
      <cdr:x>0.67568</cdr:x>
      <cdr:y>0.81818</cdr:y>
    </cdr:to>
    <cdr:grpSp>
      <cdr:nvGrpSpPr>
        <cdr:cNvPr id="4" name="Group 3"/>
        <cdr:cNvGrpSpPr/>
      </cdr:nvGrpSpPr>
      <cdr:grpSpPr>
        <a:xfrm xmlns:a="http://schemas.openxmlformats.org/drawingml/2006/main">
          <a:off x="3207314" y="1895485"/>
          <a:ext cx="126457" cy="247635"/>
          <a:chOff x="3406360" y="2673495"/>
          <a:chExt cx="156120" cy="178336"/>
        </a:xfrm>
      </cdr:grpSpPr>
      <cdr:sp macro="" textlink="">
        <cdr:nvSpPr>
          <cdr:cNvPr id="2" name="Rectangle 1"/>
          <cdr:cNvSpPr/>
        </cdr:nvSpPr>
        <cdr:spPr>
          <a:xfrm xmlns:a="http://schemas.openxmlformats.org/drawingml/2006/main">
            <a:off x="3410105" y="2673495"/>
            <a:ext cx="152375" cy="17833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cxnSp macro="">
        <cdr:nvCxnSpPr>
          <cdr:cNvPr id="3" name="Straight Connector 2"/>
          <cdr:cNvCxnSpPr/>
        </cdr:nvCxnSpPr>
        <cdr:spPr>
          <a:xfrm xmlns:a="http://schemas.openxmlformats.org/drawingml/2006/main">
            <a:off x="3406360" y="2754839"/>
            <a:ext cx="112343" cy="0"/>
          </a:xfrm>
          <a:prstGeom xmlns:a="http://schemas.openxmlformats.org/drawingml/2006/main" prst="line">
            <a:avLst/>
          </a:prstGeom>
          <a:ln xmlns:a="http://schemas.openxmlformats.org/drawingml/2006/main" w="28575" cmpd="sng">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3F9E1-B3D7-4A16-B67B-D10EB88CA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58713</Words>
  <Characters>33467</Characters>
  <Application>Microsoft Office Word</Application>
  <DocSecurity>0</DocSecurity>
  <Lines>278</Lines>
  <Paragraphs>183</Paragraphs>
  <ScaleCrop>false</ScaleCrop>
  <HeadingPairs>
    <vt:vector size="2" baseType="variant">
      <vt:variant>
        <vt:lpstr>Title</vt:lpstr>
      </vt:variant>
      <vt:variant>
        <vt:i4>1</vt:i4>
      </vt:variant>
    </vt:vector>
  </HeadingPairs>
  <TitlesOfParts>
    <vt:vector size="1" baseType="lpstr">
      <vt:lpstr/>
    </vt:vector>
  </TitlesOfParts>
  <Company>LR Ekonomikas ministrija</Company>
  <LinksUpToDate>false</LinksUpToDate>
  <CharactersWithSpaces>91997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Umbraško</dc:creator>
  <dc:description>Inga Umbraško, 67013149</dc:description>
  <cp:lastModifiedBy>PigensK</cp:lastModifiedBy>
  <cp:revision>6</cp:revision>
  <cp:lastPrinted>2013-01-02T12:53:00Z</cp:lastPrinted>
  <dcterms:created xsi:type="dcterms:W3CDTF">2013-01-03T08:44:00Z</dcterms:created>
  <dcterms:modified xsi:type="dcterms:W3CDTF">2013-01-07T11:45:00Z</dcterms:modified>
</cp:coreProperties>
</file>