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E7" w:rsidRPr="00E668E7" w:rsidRDefault="00E668E7" w:rsidP="00E668E7">
      <w:pPr>
        <w:pStyle w:val="Header"/>
        <w:tabs>
          <w:tab w:val="left" w:pos="720"/>
        </w:tabs>
        <w:jc w:val="center"/>
        <w:rPr>
          <w:b/>
          <w:smallCaps/>
          <w:sz w:val="28"/>
          <w:szCs w:val="28"/>
        </w:rPr>
      </w:pPr>
      <w:r w:rsidRPr="00E668E7">
        <w:rPr>
          <w:b/>
          <w:smallCaps/>
          <w:sz w:val="28"/>
          <w:szCs w:val="28"/>
        </w:rPr>
        <w:t xml:space="preserve">Informatīvais </w:t>
      </w:r>
      <w:smartTag w:uri="schemas-tilde-lv/tildestengine" w:element="veidnes">
        <w:smartTagPr>
          <w:attr w:name="baseform" w:val="ziņojum|s"/>
          <w:attr w:name="id" w:val="-1"/>
          <w:attr w:name="text" w:val="ziņojums"/>
        </w:smartTagPr>
        <w:r w:rsidRPr="00E668E7">
          <w:rPr>
            <w:b/>
            <w:smallCaps/>
            <w:sz w:val="28"/>
            <w:szCs w:val="28"/>
          </w:rPr>
          <w:t>ziņojums</w:t>
        </w:r>
      </w:smartTag>
    </w:p>
    <w:p w:rsidR="00E668E7" w:rsidRPr="00946F91" w:rsidRDefault="00E668E7" w:rsidP="00E668E7">
      <w:pPr>
        <w:pStyle w:val="Header"/>
        <w:tabs>
          <w:tab w:val="left" w:pos="720"/>
        </w:tabs>
        <w:jc w:val="center"/>
        <w:rPr>
          <w:b/>
          <w:sz w:val="28"/>
          <w:szCs w:val="28"/>
        </w:rPr>
      </w:pPr>
    </w:p>
    <w:p w:rsidR="00E668E7" w:rsidRPr="00F01BCB" w:rsidRDefault="00E668E7" w:rsidP="00E668E7">
      <w:pPr>
        <w:jc w:val="center"/>
        <w:rPr>
          <w:b/>
          <w:sz w:val="28"/>
          <w:szCs w:val="28"/>
        </w:rPr>
      </w:pPr>
      <w:bookmarkStart w:id="0" w:name="OLE_LINK3"/>
      <w:bookmarkStart w:id="1" w:name="OLE_LINK4"/>
      <w:r w:rsidRPr="00CD0C6C">
        <w:rPr>
          <w:b/>
          <w:sz w:val="28"/>
          <w:szCs w:val="28"/>
        </w:rPr>
        <w:t>par Latvijas nacionālajām pozīcijām Eiropas Savienības Konkurētspējas ministru padomes 201</w:t>
      </w:r>
      <w:r>
        <w:rPr>
          <w:b/>
          <w:sz w:val="28"/>
          <w:szCs w:val="28"/>
        </w:rPr>
        <w:t>1</w:t>
      </w:r>
      <w:r w:rsidRPr="00CD0C6C">
        <w:rPr>
          <w:b/>
          <w:sz w:val="28"/>
          <w:szCs w:val="28"/>
        </w:rPr>
        <w:t xml:space="preserve">.gada </w:t>
      </w:r>
      <w:r>
        <w:rPr>
          <w:b/>
          <w:sz w:val="28"/>
          <w:szCs w:val="28"/>
        </w:rPr>
        <w:t>10</w:t>
      </w:r>
      <w:r w:rsidRPr="00CD0C6C">
        <w:rPr>
          <w:b/>
          <w:sz w:val="28"/>
          <w:szCs w:val="28"/>
        </w:rPr>
        <w:t xml:space="preserve">. </w:t>
      </w:r>
      <w:r>
        <w:rPr>
          <w:b/>
          <w:sz w:val="28"/>
          <w:szCs w:val="28"/>
        </w:rPr>
        <w:t>marta</w:t>
      </w:r>
      <w:r w:rsidRPr="00CD0C6C">
        <w:rPr>
          <w:b/>
          <w:sz w:val="28"/>
          <w:szCs w:val="28"/>
        </w:rPr>
        <w:t xml:space="preserve"> sanāksmē izskatāmajos Ekonomikas ministrijas</w:t>
      </w:r>
      <w:r>
        <w:rPr>
          <w:b/>
          <w:sz w:val="28"/>
          <w:szCs w:val="28"/>
        </w:rPr>
        <w:t xml:space="preserve"> un Tieslietu ministrijas</w:t>
      </w:r>
      <w:r w:rsidRPr="00CD0C6C">
        <w:rPr>
          <w:b/>
          <w:sz w:val="28"/>
          <w:szCs w:val="28"/>
        </w:rPr>
        <w:t xml:space="preserve"> kompetences jautājumos</w:t>
      </w:r>
      <w:r>
        <w:rPr>
          <w:b/>
          <w:sz w:val="28"/>
          <w:szCs w:val="28"/>
        </w:rPr>
        <w:t xml:space="preserve"> </w:t>
      </w:r>
    </w:p>
    <w:bookmarkEnd w:id="0"/>
    <w:bookmarkEnd w:id="1"/>
    <w:p w:rsidR="00E668E7" w:rsidRDefault="00E668E7" w:rsidP="00E668E7">
      <w:pPr>
        <w:spacing w:after="120"/>
        <w:ind w:left="360"/>
        <w:rPr>
          <w:sz w:val="28"/>
          <w:szCs w:val="28"/>
        </w:rPr>
      </w:pPr>
    </w:p>
    <w:p w:rsidR="00E668E7" w:rsidRPr="00F01BCB" w:rsidRDefault="00E668E7" w:rsidP="00117654">
      <w:pPr>
        <w:spacing w:before="120" w:after="120"/>
        <w:jc w:val="both"/>
        <w:rPr>
          <w:b/>
          <w:sz w:val="28"/>
          <w:szCs w:val="28"/>
        </w:rPr>
      </w:pPr>
      <w:r w:rsidRPr="00F01BCB">
        <w:rPr>
          <w:b/>
          <w:sz w:val="28"/>
          <w:szCs w:val="28"/>
        </w:rPr>
        <w:t>1. Konkurētspējas ministru padomes sanāksmes darba kārtība</w:t>
      </w:r>
    </w:p>
    <w:p w:rsidR="00897AEF" w:rsidRPr="00DA29C9" w:rsidRDefault="00897AEF" w:rsidP="00897AEF">
      <w:pPr>
        <w:tabs>
          <w:tab w:val="left" w:pos="9288"/>
        </w:tabs>
        <w:spacing w:after="120"/>
        <w:ind w:firstLine="720"/>
        <w:jc w:val="both"/>
        <w:rPr>
          <w:sz w:val="28"/>
          <w:szCs w:val="28"/>
        </w:rPr>
      </w:pPr>
      <w:r w:rsidRPr="00DA29C9">
        <w:rPr>
          <w:sz w:val="28"/>
          <w:szCs w:val="28"/>
        </w:rPr>
        <w:t xml:space="preserve">2011. gada </w:t>
      </w:r>
      <w:r w:rsidR="00746BF8">
        <w:rPr>
          <w:sz w:val="28"/>
          <w:szCs w:val="28"/>
        </w:rPr>
        <w:t>10</w:t>
      </w:r>
      <w:r w:rsidRPr="00DA29C9">
        <w:rPr>
          <w:sz w:val="28"/>
          <w:szCs w:val="28"/>
        </w:rPr>
        <w:t>. martā Briselē, Beļģijā,  notiks Eiropas Savienības (turpmāk – ES) Konkurētspējas ministru padomes sanāksme (turpmāk – sanāksme). Pirmajā daļā ES Iekšējā tirgus un pakalpojumu komisārs Mišels Barnjē aicinās ministrus diskutēt par iekšējā tirgus jautājumiem, savukārt, otrajā daļā ir plānotas diskusijas par aktuālajām problēmām rūpniecībā ES Uzņēmējdarbības un rūpniecības komisāra Antonio Tadžani vadībā.</w:t>
      </w:r>
    </w:p>
    <w:p w:rsidR="00897AEF" w:rsidRPr="00DA29C9" w:rsidRDefault="00897AEF" w:rsidP="00897AEF">
      <w:pPr>
        <w:tabs>
          <w:tab w:val="left" w:pos="9288"/>
        </w:tabs>
        <w:spacing w:after="120"/>
        <w:ind w:firstLine="720"/>
        <w:jc w:val="both"/>
        <w:rPr>
          <w:sz w:val="28"/>
          <w:szCs w:val="28"/>
        </w:rPr>
      </w:pPr>
      <w:r w:rsidRPr="00DA29C9">
        <w:rPr>
          <w:sz w:val="28"/>
          <w:szCs w:val="28"/>
        </w:rPr>
        <w:t>Paredzams, ka sanāksmes gaitā tiks izskatīti šādi Ekonomikas ministrijas (EM) un Tieslietu ministrijas (TM) kompetencē esoši jautājumi:</w:t>
      </w:r>
    </w:p>
    <w:p w:rsidR="007A1C1C" w:rsidRDefault="007A1C1C" w:rsidP="00E668E7">
      <w:pPr>
        <w:tabs>
          <w:tab w:val="left" w:pos="9288"/>
        </w:tabs>
        <w:spacing w:after="120"/>
        <w:ind w:firstLine="720"/>
        <w:jc w:val="both"/>
        <w:rPr>
          <w:sz w:val="28"/>
          <w:szCs w:val="28"/>
        </w:rPr>
      </w:pPr>
    </w:p>
    <w:p w:rsidR="00897AEF" w:rsidRPr="00DA29C9" w:rsidRDefault="00897AEF" w:rsidP="00897AEF">
      <w:pPr>
        <w:pBdr>
          <w:bottom w:val="single" w:sz="4" w:space="1" w:color="auto"/>
        </w:pBdr>
        <w:tabs>
          <w:tab w:val="left" w:pos="9288"/>
        </w:tabs>
        <w:spacing w:after="120"/>
        <w:jc w:val="both"/>
        <w:rPr>
          <w:b/>
          <w:sz w:val="28"/>
          <w:szCs w:val="28"/>
        </w:rPr>
      </w:pPr>
      <w:r w:rsidRPr="00DA29C9">
        <w:rPr>
          <w:b/>
          <w:sz w:val="28"/>
          <w:szCs w:val="28"/>
        </w:rPr>
        <w:t>1.</w:t>
      </w:r>
      <w:r w:rsidR="00B03397">
        <w:rPr>
          <w:b/>
          <w:sz w:val="28"/>
          <w:szCs w:val="28"/>
        </w:rPr>
        <w:t>1.</w:t>
      </w:r>
      <w:r w:rsidRPr="00DA29C9">
        <w:rPr>
          <w:b/>
          <w:sz w:val="28"/>
          <w:szCs w:val="28"/>
        </w:rPr>
        <w:t xml:space="preserve"> Vienotā tirgus akts</w:t>
      </w:r>
    </w:p>
    <w:p w:rsidR="00897AEF" w:rsidRPr="00DA29C9" w:rsidRDefault="00897AEF" w:rsidP="00897AEF">
      <w:pPr>
        <w:tabs>
          <w:tab w:val="left" w:pos="9288"/>
        </w:tabs>
        <w:jc w:val="both"/>
        <w:rPr>
          <w:i/>
          <w:sz w:val="28"/>
          <w:szCs w:val="28"/>
        </w:rPr>
      </w:pPr>
      <w:r w:rsidRPr="00DA29C9">
        <w:rPr>
          <w:i/>
          <w:sz w:val="28"/>
          <w:szCs w:val="28"/>
        </w:rPr>
        <w:t>EM kompetence</w:t>
      </w:r>
    </w:p>
    <w:p w:rsidR="00897AEF" w:rsidRPr="00DA29C9" w:rsidRDefault="00897AEF" w:rsidP="00897AEF">
      <w:pPr>
        <w:tabs>
          <w:tab w:val="left" w:pos="284"/>
        </w:tabs>
        <w:jc w:val="both"/>
        <w:rPr>
          <w:i/>
          <w:sz w:val="28"/>
          <w:szCs w:val="28"/>
        </w:rPr>
      </w:pPr>
      <w:r w:rsidRPr="00DA29C9">
        <w:rPr>
          <w:i/>
          <w:sz w:val="28"/>
          <w:szCs w:val="28"/>
        </w:rPr>
        <w:t>- Komisijas sniegtā informācija par sabiedriskās apspriešanas rezultātiem</w:t>
      </w:r>
    </w:p>
    <w:p w:rsidR="00897AEF" w:rsidRPr="00DA29C9" w:rsidRDefault="00897AEF" w:rsidP="00897AEF">
      <w:pPr>
        <w:tabs>
          <w:tab w:val="left" w:pos="284"/>
        </w:tabs>
        <w:jc w:val="both"/>
        <w:rPr>
          <w:i/>
          <w:sz w:val="28"/>
          <w:szCs w:val="28"/>
        </w:rPr>
      </w:pPr>
      <w:r w:rsidRPr="00DA29C9">
        <w:rPr>
          <w:i/>
          <w:sz w:val="28"/>
          <w:szCs w:val="28"/>
        </w:rPr>
        <w:t>- Viedokļu apmaiņa</w:t>
      </w:r>
    </w:p>
    <w:p w:rsidR="00897AEF" w:rsidRPr="00DA29C9" w:rsidRDefault="00897AEF" w:rsidP="00897AEF">
      <w:pPr>
        <w:tabs>
          <w:tab w:val="left" w:pos="9288"/>
        </w:tabs>
        <w:spacing w:after="120"/>
        <w:ind w:firstLine="709"/>
        <w:jc w:val="both"/>
        <w:rPr>
          <w:sz w:val="28"/>
          <w:szCs w:val="28"/>
        </w:rPr>
      </w:pPr>
    </w:p>
    <w:p w:rsidR="00897AEF" w:rsidRPr="00DA29C9" w:rsidRDefault="00897AEF" w:rsidP="00AF0F88">
      <w:pPr>
        <w:tabs>
          <w:tab w:val="left" w:pos="851"/>
          <w:tab w:val="left" w:pos="9288"/>
        </w:tabs>
        <w:ind w:firstLine="709"/>
        <w:jc w:val="both"/>
        <w:rPr>
          <w:sz w:val="28"/>
          <w:szCs w:val="28"/>
        </w:rPr>
      </w:pPr>
      <w:r w:rsidRPr="00DA29C9">
        <w:rPr>
          <w:sz w:val="28"/>
          <w:szCs w:val="28"/>
        </w:rPr>
        <w:t>Šobrīd ES vienotā tirgus stiprināšana ir augsta ES prioritāte. Pēc Komisijas Prezidenta Ž.M.Barrozu aicinājuma ziņojumu par problēmām ES vienotajā tirgū un rekomendācijām to novēršanai 2010.gada pavasarī sagatavoja prof. M.Monti, bet Komisija 2010. gada 27 oktobrī nāca klajā ar paziņojumu par Vienotā tirg</w:t>
      </w:r>
      <w:r w:rsidR="00AF0F88">
        <w:rPr>
          <w:sz w:val="28"/>
          <w:szCs w:val="28"/>
        </w:rPr>
        <w:t>us aktu,</w:t>
      </w:r>
      <w:r w:rsidRPr="00DA29C9">
        <w:rPr>
          <w:sz w:val="28"/>
          <w:szCs w:val="28"/>
        </w:rPr>
        <w:t xml:space="preserve"> piedāvājot diskusijai 50 dažādus pasākumus, kuru realizēšana dotu pozitīvu ieguldījumu Vienotā tirgus stiprināšanā. Komisija ziņojumu nodeva plašai ES mēroga sabiedriskai apspriešanai, kas Komisijai dotu lielāku skaidrību par tiem pasākumiem, kas šobrīd ir prioritāri </w:t>
      </w:r>
      <w:r w:rsidR="00EC7A4B">
        <w:rPr>
          <w:sz w:val="28"/>
          <w:szCs w:val="28"/>
        </w:rPr>
        <w:t>dalīvbalstīm</w:t>
      </w:r>
      <w:r w:rsidRPr="00DA29C9">
        <w:rPr>
          <w:sz w:val="28"/>
          <w:szCs w:val="28"/>
        </w:rPr>
        <w:t>, industrijai un plašākai sabiedrībai un ko varētu iekļaut Vienotā tirgus akta gala redakcijā (tas saturētu mazāku skaitu pasākumu, kurus reāli varētu īstenot līdz 2012.gada beigām). Komisija plāno Vienotā tirgus akta gala redakciju pieņemt 2011.gada aprīļa vidū.</w:t>
      </w:r>
    </w:p>
    <w:p w:rsidR="00897AEF" w:rsidRPr="00DA29C9" w:rsidRDefault="00897AEF" w:rsidP="00AF0F88">
      <w:pPr>
        <w:tabs>
          <w:tab w:val="left" w:pos="851"/>
          <w:tab w:val="left" w:pos="9288"/>
        </w:tabs>
        <w:ind w:firstLine="709"/>
        <w:jc w:val="both"/>
        <w:rPr>
          <w:sz w:val="28"/>
          <w:szCs w:val="28"/>
        </w:rPr>
      </w:pPr>
      <w:r w:rsidRPr="00DA29C9">
        <w:rPr>
          <w:sz w:val="28"/>
          <w:szCs w:val="28"/>
        </w:rPr>
        <w:t xml:space="preserve">Sabiedriskā apspriešana noslēdzās 2011. gada 28. februārī un Komisija uz Konkurētspējas padomes sanāksmi apkopos pirmos rezultātus un sniegt īsu informāciju. </w:t>
      </w:r>
    </w:p>
    <w:p w:rsidR="00897AEF" w:rsidRPr="00DA29C9" w:rsidRDefault="00897AEF" w:rsidP="00AF0F88">
      <w:pPr>
        <w:tabs>
          <w:tab w:val="left" w:pos="851"/>
          <w:tab w:val="left" w:pos="9288"/>
        </w:tabs>
        <w:ind w:firstLine="709"/>
        <w:jc w:val="both"/>
        <w:rPr>
          <w:sz w:val="28"/>
          <w:szCs w:val="28"/>
        </w:rPr>
      </w:pPr>
      <w:r w:rsidRPr="00DA29C9">
        <w:rPr>
          <w:sz w:val="28"/>
          <w:szCs w:val="28"/>
        </w:rPr>
        <w:t xml:space="preserve">Latvija, reaģējot uz Komisijas paziņojumu, sagatavoja nacionālo pozīciju (apstiprināta MK 17.01.2011. un izskatīta Saeimas ELK 18.01.2011. un 21.01.2011. sēdēs). Ņemot vērā šajā nacionālajā pozīcijā formulēto Latvijas nostāju attiecībā uz Vienotā tirgus aktu un piedāvātajiem 50 pasākumiem, </w:t>
      </w:r>
      <w:r w:rsidR="00B56BD0">
        <w:rPr>
          <w:sz w:val="28"/>
          <w:szCs w:val="28"/>
        </w:rPr>
        <w:t>EM</w:t>
      </w:r>
      <w:r w:rsidRPr="00DA29C9">
        <w:rPr>
          <w:sz w:val="28"/>
          <w:szCs w:val="28"/>
        </w:rPr>
        <w:t xml:space="preserve"> </w:t>
      </w:r>
      <w:r w:rsidRPr="00DA29C9">
        <w:rPr>
          <w:sz w:val="28"/>
          <w:szCs w:val="28"/>
        </w:rPr>
        <w:lastRenderedPageBreak/>
        <w:t>sabiedriskās apspriešanas ietvaros iesniedza Latvi</w:t>
      </w:r>
      <w:r w:rsidR="00AF0F88">
        <w:rPr>
          <w:sz w:val="28"/>
          <w:szCs w:val="28"/>
        </w:rPr>
        <w:t>jas viedokli Eiropas Komisijai.</w:t>
      </w:r>
    </w:p>
    <w:p w:rsidR="00897AEF" w:rsidRPr="00DA29C9" w:rsidRDefault="00897AEF" w:rsidP="00AF0F88">
      <w:pPr>
        <w:tabs>
          <w:tab w:val="left" w:pos="9288"/>
        </w:tabs>
        <w:ind w:firstLine="851"/>
        <w:jc w:val="both"/>
        <w:rPr>
          <w:sz w:val="28"/>
          <w:szCs w:val="28"/>
        </w:rPr>
      </w:pPr>
      <w:r w:rsidRPr="00DA29C9">
        <w:rPr>
          <w:sz w:val="28"/>
          <w:szCs w:val="28"/>
        </w:rPr>
        <w:t>Ir plānots, ka sēdes laikā norisināsies viedokļu apmaiņa. Diskusijas strukturēšanai Prezidentūra ir sagatavojusi šādus diskusiju jautājumus:</w:t>
      </w:r>
    </w:p>
    <w:p w:rsidR="00897AEF" w:rsidRPr="00DA29C9" w:rsidRDefault="00897AEF" w:rsidP="00AF0F88">
      <w:pPr>
        <w:tabs>
          <w:tab w:val="left" w:pos="851"/>
          <w:tab w:val="left" w:pos="9288"/>
        </w:tabs>
        <w:ind w:firstLine="709"/>
        <w:jc w:val="both"/>
        <w:rPr>
          <w:sz w:val="28"/>
          <w:szCs w:val="28"/>
        </w:rPr>
      </w:pPr>
      <w:r w:rsidRPr="00DA29C9">
        <w:rPr>
          <w:sz w:val="28"/>
          <w:szCs w:val="28"/>
        </w:rPr>
        <w:t xml:space="preserve">1. Vai </w:t>
      </w:r>
      <w:r w:rsidR="00AF0F88">
        <w:rPr>
          <w:sz w:val="28"/>
          <w:szCs w:val="28"/>
        </w:rPr>
        <w:t xml:space="preserve">dalībvalstis </w:t>
      </w:r>
      <w:r w:rsidRPr="00DA29C9">
        <w:rPr>
          <w:sz w:val="28"/>
          <w:szCs w:val="28"/>
        </w:rPr>
        <w:t>piekrīt, ka Vienotā tirgus akta gala redakcijai kā prioritāri pasākumu būtu jāatlasa tie, kas:</w:t>
      </w:r>
    </w:p>
    <w:p w:rsidR="00897AEF" w:rsidRPr="00AF0F88" w:rsidRDefault="00897AEF" w:rsidP="00AF0F88">
      <w:pPr>
        <w:pStyle w:val="ListParagraph"/>
        <w:numPr>
          <w:ilvl w:val="0"/>
          <w:numId w:val="36"/>
        </w:numPr>
        <w:tabs>
          <w:tab w:val="left" w:pos="284"/>
          <w:tab w:val="left" w:pos="851"/>
          <w:tab w:val="left" w:pos="9288"/>
        </w:tabs>
        <w:ind w:hanging="720"/>
        <w:jc w:val="both"/>
        <w:rPr>
          <w:sz w:val="28"/>
          <w:szCs w:val="28"/>
        </w:rPr>
      </w:pPr>
      <w:r w:rsidRPr="00AF0F88">
        <w:rPr>
          <w:sz w:val="28"/>
          <w:szCs w:val="28"/>
        </w:rPr>
        <w:t>nodrošina izaugsmi un darba vietu radīšanu;</w:t>
      </w:r>
    </w:p>
    <w:p w:rsidR="00897AEF" w:rsidRPr="00AF0F88" w:rsidRDefault="00897AEF" w:rsidP="00AF0F88">
      <w:pPr>
        <w:pStyle w:val="ListParagraph"/>
        <w:numPr>
          <w:ilvl w:val="0"/>
          <w:numId w:val="36"/>
        </w:numPr>
        <w:tabs>
          <w:tab w:val="left" w:pos="284"/>
          <w:tab w:val="left" w:pos="851"/>
          <w:tab w:val="left" w:pos="9288"/>
        </w:tabs>
        <w:ind w:hanging="720"/>
        <w:jc w:val="both"/>
        <w:rPr>
          <w:sz w:val="28"/>
          <w:szCs w:val="28"/>
        </w:rPr>
      </w:pPr>
      <w:r w:rsidRPr="00AF0F88">
        <w:rPr>
          <w:sz w:val="28"/>
          <w:szCs w:val="28"/>
        </w:rPr>
        <w:t xml:space="preserve">nes taustāmu rezultātu; </w:t>
      </w:r>
    </w:p>
    <w:p w:rsidR="00897AEF" w:rsidRPr="00AF0F88" w:rsidRDefault="00897AEF" w:rsidP="00AF0F88">
      <w:pPr>
        <w:pStyle w:val="ListParagraph"/>
        <w:numPr>
          <w:ilvl w:val="0"/>
          <w:numId w:val="36"/>
        </w:numPr>
        <w:tabs>
          <w:tab w:val="left" w:pos="284"/>
          <w:tab w:val="left" w:pos="851"/>
          <w:tab w:val="left" w:pos="9288"/>
        </w:tabs>
        <w:ind w:hanging="720"/>
        <w:jc w:val="both"/>
        <w:rPr>
          <w:sz w:val="28"/>
          <w:szCs w:val="28"/>
        </w:rPr>
      </w:pPr>
      <w:r w:rsidRPr="00AF0F88">
        <w:rPr>
          <w:sz w:val="28"/>
          <w:szCs w:val="28"/>
        </w:rPr>
        <w:t>piedāvā jaunas iniciatīvas?</w:t>
      </w:r>
    </w:p>
    <w:p w:rsidR="00897AEF" w:rsidRPr="00DA29C9" w:rsidRDefault="00897AEF" w:rsidP="00AF0F88">
      <w:pPr>
        <w:tabs>
          <w:tab w:val="left" w:pos="851"/>
          <w:tab w:val="left" w:pos="9288"/>
        </w:tabs>
        <w:ind w:firstLine="709"/>
        <w:jc w:val="both"/>
        <w:rPr>
          <w:sz w:val="28"/>
          <w:szCs w:val="28"/>
        </w:rPr>
      </w:pPr>
      <w:r w:rsidRPr="00DA29C9">
        <w:rPr>
          <w:sz w:val="28"/>
          <w:szCs w:val="28"/>
        </w:rPr>
        <w:t>2. Kādus citus principus dalībvalstis piedāvātu, nosaucot trīs no tiem? (piem., paātrināt to dokumentu/jautājumu virzību, kas jau atrodas “uz diskusiju galda”, vai tieši pretēji – koncentrēties uz tiem, kuru virzīšana vēl nav sākta, vai arī sākt pilnīgi jaunus ES līmeņa pasākumus, kur ir akūta nepieciešamība pēc risinājuma, utt.)</w:t>
      </w:r>
    </w:p>
    <w:p w:rsidR="00897AEF" w:rsidRPr="00DA29C9" w:rsidRDefault="00897AEF" w:rsidP="00AF0F88">
      <w:pPr>
        <w:tabs>
          <w:tab w:val="left" w:pos="851"/>
          <w:tab w:val="left" w:pos="9288"/>
        </w:tabs>
        <w:ind w:firstLine="709"/>
        <w:jc w:val="both"/>
        <w:rPr>
          <w:sz w:val="28"/>
          <w:szCs w:val="28"/>
        </w:rPr>
      </w:pPr>
      <w:r w:rsidRPr="00DA29C9">
        <w:rPr>
          <w:sz w:val="28"/>
          <w:szCs w:val="28"/>
        </w:rPr>
        <w:t>3. Kā Padomes apstiprinātās Vienotā tirgus akta gala redakcijas prioritātes varētu dot ieguldījumu ES2020 stratēģijas pēc iespējas efektīvākā ieviešanā?</w:t>
      </w:r>
    </w:p>
    <w:p w:rsidR="00897AEF" w:rsidRPr="00DA29C9" w:rsidRDefault="00897AEF" w:rsidP="00AF0F88">
      <w:pPr>
        <w:tabs>
          <w:tab w:val="left" w:pos="567"/>
          <w:tab w:val="left" w:pos="851"/>
          <w:tab w:val="left" w:pos="9288"/>
        </w:tabs>
        <w:ind w:firstLine="709"/>
        <w:jc w:val="both"/>
        <w:rPr>
          <w:i/>
          <w:sz w:val="28"/>
          <w:szCs w:val="28"/>
        </w:rPr>
      </w:pPr>
      <w:r w:rsidRPr="00DA29C9">
        <w:rPr>
          <w:i/>
          <w:sz w:val="28"/>
          <w:szCs w:val="28"/>
        </w:rPr>
        <w:tab/>
        <w:t>Latvijas viedoklis:</w:t>
      </w:r>
    </w:p>
    <w:p w:rsidR="00897AEF" w:rsidRPr="00DA29C9" w:rsidRDefault="00AF0F88" w:rsidP="00AF0F88">
      <w:pPr>
        <w:tabs>
          <w:tab w:val="left" w:pos="567"/>
          <w:tab w:val="left" w:pos="851"/>
        </w:tabs>
        <w:ind w:firstLine="709"/>
        <w:jc w:val="both"/>
        <w:rPr>
          <w:sz w:val="28"/>
          <w:szCs w:val="28"/>
        </w:rPr>
      </w:pPr>
      <w:r>
        <w:rPr>
          <w:sz w:val="28"/>
          <w:szCs w:val="28"/>
        </w:rPr>
        <w:tab/>
      </w:r>
      <w:r w:rsidR="00897AEF" w:rsidRPr="00DA29C9">
        <w:rPr>
          <w:sz w:val="28"/>
          <w:szCs w:val="28"/>
        </w:rPr>
        <w:t>Kopumā Latvija piekrīt, ka vadošajiem prioritāšu atlases kritērijiem jābūt ekonomikas izaugsmes un darba vietu radīšanas, kā arī reālu taustāmu rezultātu potenciālam. J</w:t>
      </w:r>
      <w:r>
        <w:rPr>
          <w:sz w:val="28"/>
          <w:szCs w:val="28"/>
        </w:rPr>
        <w:t xml:space="preserve">aunu iniciatīvu prioritizēšana </w:t>
      </w:r>
      <w:r w:rsidR="00897AEF" w:rsidRPr="00DA29C9">
        <w:rPr>
          <w:sz w:val="28"/>
          <w:szCs w:val="28"/>
        </w:rPr>
        <w:t>ārpus stratēģijas „ES 2020” vadošajām iniciatīvām ir atbalstāma, tomēr tas nenozīmē, ka svarīgākās citur minētās un skatītās iniciatīvas nedrīkstētu atzīt par prioritār</w:t>
      </w:r>
      <w:r>
        <w:rPr>
          <w:sz w:val="28"/>
          <w:szCs w:val="28"/>
        </w:rPr>
        <w:t>ām Vienotā tirgus akta ietvaros</w:t>
      </w:r>
      <w:r w:rsidR="00897AEF" w:rsidRPr="00DA29C9">
        <w:rPr>
          <w:sz w:val="28"/>
          <w:szCs w:val="28"/>
        </w:rPr>
        <w:t>.</w:t>
      </w:r>
    </w:p>
    <w:p w:rsidR="00AF0F88" w:rsidRPr="00AF0F88" w:rsidRDefault="00897AEF" w:rsidP="00AF0F88">
      <w:pPr>
        <w:pStyle w:val="ListParagraph"/>
        <w:tabs>
          <w:tab w:val="left" w:pos="9288"/>
        </w:tabs>
        <w:ind w:left="0" w:firstLine="851"/>
        <w:jc w:val="both"/>
        <w:rPr>
          <w:sz w:val="28"/>
          <w:szCs w:val="28"/>
        </w:rPr>
      </w:pPr>
      <w:r w:rsidRPr="00AF0F88">
        <w:rPr>
          <w:sz w:val="28"/>
          <w:szCs w:val="28"/>
        </w:rPr>
        <w:t>Papildus minētajiem prioritāriem pas</w:t>
      </w:r>
      <w:r w:rsidR="00AF0F88">
        <w:rPr>
          <w:sz w:val="28"/>
          <w:szCs w:val="28"/>
        </w:rPr>
        <w:t>ākumiem, Latvija varētu uzsvērt:</w:t>
      </w:r>
      <w:r w:rsidRPr="00AF0F88">
        <w:rPr>
          <w:sz w:val="28"/>
          <w:szCs w:val="28"/>
        </w:rPr>
        <w:t xml:space="preserve"> </w:t>
      </w:r>
    </w:p>
    <w:p w:rsidR="00AF0F88" w:rsidRPr="00AF0F88" w:rsidRDefault="00897AEF" w:rsidP="00AF0F88">
      <w:pPr>
        <w:pStyle w:val="ListParagraph"/>
        <w:numPr>
          <w:ilvl w:val="0"/>
          <w:numId w:val="37"/>
        </w:numPr>
        <w:tabs>
          <w:tab w:val="left" w:pos="284"/>
          <w:tab w:val="left" w:pos="9288"/>
        </w:tabs>
        <w:ind w:left="0" w:firstLine="0"/>
        <w:jc w:val="both"/>
        <w:rPr>
          <w:sz w:val="28"/>
          <w:szCs w:val="28"/>
        </w:rPr>
      </w:pPr>
      <w:r w:rsidRPr="00AF0F88">
        <w:rPr>
          <w:sz w:val="28"/>
          <w:szCs w:val="28"/>
        </w:rPr>
        <w:t xml:space="preserve">nepieciešamību vairāk fokusēties uz horizontāliem un visaptverošiem risinājumiem, kas var sniegt plašu un tūlītēju efektu (piem., savstarpējās atzīšanas plašāka izmantošana), </w:t>
      </w:r>
    </w:p>
    <w:p w:rsidR="00AF0F88" w:rsidRPr="00AF0F88" w:rsidRDefault="00897AEF" w:rsidP="00AF0F88">
      <w:pPr>
        <w:pStyle w:val="ListParagraph"/>
        <w:numPr>
          <w:ilvl w:val="0"/>
          <w:numId w:val="37"/>
        </w:numPr>
        <w:tabs>
          <w:tab w:val="left" w:pos="284"/>
          <w:tab w:val="left" w:pos="9288"/>
        </w:tabs>
        <w:ind w:left="0" w:firstLine="0"/>
        <w:jc w:val="both"/>
        <w:rPr>
          <w:sz w:val="28"/>
          <w:szCs w:val="28"/>
        </w:rPr>
      </w:pPr>
      <w:r w:rsidRPr="00AF0F88">
        <w:rPr>
          <w:sz w:val="28"/>
          <w:szCs w:val="28"/>
        </w:rPr>
        <w:t xml:space="preserve">fokusēties uz pasākumiem, kas tieši ietekmētu un nestu labumu pēc iespējas plašākai ekonomikas daļai, t.i., maziem un vidējiem uzņēmumiem, </w:t>
      </w:r>
    </w:p>
    <w:p w:rsidR="00AF0F88" w:rsidRDefault="00897AEF" w:rsidP="00AF0F88">
      <w:pPr>
        <w:pStyle w:val="ListParagraph"/>
        <w:numPr>
          <w:ilvl w:val="0"/>
          <w:numId w:val="37"/>
        </w:numPr>
        <w:tabs>
          <w:tab w:val="left" w:pos="284"/>
          <w:tab w:val="left" w:pos="9288"/>
        </w:tabs>
        <w:ind w:left="0" w:firstLine="0"/>
        <w:jc w:val="both"/>
        <w:rPr>
          <w:sz w:val="28"/>
          <w:szCs w:val="28"/>
        </w:rPr>
      </w:pPr>
      <w:r w:rsidRPr="00AF0F88">
        <w:rPr>
          <w:sz w:val="28"/>
          <w:szCs w:val="28"/>
        </w:rPr>
        <w:t xml:space="preserve">domāt par vienlīdzīgu iespēju nodrošināšanu dalībvalstu vidū, ekonomisko konverģenci, attiecīgi kā prioritātes pacelt pasākumus, kas nodrošinātu dažādu ES reģionu vienlīdzīgu attīstību un iespējas vienotajā tirgū (īpaši jautājumos par infrastruktūras nodrošināšanu un uzlabošanu). </w:t>
      </w:r>
    </w:p>
    <w:p w:rsidR="00897AEF" w:rsidRPr="00AF0F88" w:rsidRDefault="00897AEF" w:rsidP="00AF0F88">
      <w:pPr>
        <w:pStyle w:val="ListParagraph"/>
        <w:tabs>
          <w:tab w:val="left" w:pos="9288"/>
        </w:tabs>
        <w:ind w:left="0" w:firstLine="851"/>
        <w:jc w:val="both"/>
        <w:rPr>
          <w:sz w:val="28"/>
          <w:szCs w:val="28"/>
        </w:rPr>
      </w:pPr>
      <w:r w:rsidRPr="00AF0F88">
        <w:rPr>
          <w:sz w:val="28"/>
          <w:szCs w:val="28"/>
        </w:rPr>
        <w:t xml:space="preserve">Papildus tam Latvija norāda, ka pēc iespējas jāvienojas par veicamajiem pasākumiem, lai prioritātes būtu patiešām labi saskaņotas un </w:t>
      </w:r>
      <w:r w:rsidR="00F11439">
        <w:rPr>
          <w:sz w:val="28"/>
          <w:szCs w:val="28"/>
        </w:rPr>
        <w:t>dalībvalstis</w:t>
      </w:r>
      <w:r w:rsidRPr="00AF0F88">
        <w:rPr>
          <w:sz w:val="28"/>
          <w:szCs w:val="28"/>
        </w:rPr>
        <w:t xml:space="preserve"> pilnībā sniegtu tām savu atbalstu.</w:t>
      </w:r>
    </w:p>
    <w:p w:rsidR="00897AEF" w:rsidRPr="00DA29C9" w:rsidRDefault="00AF0F88" w:rsidP="00AF0F88">
      <w:pPr>
        <w:tabs>
          <w:tab w:val="left" w:pos="567"/>
          <w:tab w:val="left" w:pos="851"/>
          <w:tab w:val="left" w:pos="9288"/>
        </w:tabs>
        <w:ind w:firstLine="709"/>
        <w:jc w:val="both"/>
        <w:rPr>
          <w:sz w:val="28"/>
          <w:szCs w:val="28"/>
        </w:rPr>
      </w:pPr>
      <w:r>
        <w:rPr>
          <w:sz w:val="28"/>
          <w:szCs w:val="28"/>
        </w:rPr>
        <w:tab/>
      </w:r>
      <w:r w:rsidR="00897AEF" w:rsidRPr="00DA29C9">
        <w:rPr>
          <w:sz w:val="28"/>
          <w:szCs w:val="28"/>
        </w:rPr>
        <w:t xml:space="preserve">Efektīvi funkcionējošs Vienotais tirgus var nest nozīmīgu ieguldījumu ES 2020 mērķus sasniegšanā. Pasākumi vienotā tirgus fragmentācijas novēršanai, administratīvo barjeru mazināšanai, transporta, enerģētikas un IT infrastruktūras stiprināšanai nodrošinātu izaugsmi un darba vietu radīšanu. Lai pēc iespējas efektīvāk sasniegtu izvirzītos mērķus, jāfokusējas uz pasākumiem, kur risinājums nepieciešams visvairāk un visātrāk. Latvija uzsver, ka mazāk </w:t>
      </w:r>
      <w:r w:rsidR="00897AEF" w:rsidRPr="00DA29C9">
        <w:rPr>
          <w:sz w:val="28"/>
          <w:szCs w:val="28"/>
        </w:rPr>
        <w:lastRenderedPageBreak/>
        <w:t>attīstīto ES reģionu potenciāla atraisīšana varētu dod pozitīvas vēsmas ES vienotajā tirgū radot jaunas biznesa iespējas, attīstot konkurenci, inovācijas un darba vietu radīšanu.</w:t>
      </w:r>
    </w:p>
    <w:p w:rsidR="00897AEF" w:rsidRPr="00DA29C9" w:rsidRDefault="00897AEF" w:rsidP="00897AEF">
      <w:pPr>
        <w:tabs>
          <w:tab w:val="left" w:pos="9288"/>
        </w:tabs>
        <w:spacing w:after="120"/>
        <w:jc w:val="both"/>
        <w:rPr>
          <w:b/>
          <w:sz w:val="28"/>
          <w:szCs w:val="28"/>
        </w:rPr>
      </w:pPr>
    </w:p>
    <w:p w:rsidR="00897AEF" w:rsidRPr="00DA29C9" w:rsidRDefault="00B03397" w:rsidP="00897AEF">
      <w:pPr>
        <w:pBdr>
          <w:bottom w:val="single" w:sz="4" w:space="1" w:color="auto"/>
        </w:pBdr>
        <w:tabs>
          <w:tab w:val="left" w:pos="9288"/>
        </w:tabs>
        <w:spacing w:after="120"/>
        <w:jc w:val="both"/>
        <w:rPr>
          <w:i/>
          <w:sz w:val="28"/>
          <w:szCs w:val="28"/>
          <w:u w:val="single"/>
        </w:rPr>
      </w:pPr>
      <w:r>
        <w:rPr>
          <w:b/>
          <w:sz w:val="28"/>
          <w:szCs w:val="28"/>
        </w:rPr>
        <w:t>1.</w:t>
      </w:r>
      <w:r w:rsidR="00897AEF" w:rsidRPr="00DA29C9">
        <w:rPr>
          <w:b/>
          <w:sz w:val="28"/>
          <w:szCs w:val="28"/>
        </w:rPr>
        <w:t>2. Pakalpojumu direktīva: Paziņojums "Par labāk funkcionējošu vienoto pakalpojumu tirgu - pamatojoties uz Pakalpojumu direktīvā noteiktās savstarpējās izvērtēšanas procesa rezultātiem "</w:t>
      </w:r>
    </w:p>
    <w:p w:rsidR="00897AEF" w:rsidRPr="00DA29C9" w:rsidRDefault="00897AEF" w:rsidP="00897AEF">
      <w:pPr>
        <w:tabs>
          <w:tab w:val="left" w:pos="9288"/>
        </w:tabs>
        <w:jc w:val="both"/>
        <w:rPr>
          <w:i/>
          <w:sz w:val="28"/>
          <w:szCs w:val="28"/>
        </w:rPr>
      </w:pPr>
      <w:r w:rsidRPr="00DA29C9">
        <w:rPr>
          <w:i/>
          <w:sz w:val="28"/>
          <w:szCs w:val="28"/>
        </w:rPr>
        <w:t>EM kompetence</w:t>
      </w:r>
    </w:p>
    <w:p w:rsidR="00897AEF" w:rsidRPr="00DA29C9" w:rsidRDefault="00897AEF" w:rsidP="00897AEF">
      <w:pPr>
        <w:tabs>
          <w:tab w:val="left" w:pos="284"/>
        </w:tabs>
        <w:jc w:val="both"/>
        <w:rPr>
          <w:i/>
          <w:sz w:val="28"/>
          <w:szCs w:val="28"/>
        </w:rPr>
      </w:pPr>
      <w:r w:rsidRPr="00DA29C9">
        <w:rPr>
          <w:i/>
          <w:sz w:val="28"/>
          <w:szCs w:val="28"/>
        </w:rPr>
        <w:t>- Komisijas prezentācija</w:t>
      </w:r>
    </w:p>
    <w:p w:rsidR="00897AEF" w:rsidRPr="00DA29C9" w:rsidRDefault="00897AEF" w:rsidP="00897AEF">
      <w:pPr>
        <w:tabs>
          <w:tab w:val="left" w:pos="284"/>
        </w:tabs>
        <w:jc w:val="both"/>
        <w:rPr>
          <w:i/>
          <w:sz w:val="28"/>
          <w:szCs w:val="28"/>
        </w:rPr>
      </w:pPr>
      <w:r w:rsidRPr="00DA29C9">
        <w:rPr>
          <w:i/>
          <w:sz w:val="28"/>
          <w:szCs w:val="28"/>
        </w:rPr>
        <w:t>- Padomes secinājumu pieņemšana</w:t>
      </w:r>
    </w:p>
    <w:p w:rsidR="00897AEF" w:rsidRPr="00DA29C9" w:rsidRDefault="00897AEF" w:rsidP="00897AEF">
      <w:pPr>
        <w:jc w:val="both"/>
        <w:rPr>
          <w:sz w:val="28"/>
          <w:szCs w:val="28"/>
        </w:rPr>
      </w:pPr>
      <w:r w:rsidRPr="00DA29C9">
        <w:rPr>
          <w:sz w:val="28"/>
          <w:szCs w:val="28"/>
        </w:rPr>
        <w:tab/>
        <w:t>2011. gada 28. janvārī Komisija prezentēja paziņojumu „Par labāk funkcionējošu vienoto pakalpojumu tirgu - pamatojoties uz Pakalpojumu direktīvā noteiktās savstarpējās izvērtēšanas procesa rezultātiem”,</w:t>
      </w:r>
      <w:r w:rsidRPr="00DA29C9">
        <w:t xml:space="preserve"> </w:t>
      </w:r>
      <w:r w:rsidRPr="00DA29C9">
        <w:rPr>
          <w:sz w:val="28"/>
          <w:szCs w:val="28"/>
        </w:rPr>
        <w:t>kurā vērtēts Pakalpojumu direktīvā noteiktais savstarpējās izvērtēšanas process, tā rezultāti, kā arī piedāvātas konkrētas idejas tālākām darbībām Pakalpojumu direktīvas ieviešanā. Sanāksmes laikā ir paredzēta Padomes secinājumu projekta apstiprināšana.</w:t>
      </w:r>
    </w:p>
    <w:p w:rsidR="00897AEF" w:rsidRPr="00DA29C9" w:rsidRDefault="00897AEF" w:rsidP="00897AEF">
      <w:pPr>
        <w:jc w:val="both"/>
        <w:rPr>
          <w:sz w:val="28"/>
          <w:szCs w:val="28"/>
        </w:rPr>
      </w:pPr>
      <w:r w:rsidRPr="00DA29C9">
        <w:rPr>
          <w:sz w:val="28"/>
          <w:szCs w:val="28"/>
        </w:rPr>
        <w:tab/>
        <w:t xml:space="preserve">Secinājumos Padome uzsver, ka dalībvalstis ir veltījušas lielas pūles nacionālā, reģionālā un vietējā līmenī, tomēr dažām dalībvalstīm vēl nepieciešams īstenot pasākumus, lai pilnībā ieviestu Pakalpojumu direktīvu. Padome aicina Komisiju un dalībvalstis nekavējoties nodrošināt pilnīgu Pakalpojumu direktīvas īstenošanu un piemērošanu, un šai ziņā pauž gandarījumu  par Komisijā pašreiz notiekošo padziļināto Pakalpojumu direktīvas iniciatīvu ieviešanas gaitas un kvalitātes izvērtēšanu. Tāpat Padome norāda, ka Pakalpojumu direktīvā paredzētais savstarpējās izvērtēšanas process ir izrādījies lietderīgs un efektīvs instruments, lai novērtētu dalībvalstu darbību. </w:t>
      </w:r>
    </w:p>
    <w:p w:rsidR="00897AEF" w:rsidRPr="00DA29C9" w:rsidRDefault="00897AEF" w:rsidP="00897AEF">
      <w:pPr>
        <w:ind w:firstLine="720"/>
        <w:jc w:val="both"/>
        <w:rPr>
          <w:sz w:val="28"/>
          <w:szCs w:val="28"/>
        </w:rPr>
      </w:pPr>
      <w:r w:rsidRPr="00DA29C9">
        <w:rPr>
          <w:sz w:val="28"/>
          <w:szCs w:val="28"/>
        </w:rPr>
        <w:t>Latvija atbalsta sagatavoto Padomes secinājumu projektu, jo efektīvi funkcionējošs pakalpojumu tirgus ir viena no galvenajām Latvijas izvirzītajām prioritātēm ES vienotā tirgus kontekstā.</w:t>
      </w:r>
    </w:p>
    <w:p w:rsidR="00897AEF" w:rsidRPr="00DA29C9" w:rsidRDefault="00897AEF" w:rsidP="00897AEF">
      <w:pPr>
        <w:jc w:val="both"/>
        <w:rPr>
          <w:sz w:val="28"/>
          <w:szCs w:val="28"/>
        </w:rPr>
      </w:pPr>
      <w:r w:rsidRPr="00DA29C9">
        <w:rPr>
          <w:sz w:val="28"/>
          <w:szCs w:val="28"/>
        </w:rPr>
        <w:tab/>
        <w:t>Latvija atzinīgi vērtē secinājumu projektā uzsvērto, ka efektīvāk funkcionējošam vienotajam pakalpojumu tirgum ir liels potenciāls ekonomikas izaugsmes ziņā. Latvija atbalsta savstarpējās izvērtēšanas piemērošanu citās īpaši izraudzītās jomās kā efektīvu ES tiesību piemērošanas instrumentu. Latvija pilnībā piekrīt un atbalsta viedokli, ka Pakalpojumu direktīva ir bijis liels solis vienotā pakalpojumu tirgus stiprināšanā, tomēr ir nepieciešams raudzīties plašāk un veikt tālākus pasākumus, kur nepieciešams, lai uzlabotu vienotā</w:t>
      </w:r>
      <w:r w:rsidR="004E4F37">
        <w:rPr>
          <w:sz w:val="28"/>
          <w:szCs w:val="28"/>
        </w:rPr>
        <w:t xml:space="preserve"> tirgus pakalpojumu</w:t>
      </w:r>
      <w:r w:rsidRPr="00DA29C9">
        <w:rPr>
          <w:sz w:val="28"/>
          <w:szCs w:val="28"/>
        </w:rPr>
        <w:t xml:space="preserve"> funkcionēšanu.</w:t>
      </w:r>
      <w:r w:rsidRPr="00DA29C9">
        <w:t xml:space="preserve"> </w:t>
      </w:r>
      <w:r w:rsidRPr="00DA29C9">
        <w:rPr>
          <w:sz w:val="28"/>
          <w:szCs w:val="28"/>
        </w:rPr>
        <w:t>Kā arī</w:t>
      </w:r>
      <w:r w:rsidRPr="00DA29C9">
        <w:t xml:space="preserve"> </w:t>
      </w:r>
      <w:r w:rsidRPr="00DA29C9">
        <w:rPr>
          <w:sz w:val="28"/>
          <w:szCs w:val="28"/>
        </w:rPr>
        <w:t>Latvija pilnībā piekrīt Padomes secinājumos uzsvērtai nepieciešamībai mobilizēt attiecīgus ES vienotā tirgus instrumentus, kas stiprinātu pakalpojumu sektoru un dotu nopietnu ieguldījumu izaugsmē un darba vietu radīšanā.</w:t>
      </w:r>
    </w:p>
    <w:p w:rsidR="00897AEF" w:rsidRPr="00DA29C9" w:rsidRDefault="00897AEF" w:rsidP="00897AEF">
      <w:pPr>
        <w:spacing w:after="120"/>
        <w:jc w:val="both"/>
        <w:rPr>
          <w:sz w:val="28"/>
          <w:szCs w:val="28"/>
        </w:rPr>
      </w:pPr>
    </w:p>
    <w:p w:rsidR="00897AEF" w:rsidRPr="00DA29C9" w:rsidRDefault="00B03397" w:rsidP="00897AEF">
      <w:pPr>
        <w:pBdr>
          <w:bottom w:val="single" w:sz="4" w:space="1" w:color="auto"/>
        </w:pBdr>
        <w:tabs>
          <w:tab w:val="left" w:pos="9288"/>
        </w:tabs>
        <w:spacing w:after="120"/>
        <w:jc w:val="both"/>
        <w:rPr>
          <w:b/>
          <w:sz w:val="28"/>
          <w:szCs w:val="28"/>
        </w:rPr>
      </w:pPr>
      <w:r>
        <w:rPr>
          <w:b/>
          <w:sz w:val="28"/>
          <w:szCs w:val="28"/>
        </w:rPr>
        <w:lastRenderedPageBreak/>
        <w:t>1.</w:t>
      </w:r>
      <w:r w:rsidR="00897AEF" w:rsidRPr="00DA29C9">
        <w:rPr>
          <w:b/>
          <w:sz w:val="28"/>
          <w:szCs w:val="28"/>
        </w:rPr>
        <w:t>3. Padomes lēmums ar ko atļauj ciešāku sadarbību, lai izveidotu vienotu patentaizsardzību</w:t>
      </w:r>
    </w:p>
    <w:p w:rsidR="00897AEF" w:rsidRPr="00DA29C9" w:rsidRDefault="00897AEF" w:rsidP="00897AEF">
      <w:pPr>
        <w:tabs>
          <w:tab w:val="left" w:pos="9288"/>
        </w:tabs>
        <w:jc w:val="both"/>
        <w:rPr>
          <w:i/>
          <w:sz w:val="28"/>
          <w:szCs w:val="28"/>
        </w:rPr>
      </w:pPr>
      <w:r w:rsidRPr="00DA29C9">
        <w:rPr>
          <w:i/>
          <w:sz w:val="28"/>
          <w:szCs w:val="28"/>
        </w:rPr>
        <w:t>TM kompetence</w:t>
      </w:r>
    </w:p>
    <w:p w:rsidR="00897AEF" w:rsidRPr="00DA29C9" w:rsidRDefault="00897AEF" w:rsidP="00897AEF">
      <w:pPr>
        <w:tabs>
          <w:tab w:val="left" w:pos="9288"/>
        </w:tabs>
        <w:jc w:val="both"/>
        <w:rPr>
          <w:i/>
          <w:sz w:val="28"/>
          <w:szCs w:val="28"/>
        </w:rPr>
      </w:pPr>
      <w:r w:rsidRPr="00DA29C9">
        <w:rPr>
          <w:i/>
          <w:sz w:val="28"/>
          <w:szCs w:val="28"/>
        </w:rPr>
        <w:t>- Padomes lēmuma pieņemšana</w:t>
      </w:r>
    </w:p>
    <w:p w:rsidR="00897AEF" w:rsidRPr="00DA29C9" w:rsidRDefault="00897AEF" w:rsidP="00897AEF">
      <w:pPr>
        <w:tabs>
          <w:tab w:val="left" w:pos="9288"/>
        </w:tabs>
        <w:ind w:firstLine="709"/>
        <w:jc w:val="both"/>
        <w:rPr>
          <w:sz w:val="28"/>
          <w:szCs w:val="28"/>
        </w:rPr>
      </w:pPr>
    </w:p>
    <w:p w:rsidR="00897AEF" w:rsidRPr="00DA29C9" w:rsidRDefault="00897AEF" w:rsidP="00897AEF">
      <w:pPr>
        <w:tabs>
          <w:tab w:val="left" w:pos="9288"/>
        </w:tabs>
        <w:ind w:firstLine="709"/>
        <w:jc w:val="both"/>
        <w:rPr>
          <w:sz w:val="28"/>
          <w:szCs w:val="28"/>
        </w:rPr>
      </w:pPr>
      <w:r w:rsidRPr="00DA29C9">
        <w:rPr>
          <w:sz w:val="28"/>
          <w:szCs w:val="28"/>
        </w:rPr>
        <w:t xml:space="preserve">Latvija pauž atbalstu Padomes lēmumam par ciešākās sadarbības mehānisma veidošanu ar mērķi izveidot vienotu ES patenta sistēmu Eiropā, kas stiprinās uzņēmumu konkurētspēju ES līmenī, veidojot vienu no </w:t>
      </w:r>
      <w:r w:rsidR="004B1EFF">
        <w:rPr>
          <w:sz w:val="28"/>
          <w:szCs w:val="28"/>
        </w:rPr>
        <w:t xml:space="preserve">ES </w:t>
      </w:r>
      <w:r w:rsidRPr="00DA29C9">
        <w:rPr>
          <w:sz w:val="28"/>
          <w:szCs w:val="28"/>
        </w:rPr>
        <w:t xml:space="preserve">vienotā tirgus pamatelementiem. Vienlaicīgi Latvija uzskata, ka par pamatu </w:t>
      </w:r>
      <w:r w:rsidR="004B1EFF">
        <w:rPr>
          <w:sz w:val="28"/>
          <w:szCs w:val="28"/>
        </w:rPr>
        <w:t>ES</w:t>
      </w:r>
      <w:r w:rsidRPr="00DA29C9">
        <w:rPr>
          <w:sz w:val="28"/>
          <w:szCs w:val="28"/>
        </w:rPr>
        <w:t xml:space="preserve"> patenta sistēmas elementu izstrādei ciešākas sadarbības ietvaros būtu nepieciešams izmantot jau iepriekš panāktās vienošanās, kuras atbalstīja vairākums dalībvalstu. </w:t>
      </w:r>
    </w:p>
    <w:p w:rsidR="00897AEF" w:rsidRPr="00DA29C9" w:rsidRDefault="00897AEF" w:rsidP="00897AEF">
      <w:pPr>
        <w:tabs>
          <w:tab w:val="left" w:pos="9288"/>
        </w:tabs>
        <w:ind w:firstLine="709"/>
        <w:jc w:val="both"/>
        <w:rPr>
          <w:sz w:val="28"/>
          <w:szCs w:val="28"/>
        </w:rPr>
      </w:pPr>
      <w:r w:rsidRPr="00DA29C9">
        <w:rPr>
          <w:sz w:val="28"/>
          <w:szCs w:val="28"/>
        </w:rPr>
        <w:t xml:space="preserve">Latvijas Republikas nacionālā pozīcija par Padomes lēmumu par ciešākās sadarbības mehānisma izveidošanu ar mērķi izveidot vienotu ES patenta sistēmu tika apstiprināta Ministru kabineta 2011.gada 8.februāra sēdē. </w:t>
      </w:r>
      <w:r>
        <w:rPr>
          <w:sz w:val="28"/>
          <w:szCs w:val="28"/>
        </w:rPr>
        <w:t>Atsevišķa pozīcija uz 10.marta Konkurētspējas padomes sēdi par šo jautājumu netiek gatavota.</w:t>
      </w:r>
    </w:p>
    <w:p w:rsidR="00897AEF" w:rsidRPr="00DA29C9" w:rsidRDefault="00897AEF" w:rsidP="00897AEF">
      <w:pPr>
        <w:tabs>
          <w:tab w:val="left" w:pos="9288"/>
        </w:tabs>
        <w:ind w:firstLine="709"/>
        <w:jc w:val="both"/>
        <w:rPr>
          <w:sz w:val="28"/>
          <w:szCs w:val="28"/>
        </w:rPr>
      </w:pPr>
      <w:r w:rsidRPr="00DA29C9">
        <w:rPr>
          <w:sz w:val="28"/>
          <w:szCs w:val="28"/>
        </w:rPr>
        <w:t xml:space="preserve">2011.gada 10.februārī Latvijas tieslietu ministrs, atsaucoties uz Līguma par </w:t>
      </w:r>
      <w:r w:rsidR="004B1EFF">
        <w:rPr>
          <w:sz w:val="28"/>
          <w:szCs w:val="28"/>
        </w:rPr>
        <w:t>ES</w:t>
      </w:r>
      <w:r w:rsidRPr="00DA29C9">
        <w:rPr>
          <w:sz w:val="28"/>
          <w:szCs w:val="28"/>
        </w:rPr>
        <w:t xml:space="preserve"> darbību 329. panta 1. punktu, </w:t>
      </w:r>
      <w:r>
        <w:rPr>
          <w:sz w:val="28"/>
          <w:szCs w:val="28"/>
        </w:rPr>
        <w:t>informēja</w:t>
      </w:r>
      <w:r w:rsidRPr="00DA29C9">
        <w:rPr>
          <w:sz w:val="28"/>
          <w:szCs w:val="28"/>
        </w:rPr>
        <w:t xml:space="preserve"> Iekšējā tirgus un pakalpojumu komisāru par Latvijas nodomu iesaistīties ciešākās sadarbības mehānismā ar mērķi izveidot vienotu ES patenta sistēmu.</w:t>
      </w:r>
    </w:p>
    <w:p w:rsidR="00897AEF" w:rsidRPr="00DA29C9" w:rsidRDefault="00897AEF" w:rsidP="00897AEF">
      <w:pPr>
        <w:tabs>
          <w:tab w:val="left" w:pos="9288"/>
        </w:tabs>
        <w:spacing w:after="120"/>
        <w:jc w:val="both"/>
        <w:rPr>
          <w:b/>
          <w:sz w:val="28"/>
          <w:szCs w:val="28"/>
        </w:rPr>
      </w:pPr>
    </w:p>
    <w:p w:rsidR="00897AEF" w:rsidRPr="00DA29C9" w:rsidRDefault="00B03397" w:rsidP="00897AEF">
      <w:pPr>
        <w:pBdr>
          <w:bottom w:val="single" w:sz="4" w:space="1" w:color="auto"/>
        </w:pBdr>
        <w:tabs>
          <w:tab w:val="left" w:pos="9288"/>
        </w:tabs>
        <w:spacing w:after="120"/>
        <w:jc w:val="both"/>
        <w:rPr>
          <w:b/>
          <w:sz w:val="28"/>
          <w:szCs w:val="28"/>
        </w:rPr>
      </w:pPr>
      <w:r>
        <w:rPr>
          <w:b/>
          <w:sz w:val="28"/>
          <w:szCs w:val="28"/>
        </w:rPr>
        <w:t>1.</w:t>
      </w:r>
      <w:r w:rsidR="00897AEF" w:rsidRPr="00DA29C9">
        <w:rPr>
          <w:b/>
          <w:sz w:val="28"/>
          <w:szCs w:val="28"/>
        </w:rPr>
        <w:t>4. Stratēģija „Eiropa 2020” - Gada izaugsmes pētījums; Ieguldījums ES Semestrī</w:t>
      </w:r>
    </w:p>
    <w:p w:rsidR="00897AEF" w:rsidRPr="00DA29C9" w:rsidRDefault="00897AEF" w:rsidP="00897AEF">
      <w:pPr>
        <w:tabs>
          <w:tab w:val="left" w:pos="9288"/>
        </w:tabs>
        <w:jc w:val="both"/>
        <w:rPr>
          <w:i/>
          <w:sz w:val="28"/>
          <w:szCs w:val="28"/>
        </w:rPr>
      </w:pPr>
      <w:r w:rsidRPr="00DA29C9">
        <w:rPr>
          <w:i/>
          <w:sz w:val="28"/>
          <w:szCs w:val="28"/>
        </w:rPr>
        <w:t>EM kompetence</w:t>
      </w:r>
    </w:p>
    <w:p w:rsidR="00897AEF" w:rsidRPr="00DA29C9" w:rsidRDefault="00897AEF" w:rsidP="00897AEF">
      <w:pPr>
        <w:tabs>
          <w:tab w:val="left" w:pos="9288"/>
        </w:tabs>
        <w:jc w:val="both"/>
        <w:rPr>
          <w:i/>
          <w:sz w:val="28"/>
          <w:szCs w:val="28"/>
        </w:rPr>
      </w:pPr>
      <w:r w:rsidRPr="00DA29C9">
        <w:rPr>
          <w:i/>
          <w:sz w:val="28"/>
          <w:szCs w:val="28"/>
        </w:rPr>
        <w:t>- Komisijas prezentācija</w:t>
      </w:r>
    </w:p>
    <w:p w:rsidR="00897AEF" w:rsidRPr="00DA29C9" w:rsidRDefault="00897AEF" w:rsidP="00897AEF">
      <w:pPr>
        <w:tabs>
          <w:tab w:val="left" w:pos="9288"/>
        </w:tabs>
        <w:jc w:val="both"/>
        <w:rPr>
          <w:i/>
          <w:sz w:val="28"/>
          <w:szCs w:val="28"/>
        </w:rPr>
      </w:pPr>
      <w:r w:rsidRPr="00DA29C9">
        <w:rPr>
          <w:i/>
          <w:sz w:val="28"/>
          <w:szCs w:val="28"/>
        </w:rPr>
        <w:t>- Viedokļu apmaiņa (rūpniecība)</w:t>
      </w:r>
    </w:p>
    <w:p w:rsidR="00897AEF" w:rsidRPr="00DA29C9" w:rsidRDefault="00897AEF" w:rsidP="00897AEF">
      <w:pPr>
        <w:tabs>
          <w:tab w:val="left" w:pos="9288"/>
        </w:tabs>
        <w:jc w:val="both"/>
        <w:rPr>
          <w:sz w:val="28"/>
          <w:szCs w:val="28"/>
        </w:rPr>
      </w:pPr>
    </w:p>
    <w:p w:rsidR="00897AEF" w:rsidRPr="00DA29C9" w:rsidRDefault="00897AEF" w:rsidP="00897AEF">
      <w:pPr>
        <w:ind w:firstLine="720"/>
        <w:jc w:val="both"/>
        <w:rPr>
          <w:sz w:val="28"/>
          <w:szCs w:val="28"/>
        </w:rPr>
      </w:pPr>
      <w:r w:rsidRPr="00DA29C9">
        <w:rPr>
          <w:sz w:val="28"/>
          <w:szCs w:val="28"/>
        </w:rPr>
        <w:t xml:space="preserve">Plānots, ka sanāksmē Komisija iepazīstinās ar paziņojumu "Gada izaugsmes pētījums: ES visaptverošās reakcijas uz krīzi izveide" (turpmāk - Ikgadējais izaugsmes ziņojums), par kuru pēc tam notiks rūpniecības (ekonomikas) ministru debates. </w:t>
      </w:r>
    </w:p>
    <w:p w:rsidR="00897AEF" w:rsidRPr="00DA29C9" w:rsidRDefault="00897AEF" w:rsidP="00897AEF">
      <w:pPr>
        <w:ind w:firstLine="720"/>
        <w:jc w:val="both"/>
        <w:rPr>
          <w:sz w:val="28"/>
          <w:szCs w:val="28"/>
        </w:rPr>
      </w:pPr>
      <w:r w:rsidRPr="00DA29C9">
        <w:rPr>
          <w:sz w:val="28"/>
          <w:szCs w:val="28"/>
        </w:rPr>
        <w:t xml:space="preserve">Ikgadējā izaugsmes ziņojumā tiek analizēta ekonomiskā situācija </w:t>
      </w:r>
      <w:r w:rsidR="004B1EFF">
        <w:rPr>
          <w:sz w:val="28"/>
          <w:szCs w:val="28"/>
        </w:rPr>
        <w:t>ES</w:t>
      </w:r>
      <w:r w:rsidRPr="00DA29C9">
        <w:rPr>
          <w:sz w:val="28"/>
          <w:szCs w:val="28"/>
        </w:rPr>
        <w:t>. Ar šī ziņojuma publicēšanu ir uzsākts jaunais ES ekonomiskās politikas uzraudzības un koordinācijas cikls – t.s. Eiropas semestris, kura ietvaros dalībvalstīm, pieņemot lēmumus ikgadējo budžetu sagatavošanas procesā, būs jāņem vērā ES vadlīnijas un rekomendācijas par fiskālo un ekonomisko politiku. Ikgadējā izaugsmes ziņojumā Eiropas Komisija izvirza 10 prioritāros pasākumus, kas jāveic gan ES, gan nacionālā līmenī, ievērojot katras dalībvalsts specifisko situāciju:</w:t>
      </w:r>
    </w:p>
    <w:p w:rsidR="00897AEF" w:rsidRPr="00DA29C9" w:rsidRDefault="00897AEF" w:rsidP="00897AEF">
      <w:pPr>
        <w:jc w:val="both"/>
        <w:rPr>
          <w:sz w:val="28"/>
          <w:szCs w:val="28"/>
        </w:rPr>
      </w:pPr>
      <w:r w:rsidRPr="00DA29C9">
        <w:rPr>
          <w:sz w:val="28"/>
          <w:szCs w:val="28"/>
        </w:rPr>
        <w:t>1. Īstenot stingrus fiskālās konsolidācijas pasākumus;</w:t>
      </w:r>
    </w:p>
    <w:p w:rsidR="00897AEF" w:rsidRPr="00DA29C9" w:rsidRDefault="00897AEF" w:rsidP="00897AEF">
      <w:pPr>
        <w:jc w:val="both"/>
        <w:rPr>
          <w:sz w:val="28"/>
          <w:szCs w:val="28"/>
        </w:rPr>
      </w:pPr>
      <w:r w:rsidRPr="00DA29C9">
        <w:rPr>
          <w:sz w:val="28"/>
          <w:szCs w:val="28"/>
        </w:rPr>
        <w:t>2. Mazināt makroekonomisko nesabalansētību;</w:t>
      </w:r>
    </w:p>
    <w:p w:rsidR="00897AEF" w:rsidRPr="00DA29C9" w:rsidRDefault="00897AEF" w:rsidP="00897AEF">
      <w:pPr>
        <w:jc w:val="both"/>
        <w:rPr>
          <w:sz w:val="28"/>
          <w:szCs w:val="28"/>
        </w:rPr>
      </w:pPr>
      <w:r w:rsidRPr="00DA29C9">
        <w:rPr>
          <w:sz w:val="28"/>
          <w:szCs w:val="28"/>
        </w:rPr>
        <w:lastRenderedPageBreak/>
        <w:t>3. Nodrošināt finanšu sektora stabilitāti;</w:t>
      </w:r>
    </w:p>
    <w:p w:rsidR="00897AEF" w:rsidRPr="00DA29C9" w:rsidRDefault="00897AEF" w:rsidP="00897AEF">
      <w:pPr>
        <w:jc w:val="both"/>
        <w:rPr>
          <w:sz w:val="28"/>
          <w:szCs w:val="28"/>
        </w:rPr>
      </w:pPr>
      <w:r w:rsidRPr="00DA29C9">
        <w:rPr>
          <w:sz w:val="28"/>
          <w:szCs w:val="28"/>
        </w:rPr>
        <w:t>4. Padarīt darbu pievilcīgāku;</w:t>
      </w:r>
    </w:p>
    <w:p w:rsidR="00897AEF" w:rsidRPr="00DA29C9" w:rsidRDefault="00897AEF" w:rsidP="00897AEF">
      <w:pPr>
        <w:jc w:val="both"/>
        <w:rPr>
          <w:sz w:val="28"/>
          <w:szCs w:val="28"/>
        </w:rPr>
      </w:pPr>
      <w:r w:rsidRPr="00DA29C9">
        <w:rPr>
          <w:sz w:val="28"/>
          <w:szCs w:val="28"/>
        </w:rPr>
        <w:t>5. Reformēt pensiju sistēmu;</w:t>
      </w:r>
    </w:p>
    <w:p w:rsidR="00897AEF" w:rsidRPr="00DA29C9" w:rsidRDefault="00897AEF" w:rsidP="00897AEF">
      <w:pPr>
        <w:jc w:val="both"/>
        <w:rPr>
          <w:sz w:val="28"/>
          <w:szCs w:val="28"/>
        </w:rPr>
      </w:pPr>
      <w:r w:rsidRPr="00DA29C9">
        <w:rPr>
          <w:sz w:val="28"/>
          <w:szCs w:val="28"/>
        </w:rPr>
        <w:t>6. Atgriezt bezdarbniekus darba tirgū;</w:t>
      </w:r>
    </w:p>
    <w:p w:rsidR="00897AEF" w:rsidRPr="00DA29C9" w:rsidRDefault="00897AEF" w:rsidP="00897AEF">
      <w:pPr>
        <w:jc w:val="both"/>
        <w:rPr>
          <w:sz w:val="28"/>
          <w:szCs w:val="28"/>
        </w:rPr>
      </w:pPr>
      <w:r w:rsidRPr="00DA29C9">
        <w:rPr>
          <w:sz w:val="28"/>
          <w:szCs w:val="28"/>
        </w:rPr>
        <w:t>7. Sabalansēt sociālo drošību un elastību;</w:t>
      </w:r>
    </w:p>
    <w:p w:rsidR="00897AEF" w:rsidRPr="00DA29C9" w:rsidRDefault="00897AEF" w:rsidP="00897AEF">
      <w:pPr>
        <w:jc w:val="both"/>
        <w:rPr>
          <w:sz w:val="28"/>
          <w:szCs w:val="28"/>
        </w:rPr>
      </w:pPr>
      <w:r w:rsidRPr="00DA29C9">
        <w:rPr>
          <w:sz w:val="28"/>
          <w:szCs w:val="28"/>
        </w:rPr>
        <w:t>8. Izmantot vienotā tirgus iespējas;</w:t>
      </w:r>
    </w:p>
    <w:p w:rsidR="00897AEF" w:rsidRPr="00DA29C9" w:rsidRDefault="00897AEF" w:rsidP="00897AEF">
      <w:pPr>
        <w:jc w:val="both"/>
        <w:rPr>
          <w:sz w:val="28"/>
          <w:szCs w:val="28"/>
        </w:rPr>
      </w:pPr>
      <w:r w:rsidRPr="00DA29C9">
        <w:rPr>
          <w:sz w:val="28"/>
          <w:szCs w:val="28"/>
        </w:rPr>
        <w:t>9. Piesaistīt izaugsmes finansēšanai privāto kapitālu;</w:t>
      </w:r>
    </w:p>
    <w:p w:rsidR="00897AEF" w:rsidRPr="00DA29C9" w:rsidRDefault="00897AEF" w:rsidP="00897AEF">
      <w:pPr>
        <w:jc w:val="both"/>
        <w:rPr>
          <w:sz w:val="28"/>
          <w:szCs w:val="28"/>
        </w:rPr>
      </w:pPr>
      <w:r w:rsidRPr="00DA29C9">
        <w:rPr>
          <w:sz w:val="28"/>
          <w:szCs w:val="28"/>
        </w:rPr>
        <w:t>10. Radīt ekonomiski efektīvu piekļuvi enerģētikas tirgum.</w:t>
      </w:r>
    </w:p>
    <w:p w:rsidR="00897AEF" w:rsidRPr="00DA29C9" w:rsidRDefault="00897AEF" w:rsidP="00897AEF">
      <w:pPr>
        <w:rPr>
          <w:sz w:val="28"/>
          <w:szCs w:val="28"/>
        </w:rPr>
      </w:pPr>
      <w:r w:rsidRPr="00DA29C9">
        <w:rPr>
          <w:sz w:val="28"/>
          <w:szCs w:val="28"/>
        </w:rPr>
        <w:t xml:space="preserve">Latvijas Republikas nacionālā pozīcija par Ikgadējā izaugsmes ziņojumu tika apstiprināta Ministru kabineta 2011.gada 8.februāra sēdē. </w:t>
      </w:r>
    </w:p>
    <w:p w:rsidR="00897AEF" w:rsidRPr="00DA29C9" w:rsidRDefault="00897AEF" w:rsidP="00897AEF">
      <w:pPr>
        <w:ind w:firstLine="720"/>
        <w:jc w:val="both"/>
        <w:rPr>
          <w:sz w:val="28"/>
          <w:szCs w:val="28"/>
        </w:rPr>
      </w:pPr>
      <w:r w:rsidRPr="00DA29C9">
        <w:rPr>
          <w:sz w:val="28"/>
          <w:szCs w:val="28"/>
        </w:rPr>
        <w:t>Diskusijas plānveidīgai virzībai prezidentūra ir sagatavojusi</w:t>
      </w:r>
      <w:r>
        <w:rPr>
          <w:sz w:val="28"/>
          <w:szCs w:val="28"/>
        </w:rPr>
        <w:t xml:space="preserve"> jautājumus, kuri ietver trīs</w:t>
      </w:r>
      <w:r w:rsidRPr="00DA29C9">
        <w:rPr>
          <w:sz w:val="28"/>
          <w:szCs w:val="28"/>
        </w:rPr>
        <w:t xml:space="preserve"> </w:t>
      </w:r>
      <w:r>
        <w:rPr>
          <w:sz w:val="28"/>
          <w:szCs w:val="28"/>
        </w:rPr>
        <w:t>aspektus.</w:t>
      </w:r>
    </w:p>
    <w:p w:rsidR="00897AEF" w:rsidRPr="00DA29C9" w:rsidRDefault="00897AEF" w:rsidP="00897AEF">
      <w:pPr>
        <w:ind w:firstLine="720"/>
        <w:jc w:val="both"/>
        <w:rPr>
          <w:sz w:val="28"/>
          <w:szCs w:val="28"/>
        </w:rPr>
      </w:pPr>
      <w:r w:rsidRPr="00DA29C9">
        <w:rPr>
          <w:sz w:val="28"/>
          <w:szCs w:val="28"/>
        </w:rPr>
        <w:t xml:space="preserve">Pirmkārt, ministri tiks aicināti </w:t>
      </w:r>
      <w:r>
        <w:rPr>
          <w:sz w:val="28"/>
          <w:szCs w:val="28"/>
        </w:rPr>
        <w:t>diskutēt par</w:t>
      </w:r>
      <w:r w:rsidRPr="00DA29C9">
        <w:rPr>
          <w:sz w:val="28"/>
          <w:szCs w:val="28"/>
        </w:rPr>
        <w:t xml:space="preserve"> saikni starp rūpniecības konkurētspēju un stratēģijas „ES 2020” pamatmērķiem. Latvija uzskata, ka „ES 2020” stratēģijā izvirzīto mērķu sasniegšana nebūs iespējama bez ES rūpniecības konkurētspējas paaugstināšanas. Tikai globāli konkurētspējīga ES rūpniecība spēs nodrošināt straujāku ES ekonomikas izaugsmi, jaunas darba vietas un augstus dzīves standartus. Vienlaicīgi vēlamies uzsvērt, ka izvirzīto mērķu sasniegšanai ir būtiski īstenot saskaņotus pasākumus ES un nacionālā līmenī, kā arī nepieciešams novirzīt atbilstošus finanšu resursus pasākumiem, kas vērsti uz identificēto makro-strukturālo šķēršļu novēršanu. </w:t>
      </w:r>
    </w:p>
    <w:p w:rsidR="00897AEF" w:rsidRPr="00DA29C9" w:rsidRDefault="00897AEF" w:rsidP="00897AEF">
      <w:pPr>
        <w:ind w:firstLine="720"/>
        <w:jc w:val="both"/>
        <w:rPr>
          <w:sz w:val="28"/>
          <w:szCs w:val="28"/>
        </w:rPr>
      </w:pPr>
      <w:r w:rsidRPr="00DA29C9">
        <w:rPr>
          <w:sz w:val="28"/>
          <w:szCs w:val="28"/>
        </w:rPr>
        <w:t>Otrkārt, ir paredzēts, ka ministri izskatīs izaugsmes ziņojum</w:t>
      </w:r>
      <w:r w:rsidR="00AF0F88">
        <w:rPr>
          <w:sz w:val="28"/>
          <w:szCs w:val="28"/>
        </w:rPr>
        <w:t>u no</w:t>
      </w:r>
      <w:r w:rsidRPr="00DA29C9">
        <w:rPr>
          <w:sz w:val="28"/>
          <w:szCs w:val="28"/>
        </w:rPr>
        <w:t xml:space="preserve"> rūpniecības un konkurētspējas </w:t>
      </w:r>
      <w:r>
        <w:rPr>
          <w:sz w:val="28"/>
          <w:szCs w:val="28"/>
        </w:rPr>
        <w:t>aspekt</w:t>
      </w:r>
      <w:r w:rsidR="00AF0F88">
        <w:rPr>
          <w:sz w:val="28"/>
          <w:szCs w:val="28"/>
        </w:rPr>
        <w:t>a</w:t>
      </w:r>
      <w:r w:rsidRPr="00DA29C9">
        <w:rPr>
          <w:sz w:val="28"/>
          <w:szCs w:val="28"/>
        </w:rPr>
        <w:t>. Latvija kopumā atbalsta Ikgadējā izaugsmes ziņojumā izvirzītās 10 prioritātes. Domājot par rūpniecības konkurētspējas paaugstināšanu, papildus fiskālās konsolidācijas un makroekonomiskās stabilitātes nodrošināšanas pasākumiem Latvijai īpaši svarīgi ir sekojoši pasākumi:</w:t>
      </w:r>
    </w:p>
    <w:p w:rsidR="00897AEF" w:rsidRPr="00DA29C9" w:rsidRDefault="00897AEF" w:rsidP="00897AEF">
      <w:pPr>
        <w:tabs>
          <w:tab w:val="left" w:pos="284"/>
        </w:tabs>
        <w:jc w:val="both"/>
        <w:rPr>
          <w:sz w:val="28"/>
          <w:szCs w:val="28"/>
        </w:rPr>
      </w:pPr>
      <w:r w:rsidRPr="00DA29C9">
        <w:rPr>
          <w:sz w:val="28"/>
          <w:szCs w:val="28"/>
        </w:rPr>
        <w:t>•</w:t>
      </w:r>
      <w:r w:rsidRPr="00DA29C9">
        <w:rPr>
          <w:sz w:val="28"/>
          <w:szCs w:val="28"/>
        </w:rPr>
        <w:tab/>
        <w:t>Uzņēmējdarbības vides pilnveidošana un ES Vienotā tirgus potenciāla atraisīšana;</w:t>
      </w:r>
    </w:p>
    <w:p w:rsidR="00897AEF" w:rsidRPr="00DA29C9" w:rsidRDefault="00897AEF" w:rsidP="00897AEF">
      <w:pPr>
        <w:tabs>
          <w:tab w:val="left" w:pos="284"/>
        </w:tabs>
        <w:jc w:val="both"/>
        <w:rPr>
          <w:sz w:val="28"/>
          <w:szCs w:val="28"/>
        </w:rPr>
      </w:pPr>
      <w:r w:rsidRPr="00DA29C9">
        <w:rPr>
          <w:sz w:val="28"/>
          <w:szCs w:val="28"/>
        </w:rPr>
        <w:t>•</w:t>
      </w:r>
      <w:r w:rsidRPr="00DA29C9">
        <w:rPr>
          <w:sz w:val="28"/>
          <w:szCs w:val="28"/>
        </w:rPr>
        <w:tab/>
        <w:t xml:space="preserve">Enerģētikas un transporta infrastruktūras pilnveidošana; </w:t>
      </w:r>
    </w:p>
    <w:p w:rsidR="00897AEF" w:rsidRPr="00DA29C9" w:rsidRDefault="00897AEF" w:rsidP="00897AEF">
      <w:pPr>
        <w:tabs>
          <w:tab w:val="left" w:pos="284"/>
        </w:tabs>
        <w:jc w:val="both"/>
        <w:rPr>
          <w:sz w:val="28"/>
          <w:szCs w:val="28"/>
        </w:rPr>
      </w:pPr>
      <w:r w:rsidRPr="00DA29C9">
        <w:rPr>
          <w:sz w:val="28"/>
          <w:szCs w:val="28"/>
        </w:rPr>
        <w:t>•</w:t>
      </w:r>
      <w:r w:rsidRPr="00DA29C9">
        <w:rPr>
          <w:sz w:val="28"/>
          <w:szCs w:val="28"/>
        </w:rPr>
        <w:tab/>
        <w:t xml:space="preserve">ES ārējās konkurētspējas sekmēšana, īstenojot pārdomātu un mērķtiecīgu ES ārējās tirdzniecības politiku. </w:t>
      </w:r>
    </w:p>
    <w:p w:rsidR="00897AEF" w:rsidRPr="00DA29C9" w:rsidRDefault="00897AEF" w:rsidP="00897AEF">
      <w:pPr>
        <w:jc w:val="both"/>
        <w:rPr>
          <w:sz w:val="28"/>
          <w:szCs w:val="28"/>
        </w:rPr>
      </w:pPr>
      <w:r w:rsidRPr="00DA29C9">
        <w:rPr>
          <w:sz w:val="28"/>
          <w:szCs w:val="28"/>
        </w:rPr>
        <w:t>Latvija uzskata, ka jāturpina pilnveidot uzņēmējdarbības vide, lai mazinātu šķēršļus uzņēmumu attīstībai un sekmētu spēju iekļauties vienotajā un ārējos tirgos. Jāatzīst, ka labākas finanšu pieejamības nodrošināšana vēl aizvien ir aktuāls izaicinājums gan nacionālā, gan ES līmenī. Latvija uzskata, ka svarīgi ir realizēt pārdomātu ES ārējās tirdzniecības politiku ar mērķi būtiski uzlabot ES preču un pakalpojumu eksporta tirgus pieejamību trešo valstu tirgos, jo īpaši attiecībā uz stratēģiski svarīgiem tirdzniecības partneriem un strauji augošām ekonomikām.</w:t>
      </w:r>
    </w:p>
    <w:p w:rsidR="00897AEF" w:rsidRPr="00DA29C9" w:rsidRDefault="00897AEF" w:rsidP="00897AEF">
      <w:pPr>
        <w:ind w:firstLine="720"/>
        <w:jc w:val="both"/>
        <w:rPr>
          <w:sz w:val="28"/>
          <w:szCs w:val="28"/>
        </w:rPr>
      </w:pPr>
      <w:r w:rsidRPr="00DA29C9">
        <w:rPr>
          <w:sz w:val="28"/>
          <w:szCs w:val="28"/>
        </w:rPr>
        <w:t xml:space="preserve">Treškārt, prezidentūra aicinās ministrus izvērtēt Konkurētspējas padomes lomu stratēģijas „ES 2020” īstenošanā. Latvija uzskata, ka ES līmeņa iniciatīvām ir liela pievienotā vērtība „ES 2020” stratēģijas sekmīgai </w:t>
      </w:r>
      <w:r w:rsidRPr="00DA29C9">
        <w:rPr>
          <w:sz w:val="28"/>
          <w:szCs w:val="28"/>
        </w:rPr>
        <w:lastRenderedPageBreak/>
        <w:t>īstenošanai, jo ES dalībvalstu resursi un iespējas ir ierobežotas, lai sasniegtu „ES 2020” stratēģijas ambiciozos mērķus. Tāpat Latvija saskata nozīmīgu Konkurētspējas padomes lomu „ES 2020” stratēģijas īstenošanas virzībā un uzraudzībā, kā arī vadošo iniciatīvu īstenošanā. Konkurētspējas padomē jau ir diskutēts par vairākām „ES 2020” stratēģijas vadošajām iniciatīvām, kas ir vērstas uz izaugsmes un konkurētspējas veicināšanu un darbavietu nodrošināšanu, piemēram, tādas vadošās iniciatīvas, kā „Inovāciju Savienība”, „Rūpniecības politika globalizācijas laikmetam”. Mūsuprāt, Konkurētspējas padomei ir jāuzņemas vadošā loma augstākminēto iniciatīvu īstenošanas uzraudzībai, kā arī jāturpina aktīvi sekot līdzi citām „ES 2020”iniciatīvām, lai nodrošināt plānoto pasākumu  sinerģiju un virzību uz kopīgu mērķi</w:t>
      </w:r>
    </w:p>
    <w:p w:rsidR="00897AEF" w:rsidRPr="00DA29C9" w:rsidRDefault="00897AEF" w:rsidP="00897AEF">
      <w:pPr>
        <w:ind w:firstLine="720"/>
        <w:jc w:val="both"/>
        <w:rPr>
          <w:sz w:val="28"/>
          <w:szCs w:val="28"/>
        </w:rPr>
      </w:pPr>
    </w:p>
    <w:p w:rsidR="00897AEF" w:rsidRPr="00DA29C9" w:rsidRDefault="00B03397" w:rsidP="00897AEF">
      <w:pPr>
        <w:pBdr>
          <w:bottom w:val="single" w:sz="4" w:space="1" w:color="auto"/>
        </w:pBdr>
        <w:tabs>
          <w:tab w:val="left" w:pos="9288"/>
        </w:tabs>
        <w:spacing w:after="120"/>
        <w:jc w:val="both"/>
        <w:rPr>
          <w:b/>
          <w:sz w:val="28"/>
          <w:szCs w:val="28"/>
        </w:rPr>
      </w:pPr>
      <w:r>
        <w:rPr>
          <w:b/>
          <w:sz w:val="28"/>
          <w:szCs w:val="28"/>
        </w:rPr>
        <w:t>1.</w:t>
      </w:r>
      <w:r w:rsidR="00897AEF" w:rsidRPr="00DA29C9">
        <w:rPr>
          <w:b/>
          <w:sz w:val="28"/>
          <w:szCs w:val="28"/>
        </w:rPr>
        <w:t>5. Izejvielu iniciatīva</w:t>
      </w:r>
    </w:p>
    <w:p w:rsidR="00897AEF" w:rsidRPr="00DA29C9" w:rsidRDefault="00897AEF" w:rsidP="00897AEF">
      <w:pPr>
        <w:tabs>
          <w:tab w:val="left" w:pos="9288"/>
        </w:tabs>
        <w:jc w:val="both"/>
        <w:rPr>
          <w:i/>
          <w:sz w:val="28"/>
          <w:szCs w:val="28"/>
        </w:rPr>
      </w:pPr>
      <w:r w:rsidRPr="00DA29C9">
        <w:rPr>
          <w:i/>
          <w:sz w:val="28"/>
          <w:szCs w:val="28"/>
        </w:rPr>
        <w:t>EM kompetence</w:t>
      </w:r>
    </w:p>
    <w:p w:rsidR="00897AEF" w:rsidRPr="00DA29C9" w:rsidRDefault="00897AEF" w:rsidP="00897AEF">
      <w:pPr>
        <w:tabs>
          <w:tab w:val="left" w:pos="9288"/>
        </w:tabs>
        <w:spacing w:after="120"/>
        <w:jc w:val="both"/>
        <w:rPr>
          <w:i/>
          <w:sz w:val="28"/>
          <w:szCs w:val="28"/>
        </w:rPr>
      </w:pPr>
      <w:r w:rsidRPr="00DA29C9">
        <w:rPr>
          <w:i/>
          <w:sz w:val="28"/>
          <w:szCs w:val="28"/>
        </w:rPr>
        <w:t>-Padomes secinājumu pieņemšana</w:t>
      </w:r>
    </w:p>
    <w:p w:rsidR="00897AEF" w:rsidRPr="00DA29C9" w:rsidRDefault="00897AEF" w:rsidP="00897AEF">
      <w:pPr>
        <w:jc w:val="both"/>
        <w:rPr>
          <w:sz w:val="28"/>
          <w:szCs w:val="28"/>
        </w:rPr>
      </w:pPr>
      <w:r w:rsidRPr="00DA29C9">
        <w:rPr>
          <w:sz w:val="28"/>
          <w:szCs w:val="28"/>
        </w:rPr>
        <w:tab/>
        <w:t>Sanāksmes laikā ir paredzēta Padomes secinājumu projekta par aktuālo jautājumu risināšanu izejvielu jomā un preču tirgos apstiprināšana.</w:t>
      </w:r>
    </w:p>
    <w:p w:rsidR="00897AEF" w:rsidRPr="00DA29C9" w:rsidRDefault="00897AEF" w:rsidP="00897AEF">
      <w:pPr>
        <w:jc w:val="both"/>
        <w:rPr>
          <w:sz w:val="28"/>
          <w:szCs w:val="28"/>
        </w:rPr>
      </w:pPr>
      <w:r w:rsidRPr="00DA29C9">
        <w:rPr>
          <w:sz w:val="28"/>
          <w:szCs w:val="28"/>
        </w:rPr>
        <w:tab/>
        <w:t xml:space="preserve">Latvija kopumā atbalsta Padomes secinājumu apstiprināšanu, jo tie skaidri iezīmē pamatu un attiecīgi veicamās rīcības Komisijai un dalībvalstīm godīgas un ilgtspējīgas izejvielu tirdzniecības, izejvielu ilgtspējas un to ilgtspējīgas apgādes, kā arī resursu efektivitātes un otrreizējās pārstrādes veicināšanai. </w:t>
      </w:r>
    </w:p>
    <w:p w:rsidR="00897AEF" w:rsidRPr="00DA29C9" w:rsidRDefault="00897AEF" w:rsidP="00897AEF">
      <w:pPr>
        <w:jc w:val="both"/>
        <w:rPr>
          <w:sz w:val="28"/>
          <w:szCs w:val="28"/>
        </w:rPr>
      </w:pPr>
      <w:r w:rsidRPr="00DA29C9">
        <w:rPr>
          <w:sz w:val="28"/>
          <w:szCs w:val="28"/>
        </w:rPr>
        <w:t>Padome savos secinājumos akcentē šādus  izejvielu iniciatīvas turpmākus virzienus:</w:t>
      </w:r>
    </w:p>
    <w:p w:rsidR="00897AEF" w:rsidRPr="00DA29C9" w:rsidRDefault="00897AEF" w:rsidP="00897AEF">
      <w:pPr>
        <w:ind w:firstLine="720"/>
        <w:jc w:val="both"/>
        <w:rPr>
          <w:i/>
          <w:sz w:val="28"/>
          <w:szCs w:val="28"/>
        </w:rPr>
      </w:pPr>
      <w:r w:rsidRPr="00DA29C9">
        <w:rPr>
          <w:i/>
          <w:sz w:val="28"/>
          <w:szCs w:val="28"/>
        </w:rPr>
        <w:t>A. Taisnīga, ilgtspējīga un netraucēta izejvielu tirdzniecība:</w:t>
      </w:r>
    </w:p>
    <w:p w:rsidR="00897AEF" w:rsidRPr="00DA29C9" w:rsidRDefault="00897AEF" w:rsidP="00897AEF">
      <w:pPr>
        <w:ind w:firstLine="720"/>
        <w:jc w:val="both"/>
        <w:rPr>
          <w:sz w:val="28"/>
          <w:szCs w:val="28"/>
        </w:rPr>
      </w:pPr>
      <w:r w:rsidRPr="00DA29C9">
        <w:rPr>
          <w:sz w:val="28"/>
          <w:szCs w:val="28"/>
        </w:rPr>
        <w:t>Latvija uzskata, ka Eiropas, tostarp Latvijas, uzņēmumu interešu trešajās valstīs sekmēšanai ES būtiski ir realizēt pārdomātu un mērķtiecīgu tirdzniecības politiku. Latvija uzsver, ka ES ilgtspējīgas attīstības un ārējās konkurētspējas sekmēšanai nozīmīgi ir būtiski samazināt/atcelt eksporta ierobežojumus izejvielām un izejmateriāliem trešajās valstīs, kas visefektīvāk īstenojams Pasaules Tirdzniecības organizācijas (PTO) daudzpusējās sarunās un kandidātvalstu iestāšanās procesos. Latvijai būtiski, ka tiek strādāts pie to tirdzniecības ierobežojumu novēršanas, kurus trešās valstis piemēro Latvijas rūpniecībai būtiskām izejvielām, kā piemēram, kokmateriāliem un metāliem.</w:t>
      </w:r>
    </w:p>
    <w:p w:rsidR="00897AEF" w:rsidRPr="00DA29C9" w:rsidRDefault="00897AEF" w:rsidP="00897AEF">
      <w:pPr>
        <w:ind w:firstLine="720"/>
        <w:jc w:val="both"/>
        <w:rPr>
          <w:i/>
          <w:sz w:val="28"/>
          <w:szCs w:val="28"/>
        </w:rPr>
      </w:pPr>
      <w:r w:rsidRPr="00DA29C9">
        <w:rPr>
          <w:i/>
          <w:sz w:val="28"/>
          <w:szCs w:val="28"/>
        </w:rPr>
        <w:t>B. Ilgtspējīga izejvielu apgāde; attiecīgais dialogs; partnerības; attīstības politikas:</w:t>
      </w:r>
    </w:p>
    <w:p w:rsidR="00897AEF" w:rsidRDefault="00897AEF" w:rsidP="00897AEF">
      <w:pPr>
        <w:ind w:firstLine="720"/>
        <w:jc w:val="both"/>
        <w:rPr>
          <w:sz w:val="28"/>
          <w:szCs w:val="28"/>
        </w:rPr>
      </w:pPr>
      <w:r w:rsidRPr="00DA29C9">
        <w:rPr>
          <w:sz w:val="28"/>
          <w:szCs w:val="28"/>
        </w:rPr>
        <w:t>Latvija norāda, ka attiecībā uz Eiropas Investīciju bankas (EIB) iespējamo iesaistīšanos partnerattiecībās ar trešajām valstīm atbalstāma ir tāda EIB darbība trešajās valstīs, kas atbilst tās Ārējam mandātam 2007.-2013.gadam</w:t>
      </w:r>
      <w:r>
        <w:rPr>
          <w:sz w:val="28"/>
          <w:szCs w:val="28"/>
        </w:rPr>
        <w:t>.</w:t>
      </w:r>
    </w:p>
    <w:p w:rsidR="005F1DED" w:rsidRDefault="005F1DED" w:rsidP="00897AEF">
      <w:pPr>
        <w:ind w:firstLine="720"/>
        <w:jc w:val="both"/>
        <w:rPr>
          <w:sz w:val="28"/>
          <w:szCs w:val="28"/>
        </w:rPr>
      </w:pPr>
    </w:p>
    <w:p w:rsidR="005F1DED" w:rsidRPr="00DA29C9" w:rsidRDefault="005F1DED" w:rsidP="00897AEF">
      <w:pPr>
        <w:ind w:firstLine="720"/>
        <w:jc w:val="both"/>
        <w:rPr>
          <w:sz w:val="28"/>
          <w:szCs w:val="28"/>
        </w:rPr>
      </w:pPr>
    </w:p>
    <w:p w:rsidR="005F1DED" w:rsidRDefault="00897AEF" w:rsidP="00897AEF">
      <w:pPr>
        <w:ind w:firstLine="720"/>
        <w:jc w:val="both"/>
        <w:rPr>
          <w:i/>
          <w:sz w:val="28"/>
          <w:szCs w:val="28"/>
        </w:rPr>
      </w:pPr>
      <w:r w:rsidRPr="00DA29C9">
        <w:rPr>
          <w:i/>
          <w:sz w:val="28"/>
          <w:szCs w:val="28"/>
        </w:rPr>
        <w:lastRenderedPageBreak/>
        <w:t>C. Ilgtspējīgas apgādes sekmēšana ES:</w:t>
      </w:r>
    </w:p>
    <w:p w:rsidR="00897AEF" w:rsidRPr="00DA29C9" w:rsidRDefault="00897AEF" w:rsidP="00897AEF">
      <w:pPr>
        <w:ind w:firstLine="720"/>
        <w:jc w:val="both"/>
        <w:rPr>
          <w:sz w:val="28"/>
          <w:szCs w:val="28"/>
        </w:rPr>
      </w:pPr>
      <w:r w:rsidRPr="00DA29C9">
        <w:rPr>
          <w:sz w:val="28"/>
          <w:szCs w:val="28"/>
        </w:rPr>
        <w:t>Latvija pilnībā atbalsta Padomes aicinājumu Komisijai turpmāk atbalstīt inovāciju, pētniecību un attīstību visā izejvielu dzīves ciklā. Latvija ir ieinteresēta, ka ES dienas kārtībā tiek uzturēts un risināts jautājums saistībā ar tām problēmām, ar kurām izejvielu piegādes jomā saskaras meža un saistītās nozares. Latvija atbalsta Padomes secinājumu, ka ilgtspējīgas apgādes sekmēšanā būtiska nozīme ir Transeiropas tīkliem.</w:t>
      </w:r>
    </w:p>
    <w:p w:rsidR="00897AEF" w:rsidRPr="00DA29C9" w:rsidRDefault="00897AEF" w:rsidP="00897AEF">
      <w:pPr>
        <w:ind w:firstLine="720"/>
        <w:jc w:val="both"/>
        <w:rPr>
          <w:i/>
          <w:sz w:val="28"/>
          <w:szCs w:val="28"/>
        </w:rPr>
      </w:pPr>
      <w:r w:rsidRPr="00DA29C9">
        <w:rPr>
          <w:i/>
          <w:sz w:val="28"/>
          <w:szCs w:val="28"/>
        </w:rPr>
        <w:t>D. Resursu efektivitātes un otrreizējās pārstrādes veicināšana:</w:t>
      </w:r>
    </w:p>
    <w:p w:rsidR="00897AEF" w:rsidRPr="00DA29C9" w:rsidRDefault="00897AEF" w:rsidP="00897AEF">
      <w:pPr>
        <w:ind w:firstLine="720"/>
        <w:jc w:val="both"/>
        <w:rPr>
          <w:sz w:val="28"/>
          <w:szCs w:val="28"/>
        </w:rPr>
      </w:pPr>
      <w:r w:rsidRPr="00DA29C9">
        <w:rPr>
          <w:sz w:val="28"/>
          <w:szCs w:val="28"/>
        </w:rPr>
        <w:t>Latvija atbalsta secinājumos izteikto domu par atkritumu pārstrādes un otrreizējo izejvielu izmantošanas nozīmīgo lomu, uzskatot, ka jārisina jautājums par finansējuma pieejamību projektiem resursu efektivitātes un otrreizējās pārstrādes mērķu īstenošanai</w:t>
      </w:r>
      <w:r>
        <w:rPr>
          <w:sz w:val="28"/>
          <w:szCs w:val="28"/>
        </w:rPr>
        <w:t>.</w:t>
      </w:r>
    </w:p>
    <w:p w:rsidR="00897AEF" w:rsidRDefault="00897AEF" w:rsidP="00B56BD0">
      <w:pPr>
        <w:ind w:firstLine="720"/>
        <w:jc w:val="both"/>
        <w:rPr>
          <w:sz w:val="28"/>
          <w:szCs w:val="28"/>
        </w:rPr>
      </w:pPr>
      <w:r w:rsidRPr="00DA29C9">
        <w:rPr>
          <w:i/>
          <w:sz w:val="28"/>
          <w:szCs w:val="28"/>
        </w:rPr>
        <w:t>E. Sabiedrības izpratnes veicināšana un pilsoniskās sabiedrības iesaiste</w:t>
      </w:r>
      <w:r w:rsidRPr="00DA29C9">
        <w:rPr>
          <w:sz w:val="28"/>
          <w:szCs w:val="28"/>
        </w:rPr>
        <w:t>:</w:t>
      </w:r>
      <w:r w:rsidRPr="00DA29C9">
        <w:rPr>
          <w:sz w:val="28"/>
          <w:szCs w:val="28"/>
        </w:rPr>
        <w:tab/>
        <w:t>Latvija atbalsta Padomes secinājumos pausto nepieciešamību iesaistīt visu sabiedrību un jo īpaši ieinteresētās puses diskusijās par iespējām uzlabot situāciju preču un izejvielu tirgos, t.sk. risinot piegāžu problēmas.</w:t>
      </w:r>
    </w:p>
    <w:p w:rsidR="00B03397" w:rsidRDefault="00B03397" w:rsidP="00897AEF">
      <w:pPr>
        <w:jc w:val="both"/>
        <w:rPr>
          <w:sz w:val="28"/>
          <w:szCs w:val="28"/>
        </w:rPr>
      </w:pPr>
    </w:p>
    <w:p w:rsidR="00B03397" w:rsidRPr="00DA29C9" w:rsidRDefault="00B03397" w:rsidP="00B03397">
      <w:pPr>
        <w:pBdr>
          <w:bottom w:val="single" w:sz="4" w:space="1" w:color="auto"/>
        </w:pBdr>
        <w:tabs>
          <w:tab w:val="left" w:pos="9288"/>
        </w:tabs>
        <w:spacing w:after="120"/>
        <w:jc w:val="both"/>
        <w:rPr>
          <w:b/>
          <w:sz w:val="28"/>
          <w:szCs w:val="28"/>
        </w:rPr>
      </w:pPr>
      <w:r>
        <w:rPr>
          <w:b/>
          <w:sz w:val="28"/>
          <w:szCs w:val="28"/>
        </w:rPr>
        <w:t>1.6</w:t>
      </w:r>
      <w:r w:rsidRPr="00DA29C9">
        <w:rPr>
          <w:b/>
          <w:sz w:val="28"/>
          <w:szCs w:val="28"/>
        </w:rPr>
        <w:t xml:space="preserve">. </w:t>
      </w:r>
      <w:r>
        <w:rPr>
          <w:b/>
          <w:sz w:val="28"/>
          <w:szCs w:val="28"/>
        </w:rPr>
        <w:t>Citi jautājumi – Iekšējais tirgus</w:t>
      </w:r>
    </w:p>
    <w:p w:rsidR="00B03397" w:rsidRDefault="00B03397" w:rsidP="00B03397">
      <w:pPr>
        <w:jc w:val="both"/>
        <w:rPr>
          <w:sz w:val="28"/>
          <w:szCs w:val="28"/>
        </w:rPr>
      </w:pPr>
    </w:p>
    <w:p w:rsidR="00B03397" w:rsidRPr="00B03397" w:rsidRDefault="008821AF" w:rsidP="00B03397">
      <w:pPr>
        <w:pStyle w:val="ListParagraph"/>
        <w:numPr>
          <w:ilvl w:val="0"/>
          <w:numId w:val="26"/>
        </w:numPr>
        <w:tabs>
          <w:tab w:val="left" w:pos="284"/>
        </w:tabs>
        <w:ind w:left="0" w:firstLine="0"/>
        <w:jc w:val="both"/>
        <w:rPr>
          <w:b/>
          <w:sz w:val="28"/>
          <w:szCs w:val="28"/>
        </w:rPr>
      </w:pPr>
      <w:r>
        <w:rPr>
          <w:b/>
          <w:sz w:val="28"/>
          <w:szCs w:val="28"/>
        </w:rPr>
        <w:t xml:space="preserve">Paziņojums par </w:t>
      </w:r>
      <w:r w:rsidRPr="008821AF">
        <w:rPr>
          <w:b/>
          <w:sz w:val="28"/>
          <w:szCs w:val="28"/>
        </w:rPr>
        <w:t>Iekšēj</w:t>
      </w:r>
      <w:r>
        <w:rPr>
          <w:b/>
          <w:sz w:val="28"/>
          <w:szCs w:val="28"/>
        </w:rPr>
        <w:t>ā tirgus informācijas sistēmām</w:t>
      </w:r>
      <w:r w:rsidR="00B03397" w:rsidRPr="00B03397">
        <w:rPr>
          <w:b/>
          <w:sz w:val="28"/>
          <w:szCs w:val="28"/>
        </w:rPr>
        <w:t xml:space="preserve"> </w:t>
      </w:r>
    </w:p>
    <w:p w:rsidR="00B03397" w:rsidRPr="00B03397" w:rsidRDefault="00B03397" w:rsidP="00B03397">
      <w:pPr>
        <w:tabs>
          <w:tab w:val="left" w:pos="284"/>
        </w:tabs>
        <w:jc w:val="both"/>
        <w:rPr>
          <w:i/>
          <w:sz w:val="28"/>
          <w:szCs w:val="28"/>
        </w:rPr>
      </w:pPr>
      <w:r w:rsidRPr="00B03397">
        <w:rPr>
          <w:i/>
          <w:sz w:val="28"/>
          <w:szCs w:val="28"/>
        </w:rPr>
        <w:t>-</w:t>
      </w:r>
      <w:r w:rsidRPr="00B03397">
        <w:rPr>
          <w:i/>
          <w:sz w:val="28"/>
          <w:szCs w:val="28"/>
        </w:rPr>
        <w:tab/>
        <w:t>Komisijas prezentācija</w:t>
      </w:r>
    </w:p>
    <w:p w:rsidR="00B03397" w:rsidRDefault="00B03397" w:rsidP="00B03397">
      <w:pPr>
        <w:jc w:val="both"/>
        <w:rPr>
          <w:sz w:val="28"/>
          <w:szCs w:val="28"/>
        </w:rPr>
      </w:pPr>
    </w:p>
    <w:p w:rsidR="00B03397" w:rsidRPr="00B03397" w:rsidRDefault="00B03397" w:rsidP="008821AF">
      <w:pPr>
        <w:ind w:firstLine="709"/>
        <w:jc w:val="both"/>
        <w:rPr>
          <w:sz w:val="28"/>
          <w:szCs w:val="28"/>
        </w:rPr>
      </w:pPr>
      <w:r w:rsidRPr="00B03397">
        <w:rPr>
          <w:sz w:val="28"/>
          <w:szCs w:val="28"/>
        </w:rPr>
        <w:t>2010.gada 27.oktobra paziņojumā par Vienotā tirgus aktu Komisija kā vienu no 50 priekšlikumiem nosauca mērķi Eiropas līmeņa pārvaldes iestādēm ieviest nepastarpinātu saziņas elektronisko sistēmu, vienlaikus nosakot stratēģiju, ar ko paplašina Iekšējā tirgus informācijas (</w:t>
      </w:r>
      <w:r w:rsidR="008821AF">
        <w:rPr>
          <w:sz w:val="28"/>
          <w:szCs w:val="28"/>
        </w:rPr>
        <w:t xml:space="preserve">turpmāk - </w:t>
      </w:r>
      <w:r w:rsidRPr="00B03397">
        <w:rPr>
          <w:sz w:val="28"/>
          <w:szCs w:val="28"/>
        </w:rPr>
        <w:t xml:space="preserve">IMI) sistēmu. </w:t>
      </w:r>
    </w:p>
    <w:p w:rsidR="00B03397" w:rsidRPr="00B03397" w:rsidRDefault="00B03397" w:rsidP="008821AF">
      <w:pPr>
        <w:ind w:firstLine="709"/>
        <w:jc w:val="both"/>
        <w:rPr>
          <w:sz w:val="28"/>
          <w:szCs w:val="28"/>
        </w:rPr>
      </w:pPr>
      <w:r w:rsidRPr="00B03397">
        <w:rPr>
          <w:sz w:val="28"/>
          <w:szCs w:val="28"/>
        </w:rPr>
        <w:t>2011.gada 21.februārī tika pieņemts Komisijas paziņojums „Vienotā tirgus labāka pārvaldība, palielinot administratīvo sadarbību: Iekšējā tirgus informācijas sistēmas (IMI) paplašināšanas un attīstības stratēģija”</w:t>
      </w:r>
      <w:r w:rsidR="008821AF">
        <w:rPr>
          <w:sz w:val="28"/>
          <w:szCs w:val="28"/>
        </w:rPr>
        <w:t xml:space="preserve"> (turpmāk – stratēģija)</w:t>
      </w:r>
      <w:r w:rsidRPr="00B03397">
        <w:rPr>
          <w:sz w:val="28"/>
          <w:szCs w:val="28"/>
        </w:rPr>
        <w:t xml:space="preserve">. Stratēģijas galvenais mērķis ir parādīt IMI sistēmas potenciālu Iekšējā tirgus administratīvās sadarbības stiprināšanai un vienoties par nepieciešamajām darbībām IMI sistēmas turpmākai paplašināšanai. IMI sistēmas galvenais potenciāls izpaužas iespējā pievienot IMI sistēmai jaunas jomas, attīstīt jaunas funkcijas, sasaistīt IMI sistēmu ar citām IT sistēmām, izmantot IMI sistēmas funkcijas jauniem mērķiem. Ja konkrētā </w:t>
      </w:r>
      <w:r w:rsidR="004B1EFF">
        <w:rPr>
          <w:sz w:val="28"/>
          <w:szCs w:val="28"/>
        </w:rPr>
        <w:t>ES</w:t>
      </w:r>
      <w:r w:rsidRPr="00B03397">
        <w:rPr>
          <w:sz w:val="28"/>
          <w:szCs w:val="28"/>
        </w:rPr>
        <w:t xml:space="preserve"> tiesību aktā ir paredzēta administratīvā sadarbība, kurai nav izstrādāta sava elektroniskā sistēmā, kas atbalsta šo sadarbību, IMI sistēmas piesaistei ir ievērojama priekšrocība. </w:t>
      </w:r>
    </w:p>
    <w:p w:rsidR="00B03397" w:rsidRPr="00B03397" w:rsidRDefault="00B03397" w:rsidP="008821AF">
      <w:pPr>
        <w:ind w:firstLine="709"/>
        <w:jc w:val="both"/>
        <w:rPr>
          <w:sz w:val="28"/>
          <w:szCs w:val="28"/>
        </w:rPr>
      </w:pPr>
      <w:r w:rsidRPr="00B03397">
        <w:rPr>
          <w:sz w:val="28"/>
          <w:szCs w:val="28"/>
        </w:rPr>
        <w:t xml:space="preserve">Šobrīd, kad valstis cenšas samazināt publiskā sektora izdevumus un fiskālo deficītu, sabiedrisko pakalpojumu nodrošināšanas efektivitātei ir nozīmīga loma. IMI sistēmas izmantošana sniedz nozīmīgus ietaupījumus, izmantojot kopīgu tehnisko un lietotāju atbalstu, apmācības un publicitāti. </w:t>
      </w:r>
    </w:p>
    <w:p w:rsidR="00B03397" w:rsidRPr="00B03397" w:rsidRDefault="00B03397" w:rsidP="00B03397">
      <w:pPr>
        <w:jc w:val="both"/>
        <w:rPr>
          <w:sz w:val="28"/>
          <w:szCs w:val="28"/>
        </w:rPr>
      </w:pPr>
      <w:r w:rsidRPr="00B03397">
        <w:rPr>
          <w:sz w:val="28"/>
          <w:szCs w:val="28"/>
        </w:rPr>
        <w:lastRenderedPageBreak/>
        <w:t xml:space="preserve">Lai nodrošinātu Iekšējā tirgus tiesību aktu īstenošanu, īpaši atbalstāma iniciatīva ir izstrādāt Eiropas Parlamenta un Padomes regulu, kas veidos vispārēju tiesisko pamatu IMI sistēmas izmantošanai. Nodrošinot personu datu aizsardzību, plānots izstrādāt Eiropas Parlamenta un Padomes regulu par visaptverošu datu aizsardzības sistēmu, kas noteiktu prasības un procedūras attiecībā uz personas datu apstrādi IMI sistēmā. </w:t>
      </w:r>
    </w:p>
    <w:p w:rsidR="00B03397" w:rsidRDefault="00B03397" w:rsidP="008821AF">
      <w:pPr>
        <w:ind w:firstLine="709"/>
        <w:jc w:val="both"/>
        <w:rPr>
          <w:sz w:val="28"/>
          <w:szCs w:val="28"/>
        </w:rPr>
      </w:pPr>
      <w:r w:rsidRPr="00B03397">
        <w:rPr>
          <w:sz w:val="28"/>
          <w:szCs w:val="28"/>
        </w:rPr>
        <w:t>Latvija pozitīvi vērtē un atbalsta IMI sistēmas paplašināšanos,</w:t>
      </w:r>
      <w:r w:rsidR="008821AF">
        <w:rPr>
          <w:sz w:val="28"/>
          <w:szCs w:val="28"/>
        </w:rPr>
        <w:t xml:space="preserve"> kā arī</w:t>
      </w:r>
      <w:r w:rsidRPr="00B03397">
        <w:rPr>
          <w:sz w:val="28"/>
          <w:szCs w:val="28"/>
        </w:rPr>
        <w:t xml:space="preserve"> stratēģijā pausto izvērtējumu un turpmāko rīcību.</w:t>
      </w:r>
    </w:p>
    <w:p w:rsidR="00B03397" w:rsidRPr="00B03397" w:rsidRDefault="00B03397" w:rsidP="00B03397">
      <w:pPr>
        <w:jc w:val="both"/>
        <w:rPr>
          <w:sz w:val="28"/>
          <w:szCs w:val="28"/>
        </w:rPr>
      </w:pPr>
    </w:p>
    <w:p w:rsidR="00B03397" w:rsidRPr="008821AF" w:rsidRDefault="00B03397" w:rsidP="008821AF">
      <w:pPr>
        <w:pStyle w:val="ListParagraph"/>
        <w:numPr>
          <w:ilvl w:val="0"/>
          <w:numId w:val="26"/>
        </w:numPr>
        <w:tabs>
          <w:tab w:val="left" w:pos="284"/>
        </w:tabs>
        <w:ind w:left="0" w:firstLine="0"/>
        <w:jc w:val="both"/>
        <w:rPr>
          <w:b/>
          <w:sz w:val="28"/>
          <w:szCs w:val="28"/>
        </w:rPr>
      </w:pPr>
      <w:r w:rsidRPr="008821AF">
        <w:rPr>
          <w:b/>
          <w:sz w:val="28"/>
          <w:szCs w:val="28"/>
        </w:rPr>
        <w:t xml:space="preserve">SOLVIT </w:t>
      </w:r>
      <w:r w:rsidR="00F0485B">
        <w:rPr>
          <w:b/>
          <w:sz w:val="28"/>
          <w:szCs w:val="28"/>
        </w:rPr>
        <w:t>darbības gada pārskats</w:t>
      </w:r>
      <w:r w:rsidRPr="008821AF">
        <w:rPr>
          <w:b/>
          <w:sz w:val="28"/>
          <w:szCs w:val="28"/>
        </w:rPr>
        <w:t xml:space="preserve"> </w:t>
      </w:r>
    </w:p>
    <w:p w:rsidR="008821AF" w:rsidRPr="008821AF" w:rsidRDefault="008821AF" w:rsidP="008821AF">
      <w:pPr>
        <w:tabs>
          <w:tab w:val="left" w:pos="284"/>
        </w:tabs>
        <w:jc w:val="both"/>
        <w:rPr>
          <w:i/>
          <w:sz w:val="28"/>
          <w:szCs w:val="28"/>
        </w:rPr>
      </w:pPr>
      <w:r w:rsidRPr="008821AF">
        <w:rPr>
          <w:i/>
          <w:sz w:val="28"/>
          <w:szCs w:val="28"/>
        </w:rPr>
        <w:t>-</w:t>
      </w:r>
      <w:r w:rsidRPr="008821AF">
        <w:rPr>
          <w:i/>
          <w:sz w:val="28"/>
          <w:szCs w:val="28"/>
        </w:rPr>
        <w:tab/>
        <w:t>Komisijas prezentācija</w:t>
      </w:r>
    </w:p>
    <w:p w:rsidR="00B03397" w:rsidRDefault="00B03397" w:rsidP="00B03397">
      <w:pPr>
        <w:jc w:val="both"/>
        <w:rPr>
          <w:sz w:val="28"/>
          <w:szCs w:val="28"/>
        </w:rPr>
      </w:pPr>
    </w:p>
    <w:p w:rsidR="008821AF" w:rsidRPr="008821AF" w:rsidRDefault="008821AF" w:rsidP="008821AF">
      <w:pPr>
        <w:ind w:firstLine="709"/>
        <w:jc w:val="both"/>
        <w:rPr>
          <w:sz w:val="28"/>
          <w:szCs w:val="28"/>
        </w:rPr>
      </w:pPr>
      <w:r w:rsidRPr="008821AF">
        <w:rPr>
          <w:sz w:val="28"/>
          <w:szCs w:val="28"/>
        </w:rPr>
        <w:t>2011.gada 21.februārī tika pieņemts Komisijas darba dokuments „SOLVIT koordinācijas tīk</w:t>
      </w:r>
      <w:r w:rsidR="00B17F0A">
        <w:rPr>
          <w:sz w:val="28"/>
          <w:szCs w:val="28"/>
        </w:rPr>
        <w:t xml:space="preserve">la 2010.gada darbības pārskats”, kura </w:t>
      </w:r>
      <w:r w:rsidRPr="008821AF">
        <w:rPr>
          <w:sz w:val="28"/>
          <w:szCs w:val="28"/>
        </w:rPr>
        <w:t xml:space="preserve">mērķis ir parādīt SOLVIT koordinācijas tīkla darbību un attīstību 2010.gadā. </w:t>
      </w:r>
      <w:r w:rsidR="00B17F0A">
        <w:rPr>
          <w:sz w:val="28"/>
          <w:szCs w:val="28"/>
        </w:rPr>
        <w:t>Tajā</w:t>
      </w:r>
      <w:r w:rsidRPr="008821AF">
        <w:rPr>
          <w:sz w:val="28"/>
          <w:szCs w:val="28"/>
        </w:rPr>
        <w:t xml:space="preserve"> atspoguļota </w:t>
      </w:r>
      <w:r w:rsidR="00B17F0A" w:rsidRPr="008821AF">
        <w:rPr>
          <w:sz w:val="28"/>
          <w:szCs w:val="28"/>
        </w:rPr>
        <w:t xml:space="preserve">30 dalībvalstu SOLVIT koordinācijas centru sniegtā </w:t>
      </w:r>
      <w:r w:rsidRPr="008821AF">
        <w:rPr>
          <w:sz w:val="28"/>
          <w:szCs w:val="28"/>
        </w:rPr>
        <w:t>informācija, kas glabājās SOLVIT koordinācijas tīkla datu bāzē</w:t>
      </w:r>
      <w:r w:rsidR="00B17F0A">
        <w:rPr>
          <w:sz w:val="28"/>
          <w:szCs w:val="28"/>
        </w:rPr>
        <w:t>. Šī</w:t>
      </w:r>
      <w:r w:rsidRPr="008821AF">
        <w:rPr>
          <w:sz w:val="28"/>
          <w:szCs w:val="28"/>
        </w:rPr>
        <w:t xml:space="preserve"> informācija parāda, cik liel</w:t>
      </w:r>
      <w:r w:rsidR="00B17F0A">
        <w:rPr>
          <w:sz w:val="28"/>
          <w:szCs w:val="28"/>
        </w:rPr>
        <w:t xml:space="preserve">ā mērā </w:t>
      </w:r>
      <w:r w:rsidRPr="008821AF">
        <w:rPr>
          <w:sz w:val="28"/>
          <w:szCs w:val="28"/>
        </w:rPr>
        <w:t>SOLV</w:t>
      </w:r>
      <w:r w:rsidR="00B17F0A">
        <w:rPr>
          <w:sz w:val="28"/>
          <w:szCs w:val="28"/>
        </w:rPr>
        <w:t>IT koordinācijas centru darbība ietekmē</w:t>
      </w:r>
      <w:r w:rsidRPr="008821AF">
        <w:rPr>
          <w:sz w:val="28"/>
          <w:szCs w:val="28"/>
        </w:rPr>
        <w:t xml:space="preserve"> ārēj</w:t>
      </w:r>
      <w:r w:rsidR="00B17F0A">
        <w:rPr>
          <w:sz w:val="28"/>
          <w:szCs w:val="28"/>
        </w:rPr>
        <w:t>os</w:t>
      </w:r>
      <w:r w:rsidRPr="008821AF">
        <w:rPr>
          <w:sz w:val="28"/>
          <w:szCs w:val="28"/>
        </w:rPr>
        <w:t xml:space="preserve"> faktor</w:t>
      </w:r>
      <w:r w:rsidR="00B17F0A">
        <w:rPr>
          <w:sz w:val="28"/>
          <w:szCs w:val="28"/>
        </w:rPr>
        <w:t>us (piemērām, migrācijas tendences</w:t>
      </w:r>
      <w:r w:rsidRPr="008821AF">
        <w:rPr>
          <w:sz w:val="28"/>
          <w:szCs w:val="28"/>
        </w:rPr>
        <w:t xml:space="preserve"> </w:t>
      </w:r>
      <w:r>
        <w:rPr>
          <w:sz w:val="28"/>
          <w:szCs w:val="28"/>
        </w:rPr>
        <w:t>ES</w:t>
      </w:r>
      <w:r w:rsidRPr="008821AF">
        <w:rPr>
          <w:sz w:val="28"/>
          <w:szCs w:val="28"/>
        </w:rPr>
        <w:t xml:space="preserve"> un Ei</w:t>
      </w:r>
      <w:r w:rsidR="00B17F0A">
        <w:rPr>
          <w:sz w:val="28"/>
          <w:szCs w:val="28"/>
        </w:rPr>
        <w:t>ropas Ekonomiskās zonas valstīs vai</w:t>
      </w:r>
      <w:r w:rsidRPr="008821AF">
        <w:rPr>
          <w:sz w:val="28"/>
          <w:szCs w:val="28"/>
        </w:rPr>
        <w:t xml:space="preserve"> sarežģījum</w:t>
      </w:r>
      <w:r w:rsidR="00B17F0A">
        <w:rPr>
          <w:sz w:val="28"/>
          <w:szCs w:val="28"/>
        </w:rPr>
        <w:t>us</w:t>
      </w:r>
      <w:r w:rsidRPr="008821AF">
        <w:rPr>
          <w:sz w:val="28"/>
          <w:szCs w:val="28"/>
        </w:rPr>
        <w:t xml:space="preserve"> gadījumos, kad valsts i</w:t>
      </w:r>
      <w:r w:rsidR="00B17F0A">
        <w:rPr>
          <w:sz w:val="28"/>
          <w:szCs w:val="28"/>
        </w:rPr>
        <w:t>estādes nav gatavas sadarboties un tml.).</w:t>
      </w:r>
    </w:p>
    <w:p w:rsidR="008821AF" w:rsidRPr="008821AF" w:rsidRDefault="008821AF" w:rsidP="00B17F0A">
      <w:pPr>
        <w:ind w:firstLine="709"/>
        <w:jc w:val="both"/>
        <w:rPr>
          <w:sz w:val="28"/>
          <w:szCs w:val="28"/>
        </w:rPr>
      </w:pPr>
      <w:r w:rsidRPr="008821AF">
        <w:rPr>
          <w:sz w:val="28"/>
          <w:szCs w:val="28"/>
        </w:rPr>
        <w:t>Darba dokumenta nobeigumā ietverti ieteikumi, kas Eiropas Komisijai un dalībvalstīm būtu ievērojami, turpinot attīstīt labas prakses piemērus SOLVIT koordinācijas tīkla risināmo lietu ietvaros:</w:t>
      </w:r>
    </w:p>
    <w:p w:rsidR="008821AF" w:rsidRPr="008821AF" w:rsidRDefault="008821AF" w:rsidP="005F1DED">
      <w:pPr>
        <w:numPr>
          <w:ilvl w:val="0"/>
          <w:numId w:val="27"/>
        </w:numPr>
        <w:tabs>
          <w:tab w:val="left" w:pos="284"/>
        </w:tabs>
        <w:ind w:left="0" w:firstLine="0"/>
        <w:jc w:val="both"/>
        <w:rPr>
          <w:sz w:val="28"/>
          <w:szCs w:val="28"/>
        </w:rPr>
      </w:pPr>
      <w:r w:rsidRPr="008821AF">
        <w:rPr>
          <w:sz w:val="28"/>
          <w:szCs w:val="28"/>
        </w:rPr>
        <w:t>Jānodrošina pietiekams skaits SOLVIT koordinācijas centrā strādājošo, vai arī jāatbrīvo no papildus pienākumu veikšanas, lai darbinieks visas pūles veltītu tikai ar SOLVIT koordinācijas centru saistītām lietām;</w:t>
      </w:r>
    </w:p>
    <w:p w:rsidR="008821AF" w:rsidRPr="008821AF" w:rsidRDefault="008821AF" w:rsidP="005F1DED">
      <w:pPr>
        <w:numPr>
          <w:ilvl w:val="0"/>
          <w:numId w:val="27"/>
        </w:numPr>
        <w:tabs>
          <w:tab w:val="left" w:pos="284"/>
        </w:tabs>
        <w:ind w:left="0" w:firstLine="0"/>
        <w:jc w:val="both"/>
        <w:rPr>
          <w:sz w:val="28"/>
          <w:szCs w:val="28"/>
        </w:rPr>
      </w:pPr>
      <w:r w:rsidRPr="008821AF">
        <w:rPr>
          <w:sz w:val="28"/>
          <w:szCs w:val="28"/>
        </w:rPr>
        <w:t>Joprojām nepieciešamas aktīvi nodarboties ar SOLVIT koordinācijas centru popularizēšanas kampaņām;</w:t>
      </w:r>
    </w:p>
    <w:p w:rsidR="008821AF" w:rsidRPr="008821AF" w:rsidRDefault="008821AF" w:rsidP="005F1DED">
      <w:pPr>
        <w:numPr>
          <w:ilvl w:val="0"/>
          <w:numId w:val="27"/>
        </w:numPr>
        <w:tabs>
          <w:tab w:val="left" w:pos="284"/>
        </w:tabs>
        <w:ind w:left="0" w:firstLine="0"/>
        <w:jc w:val="both"/>
        <w:rPr>
          <w:sz w:val="28"/>
          <w:szCs w:val="28"/>
        </w:rPr>
      </w:pPr>
      <w:r w:rsidRPr="008821AF">
        <w:rPr>
          <w:sz w:val="28"/>
          <w:szCs w:val="28"/>
        </w:rPr>
        <w:t>Jāpaaugstina SOLVIT koordinācijas centrā risināto lietu skaits uzņēmējdarbības jomā;</w:t>
      </w:r>
    </w:p>
    <w:p w:rsidR="008821AF" w:rsidRPr="008821AF" w:rsidRDefault="008821AF" w:rsidP="005F1DED">
      <w:pPr>
        <w:numPr>
          <w:ilvl w:val="0"/>
          <w:numId w:val="27"/>
        </w:numPr>
        <w:tabs>
          <w:tab w:val="left" w:pos="284"/>
        </w:tabs>
        <w:ind w:left="0" w:firstLine="0"/>
        <w:jc w:val="both"/>
        <w:rPr>
          <w:sz w:val="28"/>
          <w:szCs w:val="28"/>
        </w:rPr>
      </w:pPr>
      <w:r w:rsidRPr="008821AF">
        <w:rPr>
          <w:sz w:val="28"/>
          <w:szCs w:val="28"/>
        </w:rPr>
        <w:t>Jāturpina stiprināt sadarbības ar citiem palīdzības un informācijas dienestiem;</w:t>
      </w:r>
    </w:p>
    <w:p w:rsidR="008821AF" w:rsidRPr="008821AF" w:rsidRDefault="008821AF" w:rsidP="005F1DED">
      <w:pPr>
        <w:numPr>
          <w:ilvl w:val="0"/>
          <w:numId w:val="27"/>
        </w:numPr>
        <w:tabs>
          <w:tab w:val="left" w:pos="284"/>
        </w:tabs>
        <w:ind w:left="0" w:firstLine="0"/>
        <w:jc w:val="both"/>
        <w:rPr>
          <w:sz w:val="28"/>
          <w:szCs w:val="28"/>
        </w:rPr>
      </w:pPr>
      <w:r w:rsidRPr="008821AF">
        <w:rPr>
          <w:sz w:val="28"/>
          <w:szCs w:val="28"/>
        </w:rPr>
        <w:t xml:space="preserve">Jāplāno regulāri pasākumi, kas veicinātu valsts iestāžu izpratni par SOLVIT koordinācijas centru tīklu, nodrošinot nepieciešamo </w:t>
      </w:r>
      <w:r w:rsidR="004B1EFF">
        <w:rPr>
          <w:sz w:val="28"/>
          <w:szCs w:val="28"/>
        </w:rPr>
        <w:t>ES</w:t>
      </w:r>
      <w:r w:rsidRPr="008821AF">
        <w:rPr>
          <w:sz w:val="28"/>
          <w:szCs w:val="28"/>
        </w:rPr>
        <w:t xml:space="preserve"> tiesību aktu ievērošanu. Jāgūst spēcīgāks politiskais atbalsts, lai attiecīgās valsts iestādes sadarbotos un strādātu pēc iespējas īsākos termiņos;</w:t>
      </w:r>
    </w:p>
    <w:p w:rsidR="008821AF" w:rsidRPr="008821AF" w:rsidRDefault="008821AF" w:rsidP="005F1DED">
      <w:pPr>
        <w:numPr>
          <w:ilvl w:val="0"/>
          <w:numId w:val="27"/>
        </w:numPr>
        <w:tabs>
          <w:tab w:val="left" w:pos="284"/>
        </w:tabs>
        <w:ind w:left="0" w:firstLine="0"/>
        <w:jc w:val="both"/>
        <w:rPr>
          <w:sz w:val="28"/>
          <w:szCs w:val="28"/>
        </w:rPr>
      </w:pPr>
      <w:r w:rsidRPr="008821AF">
        <w:rPr>
          <w:sz w:val="28"/>
          <w:szCs w:val="28"/>
        </w:rPr>
        <w:t>Optimāli jāievēro lēmumu pieņemšanas un lietu risināšanas laiks. Jāanalizē cēloņi un jāpieņem nepieciešamie risinājumi;</w:t>
      </w:r>
    </w:p>
    <w:p w:rsidR="008821AF" w:rsidRPr="008821AF" w:rsidRDefault="008821AF" w:rsidP="005F1DED">
      <w:pPr>
        <w:numPr>
          <w:ilvl w:val="0"/>
          <w:numId w:val="27"/>
        </w:numPr>
        <w:tabs>
          <w:tab w:val="left" w:pos="284"/>
        </w:tabs>
        <w:ind w:left="0" w:firstLine="0"/>
        <w:jc w:val="both"/>
        <w:rPr>
          <w:sz w:val="28"/>
          <w:szCs w:val="28"/>
        </w:rPr>
      </w:pPr>
      <w:r w:rsidRPr="008821AF">
        <w:rPr>
          <w:sz w:val="28"/>
          <w:szCs w:val="28"/>
        </w:rPr>
        <w:t>Jānodrošina SOLVIT koordinācijas centrā strādājošo pietiekams juridisko zināšanu līmenis, pareizai lietu risināšanai. Nepieciešamības gadījumā jāsadarbojas ar Eiropas Komisiju un Tava Eiropas juridisko atbalsta dienestu.</w:t>
      </w:r>
    </w:p>
    <w:p w:rsidR="008821AF" w:rsidRPr="008821AF" w:rsidRDefault="008821AF" w:rsidP="00B17F0A">
      <w:pPr>
        <w:ind w:firstLine="709"/>
        <w:jc w:val="both"/>
        <w:rPr>
          <w:sz w:val="28"/>
          <w:szCs w:val="28"/>
        </w:rPr>
      </w:pPr>
      <w:r w:rsidRPr="008821AF">
        <w:rPr>
          <w:sz w:val="28"/>
          <w:szCs w:val="28"/>
        </w:rPr>
        <w:t xml:space="preserve">SOLVIT koordinācijas tīklam ir svarīga loma </w:t>
      </w:r>
      <w:r w:rsidR="00B17F0A">
        <w:rPr>
          <w:sz w:val="28"/>
          <w:szCs w:val="28"/>
        </w:rPr>
        <w:t>i</w:t>
      </w:r>
      <w:r w:rsidRPr="008821AF">
        <w:rPr>
          <w:sz w:val="28"/>
          <w:szCs w:val="28"/>
        </w:rPr>
        <w:t>ekšējā tirgus problēmu, barjeru identificēšanai un novēršanai.</w:t>
      </w:r>
      <w:r w:rsidR="00B17F0A">
        <w:rPr>
          <w:sz w:val="28"/>
          <w:szCs w:val="28"/>
        </w:rPr>
        <w:t xml:space="preserve"> </w:t>
      </w:r>
      <w:r w:rsidRPr="008821AF">
        <w:rPr>
          <w:sz w:val="28"/>
          <w:szCs w:val="28"/>
        </w:rPr>
        <w:t xml:space="preserve">Svarīgi, lai SOLVIT koordinācijas centru </w:t>
      </w:r>
      <w:r w:rsidRPr="008821AF">
        <w:rPr>
          <w:sz w:val="28"/>
          <w:szCs w:val="28"/>
        </w:rPr>
        <w:lastRenderedPageBreak/>
        <w:t>tīkls regulāri attīstītos un spētu nodrošināt augstas kvalitātes pakalpojumu sniegšanu iedzīvotājiem un uzņēmējiem.</w:t>
      </w:r>
    </w:p>
    <w:p w:rsidR="008821AF" w:rsidRPr="008821AF" w:rsidRDefault="008821AF" w:rsidP="00B17F0A">
      <w:pPr>
        <w:ind w:firstLine="709"/>
        <w:jc w:val="both"/>
        <w:rPr>
          <w:sz w:val="28"/>
          <w:szCs w:val="28"/>
        </w:rPr>
      </w:pPr>
      <w:r w:rsidRPr="008821AF">
        <w:rPr>
          <w:sz w:val="28"/>
          <w:szCs w:val="28"/>
        </w:rPr>
        <w:t xml:space="preserve">Lai nodrošinātu Latvijas SOLVIT koordinācijas centra darbības attīstību un pilnveidi, Latvija pieņem zināšanai, izvērtēšanai un turpmākajam rīcībai, darba dokumentā „SOLVIT koordinācijas tīkla 2010.gada darbības pārskatu” sniegto informāciju un ieteikumus. </w:t>
      </w:r>
    </w:p>
    <w:p w:rsidR="008821AF" w:rsidRPr="00B03397" w:rsidRDefault="008821AF" w:rsidP="00B03397">
      <w:pPr>
        <w:jc w:val="both"/>
        <w:rPr>
          <w:sz w:val="28"/>
          <w:szCs w:val="28"/>
        </w:rPr>
      </w:pPr>
    </w:p>
    <w:p w:rsidR="00B03397" w:rsidRPr="00B03397" w:rsidRDefault="00B03397" w:rsidP="00B03397">
      <w:pPr>
        <w:jc w:val="both"/>
        <w:rPr>
          <w:sz w:val="28"/>
          <w:szCs w:val="28"/>
        </w:rPr>
      </w:pPr>
      <w:r w:rsidRPr="00B03397">
        <w:rPr>
          <w:sz w:val="28"/>
          <w:szCs w:val="28"/>
        </w:rPr>
        <w:t xml:space="preserve"> </w:t>
      </w:r>
    </w:p>
    <w:p w:rsidR="00B17F0A" w:rsidRPr="00B17F0A" w:rsidRDefault="00B17F0A" w:rsidP="00B17F0A">
      <w:pPr>
        <w:pStyle w:val="ListParagraph"/>
        <w:numPr>
          <w:ilvl w:val="0"/>
          <w:numId w:val="26"/>
        </w:numPr>
        <w:tabs>
          <w:tab w:val="left" w:pos="284"/>
        </w:tabs>
        <w:ind w:left="0" w:firstLine="0"/>
        <w:jc w:val="both"/>
        <w:rPr>
          <w:b/>
          <w:sz w:val="28"/>
          <w:szCs w:val="28"/>
        </w:rPr>
      </w:pPr>
      <w:r w:rsidRPr="00B17F0A">
        <w:rPr>
          <w:b/>
          <w:sz w:val="28"/>
          <w:szCs w:val="28"/>
        </w:rPr>
        <w:t>Eiropas Savienības Tiesas viedoklis 1/09 par patentu tiesvedības izveidi</w:t>
      </w:r>
    </w:p>
    <w:p w:rsidR="00B17F0A" w:rsidRPr="00B17F0A" w:rsidRDefault="00B17F0A" w:rsidP="00B17F0A">
      <w:pPr>
        <w:tabs>
          <w:tab w:val="left" w:pos="284"/>
        </w:tabs>
        <w:jc w:val="both"/>
        <w:rPr>
          <w:i/>
          <w:sz w:val="28"/>
          <w:szCs w:val="28"/>
        </w:rPr>
      </w:pPr>
      <w:r w:rsidRPr="00B17F0A">
        <w:rPr>
          <w:i/>
          <w:sz w:val="28"/>
          <w:szCs w:val="28"/>
        </w:rPr>
        <w:t>- Prezidentūras informācija</w:t>
      </w:r>
    </w:p>
    <w:p w:rsidR="00B17F0A" w:rsidRDefault="00B17F0A" w:rsidP="00B17F0A">
      <w:pPr>
        <w:jc w:val="both"/>
        <w:rPr>
          <w:rFonts w:ascii="Cambria" w:hAnsi="Cambria"/>
          <w:b/>
          <w:bCs/>
          <w:i/>
          <w:iCs/>
          <w:color w:val="000000"/>
          <w:sz w:val="22"/>
          <w:szCs w:val="22"/>
        </w:rPr>
      </w:pPr>
    </w:p>
    <w:p w:rsidR="00B17F0A" w:rsidRPr="00B17F0A" w:rsidRDefault="00B17F0A" w:rsidP="00B17F0A">
      <w:pPr>
        <w:ind w:firstLine="720"/>
        <w:jc w:val="both"/>
        <w:rPr>
          <w:sz w:val="28"/>
          <w:szCs w:val="28"/>
        </w:rPr>
      </w:pPr>
      <w:r>
        <w:rPr>
          <w:sz w:val="28"/>
          <w:szCs w:val="28"/>
        </w:rPr>
        <w:t>Paredzēts, ka sanāksmes laikā p</w:t>
      </w:r>
      <w:r w:rsidRPr="00B17F0A">
        <w:rPr>
          <w:sz w:val="28"/>
          <w:szCs w:val="28"/>
        </w:rPr>
        <w:t xml:space="preserve">rezidentūra sniegs informāciju par </w:t>
      </w:r>
      <w:r w:rsidR="004B1EFF">
        <w:rPr>
          <w:sz w:val="28"/>
          <w:szCs w:val="28"/>
        </w:rPr>
        <w:t>ES</w:t>
      </w:r>
      <w:r w:rsidRPr="00B17F0A">
        <w:rPr>
          <w:sz w:val="28"/>
          <w:szCs w:val="28"/>
        </w:rPr>
        <w:t xml:space="preserve"> Tiesas viedokli</w:t>
      </w:r>
      <w:r>
        <w:rPr>
          <w:sz w:val="28"/>
          <w:szCs w:val="28"/>
        </w:rPr>
        <w:t xml:space="preserve"> </w:t>
      </w:r>
      <w:r w:rsidRPr="00B17F0A">
        <w:rPr>
          <w:sz w:val="28"/>
          <w:szCs w:val="28"/>
        </w:rPr>
        <w:t>par patentu tiesvedības izveidi.</w:t>
      </w:r>
    </w:p>
    <w:p w:rsidR="00B03397" w:rsidRPr="00B03397" w:rsidRDefault="00B03397" w:rsidP="00B03397">
      <w:pPr>
        <w:jc w:val="both"/>
        <w:rPr>
          <w:sz w:val="28"/>
          <w:szCs w:val="28"/>
        </w:rPr>
      </w:pPr>
    </w:p>
    <w:p w:rsidR="00B03397" w:rsidRPr="006F43E3" w:rsidRDefault="006F43E3" w:rsidP="006F43E3">
      <w:pPr>
        <w:pStyle w:val="ListParagraph"/>
        <w:numPr>
          <w:ilvl w:val="0"/>
          <w:numId w:val="26"/>
        </w:numPr>
        <w:tabs>
          <w:tab w:val="left" w:pos="284"/>
        </w:tabs>
        <w:ind w:left="0" w:firstLine="0"/>
        <w:jc w:val="both"/>
        <w:rPr>
          <w:b/>
          <w:sz w:val="28"/>
          <w:szCs w:val="28"/>
        </w:rPr>
      </w:pPr>
      <w:r w:rsidRPr="006F43E3">
        <w:rPr>
          <w:b/>
          <w:sz w:val="28"/>
          <w:szCs w:val="28"/>
        </w:rPr>
        <w:t>Piektais patēriņa tirgu pārskata ziņojums</w:t>
      </w:r>
    </w:p>
    <w:p w:rsidR="00904C0B" w:rsidRPr="008821AF" w:rsidRDefault="00904C0B" w:rsidP="00904C0B">
      <w:pPr>
        <w:tabs>
          <w:tab w:val="left" w:pos="284"/>
        </w:tabs>
        <w:jc w:val="both"/>
        <w:rPr>
          <w:i/>
          <w:sz w:val="28"/>
          <w:szCs w:val="28"/>
        </w:rPr>
      </w:pPr>
      <w:r w:rsidRPr="008821AF">
        <w:rPr>
          <w:i/>
          <w:sz w:val="28"/>
          <w:szCs w:val="28"/>
        </w:rPr>
        <w:t>-</w:t>
      </w:r>
      <w:r w:rsidRPr="008821AF">
        <w:rPr>
          <w:i/>
          <w:sz w:val="28"/>
          <w:szCs w:val="28"/>
        </w:rPr>
        <w:tab/>
        <w:t xml:space="preserve">Komisijas </w:t>
      </w:r>
      <w:r>
        <w:rPr>
          <w:i/>
          <w:sz w:val="28"/>
          <w:szCs w:val="28"/>
        </w:rPr>
        <w:t>informācija</w:t>
      </w:r>
    </w:p>
    <w:p w:rsidR="006F43E3" w:rsidRPr="006F43E3" w:rsidRDefault="006F43E3" w:rsidP="006F43E3">
      <w:pPr>
        <w:tabs>
          <w:tab w:val="left" w:pos="284"/>
        </w:tabs>
        <w:jc w:val="both"/>
        <w:rPr>
          <w:i/>
          <w:sz w:val="28"/>
          <w:szCs w:val="28"/>
        </w:rPr>
      </w:pPr>
    </w:p>
    <w:p w:rsidR="006F43E3" w:rsidRDefault="00B17F0A" w:rsidP="006F43E3">
      <w:pPr>
        <w:ind w:firstLine="709"/>
        <w:jc w:val="both"/>
        <w:rPr>
          <w:sz w:val="28"/>
          <w:szCs w:val="28"/>
        </w:rPr>
      </w:pPr>
      <w:r w:rsidRPr="00B17F0A">
        <w:rPr>
          <w:sz w:val="28"/>
          <w:szCs w:val="28"/>
        </w:rPr>
        <w:t>Kopš 2008.gada Komisija ir publiskojusi kopumā jau piecus patēr</w:t>
      </w:r>
      <w:r w:rsidR="005F1DED">
        <w:rPr>
          <w:sz w:val="28"/>
          <w:szCs w:val="28"/>
        </w:rPr>
        <w:t>iņa tirgu pārskata ziņojumus</w:t>
      </w:r>
      <w:r w:rsidRPr="00B17F0A">
        <w:rPr>
          <w:sz w:val="28"/>
          <w:szCs w:val="28"/>
        </w:rPr>
        <w:t>, ku</w:t>
      </w:r>
      <w:r w:rsidR="006F43E3">
        <w:rPr>
          <w:sz w:val="28"/>
          <w:szCs w:val="28"/>
        </w:rPr>
        <w:t xml:space="preserve">ru galvenais mērķis ir noteikt tās </w:t>
      </w:r>
      <w:r w:rsidRPr="00B17F0A">
        <w:rPr>
          <w:sz w:val="28"/>
          <w:szCs w:val="28"/>
        </w:rPr>
        <w:t>iekšējā tirgus daļas</w:t>
      </w:r>
      <w:r w:rsidR="006F43E3">
        <w:rPr>
          <w:sz w:val="28"/>
          <w:szCs w:val="28"/>
        </w:rPr>
        <w:t>, kas</w:t>
      </w:r>
      <w:r w:rsidRPr="00B17F0A">
        <w:rPr>
          <w:sz w:val="28"/>
          <w:szCs w:val="28"/>
        </w:rPr>
        <w:t xml:space="preserve"> nedarbojas sekmīgi attiecībā uz patērētājiem.</w:t>
      </w:r>
    </w:p>
    <w:p w:rsidR="00B17F0A" w:rsidRPr="00B17F0A" w:rsidRDefault="00B17F0A" w:rsidP="006F43E3">
      <w:pPr>
        <w:ind w:firstLine="709"/>
        <w:jc w:val="both"/>
        <w:rPr>
          <w:bCs/>
          <w:iCs/>
          <w:sz w:val="28"/>
          <w:szCs w:val="28"/>
        </w:rPr>
      </w:pPr>
      <w:r w:rsidRPr="00B17F0A">
        <w:rPr>
          <w:bCs/>
          <w:iCs/>
          <w:sz w:val="28"/>
          <w:szCs w:val="28"/>
        </w:rPr>
        <w:t>2011. gada 4.martā publicētajā piektajā patēriņa tirgu pārskatā apkopoti pētījuma par e-komercij</w:t>
      </w:r>
      <w:r w:rsidR="006F43E3">
        <w:rPr>
          <w:bCs/>
          <w:iCs/>
          <w:sz w:val="28"/>
          <w:szCs w:val="28"/>
        </w:rPr>
        <w:t>u</w:t>
      </w:r>
      <w:r w:rsidRPr="00B17F0A">
        <w:rPr>
          <w:bCs/>
          <w:iCs/>
          <w:sz w:val="28"/>
          <w:szCs w:val="28"/>
        </w:rPr>
        <w:t xml:space="preserve"> dati, kas parāda, ka 2010.gadā turpinājās e-komercijas attīstība dalībvalstu nacionālajos tirgos</w:t>
      </w:r>
      <w:r w:rsidR="006F43E3">
        <w:rPr>
          <w:bCs/>
          <w:iCs/>
          <w:sz w:val="28"/>
          <w:szCs w:val="28"/>
        </w:rPr>
        <w:t>.</w:t>
      </w:r>
      <w:r w:rsidRPr="00B17F0A">
        <w:rPr>
          <w:bCs/>
          <w:iCs/>
          <w:sz w:val="28"/>
          <w:szCs w:val="28"/>
        </w:rPr>
        <w:t xml:space="preserve"> </w:t>
      </w:r>
      <w:r w:rsidR="006F43E3">
        <w:rPr>
          <w:bCs/>
          <w:iCs/>
          <w:sz w:val="28"/>
          <w:szCs w:val="28"/>
        </w:rPr>
        <w:t>T</w:t>
      </w:r>
      <w:r w:rsidRPr="00B17F0A">
        <w:rPr>
          <w:bCs/>
          <w:iCs/>
          <w:sz w:val="28"/>
          <w:szCs w:val="28"/>
        </w:rPr>
        <w:t xml:space="preserve">omēr pārrobežu aspektā progress ir bijis minimāls. Ziņojumā atzīts, ka problēmas rada ne tikai patērētāju nedrošība, veicot pārrobežu pirkumus tiešsaistē, bet arī mazumtirgotāju vēlme nodarboties ar pārrobežu tirdzniecību (šādu mazumtirgotāju skaits samazinājies no 25% 2009.gadā līdz 22% 2010.gadā). </w:t>
      </w:r>
    </w:p>
    <w:p w:rsidR="00B17F0A" w:rsidRPr="00B17F0A" w:rsidRDefault="00B17F0A" w:rsidP="006F43E3">
      <w:pPr>
        <w:ind w:firstLine="709"/>
        <w:jc w:val="both"/>
        <w:rPr>
          <w:b/>
          <w:i/>
          <w:iCs/>
          <w:sz w:val="28"/>
          <w:szCs w:val="28"/>
        </w:rPr>
      </w:pPr>
      <w:r w:rsidRPr="00B17F0A">
        <w:rPr>
          <w:bCs/>
          <w:iCs/>
          <w:sz w:val="28"/>
          <w:szCs w:val="28"/>
        </w:rPr>
        <w:t>Tāpat ziņojumā norādīts, ka patērētāju tiesību apjoms un iespējas tās īstenot, kā arī patērētāju uzticība uzraudzības iestādēm joprojām nozīmīgi atšķiras dažādās dalībvalstīs. Lai uzlabotu šos rādītājus, ziņojumā norādīts uz nepieciešamību stiprināt tirgus uzraudzību, veidot efektīvākus patērētāju strīdu izskatīšanas mehānismus un uzsvērta stipru, neatkarīgu patērētāju NVO nepieciešamība, lai identificētu iekšējā tirgus problēmas un veiktu produktu salīdzināšanu tādejādi veicinot konkurenci, kvalitāti, inovācijas un sekojoši arī preču cenu pazemināšanos. Dati parāda nepieciešamību uzlabot tirgus uzraudzību arī preču drošuma jomā, jo patērētāju pārliecība par preču drošumu ir nozīmīgs patēriņa virzītājspēks.</w:t>
      </w:r>
    </w:p>
    <w:p w:rsidR="00B17F0A" w:rsidRDefault="00B17F0A" w:rsidP="006F43E3">
      <w:pPr>
        <w:ind w:firstLine="709"/>
        <w:jc w:val="both"/>
        <w:rPr>
          <w:iCs/>
          <w:sz w:val="28"/>
          <w:szCs w:val="28"/>
        </w:rPr>
      </w:pPr>
      <w:r w:rsidRPr="00B17F0A">
        <w:rPr>
          <w:iCs/>
          <w:sz w:val="28"/>
          <w:szCs w:val="28"/>
        </w:rPr>
        <w:t>Latvija ir ieinteresēta šajā ziņojumā apskatītajos jautājumos un izdarītajos secinājumos, jo īpaši, ņemot vērā, ka digitālā vienotā tirgus attīstīšana un e-komercijas stiprināšana ir Latvijai prioritāri jautājumi.</w:t>
      </w:r>
    </w:p>
    <w:p w:rsidR="005F1DED" w:rsidRPr="00B17F0A" w:rsidRDefault="005F1DED" w:rsidP="006F43E3">
      <w:pPr>
        <w:ind w:firstLine="709"/>
        <w:jc w:val="both"/>
        <w:rPr>
          <w:bCs/>
          <w:iCs/>
          <w:sz w:val="28"/>
          <w:szCs w:val="28"/>
        </w:rPr>
      </w:pPr>
    </w:p>
    <w:p w:rsidR="00B03397" w:rsidRPr="00B03397" w:rsidRDefault="00B03397" w:rsidP="00B03397">
      <w:pPr>
        <w:jc w:val="both"/>
        <w:rPr>
          <w:sz w:val="28"/>
          <w:szCs w:val="28"/>
        </w:rPr>
      </w:pPr>
    </w:p>
    <w:p w:rsidR="00B03397" w:rsidRPr="00904C0B" w:rsidRDefault="00A1088E" w:rsidP="00904C0B">
      <w:pPr>
        <w:pStyle w:val="ListParagraph"/>
        <w:numPr>
          <w:ilvl w:val="0"/>
          <w:numId w:val="26"/>
        </w:numPr>
        <w:tabs>
          <w:tab w:val="left" w:pos="284"/>
        </w:tabs>
        <w:ind w:left="0" w:firstLine="0"/>
        <w:jc w:val="both"/>
        <w:rPr>
          <w:b/>
          <w:sz w:val="28"/>
          <w:szCs w:val="28"/>
        </w:rPr>
      </w:pPr>
      <w:r w:rsidRPr="00904C0B">
        <w:rPr>
          <w:b/>
          <w:sz w:val="28"/>
          <w:szCs w:val="28"/>
        </w:rPr>
        <w:lastRenderedPageBreak/>
        <w:t>Sabiedriskā apspriešan</w:t>
      </w:r>
      <w:r w:rsidR="00904C0B">
        <w:rPr>
          <w:b/>
          <w:sz w:val="28"/>
          <w:szCs w:val="28"/>
        </w:rPr>
        <w:t>a</w:t>
      </w:r>
      <w:r w:rsidR="00B03397" w:rsidRPr="00904C0B">
        <w:rPr>
          <w:b/>
          <w:sz w:val="28"/>
          <w:szCs w:val="28"/>
        </w:rPr>
        <w:t xml:space="preserve">: </w:t>
      </w:r>
      <w:r w:rsidRPr="00904C0B">
        <w:rPr>
          <w:b/>
          <w:sz w:val="28"/>
          <w:szCs w:val="28"/>
        </w:rPr>
        <w:t>Ceļā uz visā Eiropas Savienībā vienotu pieeju kolektīvo prasījumu jautājumos</w:t>
      </w:r>
    </w:p>
    <w:p w:rsidR="00904C0B" w:rsidRPr="00904C0B" w:rsidRDefault="00904C0B" w:rsidP="00904C0B">
      <w:pPr>
        <w:tabs>
          <w:tab w:val="left" w:pos="284"/>
        </w:tabs>
        <w:jc w:val="both"/>
        <w:rPr>
          <w:i/>
          <w:sz w:val="28"/>
          <w:szCs w:val="28"/>
        </w:rPr>
      </w:pPr>
      <w:r w:rsidRPr="00904C0B">
        <w:rPr>
          <w:i/>
          <w:sz w:val="28"/>
          <w:szCs w:val="28"/>
        </w:rPr>
        <w:t>-</w:t>
      </w:r>
      <w:r w:rsidRPr="00904C0B">
        <w:rPr>
          <w:i/>
          <w:sz w:val="28"/>
          <w:szCs w:val="28"/>
        </w:rPr>
        <w:tab/>
        <w:t>Komisijas informācija</w:t>
      </w:r>
    </w:p>
    <w:p w:rsidR="00B03397" w:rsidRDefault="00B03397" w:rsidP="00B03397">
      <w:pPr>
        <w:jc w:val="both"/>
        <w:rPr>
          <w:sz w:val="28"/>
          <w:szCs w:val="28"/>
        </w:rPr>
      </w:pPr>
    </w:p>
    <w:p w:rsidR="00904C0B" w:rsidRPr="00904C0B" w:rsidRDefault="00904C0B" w:rsidP="00904C0B">
      <w:pPr>
        <w:ind w:firstLine="720"/>
        <w:jc w:val="both"/>
        <w:rPr>
          <w:sz w:val="28"/>
          <w:szCs w:val="28"/>
          <w:u w:val="single"/>
        </w:rPr>
      </w:pPr>
      <w:r w:rsidRPr="00904C0B">
        <w:rPr>
          <w:sz w:val="28"/>
          <w:szCs w:val="28"/>
        </w:rPr>
        <w:t>Eiropas Komisija 2011.gada  4. februārī ir nākusi klajā ar paziņojumu, kurš šobrīd tiek piedāvāts publiskai apspriedei. Komentārus paziņojuma kontekstā Komisijai ir jāsniedz līdz 2011. gada 30. aprīlim.</w:t>
      </w:r>
    </w:p>
    <w:p w:rsidR="00904C0B" w:rsidRPr="00904C0B" w:rsidRDefault="00904C0B" w:rsidP="00904C0B">
      <w:pPr>
        <w:ind w:firstLine="720"/>
        <w:jc w:val="both"/>
        <w:rPr>
          <w:sz w:val="28"/>
          <w:szCs w:val="28"/>
        </w:rPr>
      </w:pPr>
      <w:r w:rsidRPr="00904C0B">
        <w:rPr>
          <w:sz w:val="28"/>
          <w:szCs w:val="28"/>
        </w:rPr>
        <w:t xml:space="preserve">Paziņojuma mērķis ir identificēt pamatprincipus kolektīvo prasījumu jomā, kā arī izvērtēt, kādā veidā minētie principi iekļausies </w:t>
      </w:r>
      <w:r w:rsidR="004B1EFF">
        <w:rPr>
          <w:sz w:val="28"/>
          <w:szCs w:val="28"/>
        </w:rPr>
        <w:t>ES</w:t>
      </w:r>
      <w:r w:rsidRPr="00904C0B">
        <w:rPr>
          <w:sz w:val="28"/>
          <w:szCs w:val="28"/>
        </w:rPr>
        <w:t xml:space="preserve"> tiesību sistēmā un dalībvalstu tiesisko aizsardzību pasākumos. Vienlaicīgi paziņojuma mērķis ir noskaidrot, kurās jomās ir nepieciešams ieviest vienotu pieeju kolektīvo prasījumu jautājumos.</w:t>
      </w:r>
    </w:p>
    <w:p w:rsidR="00904C0B" w:rsidRPr="00904C0B" w:rsidRDefault="00904C0B" w:rsidP="00904C0B">
      <w:pPr>
        <w:ind w:firstLine="720"/>
        <w:jc w:val="both"/>
        <w:rPr>
          <w:sz w:val="28"/>
          <w:szCs w:val="28"/>
        </w:rPr>
      </w:pPr>
      <w:r w:rsidRPr="00904C0B">
        <w:rPr>
          <w:sz w:val="28"/>
          <w:szCs w:val="28"/>
        </w:rPr>
        <w:t>Latvija šobrīd izvērtē piedāvāto Eiropas Komisijas paziņojumu.</w:t>
      </w:r>
    </w:p>
    <w:p w:rsidR="00904C0B" w:rsidRDefault="00904C0B" w:rsidP="00B03397">
      <w:pPr>
        <w:jc w:val="both"/>
        <w:rPr>
          <w:sz w:val="28"/>
          <w:szCs w:val="28"/>
        </w:rPr>
      </w:pPr>
    </w:p>
    <w:p w:rsidR="00B03397" w:rsidRPr="00904C0B" w:rsidRDefault="005F1DED" w:rsidP="00904C0B">
      <w:pPr>
        <w:pStyle w:val="ListParagraph"/>
        <w:numPr>
          <w:ilvl w:val="0"/>
          <w:numId w:val="26"/>
        </w:numPr>
        <w:tabs>
          <w:tab w:val="left" w:pos="284"/>
        </w:tabs>
        <w:ind w:left="0" w:firstLine="0"/>
        <w:jc w:val="both"/>
        <w:rPr>
          <w:sz w:val="28"/>
          <w:szCs w:val="28"/>
        </w:rPr>
      </w:pPr>
      <w:r>
        <w:rPr>
          <w:b/>
          <w:sz w:val="28"/>
          <w:szCs w:val="28"/>
        </w:rPr>
        <w:t xml:space="preserve">Sabiedriskā apspriešana </w:t>
      </w:r>
      <w:r w:rsidRPr="005F1DED">
        <w:rPr>
          <w:b/>
          <w:sz w:val="28"/>
          <w:szCs w:val="28"/>
        </w:rPr>
        <w:t>par alternatīvas strīdu izšķiršanas</w:t>
      </w:r>
      <w:r>
        <w:rPr>
          <w:b/>
          <w:sz w:val="28"/>
          <w:szCs w:val="28"/>
        </w:rPr>
        <w:t xml:space="preserve"> i</w:t>
      </w:r>
      <w:r w:rsidRPr="005F1DED">
        <w:rPr>
          <w:b/>
          <w:sz w:val="28"/>
          <w:szCs w:val="28"/>
        </w:rPr>
        <w:t>zmantošanu</w:t>
      </w:r>
    </w:p>
    <w:p w:rsidR="00904C0B" w:rsidRPr="00904C0B" w:rsidRDefault="00904C0B" w:rsidP="00904C0B">
      <w:pPr>
        <w:tabs>
          <w:tab w:val="left" w:pos="284"/>
        </w:tabs>
        <w:jc w:val="both"/>
        <w:rPr>
          <w:i/>
          <w:sz w:val="28"/>
          <w:szCs w:val="28"/>
        </w:rPr>
      </w:pPr>
      <w:r w:rsidRPr="00904C0B">
        <w:rPr>
          <w:i/>
          <w:sz w:val="28"/>
          <w:szCs w:val="28"/>
        </w:rPr>
        <w:t>-</w:t>
      </w:r>
      <w:r w:rsidRPr="00904C0B">
        <w:rPr>
          <w:i/>
          <w:sz w:val="28"/>
          <w:szCs w:val="28"/>
        </w:rPr>
        <w:tab/>
        <w:t>Komisijas informācija</w:t>
      </w:r>
    </w:p>
    <w:p w:rsidR="00B03397" w:rsidRDefault="00B03397" w:rsidP="00B03397">
      <w:pPr>
        <w:jc w:val="both"/>
        <w:rPr>
          <w:sz w:val="28"/>
          <w:szCs w:val="28"/>
        </w:rPr>
      </w:pPr>
    </w:p>
    <w:p w:rsidR="00B56BD0" w:rsidRPr="00B56BD0" w:rsidRDefault="00B56BD0" w:rsidP="00B56BD0">
      <w:pPr>
        <w:jc w:val="both"/>
        <w:rPr>
          <w:bCs/>
          <w:sz w:val="28"/>
          <w:szCs w:val="28"/>
        </w:rPr>
      </w:pPr>
      <w:r>
        <w:rPr>
          <w:sz w:val="28"/>
          <w:szCs w:val="28"/>
        </w:rPr>
        <w:tab/>
      </w:r>
      <w:r>
        <w:rPr>
          <w:bCs/>
          <w:sz w:val="28"/>
          <w:szCs w:val="28"/>
        </w:rPr>
        <w:t>2011. gada 18.janvārī</w:t>
      </w:r>
      <w:r w:rsidRPr="00B56BD0">
        <w:rPr>
          <w:bCs/>
          <w:sz w:val="28"/>
          <w:szCs w:val="28"/>
        </w:rPr>
        <w:t xml:space="preserve"> Komisija ir uzsākusi </w:t>
      </w:r>
      <w:r w:rsidR="005F1DED">
        <w:rPr>
          <w:bCs/>
          <w:sz w:val="28"/>
          <w:szCs w:val="28"/>
        </w:rPr>
        <w:t>sabiedrisko apspriešanu</w:t>
      </w:r>
      <w:r w:rsidRPr="00B56BD0">
        <w:rPr>
          <w:bCs/>
          <w:sz w:val="28"/>
          <w:szCs w:val="28"/>
        </w:rPr>
        <w:t xml:space="preserve"> par alternatīvas strīdu izšķiršanas (</w:t>
      </w:r>
      <w:r w:rsidRPr="00B56BD0">
        <w:rPr>
          <w:bCs/>
          <w:i/>
          <w:sz w:val="28"/>
          <w:szCs w:val="28"/>
        </w:rPr>
        <w:t>ADR</w:t>
      </w:r>
      <w:r w:rsidRPr="00B56BD0">
        <w:rPr>
          <w:bCs/>
          <w:sz w:val="28"/>
          <w:szCs w:val="28"/>
        </w:rPr>
        <w:t xml:space="preserve"> – </w:t>
      </w:r>
      <w:r w:rsidRPr="00B56BD0">
        <w:rPr>
          <w:bCs/>
          <w:i/>
          <w:sz w:val="28"/>
          <w:szCs w:val="28"/>
        </w:rPr>
        <w:t xml:space="preserve">Alternative Dispute Resolution) </w:t>
      </w:r>
      <w:r w:rsidRPr="00B56BD0">
        <w:rPr>
          <w:bCs/>
          <w:sz w:val="28"/>
          <w:szCs w:val="28"/>
        </w:rPr>
        <w:t xml:space="preserve">izmantošanu, lai risinātu strīdus, kas radušies saistībā ar komerciāliem darījumiem un praksi </w:t>
      </w:r>
      <w:r w:rsidR="004B1EFF">
        <w:rPr>
          <w:bCs/>
          <w:sz w:val="28"/>
          <w:szCs w:val="28"/>
        </w:rPr>
        <w:t>ES</w:t>
      </w:r>
      <w:r>
        <w:rPr>
          <w:bCs/>
          <w:sz w:val="28"/>
          <w:szCs w:val="28"/>
        </w:rPr>
        <w:t xml:space="preserve">. </w:t>
      </w:r>
    </w:p>
    <w:p w:rsidR="00B56BD0" w:rsidRPr="00B56BD0" w:rsidRDefault="00B56BD0" w:rsidP="00B56BD0">
      <w:pPr>
        <w:ind w:firstLine="720"/>
        <w:jc w:val="both"/>
        <w:rPr>
          <w:bCs/>
          <w:sz w:val="28"/>
          <w:szCs w:val="28"/>
        </w:rPr>
      </w:pPr>
      <w:r>
        <w:rPr>
          <w:bCs/>
          <w:sz w:val="28"/>
          <w:szCs w:val="28"/>
        </w:rPr>
        <w:t xml:space="preserve">ADR mehānismi nodrošina to, ka patērētāji var efektīvi izmantot plašu tiesību kopumu, ko nosaka ES tiesību akti. </w:t>
      </w:r>
      <w:r w:rsidRPr="00B56BD0">
        <w:rPr>
          <w:sz w:val="28"/>
          <w:szCs w:val="28"/>
        </w:rPr>
        <w:t xml:space="preserve">Alternatīva strīdu risināšana kā jēdziens ietver sevī ļoti plašu strīdu risināšanas mehānismu loku, pēc būtības ietverot sevī visus mehānismus, kas neizpaužas kā process tiesā. </w:t>
      </w:r>
      <w:r w:rsidRPr="00B56BD0">
        <w:rPr>
          <w:bCs/>
          <w:sz w:val="28"/>
          <w:szCs w:val="28"/>
        </w:rPr>
        <w:t xml:space="preserve">Šobrīd </w:t>
      </w:r>
      <w:r>
        <w:rPr>
          <w:bCs/>
          <w:sz w:val="28"/>
          <w:szCs w:val="28"/>
        </w:rPr>
        <w:t>ES</w:t>
      </w:r>
      <w:r w:rsidRPr="00B56BD0">
        <w:rPr>
          <w:bCs/>
          <w:sz w:val="28"/>
          <w:szCs w:val="28"/>
        </w:rPr>
        <w:t xml:space="preserve"> dalībvalstīs ir izveidotas aptuveni 750  dažādas ADR sistēmas.</w:t>
      </w:r>
    </w:p>
    <w:p w:rsidR="00B56BD0" w:rsidRDefault="005F1DED" w:rsidP="00B56BD0">
      <w:pPr>
        <w:ind w:firstLine="720"/>
        <w:jc w:val="both"/>
        <w:rPr>
          <w:sz w:val="28"/>
          <w:szCs w:val="28"/>
        </w:rPr>
      </w:pPr>
      <w:r>
        <w:rPr>
          <w:sz w:val="28"/>
          <w:szCs w:val="28"/>
        </w:rPr>
        <w:t>Sabiedriskās apspriešanas</w:t>
      </w:r>
      <w:r w:rsidR="00B56BD0" w:rsidRPr="00B56BD0">
        <w:rPr>
          <w:sz w:val="28"/>
          <w:szCs w:val="28"/>
        </w:rPr>
        <w:t xml:space="preserve"> mērķis ir noskaidrot ieinteresēto personu viedokli par grūtībām, ar kurām tās saskaras, izmantojot ADR mehānismus </w:t>
      </w:r>
      <w:r w:rsidR="00B56BD0">
        <w:rPr>
          <w:sz w:val="28"/>
          <w:szCs w:val="28"/>
        </w:rPr>
        <w:t>ES</w:t>
      </w:r>
      <w:r w:rsidR="00B56BD0" w:rsidRPr="00B56BD0">
        <w:rPr>
          <w:sz w:val="28"/>
          <w:szCs w:val="28"/>
        </w:rPr>
        <w:t xml:space="preserve"> dalībvalstīs un par iespējamiem veidiem, kā varētu uzlabot ADR izmantošanu </w:t>
      </w:r>
      <w:r w:rsidR="00B56BD0">
        <w:rPr>
          <w:sz w:val="28"/>
          <w:szCs w:val="28"/>
        </w:rPr>
        <w:t>ES</w:t>
      </w:r>
      <w:r w:rsidR="00B56BD0" w:rsidRPr="00B56BD0">
        <w:rPr>
          <w:sz w:val="28"/>
          <w:szCs w:val="28"/>
        </w:rPr>
        <w:t>. Dažādos pētījumos par ADR sistēmām dalībvalstīs ir identificētas vairākas problēmas, kas atspoguļotas publiskajā konsultācijā, piemēram, nepietiekama patērētāju un uzņēmumu informētība par ADR,  uzņēmēju</w:t>
      </w:r>
      <w:r w:rsidR="00B56BD0" w:rsidRPr="00B56BD0">
        <w:rPr>
          <w:bCs/>
          <w:sz w:val="28"/>
          <w:szCs w:val="28"/>
        </w:rPr>
        <w:t xml:space="preserve"> nepietiekama iesaistīšanās, kā arī </w:t>
      </w:r>
      <w:r w:rsidR="00B56BD0" w:rsidRPr="00B56BD0">
        <w:rPr>
          <w:sz w:val="28"/>
          <w:szCs w:val="28"/>
        </w:rPr>
        <w:t xml:space="preserve"> nepilnības ADR pārklājumā, kuras kavē ADR efektīvu darbību visā </w:t>
      </w:r>
      <w:r w:rsidR="00B56BD0">
        <w:rPr>
          <w:sz w:val="28"/>
          <w:szCs w:val="28"/>
        </w:rPr>
        <w:t>ES</w:t>
      </w:r>
      <w:r w:rsidR="00B56BD0" w:rsidRPr="00B56BD0">
        <w:rPr>
          <w:sz w:val="28"/>
          <w:szCs w:val="28"/>
        </w:rPr>
        <w:t>.</w:t>
      </w:r>
      <w:r w:rsidR="00B56BD0">
        <w:rPr>
          <w:sz w:val="28"/>
          <w:szCs w:val="28"/>
        </w:rPr>
        <w:t xml:space="preserve"> </w:t>
      </w:r>
    </w:p>
    <w:p w:rsidR="00B56BD0" w:rsidRDefault="00B56BD0" w:rsidP="00B56BD0">
      <w:pPr>
        <w:ind w:firstLine="720"/>
        <w:jc w:val="both"/>
        <w:rPr>
          <w:sz w:val="28"/>
          <w:szCs w:val="28"/>
        </w:rPr>
      </w:pPr>
      <w:r>
        <w:rPr>
          <w:sz w:val="28"/>
          <w:szCs w:val="28"/>
        </w:rPr>
        <w:t>Lat</w:t>
      </w:r>
      <w:r w:rsidR="005F1DED">
        <w:rPr>
          <w:sz w:val="28"/>
          <w:szCs w:val="28"/>
        </w:rPr>
        <w:t>vija plāno sniegt viedokli par apspriešanas</w:t>
      </w:r>
      <w:r>
        <w:rPr>
          <w:sz w:val="28"/>
          <w:szCs w:val="28"/>
        </w:rPr>
        <w:t xml:space="preserve"> jautājumiem līdz 2011.gada 15.martam. Pašlaik EM aktīvi darbojas pie nacionālās pozīcijas izstrādes.</w:t>
      </w:r>
    </w:p>
    <w:p w:rsidR="00B56BD0" w:rsidRPr="00B56BD0" w:rsidRDefault="00B56BD0" w:rsidP="00B56BD0">
      <w:pPr>
        <w:jc w:val="both"/>
        <w:rPr>
          <w:bCs/>
          <w:sz w:val="28"/>
          <w:szCs w:val="28"/>
        </w:rPr>
      </w:pPr>
    </w:p>
    <w:p w:rsidR="00904C0B" w:rsidRPr="00DA29C9" w:rsidRDefault="00904C0B" w:rsidP="00904C0B">
      <w:pPr>
        <w:pBdr>
          <w:bottom w:val="single" w:sz="4" w:space="1" w:color="auto"/>
        </w:pBdr>
        <w:tabs>
          <w:tab w:val="left" w:pos="9288"/>
        </w:tabs>
        <w:spacing w:after="120"/>
        <w:jc w:val="both"/>
        <w:rPr>
          <w:b/>
          <w:sz w:val="28"/>
          <w:szCs w:val="28"/>
        </w:rPr>
      </w:pPr>
      <w:r>
        <w:rPr>
          <w:b/>
          <w:sz w:val="28"/>
          <w:szCs w:val="28"/>
        </w:rPr>
        <w:t>1.7</w:t>
      </w:r>
      <w:r w:rsidRPr="00DA29C9">
        <w:rPr>
          <w:b/>
          <w:sz w:val="28"/>
          <w:szCs w:val="28"/>
        </w:rPr>
        <w:t xml:space="preserve">. </w:t>
      </w:r>
      <w:r>
        <w:rPr>
          <w:b/>
          <w:sz w:val="28"/>
          <w:szCs w:val="28"/>
        </w:rPr>
        <w:t>Citi jautājumi – Rūpniecība</w:t>
      </w:r>
    </w:p>
    <w:p w:rsidR="00B03397" w:rsidRPr="00A0668A" w:rsidRDefault="005A18ED" w:rsidP="00A0668A">
      <w:pPr>
        <w:pStyle w:val="ListParagraph"/>
        <w:numPr>
          <w:ilvl w:val="0"/>
          <w:numId w:val="26"/>
        </w:numPr>
        <w:tabs>
          <w:tab w:val="left" w:pos="284"/>
        </w:tabs>
        <w:ind w:left="0" w:firstLine="0"/>
        <w:jc w:val="both"/>
        <w:rPr>
          <w:b/>
          <w:sz w:val="28"/>
          <w:szCs w:val="28"/>
        </w:rPr>
      </w:pPr>
      <w:r>
        <w:rPr>
          <w:b/>
          <w:sz w:val="28"/>
          <w:szCs w:val="28"/>
        </w:rPr>
        <w:t xml:space="preserve">Mazās uzņēmējdarbības akta </w:t>
      </w:r>
      <w:r w:rsidR="003148EC">
        <w:rPr>
          <w:b/>
          <w:sz w:val="28"/>
          <w:szCs w:val="28"/>
        </w:rPr>
        <w:t>starp</w:t>
      </w:r>
      <w:r>
        <w:rPr>
          <w:b/>
          <w:sz w:val="28"/>
          <w:szCs w:val="28"/>
        </w:rPr>
        <w:t>posma pārskats</w:t>
      </w:r>
    </w:p>
    <w:p w:rsidR="00A0668A" w:rsidRPr="00A0668A" w:rsidRDefault="00A0668A" w:rsidP="00A0668A">
      <w:pPr>
        <w:tabs>
          <w:tab w:val="left" w:pos="284"/>
        </w:tabs>
        <w:jc w:val="both"/>
        <w:rPr>
          <w:i/>
          <w:sz w:val="28"/>
          <w:szCs w:val="28"/>
        </w:rPr>
      </w:pPr>
      <w:r w:rsidRPr="00A0668A">
        <w:rPr>
          <w:i/>
          <w:sz w:val="28"/>
          <w:szCs w:val="28"/>
        </w:rPr>
        <w:t>-</w:t>
      </w:r>
      <w:r w:rsidRPr="00A0668A">
        <w:rPr>
          <w:i/>
          <w:sz w:val="28"/>
          <w:szCs w:val="28"/>
        </w:rPr>
        <w:tab/>
        <w:t>Komisijas prezentācija</w:t>
      </w:r>
    </w:p>
    <w:p w:rsidR="00A0668A" w:rsidRDefault="00924B70" w:rsidP="00B03397">
      <w:pPr>
        <w:jc w:val="both"/>
        <w:rPr>
          <w:sz w:val="28"/>
          <w:szCs w:val="28"/>
        </w:rPr>
      </w:pPr>
      <w:r>
        <w:rPr>
          <w:sz w:val="28"/>
          <w:szCs w:val="28"/>
        </w:rPr>
        <w:tab/>
      </w:r>
    </w:p>
    <w:p w:rsidR="002609E5" w:rsidRDefault="00924B70" w:rsidP="002609E5">
      <w:pPr>
        <w:autoSpaceDE w:val="0"/>
        <w:autoSpaceDN w:val="0"/>
        <w:adjustRightInd w:val="0"/>
        <w:jc w:val="both"/>
        <w:rPr>
          <w:sz w:val="28"/>
          <w:szCs w:val="28"/>
        </w:rPr>
      </w:pPr>
      <w:r>
        <w:rPr>
          <w:sz w:val="28"/>
          <w:szCs w:val="28"/>
        </w:rPr>
        <w:lastRenderedPageBreak/>
        <w:tab/>
      </w:r>
      <w:r w:rsidR="003148EC">
        <w:rPr>
          <w:sz w:val="28"/>
          <w:szCs w:val="28"/>
        </w:rPr>
        <w:t xml:space="preserve">2011. gada </w:t>
      </w:r>
      <w:r w:rsidR="004E4F37">
        <w:rPr>
          <w:sz w:val="28"/>
          <w:szCs w:val="28"/>
        </w:rPr>
        <w:t>ir pagājuši</w:t>
      </w:r>
      <w:r w:rsidR="003148EC">
        <w:rPr>
          <w:sz w:val="28"/>
          <w:szCs w:val="28"/>
        </w:rPr>
        <w:t xml:space="preserve"> divi gadi kopš Komisija </w:t>
      </w:r>
      <w:r w:rsidR="003148EC" w:rsidRPr="003148EC">
        <w:rPr>
          <w:sz w:val="28"/>
          <w:szCs w:val="28"/>
        </w:rPr>
        <w:t>integrē</w:t>
      </w:r>
      <w:r w:rsidR="003148EC">
        <w:rPr>
          <w:sz w:val="28"/>
          <w:szCs w:val="28"/>
        </w:rPr>
        <w:t>ja</w:t>
      </w:r>
      <w:r w:rsidR="003148EC">
        <w:t xml:space="preserve"> </w:t>
      </w:r>
      <w:r w:rsidR="004E4F37">
        <w:rPr>
          <w:sz w:val="28"/>
          <w:szCs w:val="28"/>
        </w:rPr>
        <w:t>principu</w:t>
      </w:r>
      <w:r w:rsidR="003148EC" w:rsidRPr="003148EC">
        <w:rPr>
          <w:sz w:val="28"/>
          <w:szCs w:val="28"/>
        </w:rPr>
        <w:t xml:space="preserve"> „domā par mazajiem vispirms” pielietojumu uzņēmējdarbības politikas dokument</w:t>
      </w:r>
      <w:r w:rsidR="003148EC">
        <w:rPr>
          <w:sz w:val="28"/>
          <w:szCs w:val="28"/>
        </w:rPr>
        <w:t>os,</w:t>
      </w:r>
      <w:r w:rsidR="003148EC" w:rsidRPr="003148EC">
        <w:rPr>
          <w:sz w:val="28"/>
          <w:szCs w:val="28"/>
        </w:rPr>
        <w:t xml:space="preserve"> </w:t>
      </w:r>
      <w:r w:rsidR="003148EC">
        <w:rPr>
          <w:sz w:val="28"/>
          <w:szCs w:val="28"/>
        </w:rPr>
        <w:t xml:space="preserve">apstiprinot </w:t>
      </w:r>
      <w:r w:rsidR="005A18ED">
        <w:rPr>
          <w:sz w:val="28"/>
          <w:szCs w:val="28"/>
        </w:rPr>
        <w:t>Mazās uzņēmējdarbības akt</w:t>
      </w:r>
      <w:r w:rsidR="003148EC">
        <w:rPr>
          <w:sz w:val="28"/>
          <w:szCs w:val="28"/>
        </w:rPr>
        <w:t>u</w:t>
      </w:r>
      <w:r w:rsidR="005A18ED">
        <w:rPr>
          <w:sz w:val="28"/>
          <w:szCs w:val="28"/>
        </w:rPr>
        <w:t xml:space="preserve"> (</w:t>
      </w:r>
      <w:r w:rsidR="005A18ED" w:rsidRPr="005A18ED">
        <w:rPr>
          <w:i/>
          <w:sz w:val="28"/>
          <w:szCs w:val="28"/>
        </w:rPr>
        <w:t>Small Business Act</w:t>
      </w:r>
      <w:r w:rsidR="005A18ED">
        <w:rPr>
          <w:sz w:val="28"/>
          <w:szCs w:val="28"/>
        </w:rPr>
        <w:t>, turpmāk – SBA)</w:t>
      </w:r>
      <w:r w:rsidR="003148EC">
        <w:rPr>
          <w:sz w:val="28"/>
          <w:szCs w:val="28"/>
        </w:rPr>
        <w:t>. 2011.gada 23. februār</w:t>
      </w:r>
      <w:r w:rsidR="004E4F37">
        <w:rPr>
          <w:sz w:val="28"/>
          <w:szCs w:val="28"/>
        </w:rPr>
        <w:t>ī</w:t>
      </w:r>
      <w:r w:rsidR="003148EC">
        <w:rPr>
          <w:sz w:val="28"/>
          <w:szCs w:val="28"/>
        </w:rPr>
        <w:t xml:space="preserve"> Komisija nāca klājā ar SBA </w:t>
      </w:r>
      <w:r w:rsidR="003148EC" w:rsidRPr="003148EC">
        <w:rPr>
          <w:sz w:val="28"/>
          <w:szCs w:val="28"/>
        </w:rPr>
        <w:t>starpposma pārskat</w:t>
      </w:r>
      <w:r w:rsidR="003148EC">
        <w:rPr>
          <w:sz w:val="28"/>
          <w:szCs w:val="28"/>
        </w:rPr>
        <w:t>u, kas ietver gan analīzi par progresu, kas tika sasniegts SBA divu gadu laikā, gan jaunus darbības virzienus, kas vērsti uz ekonomiskās krīzes izaicinājumu pārvarēšanu. Pirmkārt, Komisija uzsver, ka kopš SBA</w:t>
      </w:r>
      <w:r w:rsidR="003148EC" w:rsidRPr="003148EC">
        <w:rPr>
          <w:sz w:val="28"/>
          <w:szCs w:val="28"/>
        </w:rPr>
        <w:t xml:space="preserve"> pieņemšanas 2008. gadā panākti ievērojami uzlabojumi, veicot pasākumus, lai</w:t>
      </w:r>
      <w:r w:rsidR="003148EC">
        <w:rPr>
          <w:sz w:val="28"/>
          <w:szCs w:val="28"/>
        </w:rPr>
        <w:t xml:space="preserve"> vairākās jomās stiprinātu MVU. Svarīgi ir arī tas, ka </w:t>
      </w:r>
      <w:r w:rsidR="003148EC" w:rsidRPr="003148EC">
        <w:rPr>
          <w:sz w:val="28"/>
          <w:szCs w:val="28"/>
        </w:rPr>
        <w:t>Komisija</w:t>
      </w:r>
      <w:r w:rsidR="003148EC">
        <w:rPr>
          <w:sz w:val="28"/>
          <w:szCs w:val="28"/>
        </w:rPr>
        <w:t xml:space="preserve"> pārskatā vēlreiz</w:t>
      </w:r>
      <w:r w:rsidR="003148EC" w:rsidRPr="003148EC">
        <w:rPr>
          <w:sz w:val="28"/>
          <w:szCs w:val="28"/>
        </w:rPr>
        <w:t xml:space="preserve"> </w:t>
      </w:r>
      <w:r w:rsidR="003148EC">
        <w:rPr>
          <w:sz w:val="28"/>
          <w:szCs w:val="28"/>
        </w:rPr>
        <w:t xml:space="preserve">izrāda apņēmību </w:t>
      </w:r>
      <w:r w:rsidR="003148EC" w:rsidRPr="003148EC">
        <w:rPr>
          <w:sz w:val="28"/>
          <w:szCs w:val="28"/>
        </w:rPr>
        <w:t>arī turpmāk MVU atzīt par prioritāru jomu.</w:t>
      </w:r>
      <w:r w:rsidR="003148EC">
        <w:rPr>
          <w:sz w:val="28"/>
          <w:szCs w:val="28"/>
        </w:rPr>
        <w:t xml:space="preserve"> Otrkārt, Komisija uzsver, ka SBA ir jāsni</w:t>
      </w:r>
      <w:r w:rsidR="002609E5">
        <w:rPr>
          <w:sz w:val="28"/>
          <w:szCs w:val="28"/>
        </w:rPr>
        <w:t xml:space="preserve">edz ieguldījums stratēģijas „ES </w:t>
      </w:r>
      <w:r w:rsidR="003148EC">
        <w:rPr>
          <w:sz w:val="28"/>
          <w:szCs w:val="28"/>
        </w:rPr>
        <w:t>2020” mērķu sasniegšanā.</w:t>
      </w:r>
      <w:r w:rsidR="002609E5">
        <w:rPr>
          <w:sz w:val="28"/>
          <w:szCs w:val="28"/>
        </w:rPr>
        <w:t xml:space="preserve"> L</w:t>
      </w:r>
      <w:r w:rsidR="003148EC" w:rsidRPr="002609E5">
        <w:rPr>
          <w:sz w:val="28"/>
          <w:szCs w:val="28"/>
        </w:rPr>
        <w:t xml:space="preserve">ai </w:t>
      </w:r>
      <w:r w:rsidR="002609E5">
        <w:rPr>
          <w:sz w:val="28"/>
          <w:szCs w:val="28"/>
        </w:rPr>
        <w:t xml:space="preserve">SBA </w:t>
      </w:r>
      <w:r w:rsidR="003148EC" w:rsidRPr="002609E5">
        <w:rPr>
          <w:sz w:val="28"/>
          <w:szCs w:val="28"/>
        </w:rPr>
        <w:t>pielāgotu stratēģijas “</w:t>
      </w:r>
      <w:r w:rsidR="002609E5">
        <w:rPr>
          <w:sz w:val="28"/>
          <w:szCs w:val="28"/>
        </w:rPr>
        <w:t>ES</w:t>
      </w:r>
      <w:r w:rsidR="003148EC" w:rsidRPr="002609E5">
        <w:rPr>
          <w:sz w:val="28"/>
          <w:szCs w:val="28"/>
        </w:rPr>
        <w:t xml:space="preserve"> 2020” prioritātēm un turpinātu uzlabot uzņēmējdarbības vidi </w:t>
      </w:r>
      <w:r w:rsidR="002609E5">
        <w:rPr>
          <w:sz w:val="28"/>
          <w:szCs w:val="28"/>
        </w:rPr>
        <w:t>MVU</w:t>
      </w:r>
      <w:r w:rsidR="003148EC" w:rsidRPr="002609E5">
        <w:rPr>
          <w:sz w:val="28"/>
          <w:szCs w:val="28"/>
        </w:rPr>
        <w:t>, pārskatā ierosināti turpmāki pasākumi vairākās prioritārās jomās.</w:t>
      </w:r>
    </w:p>
    <w:p w:rsidR="005A18ED" w:rsidRDefault="002609E5" w:rsidP="002609E5">
      <w:pPr>
        <w:autoSpaceDE w:val="0"/>
        <w:autoSpaceDN w:val="0"/>
        <w:adjustRightInd w:val="0"/>
        <w:jc w:val="both"/>
        <w:rPr>
          <w:sz w:val="28"/>
          <w:szCs w:val="28"/>
        </w:rPr>
      </w:pPr>
      <w:r>
        <w:rPr>
          <w:sz w:val="28"/>
          <w:szCs w:val="28"/>
        </w:rPr>
        <w:tab/>
      </w:r>
      <w:r>
        <w:rPr>
          <w:rFonts w:eastAsiaTheme="minorHAnsi"/>
          <w:lang w:eastAsia="en-US"/>
        </w:rPr>
        <w:t xml:space="preserve"> </w:t>
      </w:r>
      <w:r>
        <w:rPr>
          <w:sz w:val="28"/>
          <w:szCs w:val="28"/>
        </w:rPr>
        <w:t>Plānots, ka</w:t>
      </w:r>
      <w:r w:rsidRPr="00F46112">
        <w:rPr>
          <w:sz w:val="28"/>
          <w:szCs w:val="28"/>
        </w:rPr>
        <w:t xml:space="preserve"> </w:t>
      </w:r>
      <w:r>
        <w:rPr>
          <w:sz w:val="28"/>
          <w:szCs w:val="28"/>
        </w:rPr>
        <w:t>š.g. 10.marta sanāksmē Komisija sniegs informāciju par SBA starpposma pārskatu.</w:t>
      </w:r>
    </w:p>
    <w:p w:rsidR="00A0668A" w:rsidRDefault="00A0668A" w:rsidP="00B03397">
      <w:pPr>
        <w:jc w:val="both"/>
        <w:rPr>
          <w:sz w:val="28"/>
          <w:szCs w:val="28"/>
        </w:rPr>
      </w:pPr>
    </w:p>
    <w:p w:rsidR="00B03397" w:rsidRPr="00A0668A" w:rsidRDefault="00485409" w:rsidP="00A0668A">
      <w:pPr>
        <w:pStyle w:val="ListParagraph"/>
        <w:numPr>
          <w:ilvl w:val="0"/>
          <w:numId w:val="26"/>
        </w:numPr>
        <w:tabs>
          <w:tab w:val="left" w:pos="284"/>
        </w:tabs>
        <w:ind w:left="0" w:firstLine="0"/>
        <w:jc w:val="both"/>
        <w:rPr>
          <w:b/>
          <w:sz w:val="28"/>
          <w:szCs w:val="28"/>
        </w:rPr>
      </w:pPr>
      <w:r>
        <w:rPr>
          <w:b/>
          <w:sz w:val="28"/>
          <w:szCs w:val="28"/>
        </w:rPr>
        <w:t xml:space="preserve">Komisijas paziņojums „ </w:t>
      </w:r>
      <w:r w:rsidRPr="00485409">
        <w:rPr>
          <w:b/>
          <w:sz w:val="28"/>
          <w:szCs w:val="28"/>
        </w:rPr>
        <w:t>Elektronisko rēķinu Eiropai sniegtie ieguvumi</w:t>
      </w:r>
      <w:r>
        <w:rPr>
          <w:b/>
          <w:sz w:val="28"/>
          <w:szCs w:val="28"/>
        </w:rPr>
        <w:t>”</w:t>
      </w:r>
    </w:p>
    <w:p w:rsidR="00A0668A" w:rsidRPr="00A0668A" w:rsidRDefault="00A0668A" w:rsidP="00A0668A">
      <w:pPr>
        <w:tabs>
          <w:tab w:val="left" w:pos="284"/>
        </w:tabs>
        <w:jc w:val="both"/>
        <w:rPr>
          <w:i/>
          <w:sz w:val="28"/>
          <w:szCs w:val="28"/>
        </w:rPr>
      </w:pPr>
      <w:r w:rsidRPr="00A0668A">
        <w:rPr>
          <w:i/>
          <w:sz w:val="28"/>
          <w:szCs w:val="28"/>
        </w:rPr>
        <w:t>-</w:t>
      </w:r>
      <w:r w:rsidRPr="00A0668A">
        <w:rPr>
          <w:i/>
          <w:sz w:val="28"/>
          <w:szCs w:val="28"/>
        </w:rPr>
        <w:tab/>
        <w:t>Komisijas prezentācija</w:t>
      </w:r>
    </w:p>
    <w:p w:rsidR="00B03397" w:rsidRDefault="00B03397" w:rsidP="00485409">
      <w:pPr>
        <w:ind w:firstLine="851"/>
        <w:jc w:val="both"/>
        <w:rPr>
          <w:sz w:val="28"/>
          <w:szCs w:val="28"/>
        </w:rPr>
      </w:pPr>
    </w:p>
    <w:p w:rsidR="002D6A46" w:rsidRDefault="002D6A46" w:rsidP="00485409">
      <w:pPr>
        <w:ind w:firstLine="851"/>
        <w:jc w:val="both"/>
        <w:rPr>
          <w:sz w:val="28"/>
          <w:szCs w:val="28"/>
        </w:rPr>
      </w:pPr>
      <w:r>
        <w:rPr>
          <w:sz w:val="28"/>
          <w:szCs w:val="28"/>
        </w:rPr>
        <w:t xml:space="preserve">2010. gada 2. decembrī Komisija prezentēja paziņojumu </w:t>
      </w:r>
      <w:r w:rsidRPr="002D6A46">
        <w:rPr>
          <w:sz w:val="28"/>
          <w:szCs w:val="28"/>
        </w:rPr>
        <w:t>„ Elektronisko rēķinu Eiropai sniegtie ieguvumi”</w:t>
      </w:r>
      <w:r>
        <w:rPr>
          <w:sz w:val="28"/>
          <w:szCs w:val="28"/>
        </w:rPr>
        <w:t xml:space="preserve">, kurā tiek identificēts pasākumu kopums, lai veicinātu elektronisko rēķinu (e-rēķinu) lietošanas prakses pārņemšanu, kā arī ekspertu grupas rekomendācijas. </w:t>
      </w:r>
      <w:r w:rsidR="00AA3CE0">
        <w:rPr>
          <w:sz w:val="28"/>
          <w:szCs w:val="28"/>
        </w:rPr>
        <w:t>E</w:t>
      </w:r>
      <w:r w:rsidR="004B1EFF">
        <w:rPr>
          <w:sz w:val="28"/>
          <w:szCs w:val="28"/>
        </w:rPr>
        <w:t xml:space="preserve">-rēķini ir daļa no </w:t>
      </w:r>
      <w:r w:rsidR="00AA3CE0" w:rsidRPr="00AA3CE0">
        <w:rPr>
          <w:sz w:val="28"/>
          <w:szCs w:val="28"/>
        </w:rPr>
        <w:t>Komisijas iniciatīvas Digitālā programma Eiropai</w:t>
      </w:r>
      <w:r w:rsidR="00AA3CE0">
        <w:rPr>
          <w:sz w:val="28"/>
          <w:szCs w:val="28"/>
        </w:rPr>
        <w:t xml:space="preserve">, </w:t>
      </w:r>
      <w:r w:rsidR="00AA3CE0" w:rsidRPr="00AA3CE0">
        <w:rPr>
          <w:sz w:val="28"/>
          <w:szCs w:val="28"/>
        </w:rPr>
        <w:t>kas dod iespēju panākt vienotu digitālo tirgu un aicina novērst regulējošos un tehniskos šķēršļus, kas kavē masveida e- rēķinu izmantošanu</w:t>
      </w:r>
      <w:r w:rsidR="00AA3CE0">
        <w:rPr>
          <w:sz w:val="28"/>
          <w:szCs w:val="28"/>
        </w:rPr>
        <w:t>.</w:t>
      </w:r>
    </w:p>
    <w:p w:rsidR="00C93E8A" w:rsidRPr="00C93E8A" w:rsidRDefault="00AA3CE0" w:rsidP="00C93E8A">
      <w:pPr>
        <w:ind w:firstLine="851"/>
        <w:jc w:val="both"/>
        <w:rPr>
          <w:sz w:val="28"/>
          <w:szCs w:val="28"/>
        </w:rPr>
      </w:pPr>
      <w:r>
        <w:rPr>
          <w:sz w:val="28"/>
          <w:szCs w:val="28"/>
        </w:rPr>
        <w:t>ES</w:t>
      </w:r>
      <w:r w:rsidRPr="00AA3CE0">
        <w:rPr>
          <w:sz w:val="28"/>
          <w:szCs w:val="28"/>
        </w:rPr>
        <w:t xml:space="preserve"> spēkā esošie noteikumi, kuri reglamentē e-rēķinus, </w:t>
      </w:r>
      <w:r>
        <w:rPr>
          <w:sz w:val="28"/>
          <w:szCs w:val="28"/>
        </w:rPr>
        <w:t>tāpēc</w:t>
      </w:r>
      <w:r w:rsidRPr="00AA3CE0">
        <w:rPr>
          <w:sz w:val="28"/>
          <w:szCs w:val="28"/>
        </w:rPr>
        <w:t xml:space="preserve"> lielākā daļa e-rēķinu poten</w:t>
      </w:r>
      <w:r>
        <w:rPr>
          <w:sz w:val="28"/>
          <w:szCs w:val="28"/>
        </w:rPr>
        <w:t xml:space="preserve">ciāla joprojām netiek izmantota. E-rēķini piedāvā ievērojamus ieguvumus salīdzinājumā ar papīra rēķiniem, tāpēc to potenciāla neizmantošana </w:t>
      </w:r>
      <w:r w:rsidR="009A2C41">
        <w:rPr>
          <w:sz w:val="28"/>
          <w:szCs w:val="28"/>
        </w:rPr>
        <w:t xml:space="preserve">var </w:t>
      </w:r>
      <w:r w:rsidRPr="00AA3CE0">
        <w:rPr>
          <w:sz w:val="28"/>
          <w:szCs w:val="28"/>
        </w:rPr>
        <w:t>kaitēt gan patērētājiem, gan uzņēmumiem.</w:t>
      </w:r>
      <w:r w:rsidR="00C93E8A">
        <w:rPr>
          <w:sz w:val="28"/>
          <w:szCs w:val="28"/>
        </w:rPr>
        <w:t xml:space="preserve"> Komisija sav</w:t>
      </w:r>
      <w:r w:rsidR="009A2C41">
        <w:rPr>
          <w:sz w:val="28"/>
          <w:szCs w:val="28"/>
        </w:rPr>
        <w:t>ā</w:t>
      </w:r>
      <w:r w:rsidR="00C93E8A">
        <w:rPr>
          <w:sz w:val="28"/>
          <w:szCs w:val="28"/>
        </w:rPr>
        <w:t xml:space="preserve"> paziņojum</w:t>
      </w:r>
      <w:r w:rsidR="009A2C41">
        <w:rPr>
          <w:sz w:val="28"/>
          <w:szCs w:val="28"/>
        </w:rPr>
        <w:t>ā</w:t>
      </w:r>
      <w:r w:rsidR="00C93E8A">
        <w:rPr>
          <w:sz w:val="28"/>
          <w:szCs w:val="28"/>
        </w:rPr>
        <w:t xml:space="preserve"> pauž vēlmi, </w:t>
      </w:r>
      <w:r w:rsidR="00C93E8A" w:rsidRPr="00C93E8A">
        <w:rPr>
          <w:sz w:val="28"/>
          <w:szCs w:val="28"/>
        </w:rPr>
        <w:t xml:space="preserve"> lai līdz 2020. gadam e- rēķini kļūtu vadošā rēķinu sastādīšanas metode Eiropā. </w:t>
      </w:r>
      <w:r w:rsidR="00C93E8A">
        <w:rPr>
          <w:sz w:val="28"/>
          <w:szCs w:val="28"/>
        </w:rPr>
        <w:t xml:space="preserve">Tāpat Komisija apņemas, </w:t>
      </w:r>
      <w:r w:rsidR="00C93E8A" w:rsidRPr="00C93E8A">
        <w:rPr>
          <w:sz w:val="28"/>
          <w:szCs w:val="28"/>
        </w:rPr>
        <w:t>cieši sadarboties ar dalībvalstīm un visām citām ieinteresētajām personām</w:t>
      </w:r>
      <w:r w:rsidR="00C93E8A">
        <w:rPr>
          <w:sz w:val="28"/>
          <w:szCs w:val="28"/>
        </w:rPr>
        <w:t>,</w:t>
      </w:r>
      <w:r w:rsidR="00C93E8A" w:rsidRPr="00C93E8A">
        <w:rPr>
          <w:sz w:val="28"/>
          <w:szCs w:val="28"/>
        </w:rPr>
        <w:t xml:space="preserve"> </w:t>
      </w:r>
      <w:r w:rsidR="00C93E8A">
        <w:rPr>
          <w:sz w:val="28"/>
          <w:szCs w:val="28"/>
        </w:rPr>
        <w:t xml:space="preserve">sasniegt šo mērķi un </w:t>
      </w:r>
      <w:r w:rsidR="00C93E8A" w:rsidRPr="00C93E8A">
        <w:rPr>
          <w:sz w:val="28"/>
          <w:szCs w:val="28"/>
        </w:rPr>
        <w:t>vērš uzmanību uz šādām prioritātēm:</w:t>
      </w:r>
    </w:p>
    <w:p w:rsidR="00C93E8A" w:rsidRPr="00C93E8A" w:rsidRDefault="00C93E8A" w:rsidP="00C93E8A">
      <w:pPr>
        <w:ind w:firstLine="851"/>
        <w:jc w:val="both"/>
        <w:rPr>
          <w:sz w:val="28"/>
          <w:szCs w:val="28"/>
        </w:rPr>
      </w:pPr>
      <w:r w:rsidRPr="00C93E8A">
        <w:rPr>
          <w:sz w:val="28"/>
          <w:szCs w:val="28"/>
        </w:rPr>
        <w:t>- nodrošināt e- rēķiniem juridisko noteiktību un skaidru tehnisko vidi, lai veicinātu to masveida izmantošanu,</w:t>
      </w:r>
    </w:p>
    <w:p w:rsidR="00C93E8A" w:rsidRPr="00C93E8A" w:rsidRDefault="00C93E8A" w:rsidP="00C93E8A">
      <w:pPr>
        <w:ind w:firstLine="851"/>
        <w:jc w:val="both"/>
        <w:rPr>
          <w:sz w:val="28"/>
          <w:szCs w:val="28"/>
        </w:rPr>
      </w:pPr>
      <w:r w:rsidRPr="00C93E8A">
        <w:rPr>
          <w:sz w:val="28"/>
          <w:szCs w:val="28"/>
        </w:rPr>
        <w:t>- veicināt un sekmēt pieejamu un savstarpēji izmantojamu e- rēķinu risinājumu izstrādi, pamatojoties uz kopīgu standartu, īpašu uzmanību pievēršot MVU vajadzībām,</w:t>
      </w:r>
    </w:p>
    <w:p w:rsidR="00AA3CE0" w:rsidRDefault="00C93E8A" w:rsidP="00C93E8A">
      <w:pPr>
        <w:ind w:firstLine="851"/>
        <w:jc w:val="both"/>
        <w:rPr>
          <w:sz w:val="28"/>
          <w:szCs w:val="28"/>
        </w:rPr>
      </w:pPr>
      <w:r w:rsidRPr="00C93E8A">
        <w:rPr>
          <w:sz w:val="28"/>
          <w:szCs w:val="28"/>
        </w:rPr>
        <w:t>- atbalstīt e-rēķinu ieviešanu, izveidojot organizatoriskas struktūras, piemēram, valsts e-rēķinu forumus un Eiropas daudzpusēju ieinteresēto personu e- rēķinu forumu.</w:t>
      </w:r>
      <w:r>
        <w:rPr>
          <w:sz w:val="28"/>
          <w:szCs w:val="28"/>
        </w:rPr>
        <w:t xml:space="preserve"> </w:t>
      </w:r>
    </w:p>
    <w:p w:rsidR="00F46112" w:rsidRDefault="00F46112" w:rsidP="00C93E8A">
      <w:pPr>
        <w:ind w:firstLine="851"/>
        <w:jc w:val="both"/>
        <w:rPr>
          <w:sz w:val="28"/>
          <w:szCs w:val="28"/>
        </w:rPr>
      </w:pPr>
      <w:r>
        <w:rPr>
          <w:sz w:val="28"/>
          <w:szCs w:val="28"/>
        </w:rPr>
        <w:lastRenderedPageBreak/>
        <w:t>Plānots, ka</w:t>
      </w:r>
      <w:r w:rsidRPr="00F46112">
        <w:rPr>
          <w:sz w:val="28"/>
          <w:szCs w:val="28"/>
        </w:rPr>
        <w:t xml:space="preserve"> </w:t>
      </w:r>
      <w:r>
        <w:rPr>
          <w:sz w:val="28"/>
          <w:szCs w:val="28"/>
        </w:rPr>
        <w:t>š.g. 10.marta sanāksmē Komisija prezentēs paziņojumu, informējot par iecerētiem pasākumiem (piemēr</w:t>
      </w:r>
      <w:r w:rsidR="00850787">
        <w:rPr>
          <w:sz w:val="28"/>
          <w:szCs w:val="28"/>
        </w:rPr>
        <w:t>a</w:t>
      </w:r>
      <w:r>
        <w:rPr>
          <w:sz w:val="28"/>
          <w:szCs w:val="28"/>
        </w:rPr>
        <w:t>m, 2011. gada jūnijā plānoto daudzpusējo forumu, jauno vadlīniju un labāk</w:t>
      </w:r>
      <w:r w:rsidR="00850787">
        <w:rPr>
          <w:sz w:val="28"/>
          <w:szCs w:val="28"/>
        </w:rPr>
        <w:t>a</w:t>
      </w:r>
      <w:r>
        <w:rPr>
          <w:sz w:val="28"/>
          <w:szCs w:val="28"/>
        </w:rPr>
        <w:t xml:space="preserve">s </w:t>
      </w:r>
      <w:r w:rsidR="00850787">
        <w:rPr>
          <w:sz w:val="28"/>
          <w:szCs w:val="28"/>
        </w:rPr>
        <w:t>statistikas</w:t>
      </w:r>
      <w:r>
        <w:rPr>
          <w:sz w:val="28"/>
          <w:szCs w:val="28"/>
        </w:rPr>
        <w:t xml:space="preserve"> pārraudzības izstrādes gaitu un tml.).</w:t>
      </w:r>
    </w:p>
    <w:p w:rsidR="00A0668A" w:rsidRDefault="002D6A46" w:rsidP="00B03397">
      <w:pPr>
        <w:jc w:val="both"/>
        <w:rPr>
          <w:sz w:val="28"/>
          <w:szCs w:val="28"/>
        </w:rPr>
      </w:pPr>
      <w:r>
        <w:rPr>
          <w:sz w:val="28"/>
          <w:szCs w:val="28"/>
        </w:rPr>
        <w:tab/>
      </w:r>
    </w:p>
    <w:p w:rsidR="00B03397" w:rsidRPr="00074A8E" w:rsidRDefault="00074A8E" w:rsidP="00074A8E">
      <w:pPr>
        <w:pStyle w:val="ListParagraph"/>
        <w:numPr>
          <w:ilvl w:val="0"/>
          <w:numId w:val="26"/>
        </w:numPr>
        <w:tabs>
          <w:tab w:val="left" w:pos="284"/>
        </w:tabs>
        <w:ind w:left="0" w:firstLine="0"/>
        <w:jc w:val="both"/>
        <w:rPr>
          <w:b/>
          <w:sz w:val="28"/>
          <w:szCs w:val="28"/>
        </w:rPr>
      </w:pPr>
      <w:r w:rsidRPr="00074A8E">
        <w:rPr>
          <w:b/>
          <w:sz w:val="28"/>
          <w:szCs w:val="28"/>
        </w:rPr>
        <w:t xml:space="preserve">Pārskats par Eiropas Ķīmijas rūpniecības konkurētspējas augsta līmeņa darba grupas rekomendāciju ieviešanas gaitu </w:t>
      </w:r>
    </w:p>
    <w:p w:rsidR="00F0485B" w:rsidRPr="008821AF" w:rsidRDefault="00F0485B" w:rsidP="00F0485B">
      <w:pPr>
        <w:tabs>
          <w:tab w:val="left" w:pos="284"/>
        </w:tabs>
        <w:jc w:val="both"/>
        <w:rPr>
          <w:i/>
          <w:sz w:val="28"/>
          <w:szCs w:val="28"/>
        </w:rPr>
      </w:pPr>
      <w:r w:rsidRPr="008821AF">
        <w:rPr>
          <w:i/>
          <w:sz w:val="28"/>
          <w:szCs w:val="28"/>
        </w:rPr>
        <w:t>-</w:t>
      </w:r>
      <w:r w:rsidRPr="008821AF">
        <w:rPr>
          <w:i/>
          <w:sz w:val="28"/>
          <w:szCs w:val="28"/>
        </w:rPr>
        <w:tab/>
        <w:t>Komisijas prezentācija</w:t>
      </w:r>
    </w:p>
    <w:p w:rsidR="00B03397" w:rsidRDefault="00B03397" w:rsidP="00B03397">
      <w:pPr>
        <w:jc w:val="both"/>
        <w:rPr>
          <w:sz w:val="28"/>
          <w:szCs w:val="28"/>
        </w:rPr>
      </w:pPr>
    </w:p>
    <w:p w:rsidR="00F0485B" w:rsidRDefault="00EA0064" w:rsidP="00F0485B">
      <w:pPr>
        <w:ind w:firstLine="720"/>
        <w:jc w:val="both"/>
        <w:rPr>
          <w:sz w:val="28"/>
          <w:szCs w:val="28"/>
        </w:rPr>
      </w:pPr>
      <w:r w:rsidRPr="00EA0064">
        <w:rPr>
          <w:sz w:val="28"/>
          <w:szCs w:val="28"/>
        </w:rPr>
        <w:t>Eiropas Ķīmijas rūpniecības konkurētspējas augsta līmeņa darba grupa</w:t>
      </w:r>
      <w:r w:rsidR="00F0485B" w:rsidRPr="00F0485B">
        <w:rPr>
          <w:sz w:val="28"/>
          <w:szCs w:val="28"/>
        </w:rPr>
        <w:t xml:space="preserve"> </w:t>
      </w:r>
      <w:r w:rsidR="00F0485B" w:rsidRPr="00EA0064">
        <w:rPr>
          <w:sz w:val="28"/>
          <w:szCs w:val="28"/>
        </w:rPr>
        <w:t>tika izveidota</w:t>
      </w:r>
      <w:r w:rsidR="00F0485B">
        <w:rPr>
          <w:sz w:val="28"/>
          <w:szCs w:val="28"/>
        </w:rPr>
        <w:t xml:space="preserve"> </w:t>
      </w:r>
      <w:r w:rsidR="00F0485B" w:rsidRPr="00EA0064">
        <w:rPr>
          <w:sz w:val="28"/>
          <w:szCs w:val="28"/>
        </w:rPr>
        <w:t>2007.gadā</w:t>
      </w:r>
      <w:r w:rsidR="00F0485B">
        <w:rPr>
          <w:sz w:val="28"/>
          <w:szCs w:val="28"/>
        </w:rPr>
        <w:t xml:space="preserve"> un tās </w:t>
      </w:r>
      <w:r w:rsidRPr="00EA0064">
        <w:rPr>
          <w:sz w:val="28"/>
          <w:szCs w:val="28"/>
        </w:rPr>
        <w:t>vispārējais mērķis bija saistīts gan ar ekonomisko un statistikas faktoru analīzes veikšanu, pamatojoties uz straujajām strukturālajām izmaiņām ķīmijas nozarē, gan arī analīzes veikšana par Eiropas ķīmijas rūpniecības konkurētspējas pozīcijām. Balstoties uz šo analīzi, Augsta līmeņa darba grupa noteica virkni nozaru politikas ieteikumu, kurus var īstenot kā rīcības Kopienas, dalībvalstu vai pašas nozares ietvaros, ar mērķi palielināt Eiropas ķīmijas rūpniecības konkurētspēju saskaņā ar ilgtspējīgas attīstības principiem.</w:t>
      </w:r>
      <w:r w:rsidR="00F0485B">
        <w:rPr>
          <w:sz w:val="28"/>
          <w:szCs w:val="28"/>
        </w:rPr>
        <w:t xml:space="preserve"> </w:t>
      </w:r>
      <w:r w:rsidRPr="00EA0064">
        <w:rPr>
          <w:sz w:val="28"/>
          <w:szCs w:val="28"/>
        </w:rPr>
        <w:t xml:space="preserve">Augsta līmeņa darba grupu pārstāvēja komisāri, ķīmijas rūpniecības un pakārtoto nozaru pārstāvji, arodbiedrības, akadēmiskās aprindas, vides NVO, kā arī dažādas patērētāju organizācijas. </w:t>
      </w:r>
    </w:p>
    <w:p w:rsidR="00EA0064" w:rsidRPr="00EA0064" w:rsidRDefault="00EA0064" w:rsidP="00F0485B">
      <w:pPr>
        <w:ind w:firstLine="720"/>
        <w:jc w:val="both"/>
        <w:rPr>
          <w:sz w:val="28"/>
          <w:szCs w:val="28"/>
        </w:rPr>
      </w:pPr>
      <w:r w:rsidRPr="00EA0064">
        <w:rPr>
          <w:sz w:val="28"/>
          <w:szCs w:val="28"/>
        </w:rPr>
        <w:t>Savā gala ziņojumā</w:t>
      </w:r>
      <w:r w:rsidR="00F0485B">
        <w:rPr>
          <w:sz w:val="28"/>
          <w:szCs w:val="28"/>
        </w:rPr>
        <w:t xml:space="preserve"> (2009.gada jūlijs)</w:t>
      </w:r>
      <w:r w:rsidRPr="00EA0064">
        <w:rPr>
          <w:sz w:val="28"/>
          <w:szCs w:val="28"/>
        </w:rPr>
        <w:t xml:space="preserve"> Augsta līmeņa darba grupa norāda </w:t>
      </w:r>
      <w:r w:rsidR="00850787">
        <w:rPr>
          <w:sz w:val="28"/>
          <w:szCs w:val="28"/>
        </w:rPr>
        <w:t xml:space="preserve">uz </w:t>
      </w:r>
      <w:r w:rsidRPr="00EA0064">
        <w:rPr>
          <w:sz w:val="28"/>
          <w:szCs w:val="28"/>
        </w:rPr>
        <w:t>trīs lielākajiem secinājumiem par ES ķīmijas rūpniecību:</w:t>
      </w:r>
    </w:p>
    <w:p w:rsidR="00EA0064" w:rsidRPr="00F0485B" w:rsidRDefault="00EA0064" w:rsidP="00DC570D">
      <w:pPr>
        <w:pStyle w:val="ListParagraph"/>
        <w:numPr>
          <w:ilvl w:val="0"/>
          <w:numId w:val="29"/>
        </w:numPr>
        <w:tabs>
          <w:tab w:val="left" w:pos="284"/>
        </w:tabs>
        <w:jc w:val="both"/>
        <w:rPr>
          <w:sz w:val="28"/>
          <w:szCs w:val="28"/>
        </w:rPr>
      </w:pPr>
      <w:r w:rsidRPr="00F0485B">
        <w:rPr>
          <w:sz w:val="28"/>
          <w:szCs w:val="28"/>
        </w:rPr>
        <w:t>Vairāk inovācijas un pētniecības ir būtisks priekšnosacījums Eiropas ķīmijas rūpniecības turpmākai nostiprināšanai;</w:t>
      </w:r>
    </w:p>
    <w:p w:rsidR="00EA0064" w:rsidRPr="00F0485B" w:rsidRDefault="00EA0064" w:rsidP="00DC570D">
      <w:pPr>
        <w:pStyle w:val="ListParagraph"/>
        <w:numPr>
          <w:ilvl w:val="0"/>
          <w:numId w:val="29"/>
        </w:numPr>
        <w:tabs>
          <w:tab w:val="left" w:pos="284"/>
        </w:tabs>
        <w:jc w:val="both"/>
        <w:rPr>
          <w:sz w:val="28"/>
          <w:szCs w:val="28"/>
        </w:rPr>
      </w:pPr>
      <w:r w:rsidRPr="00F0485B">
        <w:rPr>
          <w:sz w:val="28"/>
          <w:szCs w:val="28"/>
        </w:rPr>
        <w:t>Veiksmes faktors konkurētspējai un ilgtspējai ir atbildīga dabas resursu izmantošana un vienādas iespējas enerģijas un rūpniecisko izejvielu ieguvei;</w:t>
      </w:r>
    </w:p>
    <w:p w:rsidR="00EA0064" w:rsidRPr="00F0485B" w:rsidRDefault="00EA0064" w:rsidP="00DC570D">
      <w:pPr>
        <w:pStyle w:val="ListParagraph"/>
        <w:numPr>
          <w:ilvl w:val="0"/>
          <w:numId w:val="29"/>
        </w:numPr>
        <w:tabs>
          <w:tab w:val="left" w:pos="284"/>
        </w:tabs>
        <w:jc w:val="both"/>
        <w:rPr>
          <w:sz w:val="28"/>
          <w:szCs w:val="28"/>
        </w:rPr>
      </w:pPr>
      <w:r w:rsidRPr="00F0485B">
        <w:rPr>
          <w:sz w:val="28"/>
          <w:szCs w:val="28"/>
        </w:rPr>
        <w:t>Konkurētspējīgai ķīmijas rūpniecībai nepieciešami atvērti tirgi un</w:t>
      </w:r>
      <w:r w:rsidR="00F0485B">
        <w:rPr>
          <w:sz w:val="28"/>
          <w:szCs w:val="28"/>
        </w:rPr>
        <w:t xml:space="preserve"> godīgas konkurences nosacījumi.</w:t>
      </w:r>
    </w:p>
    <w:p w:rsidR="00EA0064" w:rsidRDefault="00EA0064" w:rsidP="004C79B5">
      <w:pPr>
        <w:ind w:firstLine="720"/>
        <w:jc w:val="both"/>
        <w:rPr>
          <w:sz w:val="28"/>
          <w:szCs w:val="28"/>
        </w:rPr>
      </w:pPr>
      <w:r w:rsidRPr="00EA0064">
        <w:rPr>
          <w:sz w:val="28"/>
          <w:szCs w:val="28"/>
        </w:rPr>
        <w:t>Plānots, ka</w:t>
      </w:r>
      <w:r w:rsidR="00F46112">
        <w:rPr>
          <w:sz w:val="28"/>
          <w:szCs w:val="28"/>
        </w:rPr>
        <w:t xml:space="preserve"> š.g. 10.marta</w:t>
      </w:r>
      <w:r w:rsidRPr="00EA0064">
        <w:rPr>
          <w:sz w:val="28"/>
          <w:szCs w:val="28"/>
        </w:rPr>
        <w:t xml:space="preserve"> </w:t>
      </w:r>
      <w:r w:rsidR="00F46112">
        <w:rPr>
          <w:sz w:val="28"/>
          <w:szCs w:val="28"/>
        </w:rPr>
        <w:t>sanāksmē</w:t>
      </w:r>
      <w:r w:rsidRPr="00EA0064">
        <w:rPr>
          <w:sz w:val="28"/>
          <w:szCs w:val="28"/>
        </w:rPr>
        <w:t xml:space="preserve"> Komisija sniegs prezentāciju par šīs darba grupas ietvaros izstrādāto rekomendāciju ieviešanas gaitu.</w:t>
      </w:r>
      <w:r>
        <w:rPr>
          <w:sz w:val="28"/>
          <w:szCs w:val="28"/>
        </w:rPr>
        <w:br w:type="page"/>
      </w:r>
    </w:p>
    <w:p w:rsidR="0049471A" w:rsidRPr="00EF384A" w:rsidRDefault="0049471A" w:rsidP="00117654">
      <w:pPr>
        <w:spacing w:after="200" w:line="276" w:lineRule="auto"/>
        <w:jc w:val="both"/>
        <w:rPr>
          <w:b/>
          <w:sz w:val="28"/>
          <w:szCs w:val="28"/>
        </w:rPr>
      </w:pPr>
      <w:r w:rsidRPr="00EF384A">
        <w:rPr>
          <w:b/>
          <w:sz w:val="28"/>
          <w:szCs w:val="28"/>
        </w:rPr>
        <w:lastRenderedPageBreak/>
        <w:t>2.  Latvijas delegācija</w:t>
      </w:r>
    </w:p>
    <w:p w:rsidR="0049471A" w:rsidRPr="00EF384A" w:rsidRDefault="0049471A" w:rsidP="0049471A">
      <w:pPr>
        <w:keepNext/>
        <w:keepLines/>
        <w:ind w:left="2835" w:hanging="2835"/>
        <w:jc w:val="both"/>
        <w:rPr>
          <w:sz w:val="28"/>
          <w:szCs w:val="28"/>
        </w:rPr>
      </w:pPr>
      <w:r w:rsidRPr="00EF384A">
        <w:rPr>
          <w:sz w:val="28"/>
          <w:szCs w:val="28"/>
        </w:rPr>
        <w:t xml:space="preserve">Delegācijas vadītājs: </w:t>
      </w:r>
      <w:r w:rsidRPr="00EF384A">
        <w:rPr>
          <w:sz w:val="28"/>
          <w:szCs w:val="28"/>
        </w:rPr>
        <w:tab/>
      </w:r>
      <w:r>
        <w:rPr>
          <w:b/>
          <w:sz w:val="28"/>
          <w:szCs w:val="28"/>
        </w:rPr>
        <w:t>Juris Pūce</w:t>
      </w:r>
      <w:r w:rsidRPr="00E01CA3">
        <w:rPr>
          <w:sz w:val="28"/>
          <w:szCs w:val="28"/>
        </w:rPr>
        <w:t>,</w:t>
      </w:r>
      <w:r w:rsidRPr="00EF384A">
        <w:rPr>
          <w:b/>
          <w:sz w:val="28"/>
          <w:szCs w:val="28"/>
        </w:rPr>
        <w:t xml:space="preserve"> </w:t>
      </w:r>
      <w:r>
        <w:rPr>
          <w:sz w:val="28"/>
          <w:szCs w:val="28"/>
        </w:rPr>
        <w:t>Ekonomikas ministrijas valsts sekretārs</w:t>
      </w:r>
      <w:r w:rsidR="00710606">
        <w:rPr>
          <w:sz w:val="28"/>
          <w:szCs w:val="28"/>
        </w:rPr>
        <w:t>.</w:t>
      </w:r>
    </w:p>
    <w:p w:rsidR="0049471A" w:rsidRDefault="0049471A" w:rsidP="0049471A">
      <w:pPr>
        <w:keepNext/>
        <w:keepLines/>
        <w:ind w:left="2835" w:hanging="2880"/>
        <w:rPr>
          <w:sz w:val="28"/>
          <w:szCs w:val="28"/>
        </w:rPr>
      </w:pPr>
    </w:p>
    <w:p w:rsidR="0049471A" w:rsidRPr="005530C8" w:rsidRDefault="0049471A" w:rsidP="005605FC">
      <w:pPr>
        <w:keepNext/>
        <w:keepLines/>
        <w:spacing w:after="120"/>
        <w:ind w:left="2835" w:hanging="2880"/>
        <w:rPr>
          <w:b/>
          <w:sz w:val="28"/>
          <w:szCs w:val="28"/>
        </w:rPr>
      </w:pPr>
      <w:r w:rsidRPr="00EF384A">
        <w:rPr>
          <w:sz w:val="28"/>
          <w:szCs w:val="28"/>
        </w:rPr>
        <w:t xml:space="preserve">Delegācijas dalībnieki: </w:t>
      </w:r>
      <w:r w:rsidRPr="00EF384A">
        <w:rPr>
          <w:sz w:val="28"/>
          <w:szCs w:val="28"/>
        </w:rPr>
        <w:tab/>
      </w:r>
      <w:r w:rsidR="005530C8">
        <w:rPr>
          <w:b/>
          <w:sz w:val="28"/>
          <w:szCs w:val="28"/>
        </w:rPr>
        <w:t xml:space="preserve">Lelde Līce-Līcīte, </w:t>
      </w:r>
      <w:r w:rsidR="005605FC" w:rsidRPr="005605FC">
        <w:rPr>
          <w:sz w:val="28"/>
          <w:szCs w:val="28"/>
        </w:rPr>
        <w:t>Latvijas Republikas pastāvīgā pārstāvja Eiropas Savienībā vietniece, vēstniece</w:t>
      </w:r>
      <w:r w:rsidR="00710606">
        <w:rPr>
          <w:sz w:val="28"/>
          <w:szCs w:val="28"/>
        </w:rPr>
        <w:t>;</w:t>
      </w:r>
    </w:p>
    <w:p w:rsidR="005530C8" w:rsidRDefault="005530C8" w:rsidP="005605FC">
      <w:pPr>
        <w:pStyle w:val="BodyText2"/>
        <w:spacing w:after="120"/>
        <w:ind w:left="2835"/>
        <w:jc w:val="both"/>
        <w:rPr>
          <w:sz w:val="28"/>
          <w:szCs w:val="28"/>
        </w:rPr>
      </w:pPr>
      <w:r w:rsidRPr="00EF384A">
        <w:rPr>
          <w:b/>
          <w:sz w:val="28"/>
          <w:szCs w:val="28"/>
        </w:rPr>
        <w:t>Zaiga Liepiņa</w:t>
      </w:r>
      <w:r w:rsidRPr="00EF384A">
        <w:rPr>
          <w:sz w:val="28"/>
          <w:szCs w:val="28"/>
        </w:rPr>
        <w:t>, Ekonomikas ministrijas Valsts sekretāra v</w:t>
      </w:r>
      <w:r>
        <w:rPr>
          <w:sz w:val="28"/>
          <w:szCs w:val="28"/>
        </w:rPr>
        <w:t>ietniece</w:t>
      </w:r>
      <w:r w:rsidR="00710606">
        <w:rPr>
          <w:sz w:val="28"/>
          <w:szCs w:val="28"/>
        </w:rPr>
        <w:t xml:space="preserve"> – Ārējo ekonomisko attiecību departamenta direktore;</w:t>
      </w:r>
    </w:p>
    <w:p w:rsidR="005605FC" w:rsidRPr="0049471A" w:rsidRDefault="005605FC" w:rsidP="005605FC">
      <w:pPr>
        <w:pStyle w:val="BodyText2"/>
        <w:spacing w:after="120"/>
        <w:ind w:left="2835"/>
        <w:jc w:val="both"/>
        <w:rPr>
          <w:bCs/>
          <w:sz w:val="28"/>
          <w:szCs w:val="28"/>
        </w:rPr>
      </w:pPr>
      <w:r>
        <w:rPr>
          <w:b/>
          <w:bCs/>
          <w:sz w:val="28"/>
          <w:szCs w:val="28"/>
        </w:rPr>
        <w:t>Gints Zadraks</w:t>
      </w:r>
      <w:r>
        <w:rPr>
          <w:bCs/>
          <w:sz w:val="28"/>
          <w:szCs w:val="28"/>
        </w:rPr>
        <w:t xml:space="preserve">, </w:t>
      </w:r>
      <w:r w:rsidRPr="00EF384A">
        <w:rPr>
          <w:bCs/>
          <w:sz w:val="28"/>
          <w:szCs w:val="28"/>
        </w:rPr>
        <w:t>Ekonomikas ministrijas</w:t>
      </w:r>
      <w:r>
        <w:rPr>
          <w:bCs/>
          <w:sz w:val="28"/>
          <w:szCs w:val="28"/>
        </w:rPr>
        <w:t xml:space="preserve"> Iekšējā tirgus departamenta </w:t>
      </w:r>
      <w:r w:rsidR="00695AE0">
        <w:rPr>
          <w:bCs/>
          <w:sz w:val="28"/>
          <w:szCs w:val="28"/>
        </w:rPr>
        <w:t xml:space="preserve">direktores </w:t>
      </w:r>
      <w:r>
        <w:rPr>
          <w:bCs/>
          <w:sz w:val="28"/>
          <w:szCs w:val="28"/>
        </w:rPr>
        <w:t>vietnieks</w:t>
      </w:r>
      <w:r w:rsidR="00710606">
        <w:rPr>
          <w:bCs/>
          <w:sz w:val="28"/>
          <w:szCs w:val="28"/>
        </w:rPr>
        <w:t>;</w:t>
      </w:r>
    </w:p>
    <w:p w:rsidR="0049471A" w:rsidRDefault="0049471A" w:rsidP="005605FC">
      <w:pPr>
        <w:pStyle w:val="BodyText2"/>
        <w:spacing w:after="120"/>
        <w:ind w:left="2835"/>
        <w:jc w:val="both"/>
        <w:rPr>
          <w:bCs/>
          <w:sz w:val="28"/>
          <w:szCs w:val="28"/>
        </w:rPr>
      </w:pPr>
      <w:r w:rsidRPr="00EF384A">
        <w:rPr>
          <w:b/>
          <w:bCs/>
          <w:sz w:val="28"/>
          <w:szCs w:val="28"/>
        </w:rPr>
        <w:t>Inese Balode</w:t>
      </w:r>
      <w:r w:rsidRPr="00E01CA3">
        <w:rPr>
          <w:bCs/>
          <w:sz w:val="28"/>
          <w:szCs w:val="28"/>
        </w:rPr>
        <w:t>,</w:t>
      </w:r>
      <w:r w:rsidRPr="00EF384A">
        <w:rPr>
          <w:b/>
          <w:bCs/>
          <w:sz w:val="28"/>
          <w:szCs w:val="28"/>
        </w:rPr>
        <w:t xml:space="preserve"> </w:t>
      </w:r>
      <w:r w:rsidRPr="00EF384A">
        <w:rPr>
          <w:bCs/>
          <w:sz w:val="28"/>
          <w:szCs w:val="28"/>
        </w:rPr>
        <w:t>Ekonomikas ministrijas nozares padomniece Latvijas Republikas pārstāvniecībā Eiropas Savienībā</w:t>
      </w:r>
      <w:r w:rsidR="00710606">
        <w:rPr>
          <w:bCs/>
          <w:sz w:val="28"/>
          <w:szCs w:val="28"/>
        </w:rPr>
        <w:t>;</w:t>
      </w:r>
    </w:p>
    <w:p w:rsidR="0049471A" w:rsidRDefault="0049471A" w:rsidP="005605FC">
      <w:pPr>
        <w:pStyle w:val="BodyText2"/>
        <w:spacing w:after="120"/>
        <w:ind w:left="2835"/>
        <w:jc w:val="both"/>
        <w:rPr>
          <w:bCs/>
          <w:sz w:val="28"/>
          <w:szCs w:val="28"/>
        </w:rPr>
      </w:pPr>
      <w:r>
        <w:rPr>
          <w:b/>
          <w:bCs/>
          <w:sz w:val="28"/>
          <w:szCs w:val="28"/>
        </w:rPr>
        <w:t>Anna Upena</w:t>
      </w:r>
      <w:r w:rsidRPr="00E01CA3">
        <w:rPr>
          <w:bCs/>
          <w:sz w:val="28"/>
          <w:szCs w:val="28"/>
        </w:rPr>
        <w:t>,</w:t>
      </w:r>
      <w:r w:rsidRPr="00EF384A">
        <w:rPr>
          <w:b/>
          <w:bCs/>
          <w:sz w:val="28"/>
          <w:szCs w:val="28"/>
        </w:rPr>
        <w:t xml:space="preserve"> </w:t>
      </w:r>
      <w:r w:rsidRPr="00EF384A">
        <w:rPr>
          <w:bCs/>
          <w:sz w:val="28"/>
          <w:szCs w:val="28"/>
        </w:rPr>
        <w:t>Ekonomika</w:t>
      </w:r>
      <w:r w:rsidR="00710606">
        <w:rPr>
          <w:bCs/>
          <w:sz w:val="28"/>
          <w:szCs w:val="28"/>
        </w:rPr>
        <w:t>s ministrijas nozares padomniece</w:t>
      </w:r>
      <w:r w:rsidRPr="00EF384A">
        <w:rPr>
          <w:bCs/>
          <w:sz w:val="28"/>
          <w:szCs w:val="28"/>
        </w:rPr>
        <w:t xml:space="preserve"> Latvijas Republikas pārstāvniecībā Eiropas Savienībā</w:t>
      </w:r>
      <w:r w:rsidR="00710606">
        <w:rPr>
          <w:bCs/>
          <w:sz w:val="28"/>
          <w:szCs w:val="28"/>
        </w:rPr>
        <w:t>;</w:t>
      </w:r>
    </w:p>
    <w:p w:rsidR="0049471A" w:rsidRDefault="0049471A" w:rsidP="005605FC">
      <w:pPr>
        <w:pStyle w:val="BodyText2"/>
        <w:spacing w:after="120"/>
        <w:ind w:left="2835"/>
        <w:jc w:val="both"/>
        <w:rPr>
          <w:bCs/>
          <w:sz w:val="28"/>
          <w:szCs w:val="28"/>
        </w:rPr>
      </w:pPr>
      <w:r w:rsidRPr="000A7576">
        <w:rPr>
          <w:b/>
          <w:bCs/>
          <w:sz w:val="28"/>
          <w:szCs w:val="28"/>
        </w:rPr>
        <w:t>Sandris Laganovskis</w:t>
      </w:r>
      <w:r w:rsidRPr="000A7576">
        <w:rPr>
          <w:bCs/>
          <w:sz w:val="28"/>
          <w:szCs w:val="28"/>
        </w:rPr>
        <w:t>, tieslietu nozares padomnieks Latvijas Republikas pārstāvniecībā E</w:t>
      </w:r>
      <w:r>
        <w:rPr>
          <w:bCs/>
          <w:sz w:val="28"/>
          <w:szCs w:val="28"/>
        </w:rPr>
        <w:t xml:space="preserve">iropas </w:t>
      </w:r>
      <w:r w:rsidRPr="000A7576">
        <w:rPr>
          <w:bCs/>
          <w:sz w:val="28"/>
          <w:szCs w:val="28"/>
        </w:rPr>
        <w:t>S</w:t>
      </w:r>
      <w:r>
        <w:rPr>
          <w:bCs/>
          <w:sz w:val="28"/>
          <w:szCs w:val="28"/>
        </w:rPr>
        <w:t>avienībā</w:t>
      </w:r>
      <w:r w:rsidR="00710606">
        <w:rPr>
          <w:bCs/>
          <w:sz w:val="28"/>
          <w:szCs w:val="28"/>
        </w:rPr>
        <w:t>.</w:t>
      </w:r>
    </w:p>
    <w:p w:rsidR="0049471A" w:rsidRDefault="0049471A" w:rsidP="0049471A">
      <w:pPr>
        <w:tabs>
          <w:tab w:val="right" w:pos="9071"/>
        </w:tabs>
        <w:spacing w:after="120"/>
        <w:rPr>
          <w:sz w:val="28"/>
          <w:szCs w:val="28"/>
        </w:rPr>
      </w:pPr>
    </w:p>
    <w:p w:rsidR="002D40CD" w:rsidRPr="00EF384A" w:rsidRDefault="002D40CD" w:rsidP="0049471A">
      <w:pPr>
        <w:tabs>
          <w:tab w:val="right" w:pos="9071"/>
        </w:tabs>
        <w:spacing w:after="120"/>
        <w:rPr>
          <w:sz w:val="28"/>
          <w:szCs w:val="28"/>
        </w:rPr>
      </w:pPr>
    </w:p>
    <w:p w:rsidR="00546424" w:rsidRDefault="00546424" w:rsidP="00963DAB">
      <w:pPr>
        <w:jc w:val="both"/>
        <w:rPr>
          <w:sz w:val="28"/>
          <w:szCs w:val="28"/>
        </w:rPr>
      </w:pPr>
    </w:p>
    <w:p w:rsidR="00E21948" w:rsidRPr="00EF384A" w:rsidRDefault="00E21948" w:rsidP="00E21948">
      <w:pPr>
        <w:tabs>
          <w:tab w:val="right" w:pos="8364"/>
        </w:tabs>
        <w:spacing w:after="120"/>
        <w:rPr>
          <w:sz w:val="28"/>
          <w:szCs w:val="28"/>
        </w:rPr>
      </w:pPr>
      <w:r w:rsidRPr="00EF384A">
        <w:rPr>
          <w:sz w:val="28"/>
          <w:szCs w:val="28"/>
        </w:rPr>
        <w:t>Iesniedzējs: Ekonomikas ministrs</w:t>
      </w:r>
      <w:r w:rsidRPr="00EF384A">
        <w:rPr>
          <w:sz w:val="28"/>
          <w:szCs w:val="28"/>
        </w:rPr>
        <w:tab/>
        <w:t>A. Kampars</w:t>
      </w:r>
      <w:r w:rsidRPr="00EF384A">
        <w:rPr>
          <w:sz w:val="28"/>
          <w:szCs w:val="28"/>
        </w:rPr>
        <w:tab/>
      </w:r>
      <w:r w:rsidRPr="00EF384A">
        <w:rPr>
          <w:sz w:val="28"/>
          <w:szCs w:val="28"/>
        </w:rPr>
        <w:tab/>
      </w:r>
    </w:p>
    <w:p w:rsidR="00775AA0" w:rsidRDefault="00775AA0" w:rsidP="00E21948">
      <w:pPr>
        <w:spacing w:after="120"/>
        <w:rPr>
          <w:sz w:val="28"/>
          <w:szCs w:val="28"/>
        </w:rPr>
      </w:pPr>
    </w:p>
    <w:p w:rsidR="002D40CD" w:rsidRPr="00EF384A" w:rsidRDefault="002D40CD" w:rsidP="00E21948">
      <w:pPr>
        <w:spacing w:after="120"/>
        <w:rPr>
          <w:sz w:val="28"/>
          <w:szCs w:val="28"/>
        </w:rPr>
      </w:pPr>
    </w:p>
    <w:p w:rsidR="00447246" w:rsidRPr="00F01BCB" w:rsidRDefault="00447246" w:rsidP="00447246">
      <w:pPr>
        <w:tabs>
          <w:tab w:val="right" w:pos="8364"/>
        </w:tabs>
        <w:spacing w:after="120"/>
        <w:rPr>
          <w:sz w:val="28"/>
          <w:szCs w:val="28"/>
        </w:rPr>
      </w:pPr>
      <w:r w:rsidRPr="00F01BCB">
        <w:rPr>
          <w:sz w:val="28"/>
          <w:szCs w:val="28"/>
        </w:rPr>
        <w:t>Vizē: Valsts sekretārs</w:t>
      </w:r>
      <w:r>
        <w:rPr>
          <w:sz w:val="28"/>
          <w:szCs w:val="28"/>
        </w:rPr>
        <w:tab/>
      </w:r>
      <w:r w:rsidRPr="00F01BCB">
        <w:rPr>
          <w:sz w:val="28"/>
          <w:szCs w:val="28"/>
        </w:rPr>
        <w:t xml:space="preserve"> J. Pūce</w:t>
      </w:r>
    </w:p>
    <w:p w:rsidR="005E3C2B" w:rsidRPr="00EF384A" w:rsidRDefault="005E3C2B" w:rsidP="00E21948">
      <w:pPr>
        <w:spacing w:after="120"/>
        <w:rPr>
          <w:sz w:val="28"/>
          <w:szCs w:val="28"/>
        </w:rPr>
      </w:pPr>
    </w:p>
    <w:p w:rsidR="00422C05" w:rsidRPr="00EF384A" w:rsidRDefault="00422C05" w:rsidP="00422C05">
      <w:pPr>
        <w:rPr>
          <w:sz w:val="20"/>
          <w:szCs w:val="20"/>
        </w:rPr>
      </w:pPr>
      <w:r w:rsidRPr="00EF384A">
        <w:rPr>
          <w:sz w:val="20"/>
          <w:szCs w:val="20"/>
        </w:rPr>
        <w:t xml:space="preserve">Atbildīgā amatpersona: </w:t>
      </w:r>
    </w:p>
    <w:p w:rsidR="00447246" w:rsidRPr="00EF384A" w:rsidRDefault="00447246" w:rsidP="00447246">
      <w:pPr>
        <w:rPr>
          <w:sz w:val="20"/>
          <w:szCs w:val="20"/>
        </w:rPr>
      </w:pPr>
      <w:r w:rsidRPr="00EF384A">
        <w:rPr>
          <w:sz w:val="20"/>
          <w:szCs w:val="20"/>
        </w:rPr>
        <w:t>Rota Šņuka</w:t>
      </w:r>
    </w:p>
    <w:p w:rsidR="00447246" w:rsidRPr="00EF384A" w:rsidRDefault="00447246" w:rsidP="00447246">
      <w:pPr>
        <w:rPr>
          <w:sz w:val="20"/>
          <w:szCs w:val="20"/>
        </w:rPr>
      </w:pPr>
      <w:r w:rsidRPr="00EF384A">
        <w:rPr>
          <w:sz w:val="20"/>
          <w:szCs w:val="20"/>
        </w:rPr>
        <w:t>Ekonomikas ministrijas</w:t>
      </w:r>
    </w:p>
    <w:p w:rsidR="00447246" w:rsidRPr="00EF384A" w:rsidRDefault="00447246" w:rsidP="00850787">
      <w:pPr>
        <w:tabs>
          <w:tab w:val="left" w:pos="6882"/>
        </w:tabs>
        <w:rPr>
          <w:sz w:val="20"/>
          <w:szCs w:val="20"/>
        </w:rPr>
      </w:pPr>
      <w:r w:rsidRPr="00EF384A">
        <w:rPr>
          <w:sz w:val="20"/>
          <w:szCs w:val="20"/>
        </w:rPr>
        <w:t>Ārējo ekonomisko attiecību departamenta direktores vietniece</w:t>
      </w:r>
      <w:r w:rsidR="00850787">
        <w:rPr>
          <w:sz w:val="20"/>
          <w:szCs w:val="20"/>
        </w:rPr>
        <w:tab/>
      </w:r>
    </w:p>
    <w:p w:rsidR="00447246" w:rsidRPr="00EF384A" w:rsidRDefault="00447246" w:rsidP="00447246">
      <w:pPr>
        <w:rPr>
          <w:sz w:val="20"/>
          <w:szCs w:val="20"/>
        </w:rPr>
      </w:pPr>
      <w:r w:rsidRPr="00EF384A">
        <w:rPr>
          <w:sz w:val="20"/>
          <w:szCs w:val="20"/>
        </w:rPr>
        <w:t>tālr.:67013234</w:t>
      </w:r>
    </w:p>
    <w:p w:rsidR="00447246" w:rsidRPr="00EF384A" w:rsidRDefault="00447246" w:rsidP="00447246">
      <w:pPr>
        <w:rPr>
          <w:sz w:val="20"/>
          <w:szCs w:val="20"/>
        </w:rPr>
      </w:pPr>
      <w:r w:rsidRPr="00EF384A">
        <w:rPr>
          <w:sz w:val="20"/>
          <w:szCs w:val="20"/>
        </w:rPr>
        <w:t xml:space="preserve">faksa numurs 67280882 </w:t>
      </w:r>
    </w:p>
    <w:p w:rsidR="00447246" w:rsidRPr="00EF384A" w:rsidRDefault="00447246" w:rsidP="00447246">
      <w:pPr>
        <w:jc w:val="both"/>
        <w:rPr>
          <w:sz w:val="20"/>
          <w:szCs w:val="20"/>
        </w:rPr>
      </w:pPr>
      <w:r w:rsidRPr="00EF384A">
        <w:rPr>
          <w:sz w:val="20"/>
          <w:szCs w:val="20"/>
        </w:rPr>
        <w:t xml:space="preserve">e-pasts: </w:t>
      </w:r>
      <w:hyperlink r:id="rId8" w:history="1">
        <w:r w:rsidRPr="00EF384A">
          <w:rPr>
            <w:sz w:val="18"/>
            <w:szCs w:val="18"/>
          </w:rPr>
          <w:t>Rota.Snuka@em.gov.lv</w:t>
        </w:r>
      </w:hyperlink>
    </w:p>
    <w:p w:rsidR="00422C05" w:rsidRPr="00EF384A" w:rsidRDefault="00422C05" w:rsidP="00422C05">
      <w:pPr>
        <w:jc w:val="both"/>
        <w:rPr>
          <w:u w:val="single"/>
        </w:rPr>
      </w:pPr>
    </w:p>
    <w:p w:rsidR="00447246" w:rsidRDefault="003F3BE3" w:rsidP="00447246">
      <w:pPr>
        <w:jc w:val="both"/>
        <w:rPr>
          <w:sz w:val="18"/>
          <w:szCs w:val="18"/>
        </w:rPr>
      </w:pPr>
      <w:fldSimple w:instr=" DATE   \* MERGEFORMAT ">
        <w:r w:rsidR="00746BF8" w:rsidRPr="00746BF8">
          <w:rPr>
            <w:noProof/>
            <w:sz w:val="18"/>
            <w:szCs w:val="18"/>
          </w:rPr>
          <w:t>08.03.2011</w:t>
        </w:r>
      </w:fldSimple>
      <w:r w:rsidR="00447246">
        <w:rPr>
          <w:sz w:val="18"/>
          <w:szCs w:val="18"/>
        </w:rPr>
        <w:t xml:space="preserve"> </w:t>
      </w:r>
      <w:r>
        <w:rPr>
          <w:sz w:val="18"/>
          <w:szCs w:val="18"/>
        </w:rPr>
        <w:fldChar w:fldCharType="begin"/>
      </w:r>
      <w:r w:rsidR="00447246">
        <w:rPr>
          <w:sz w:val="18"/>
          <w:szCs w:val="18"/>
        </w:rPr>
        <w:instrText xml:space="preserve"> TIME  \@ "HH:mm"  \* MERGEFORMAT </w:instrText>
      </w:r>
      <w:r>
        <w:rPr>
          <w:sz w:val="18"/>
          <w:szCs w:val="18"/>
        </w:rPr>
        <w:fldChar w:fldCharType="separate"/>
      </w:r>
      <w:r w:rsidR="00746BF8">
        <w:rPr>
          <w:noProof/>
          <w:sz w:val="18"/>
          <w:szCs w:val="18"/>
        </w:rPr>
        <w:t>09:28</w:t>
      </w:r>
      <w:r>
        <w:rPr>
          <w:sz w:val="18"/>
          <w:szCs w:val="18"/>
        </w:rPr>
        <w:fldChar w:fldCharType="end"/>
      </w:r>
    </w:p>
    <w:p w:rsidR="00447246" w:rsidRDefault="003F3BE3" w:rsidP="00447246">
      <w:pPr>
        <w:jc w:val="both"/>
        <w:rPr>
          <w:sz w:val="18"/>
          <w:szCs w:val="18"/>
        </w:rPr>
      </w:pPr>
      <w:fldSimple w:instr=" NUMWORDS   \* MERGEFORMAT ">
        <w:r w:rsidR="00850787" w:rsidRPr="00850787">
          <w:rPr>
            <w:noProof/>
            <w:sz w:val="18"/>
            <w:szCs w:val="18"/>
          </w:rPr>
          <w:t>3671</w:t>
        </w:r>
      </w:fldSimple>
    </w:p>
    <w:p w:rsidR="00447246" w:rsidRDefault="00447246" w:rsidP="00447246">
      <w:pPr>
        <w:rPr>
          <w:sz w:val="18"/>
        </w:rPr>
      </w:pPr>
      <w:r>
        <w:rPr>
          <w:sz w:val="18"/>
        </w:rPr>
        <w:t>M.Zjurikova</w:t>
      </w:r>
    </w:p>
    <w:p w:rsidR="00447246" w:rsidRPr="00677FDC" w:rsidRDefault="00447246" w:rsidP="00447246">
      <w:pPr>
        <w:rPr>
          <w:sz w:val="18"/>
        </w:rPr>
      </w:pPr>
      <w:r w:rsidRPr="0049471A">
        <w:rPr>
          <w:sz w:val="18"/>
        </w:rPr>
        <w:t>Ekonomikas ministrijas</w:t>
      </w:r>
    </w:p>
    <w:p w:rsidR="00447246" w:rsidRDefault="00447246" w:rsidP="00447246">
      <w:pPr>
        <w:rPr>
          <w:sz w:val="18"/>
        </w:rPr>
      </w:pPr>
      <w:r>
        <w:rPr>
          <w:sz w:val="18"/>
        </w:rPr>
        <w:t>Ārējo ekonomisko attiecību departaments</w:t>
      </w:r>
    </w:p>
    <w:p w:rsidR="00447246" w:rsidRPr="0049471A" w:rsidRDefault="00447246" w:rsidP="00447246">
      <w:pPr>
        <w:rPr>
          <w:sz w:val="18"/>
        </w:rPr>
      </w:pPr>
      <w:r w:rsidRPr="0049471A">
        <w:rPr>
          <w:sz w:val="18"/>
        </w:rPr>
        <w:t xml:space="preserve">67013001, Marija.Zjurikova@em.gov.lv </w:t>
      </w:r>
    </w:p>
    <w:p w:rsidR="00447246" w:rsidRDefault="00447246" w:rsidP="00447246"/>
    <w:sectPr w:rsidR="00447246" w:rsidSect="00897AEF">
      <w:headerReference w:type="default" r:id="rId9"/>
      <w:footerReference w:type="default" r:id="rId10"/>
      <w:footerReference w:type="first" r:id="rId11"/>
      <w:pgSz w:w="11906" w:h="16838"/>
      <w:pgMar w:top="1440" w:right="1133"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4B" w:rsidRDefault="00EC7A4B" w:rsidP="0079342A">
      <w:r>
        <w:separator/>
      </w:r>
    </w:p>
  </w:endnote>
  <w:endnote w:type="continuationSeparator" w:id="0">
    <w:p w:rsidR="00EC7A4B" w:rsidRDefault="00EC7A4B" w:rsidP="0079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4B" w:rsidRPr="00D24C05" w:rsidRDefault="00EC7A4B" w:rsidP="00A005C0">
    <w:pPr>
      <w:rPr>
        <w:sz w:val="20"/>
        <w:szCs w:val="20"/>
        <w:lang w:eastAsia="en-US"/>
      </w:rPr>
    </w:pPr>
    <w:r w:rsidRPr="00D24C05">
      <w:rPr>
        <w:sz w:val="20"/>
        <w:szCs w:val="20"/>
        <w:lang w:eastAsia="en-US"/>
      </w:rPr>
      <w:t>EMZino_0</w:t>
    </w:r>
    <w:r w:rsidR="00F11439">
      <w:rPr>
        <w:sz w:val="20"/>
        <w:szCs w:val="20"/>
        <w:lang w:eastAsia="en-US"/>
      </w:rPr>
      <w:t>7</w:t>
    </w:r>
    <w:r w:rsidRPr="00D24C05">
      <w:rPr>
        <w:sz w:val="20"/>
        <w:szCs w:val="20"/>
        <w:lang w:eastAsia="en-US"/>
      </w:rPr>
      <w:t>0311_COMPET; Informatīvais ziņojums par Latvijas nacionālajām pozīcijām Eiropas Savienības Konkurētspējas ministru padomes 2011.gada 10. marta sanāksmē izskatāmajos Ekonomikas ministrijas un Tieslietu ministrijas kompetences jautājumos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4B" w:rsidRPr="00D24C05" w:rsidRDefault="00EC7A4B" w:rsidP="00F354C7">
    <w:pPr>
      <w:rPr>
        <w:sz w:val="20"/>
        <w:szCs w:val="20"/>
        <w:lang w:eastAsia="en-US"/>
      </w:rPr>
    </w:pPr>
    <w:r w:rsidRPr="00D24C05">
      <w:rPr>
        <w:sz w:val="20"/>
        <w:szCs w:val="20"/>
        <w:lang w:eastAsia="en-US"/>
      </w:rPr>
      <w:t>EMZino_0</w:t>
    </w:r>
    <w:r w:rsidR="00F11439">
      <w:rPr>
        <w:sz w:val="20"/>
        <w:szCs w:val="20"/>
        <w:lang w:eastAsia="en-US"/>
      </w:rPr>
      <w:t>7</w:t>
    </w:r>
    <w:r w:rsidRPr="00D24C05">
      <w:rPr>
        <w:sz w:val="20"/>
        <w:szCs w:val="20"/>
        <w:lang w:eastAsia="en-US"/>
      </w:rPr>
      <w:t>0311_COMPET; Informatīvais ziņojums par Latvijas nacionālajām pozīcijām Eiropas Savienības Konkurētspējas ministru padomes 2011.gada 10. marta sanāksmē izskatāmajos Ekonomikas ministrijas un Tieslietu ministrijas kompetences jautājumos</w:t>
    </w:r>
    <w:r w:rsidRPr="00D24C05">
      <w:rPr>
        <w:b/>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4B" w:rsidRDefault="00EC7A4B" w:rsidP="0079342A">
      <w:r>
        <w:separator/>
      </w:r>
    </w:p>
  </w:footnote>
  <w:footnote w:type="continuationSeparator" w:id="0">
    <w:p w:rsidR="00EC7A4B" w:rsidRDefault="00EC7A4B" w:rsidP="0079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564"/>
      <w:docPartObj>
        <w:docPartGallery w:val="Page Numbers (Top of Page)"/>
        <w:docPartUnique/>
      </w:docPartObj>
    </w:sdtPr>
    <w:sdtContent>
      <w:p w:rsidR="00EC7A4B" w:rsidRDefault="003F3BE3">
        <w:pPr>
          <w:pStyle w:val="Header"/>
          <w:jc w:val="center"/>
        </w:pPr>
        <w:fldSimple w:instr=" PAGE   \* MERGEFORMAT ">
          <w:r w:rsidR="00746BF8">
            <w:rPr>
              <w:noProof/>
            </w:rPr>
            <w:t>13</w:t>
          </w:r>
        </w:fldSimple>
      </w:p>
    </w:sdtContent>
  </w:sdt>
  <w:p w:rsidR="00EC7A4B" w:rsidRDefault="00EC7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1C6"/>
    <w:multiLevelType w:val="hybridMultilevel"/>
    <w:tmpl w:val="6B46F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B22B13"/>
    <w:multiLevelType w:val="hybridMultilevel"/>
    <w:tmpl w:val="AB9626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C976EF"/>
    <w:multiLevelType w:val="multilevel"/>
    <w:tmpl w:val="10DAC42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4C6DA1"/>
    <w:multiLevelType w:val="hybridMultilevel"/>
    <w:tmpl w:val="71AEAAF4"/>
    <w:lvl w:ilvl="0" w:tplc="F578B2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EF5CEE"/>
    <w:multiLevelType w:val="hybridMultilevel"/>
    <w:tmpl w:val="74A8F3DA"/>
    <w:lvl w:ilvl="0" w:tplc="ACDC2060">
      <w:start w:val="2010"/>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23F76A46"/>
    <w:multiLevelType w:val="hybridMultilevel"/>
    <w:tmpl w:val="E37A62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5C71D3"/>
    <w:multiLevelType w:val="hybridMultilevel"/>
    <w:tmpl w:val="83306994"/>
    <w:lvl w:ilvl="0" w:tplc="EEAA6F94">
      <w:start w:val="1"/>
      <w:numFmt w:val="lowerLetter"/>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7482106"/>
    <w:multiLevelType w:val="hybridMultilevel"/>
    <w:tmpl w:val="D4B248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A6D620F"/>
    <w:multiLevelType w:val="hybridMultilevel"/>
    <w:tmpl w:val="65BAF8AC"/>
    <w:lvl w:ilvl="0" w:tplc="040E000F">
      <w:start w:val="2008"/>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0A15626"/>
    <w:multiLevelType w:val="hybridMultilevel"/>
    <w:tmpl w:val="0860871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0F971DB"/>
    <w:multiLevelType w:val="hybridMultilevel"/>
    <w:tmpl w:val="28F81938"/>
    <w:lvl w:ilvl="0" w:tplc="1EBEB3A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BA7A56"/>
    <w:multiLevelType w:val="hybridMultilevel"/>
    <w:tmpl w:val="0C348A9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38238E0"/>
    <w:multiLevelType w:val="multilevel"/>
    <w:tmpl w:val="5D72521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95345B"/>
    <w:multiLevelType w:val="hybridMultilevel"/>
    <w:tmpl w:val="7396D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B9163C2"/>
    <w:multiLevelType w:val="hybridMultilevel"/>
    <w:tmpl w:val="46080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2F0CAC"/>
    <w:multiLevelType w:val="hybridMultilevel"/>
    <w:tmpl w:val="99C6E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5D70B3"/>
    <w:multiLevelType w:val="hybridMultilevel"/>
    <w:tmpl w:val="F1D049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831200"/>
    <w:multiLevelType w:val="hybridMultilevel"/>
    <w:tmpl w:val="A8100A64"/>
    <w:lvl w:ilvl="0" w:tplc="54A6F83C">
      <w:start w:val="20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4BF83267"/>
    <w:multiLevelType w:val="hybridMultilevel"/>
    <w:tmpl w:val="AD1ED8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B527DD"/>
    <w:multiLevelType w:val="hybridMultilevel"/>
    <w:tmpl w:val="1736DB94"/>
    <w:lvl w:ilvl="0" w:tplc="040E000F">
      <w:start w:val="2008"/>
      <w:numFmt w:val="bullet"/>
      <w:lvlText w:val="-"/>
      <w:lvlJc w:val="left"/>
      <w:pPr>
        <w:ind w:left="1080" w:hanging="360"/>
      </w:pPr>
      <w:rPr>
        <w:rFonts w:ascii="Calibri" w:eastAsia="Times New Roman" w:hAnsi="Calibri" w:hint="default"/>
      </w:rPr>
    </w:lvl>
    <w:lvl w:ilvl="1" w:tplc="040E0019">
      <w:start w:val="2008"/>
      <w:numFmt w:val="bullet"/>
      <w:lvlText w:val="-"/>
      <w:lvlJc w:val="left"/>
      <w:pPr>
        <w:ind w:left="786" w:hanging="360"/>
      </w:pPr>
      <w:rPr>
        <w:rFonts w:ascii="Calibri" w:eastAsia="Times New Roman" w:hAnsi="Calibri" w:hint="default"/>
      </w:rPr>
    </w:lvl>
    <w:lvl w:ilvl="2" w:tplc="040E001B">
      <w:start w:val="1"/>
      <w:numFmt w:val="bullet"/>
      <w:lvlText w:val=""/>
      <w:lvlJc w:val="left"/>
      <w:pPr>
        <w:ind w:left="2520" w:hanging="360"/>
      </w:pPr>
      <w:rPr>
        <w:rFonts w:ascii="Wingdings" w:hAnsi="Wingdings" w:hint="default"/>
      </w:rPr>
    </w:lvl>
    <w:lvl w:ilvl="3" w:tplc="040E000F" w:tentative="1">
      <w:start w:val="1"/>
      <w:numFmt w:val="bullet"/>
      <w:lvlText w:val=""/>
      <w:lvlJc w:val="left"/>
      <w:pPr>
        <w:ind w:left="3240" w:hanging="360"/>
      </w:pPr>
      <w:rPr>
        <w:rFonts w:ascii="Symbol" w:hAnsi="Symbol" w:hint="default"/>
      </w:rPr>
    </w:lvl>
    <w:lvl w:ilvl="4" w:tplc="040E0019" w:tentative="1">
      <w:start w:val="1"/>
      <w:numFmt w:val="bullet"/>
      <w:lvlText w:val="o"/>
      <w:lvlJc w:val="left"/>
      <w:pPr>
        <w:ind w:left="3960" w:hanging="360"/>
      </w:pPr>
      <w:rPr>
        <w:rFonts w:ascii="Courier New" w:hAnsi="Courier New" w:cs="Courier New" w:hint="default"/>
      </w:rPr>
    </w:lvl>
    <w:lvl w:ilvl="5" w:tplc="040E001B" w:tentative="1">
      <w:start w:val="1"/>
      <w:numFmt w:val="bullet"/>
      <w:lvlText w:val=""/>
      <w:lvlJc w:val="left"/>
      <w:pPr>
        <w:ind w:left="4680" w:hanging="360"/>
      </w:pPr>
      <w:rPr>
        <w:rFonts w:ascii="Wingdings" w:hAnsi="Wingdings" w:hint="default"/>
      </w:rPr>
    </w:lvl>
    <w:lvl w:ilvl="6" w:tplc="040E000F" w:tentative="1">
      <w:start w:val="1"/>
      <w:numFmt w:val="bullet"/>
      <w:lvlText w:val=""/>
      <w:lvlJc w:val="left"/>
      <w:pPr>
        <w:ind w:left="5400" w:hanging="360"/>
      </w:pPr>
      <w:rPr>
        <w:rFonts w:ascii="Symbol" w:hAnsi="Symbol" w:hint="default"/>
      </w:rPr>
    </w:lvl>
    <w:lvl w:ilvl="7" w:tplc="040E0019" w:tentative="1">
      <w:start w:val="1"/>
      <w:numFmt w:val="bullet"/>
      <w:lvlText w:val="o"/>
      <w:lvlJc w:val="left"/>
      <w:pPr>
        <w:ind w:left="6120" w:hanging="360"/>
      </w:pPr>
      <w:rPr>
        <w:rFonts w:ascii="Courier New" w:hAnsi="Courier New" w:cs="Courier New" w:hint="default"/>
      </w:rPr>
    </w:lvl>
    <w:lvl w:ilvl="8" w:tplc="040E001B" w:tentative="1">
      <w:start w:val="1"/>
      <w:numFmt w:val="bullet"/>
      <w:lvlText w:val=""/>
      <w:lvlJc w:val="left"/>
      <w:pPr>
        <w:ind w:left="6840" w:hanging="360"/>
      </w:pPr>
      <w:rPr>
        <w:rFonts w:ascii="Wingdings" w:hAnsi="Wingdings" w:hint="default"/>
      </w:rPr>
    </w:lvl>
  </w:abstractNum>
  <w:abstractNum w:abstractNumId="20">
    <w:nsid w:val="565E2384"/>
    <w:multiLevelType w:val="hybridMultilevel"/>
    <w:tmpl w:val="8A6CBA3E"/>
    <w:lvl w:ilvl="0" w:tplc="ACDC2060">
      <w:start w:val="201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8C4298D"/>
    <w:multiLevelType w:val="hybridMultilevel"/>
    <w:tmpl w:val="07361EA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0D640E7"/>
    <w:multiLevelType w:val="hybridMultilevel"/>
    <w:tmpl w:val="4124590E"/>
    <w:lvl w:ilvl="0" w:tplc="62B4301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1AD014D"/>
    <w:multiLevelType w:val="multilevel"/>
    <w:tmpl w:val="3A449B8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292424D"/>
    <w:multiLevelType w:val="hybridMultilevel"/>
    <w:tmpl w:val="6AFA61B6"/>
    <w:lvl w:ilvl="0" w:tplc="ACDC2060">
      <w:start w:val="201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FD3E65"/>
    <w:multiLevelType w:val="hybridMultilevel"/>
    <w:tmpl w:val="CC72EB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67C541DA"/>
    <w:multiLevelType w:val="hybridMultilevel"/>
    <w:tmpl w:val="C9DA2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9647E00"/>
    <w:multiLevelType w:val="hybridMultilevel"/>
    <w:tmpl w:val="08F02C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C2C2F25"/>
    <w:multiLevelType w:val="hybridMultilevel"/>
    <w:tmpl w:val="4D32E9C8"/>
    <w:lvl w:ilvl="0" w:tplc="D2A6A84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6E9051FD"/>
    <w:multiLevelType w:val="hybridMultilevel"/>
    <w:tmpl w:val="98B8409C"/>
    <w:lvl w:ilvl="0" w:tplc="8B5CD53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71982997"/>
    <w:multiLevelType w:val="hybridMultilevel"/>
    <w:tmpl w:val="A1C0D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2544D21"/>
    <w:multiLevelType w:val="hybridMultilevel"/>
    <w:tmpl w:val="134A7D64"/>
    <w:lvl w:ilvl="0" w:tplc="D1764C0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3972FB1"/>
    <w:multiLevelType w:val="hybridMultilevel"/>
    <w:tmpl w:val="D09ED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4F07814"/>
    <w:multiLevelType w:val="hybridMultilevel"/>
    <w:tmpl w:val="10D2C24C"/>
    <w:lvl w:ilvl="0" w:tplc="B8148544">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nsid w:val="76420C05"/>
    <w:multiLevelType w:val="hybridMultilevel"/>
    <w:tmpl w:val="38381FCC"/>
    <w:lvl w:ilvl="0" w:tplc="2438D670">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BA11EA4"/>
    <w:multiLevelType w:val="hybridMultilevel"/>
    <w:tmpl w:val="2196C63E"/>
    <w:lvl w:ilvl="0" w:tplc="04260001">
      <w:start w:val="1"/>
      <w:numFmt w:val="bullet"/>
      <w:lvlText w:val=""/>
      <w:lvlJc w:val="left"/>
      <w:pPr>
        <w:ind w:left="432" w:hanging="360"/>
      </w:pPr>
      <w:rPr>
        <w:rFonts w:ascii="Symbol" w:hAnsi="Symbol" w:hint="default"/>
      </w:rPr>
    </w:lvl>
    <w:lvl w:ilvl="1" w:tplc="F578B26C">
      <w:start w:val="3"/>
      <w:numFmt w:val="bullet"/>
      <w:lvlText w:val="-"/>
      <w:lvlJc w:val="left"/>
      <w:pPr>
        <w:ind w:left="1152" w:hanging="360"/>
      </w:pPr>
      <w:rPr>
        <w:rFonts w:ascii="Times New Roman" w:eastAsia="Times New Roman" w:hAnsi="Times New Roman" w:cs="Times New Roman"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num w:numId="1">
    <w:abstractNumId w:val="3"/>
  </w:num>
  <w:num w:numId="2">
    <w:abstractNumId w:val="6"/>
  </w:num>
  <w:num w:numId="3">
    <w:abstractNumId w:val="29"/>
  </w:num>
  <w:num w:numId="4">
    <w:abstractNumId w:val="1"/>
  </w:num>
  <w:num w:numId="5">
    <w:abstractNumId w:val="18"/>
  </w:num>
  <w:num w:numId="6">
    <w:abstractNumId w:val="17"/>
  </w:num>
  <w:num w:numId="7">
    <w:abstractNumId w:val="21"/>
  </w:num>
  <w:num w:numId="8">
    <w:abstractNumId w:val="23"/>
  </w:num>
  <w:num w:numId="9">
    <w:abstractNumId w:val="27"/>
  </w:num>
  <w:num w:numId="10">
    <w:abstractNumId w:val="14"/>
  </w:num>
  <w:num w:numId="11">
    <w:abstractNumId w:val="28"/>
  </w:num>
  <w:num w:numId="12">
    <w:abstractNumId w:val="7"/>
  </w:num>
  <w:num w:numId="13">
    <w:abstractNumId w:val="16"/>
  </w:num>
  <w:num w:numId="14">
    <w:abstractNumId w:val="2"/>
  </w:num>
  <w:num w:numId="15">
    <w:abstractNumId w:val="12"/>
  </w:num>
  <w:num w:numId="16">
    <w:abstractNumId w:val="5"/>
  </w:num>
  <w:num w:numId="17">
    <w:abstractNumId w:val="26"/>
  </w:num>
  <w:num w:numId="18">
    <w:abstractNumId w:val="11"/>
  </w:num>
  <w:num w:numId="19">
    <w:abstractNumId w:val="25"/>
  </w:num>
  <w:num w:numId="20">
    <w:abstractNumId w:val="0"/>
  </w:num>
  <w:num w:numId="21">
    <w:abstractNumId w:val="9"/>
  </w:num>
  <w:num w:numId="22">
    <w:abstractNumId w:val="35"/>
  </w:num>
  <w:num w:numId="23">
    <w:abstractNumId w:val="19"/>
  </w:num>
  <w:num w:numId="24">
    <w:abstractNumId w:val="15"/>
  </w:num>
  <w:num w:numId="25">
    <w:abstractNumId w:val="22"/>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2"/>
  </w:num>
  <w:num w:numId="31">
    <w:abstractNumId w:val="10"/>
  </w:num>
  <w:num w:numId="32">
    <w:abstractNumId w:val="30"/>
  </w:num>
  <w:num w:numId="33">
    <w:abstractNumId w:val="34"/>
  </w:num>
  <w:num w:numId="34">
    <w:abstractNumId w:val="31"/>
  </w:num>
  <w:num w:numId="35">
    <w:abstractNumId w:val="4"/>
  </w:num>
  <w:num w:numId="36">
    <w:abstractNumId w:val="2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1948"/>
    <w:rsid w:val="000163A1"/>
    <w:rsid w:val="00017CA9"/>
    <w:rsid w:val="00022163"/>
    <w:rsid w:val="000230C6"/>
    <w:rsid w:val="000304D8"/>
    <w:rsid w:val="00045380"/>
    <w:rsid w:val="00053471"/>
    <w:rsid w:val="000538D0"/>
    <w:rsid w:val="00054145"/>
    <w:rsid w:val="00060563"/>
    <w:rsid w:val="00071F6B"/>
    <w:rsid w:val="00074A8E"/>
    <w:rsid w:val="00076994"/>
    <w:rsid w:val="0008031F"/>
    <w:rsid w:val="0009144F"/>
    <w:rsid w:val="000A4383"/>
    <w:rsid w:val="000A599E"/>
    <w:rsid w:val="000A61D6"/>
    <w:rsid w:val="000A7576"/>
    <w:rsid w:val="000B468F"/>
    <w:rsid w:val="000C5C3C"/>
    <w:rsid w:val="00117654"/>
    <w:rsid w:val="00117904"/>
    <w:rsid w:val="00121DEA"/>
    <w:rsid w:val="00126A02"/>
    <w:rsid w:val="00150BB3"/>
    <w:rsid w:val="00156ECD"/>
    <w:rsid w:val="00157C4A"/>
    <w:rsid w:val="001620EA"/>
    <w:rsid w:val="00165624"/>
    <w:rsid w:val="0016779A"/>
    <w:rsid w:val="001754CA"/>
    <w:rsid w:val="001829A7"/>
    <w:rsid w:val="00184B27"/>
    <w:rsid w:val="00185F95"/>
    <w:rsid w:val="00191F45"/>
    <w:rsid w:val="001B0568"/>
    <w:rsid w:val="001B3F3D"/>
    <w:rsid w:val="001B697D"/>
    <w:rsid w:val="001C32B3"/>
    <w:rsid w:val="001E5AD7"/>
    <w:rsid w:val="001E6160"/>
    <w:rsid w:val="002025A8"/>
    <w:rsid w:val="0021101E"/>
    <w:rsid w:val="002148A4"/>
    <w:rsid w:val="002173E3"/>
    <w:rsid w:val="00224DC4"/>
    <w:rsid w:val="0023457E"/>
    <w:rsid w:val="00246F3B"/>
    <w:rsid w:val="002609E5"/>
    <w:rsid w:val="002855EB"/>
    <w:rsid w:val="002B0D2A"/>
    <w:rsid w:val="002B221A"/>
    <w:rsid w:val="002C06DC"/>
    <w:rsid w:val="002D40CD"/>
    <w:rsid w:val="002D63C1"/>
    <w:rsid w:val="002D6A46"/>
    <w:rsid w:val="002E3144"/>
    <w:rsid w:val="002F7E81"/>
    <w:rsid w:val="003148EC"/>
    <w:rsid w:val="003159AD"/>
    <w:rsid w:val="00316C2A"/>
    <w:rsid w:val="00322A7A"/>
    <w:rsid w:val="00324917"/>
    <w:rsid w:val="00327E46"/>
    <w:rsid w:val="00360015"/>
    <w:rsid w:val="00370A43"/>
    <w:rsid w:val="0039412A"/>
    <w:rsid w:val="00397317"/>
    <w:rsid w:val="003A2C6E"/>
    <w:rsid w:val="003A2FBC"/>
    <w:rsid w:val="003A3A6A"/>
    <w:rsid w:val="003C0B95"/>
    <w:rsid w:val="003D478B"/>
    <w:rsid w:val="003E5D30"/>
    <w:rsid w:val="003E7BA4"/>
    <w:rsid w:val="003F3BE3"/>
    <w:rsid w:val="003F5E8D"/>
    <w:rsid w:val="003F69B8"/>
    <w:rsid w:val="00400142"/>
    <w:rsid w:val="00403309"/>
    <w:rsid w:val="0041089F"/>
    <w:rsid w:val="0041577A"/>
    <w:rsid w:val="00416C71"/>
    <w:rsid w:val="00422C05"/>
    <w:rsid w:val="00425B59"/>
    <w:rsid w:val="00434636"/>
    <w:rsid w:val="00447246"/>
    <w:rsid w:val="00473B73"/>
    <w:rsid w:val="00485409"/>
    <w:rsid w:val="00485CF8"/>
    <w:rsid w:val="00487A4D"/>
    <w:rsid w:val="0049471A"/>
    <w:rsid w:val="004A242B"/>
    <w:rsid w:val="004A70CD"/>
    <w:rsid w:val="004B1495"/>
    <w:rsid w:val="004B1EFF"/>
    <w:rsid w:val="004B6217"/>
    <w:rsid w:val="004C79B5"/>
    <w:rsid w:val="004E4F37"/>
    <w:rsid w:val="004F6998"/>
    <w:rsid w:val="00513E2C"/>
    <w:rsid w:val="00546424"/>
    <w:rsid w:val="00546D6E"/>
    <w:rsid w:val="005530C8"/>
    <w:rsid w:val="005605FC"/>
    <w:rsid w:val="00560716"/>
    <w:rsid w:val="00562471"/>
    <w:rsid w:val="005854CF"/>
    <w:rsid w:val="005A0176"/>
    <w:rsid w:val="005A18ED"/>
    <w:rsid w:val="005B3E55"/>
    <w:rsid w:val="005B51CA"/>
    <w:rsid w:val="005C626C"/>
    <w:rsid w:val="005D0EFD"/>
    <w:rsid w:val="005E12D5"/>
    <w:rsid w:val="005E3C2B"/>
    <w:rsid w:val="005E404D"/>
    <w:rsid w:val="005F1DED"/>
    <w:rsid w:val="005F63AD"/>
    <w:rsid w:val="006257E0"/>
    <w:rsid w:val="00633000"/>
    <w:rsid w:val="00667663"/>
    <w:rsid w:val="00680623"/>
    <w:rsid w:val="00681AEA"/>
    <w:rsid w:val="006864E7"/>
    <w:rsid w:val="00695AE0"/>
    <w:rsid w:val="006A351C"/>
    <w:rsid w:val="006C6B13"/>
    <w:rsid w:val="006F14FA"/>
    <w:rsid w:val="006F20B1"/>
    <w:rsid w:val="006F43E3"/>
    <w:rsid w:val="006F75AF"/>
    <w:rsid w:val="00710606"/>
    <w:rsid w:val="00723271"/>
    <w:rsid w:val="00734C81"/>
    <w:rsid w:val="00746BF8"/>
    <w:rsid w:val="00775AA0"/>
    <w:rsid w:val="00786F42"/>
    <w:rsid w:val="0079342A"/>
    <w:rsid w:val="007967D1"/>
    <w:rsid w:val="007A1C1C"/>
    <w:rsid w:val="007C77E8"/>
    <w:rsid w:val="007D1D18"/>
    <w:rsid w:val="007F00EE"/>
    <w:rsid w:val="00846BE1"/>
    <w:rsid w:val="00850787"/>
    <w:rsid w:val="008700B2"/>
    <w:rsid w:val="00870F11"/>
    <w:rsid w:val="008821AF"/>
    <w:rsid w:val="00897AEF"/>
    <w:rsid w:val="008A2C1F"/>
    <w:rsid w:val="008D4FE7"/>
    <w:rsid w:val="008E3674"/>
    <w:rsid w:val="00904C0B"/>
    <w:rsid w:val="00924B70"/>
    <w:rsid w:val="00934B08"/>
    <w:rsid w:val="00951C74"/>
    <w:rsid w:val="00963DAB"/>
    <w:rsid w:val="0096439C"/>
    <w:rsid w:val="0097688B"/>
    <w:rsid w:val="00977A26"/>
    <w:rsid w:val="00980300"/>
    <w:rsid w:val="0098644A"/>
    <w:rsid w:val="009A2C41"/>
    <w:rsid w:val="009B1561"/>
    <w:rsid w:val="009D085B"/>
    <w:rsid w:val="009E5CC0"/>
    <w:rsid w:val="00A005C0"/>
    <w:rsid w:val="00A0668A"/>
    <w:rsid w:val="00A1088E"/>
    <w:rsid w:val="00A10DC8"/>
    <w:rsid w:val="00A1553F"/>
    <w:rsid w:val="00A17A32"/>
    <w:rsid w:val="00A210CC"/>
    <w:rsid w:val="00A30D3A"/>
    <w:rsid w:val="00A33C17"/>
    <w:rsid w:val="00A37CB5"/>
    <w:rsid w:val="00A55C2C"/>
    <w:rsid w:val="00AA384A"/>
    <w:rsid w:val="00AA3CE0"/>
    <w:rsid w:val="00AA5E1C"/>
    <w:rsid w:val="00AC4C9E"/>
    <w:rsid w:val="00AD16CF"/>
    <w:rsid w:val="00AD3DE8"/>
    <w:rsid w:val="00AE0A6E"/>
    <w:rsid w:val="00AE6BB9"/>
    <w:rsid w:val="00AF0F88"/>
    <w:rsid w:val="00AF5DCC"/>
    <w:rsid w:val="00B03397"/>
    <w:rsid w:val="00B13B5D"/>
    <w:rsid w:val="00B17F0A"/>
    <w:rsid w:val="00B213AE"/>
    <w:rsid w:val="00B3370D"/>
    <w:rsid w:val="00B4215A"/>
    <w:rsid w:val="00B56BD0"/>
    <w:rsid w:val="00B81671"/>
    <w:rsid w:val="00B93D2C"/>
    <w:rsid w:val="00B97E85"/>
    <w:rsid w:val="00BC6383"/>
    <w:rsid w:val="00BD3934"/>
    <w:rsid w:val="00C03FB0"/>
    <w:rsid w:val="00C23657"/>
    <w:rsid w:val="00C333F6"/>
    <w:rsid w:val="00C41C4F"/>
    <w:rsid w:val="00C71669"/>
    <w:rsid w:val="00C7312E"/>
    <w:rsid w:val="00C749ED"/>
    <w:rsid w:val="00C93E8A"/>
    <w:rsid w:val="00C96037"/>
    <w:rsid w:val="00CA4B5F"/>
    <w:rsid w:val="00CB6938"/>
    <w:rsid w:val="00CD0C6C"/>
    <w:rsid w:val="00CD6990"/>
    <w:rsid w:val="00D114E1"/>
    <w:rsid w:val="00D24C05"/>
    <w:rsid w:val="00D2629B"/>
    <w:rsid w:val="00D40C4A"/>
    <w:rsid w:val="00D41260"/>
    <w:rsid w:val="00D51484"/>
    <w:rsid w:val="00D5482D"/>
    <w:rsid w:val="00D75B14"/>
    <w:rsid w:val="00D86467"/>
    <w:rsid w:val="00D96C7D"/>
    <w:rsid w:val="00DB28C9"/>
    <w:rsid w:val="00DC570D"/>
    <w:rsid w:val="00DD2747"/>
    <w:rsid w:val="00DD59D6"/>
    <w:rsid w:val="00DE740D"/>
    <w:rsid w:val="00E01CA3"/>
    <w:rsid w:val="00E07C92"/>
    <w:rsid w:val="00E14379"/>
    <w:rsid w:val="00E21948"/>
    <w:rsid w:val="00E24AB6"/>
    <w:rsid w:val="00E44D2E"/>
    <w:rsid w:val="00E618DC"/>
    <w:rsid w:val="00E63036"/>
    <w:rsid w:val="00E64D23"/>
    <w:rsid w:val="00E668E7"/>
    <w:rsid w:val="00E73BA7"/>
    <w:rsid w:val="00E80E96"/>
    <w:rsid w:val="00E91A3C"/>
    <w:rsid w:val="00EA0064"/>
    <w:rsid w:val="00EA2D67"/>
    <w:rsid w:val="00EC7A4B"/>
    <w:rsid w:val="00ED2A26"/>
    <w:rsid w:val="00EF384A"/>
    <w:rsid w:val="00F0485B"/>
    <w:rsid w:val="00F11439"/>
    <w:rsid w:val="00F13033"/>
    <w:rsid w:val="00F24451"/>
    <w:rsid w:val="00F354C7"/>
    <w:rsid w:val="00F36847"/>
    <w:rsid w:val="00F46112"/>
    <w:rsid w:val="00F476CA"/>
    <w:rsid w:val="00F618D1"/>
    <w:rsid w:val="00F66029"/>
    <w:rsid w:val="00F74CC4"/>
    <w:rsid w:val="00F772B8"/>
    <w:rsid w:val="00F80F85"/>
    <w:rsid w:val="00F930E0"/>
    <w:rsid w:val="00F93FFB"/>
    <w:rsid w:val="00FC09B8"/>
    <w:rsid w:val="00FD2BBE"/>
    <w:rsid w:val="00FD7764"/>
    <w:rsid w:val="00FF5A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a.Snu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B46C-9B36-46A2-9C72-0A01C8E2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13</Pages>
  <Words>19292</Words>
  <Characters>10998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Marija Zjurikova</cp:lastModifiedBy>
  <cp:revision>168</cp:revision>
  <cp:lastPrinted>2011-03-07T07:23:00Z</cp:lastPrinted>
  <dcterms:created xsi:type="dcterms:W3CDTF">2010-09-30T07:29:00Z</dcterms:created>
  <dcterms:modified xsi:type="dcterms:W3CDTF">2011-03-08T07:28:00Z</dcterms:modified>
</cp:coreProperties>
</file>